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825"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09896" cy="5238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896" cy="52387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5"/>
        <w:rPr>
          <w:rFonts w:ascii="Times New Roman" w:hAnsi="Times New Roman" w:cs="Times New Roman" w:eastAsia="Times New Roman" w:hint="default"/>
          <w:sz w:val="13"/>
          <w:szCs w:val="13"/>
        </w:rPr>
      </w:pPr>
    </w:p>
    <w:p>
      <w:pPr>
        <w:spacing w:line="501" w:lineRule="exact" w:before="0"/>
        <w:ind w:left="510" w:right="149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江苏润和软件股份有限公司</w:t>
      </w:r>
      <w:r>
        <w:rPr>
          <w:rFonts w:ascii="Microsoft JhengHei" w:hAnsi="Microsoft JhengHei" w:cs="Microsoft JhengHei" w:eastAsia="Microsoft JhengHei" w:hint="default"/>
          <w:sz w:val="36"/>
          <w:szCs w:val="36"/>
        </w:rPr>
      </w:r>
    </w:p>
    <w:p>
      <w:pPr>
        <w:spacing w:before="263"/>
        <w:ind w:left="510" w:right="1488"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5"/>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23"/>
          <w:szCs w:val="23"/>
        </w:rPr>
      </w:pPr>
    </w:p>
    <w:p>
      <w:pPr>
        <w:spacing w:before="0"/>
        <w:ind w:left="510" w:right="1483" w:firstLine="0"/>
        <w:jc w:val="center"/>
        <w:rPr>
          <w:rFonts w:ascii="Times New Roman" w:hAnsi="Times New Roman" w:cs="Times New Roman" w:eastAsia="Times New Roman" w:hint="default"/>
          <w:sz w:val="22"/>
          <w:szCs w:val="22"/>
        </w:rPr>
      </w:pPr>
      <w:r>
        <w:rPr>
          <w:rFonts w:ascii="Times New Roman"/>
          <w:b/>
          <w:sz w:val="22"/>
        </w:rPr>
        <w:t>2019-036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7"/>
        <w:rPr>
          <w:rFonts w:ascii="Times New Roman" w:hAnsi="Times New Roman" w:cs="Times New Roman" w:eastAsia="Times New Roman" w:hint="default"/>
          <w:b/>
          <w:bCs/>
          <w:sz w:val="24"/>
          <w:szCs w:val="24"/>
        </w:rPr>
      </w:pPr>
    </w:p>
    <w:p>
      <w:pPr>
        <w:spacing w:before="0"/>
        <w:ind w:left="510" w:right="148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803" w:right="0"/>
        <w:jc w:val="left"/>
        <w:rPr>
          <w:b w:val="0"/>
          <w:bCs w:val="0"/>
        </w:rPr>
      </w:pPr>
      <w:r>
        <w:rPr/>
        <w:t>第一节 </w:t>
      </w:r>
      <w:r>
        <w:rPr>
          <w:spacing w:val="19"/>
        </w:rPr>
        <w:t> </w:t>
      </w:r>
      <w:r>
        <w:rPr/>
        <w:t>重要提示、目录和释义</w:t>
      </w:r>
      <w:r>
        <w:rPr>
          <w:b w:val="0"/>
          <w:bCs w:val="0"/>
        </w:rPr>
      </w:r>
    </w:p>
    <w:p>
      <w:pPr>
        <w:spacing w:line="240" w:lineRule="auto" w:before="14"/>
        <w:rPr>
          <w:rFonts w:ascii="Microsoft JhengHei" w:hAnsi="Microsoft JhengHei" w:cs="Microsoft JhengHei" w:eastAsia="Microsoft JhengHei" w:hint="default"/>
          <w:b/>
          <w:bCs/>
          <w:sz w:val="28"/>
          <w:szCs w:val="28"/>
        </w:rPr>
      </w:pPr>
    </w:p>
    <w:p>
      <w:pPr>
        <w:spacing w:line="307" w:lineRule="auto" w:before="0"/>
        <w:ind w:left="153" w:right="1141"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公司董事会、监事会及董事、监事、高级管理人员保证年度报告内容的真</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实、准确、完整，不存在虚假记载、误导性陈述或重大遗漏，并承担个别和连</w:t>
      </w:r>
      <w:r>
        <w:rPr>
          <w:rFonts w:ascii="Microsoft JhengHei" w:hAnsi="Microsoft JhengHei" w:cs="Microsoft JhengHei" w:eastAsia="Microsoft JhengHei" w:hint="default"/>
          <w:b/>
          <w:bCs/>
          <w:spacing w:val="13"/>
          <w:w w:val="95"/>
          <w:sz w:val="28"/>
          <w:szCs w:val="28"/>
        </w:rPr>
        <w:t> </w:t>
      </w:r>
      <w:r>
        <w:rPr>
          <w:rFonts w:ascii="Microsoft JhengHei" w:hAnsi="Microsoft JhengHei" w:cs="Microsoft JhengHei" w:eastAsia="Microsoft JhengHei" w:hint="default"/>
          <w:b/>
          <w:bCs/>
          <w:spacing w:val="13"/>
          <w:w w:val="95"/>
          <w:sz w:val="28"/>
          <w:szCs w:val="28"/>
        </w:rPr>
      </w:r>
      <w:r>
        <w:rPr>
          <w:rFonts w:ascii="Microsoft JhengHei" w:hAnsi="Microsoft JhengHei" w:cs="Microsoft JhengHei" w:eastAsia="Microsoft JhengHei" w:hint="default"/>
          <w:b/>
          <w:bCs/>
          <w:spacing w:val="2"/>
          <w:sz w:val="28"/>
          <w:szCs w:val="28"/>
        </w:rPr>
        <w:t>带的法律责任。</w:t>
      </w:r>
      <w:r>
        <w:rPr>
          <w:rFonts w:ascii="Microsoft JhengHei" w:hAnsi="Microsoft JhengHei" w:cs="Microsoft JhengHei" w:eastAsia="Microsoft JhengHei" w:hint="default"/>
          <w:spacing w:val="2"/>
          <w:sz w:val="28"/>
          <w:szCs w:val="28"/>
        </w:rPr>
      </w:r>
    </w:p>
    <w:p>
      <w:pPr>
        <w:spacing w:line="307" w:lineRule="auto" w:before="133"/>
        <w:ind w:left="153" w:right="112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95"/>
          <w:sz w:val="28"/>
          <w:szCs w:val="28"/>
        </w:rPr>
        <w:t>公司负责人周红卫、主管会计工作负责人邵峰及会计机构负责人</w:t>
      </w:r>
      <w:r>
        <w:rPr>
          <w:rFonts w:ascii="Times New Roman" w:hAnsi="Times New Roman" w:cs="Times New Roman" w:eastAsia="Times New Roman" w:hint="default"/>
          <w:b/>
          <w:bCs/>
          <w:spacing w:val="2"/>
          <w:w w:val="95"/>
          <w:sz w:val="28"/>
          <w:szCs w:val="28"/>
        </w:rPr>
        <w:t>(</w:t>
      </w:r>
      <w:r>
        <w:rPr>
          <w:rFonts w:ascii="Microsoft JhengHei" w:hAnsi="Microsoft JhengHei" w:cs="Microsoft JhengHei" w:eastAsia="Microsoft JhengHei" w:hint="default"/>
          <w:b/>
          <w:bCs/>
          <w:spacing w:val="2"/>
          <w:w w:val="95"/>
          <w:sz w:val="28"/>
          <w:szCs w:val="28"/>
        </w:rPr>
        <w:t>会计主管</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人员</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张新宇声明：保证年度报告中财务报告的真实、准确、完整。</w:t>
      </w:r>
      <w:r>
        <w:rPr>
          <w:rFonts w:ascii="Microsoft JhengHei" w:hAnsi="Microsoft JhengHei" w:cs="Microsoft JhengHei" w:eastAsia="Microsoft JhengHei" w:hint="default"/>
          <w:spacing w:val="2"/>
          <w:sz w:val="28"/>
          <w:szCs w:val="28"/>
        </w:rPr>
      </w:r>
    </w:p>
    <w:p>
      <w:pPr>
        <w:spacing w:line="357"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所有董事均亲自出席了审议本次年报的董事会会议。</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本报告中如有涉及未来的计划、业绩预测等方面的内容，均不构成本公司</w:t>
      </w:r>
      <w:r>
        <w:rPr>
          <w:rFonts w:ascii="Microsoft JhengHei" w:hAnsi="Microsoft JhengHei" w:cs="Microsoft JhengHei" w:eastAsia="Microsoft JhengHei" w:hint="default"/>
          <w:spacing w:val="4"/>
          <w:sz w:val="28"/>
          <w:szCs w:val="28"/>
        </w:rPr>
      </w:r>
    </w:p>
    <w:p>
      <w:pPr>
        <w:spacing w:line="442"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对任何投资者的实质性承诺，投资者及相关人士均应对此保持足够的风险认识，</w:t>
      </w:r>
      <w:r>
        <w:rPr>
          <w:rFonts w:ascii="Microsoft JhengHei" w:hAnsi="Microsoft JhengHei" w:cs="Microsoft JhengHei" w:eastAsia="Microsoft JhengHei" w:hint="default"/>
          <w:sz w:val="28"/>
          <w:szCs w:val="28"/>
        </w:rPr>
      </w:r>
    </w:p>
    <w:p>
      <w:pPr>
        <w:spacing w:line="355" w:lineRule="auto" w:before="136"/>
        <w:ind w:left="714" w:right="0" w:hanging="562"/>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2"/>
          <w:sz w:val="28"/>
          <w:szCs w:val="28"/>
        </w:rPr>
        <w:t>并且应当理解计划、预测与承诺之间的差异。</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公司在本报告第四节</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经营情况讨论与分析</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之</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Times New Roman" w:hAnsi="Times New Roman" w:cs="Times New Roman" w:eastAsia="Times New Roman" w:hint="default"/>
          <w:spacing w:val="4"/>
          <w:sz w:val="28"/>
          <w:szCs w:val="28"/>
        </w:rPr>
      </w:r>
    </w:p>
    <w:p>
      <w:pPr>
        <w:spacing w:line="445"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部分，详细描述了公司经营中可能存在的风险及应对措施，敬请投资者关注相</w:t>
      </w:r>
      <w:r>
        <w:rPr>
          <w:rFonts w:ascii="Microsoft JhengHei" w:hAnsi="Microsoft JhengHei" w:cs="Microsoft JhengHei" w:eastAsia="Microsoft JhengHei" w:hint="default"/>
          <w:spacing w:val="4"/>
          <w:sz w:val="28"/>
          <w:szCs w:val="28"/>
        </w:rPr>
      </w:r>
    </w:p>
    <w:p>
      <w:pPr>
        <w:spacing w:before="137"/>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关内容。</w:t>
      </w:r>
      <w:r>
        <w:rPr>
          <w:rFonts w:ascii="Microsoft JhengHei" w:hAnsi="Microsoft JhengHei" w:cs="Microsoft JhengHei" w:eastAsia="Microsoft JhengHei" w:hint="default"/>
          <w:sz w:val="28"/>
          <w:szCs w:val="28"/>
        </w:rPr>
      </w:r>
    </w:p>
    <w:p>
      <w:pPr>
        <w:spacing w:before="237"/>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公司计划不派发现金红利，不送红股，不以公积金转增股本。</w:t>
      </w:r>
      <w:r>
        <w:rPr>
          <w:rFonts w:ascii="Microsoft JhengHei" w:hAnsi="Microsoft JhengHei" w:cs="Microsoft JhengHei" w:eastAsia="Microsoft JhengHei" w:hint="default"/>
          <w:spacing w:val="2"/>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1" w:top="1060" w:bottom="1160" w:left="980" w:right="0"/>
          <w:pgNumType w:start="2"/>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4"/>
          <w:szCs w:val="14"/>
        </w:rPr>
      </w:pPr>
    </w:p>
    <w:p>
      <w:pPr>
        <w:spacing w:line="501" w:lineRule="exact" w:before="0"/>
        <w:ind w:left="510" w:right="148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pacing w:val="4"/>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
        <w:rPr>
          <w:rFonts w:ascii="Microsoft JhengHei" w:hAnsi="Microsoft JhengHei" w:cs="Microsoft JhengHei" w:eastAsia="Microsoft JhengHei" w:hint="default"/>
          <w:b/>
          <w:bCs/>
          <w:sz w:val="43"/>
          <w:szCs w:val="43"/>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4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41"/>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72"/>
            <w:ind w:right="0"/>
            <w:jc w:val="left"/>
            <w:rPr>
              <w:rFonts w:ascii="Times New Roman" w:hAnsi="Times New Roman" w:cs="Times New Roman" w:eastAsia="Times New Roman" w:hint="default"/>
              <w:b w:val="0"/>
              <w:bCs w:val="0"/>
            </w:rPr>
          </w:pPr>
          <w:hyperlink w:history="true" w:anchor="_bookmark2">
            <w:r>
              <w:rPr/>
              <w:t>第三节</w:t>
            </w:r>
            <w:r>
              <w:rPr>
                <w:spacing w:val="41"/>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41"/>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5" w:val="right" w:leader="dot"/>
            </w:tabs>
            <w:spacing w:line="240" w:lineRule="auto" w:before="72"/>
            <w:ind w:right="0"/>
            <w:jc w:val="left"/>
            <w:rPr>
              <w:rFonts w:ascii="Times New Roman" w:hAnsi="Times New Roman" w:cs="Times New Roman" w:eastAsia="Times New Roman" w:hint="default"/>
              <w:b w:val="0"/>
              <w:bCs w:val="0"/>
            </w:rPr>
          </w:pPr>
          <w:hyperlink w:history="true" w:anchor="_bookmark4">
            <w:r>
              <w:rPr/>
              <w:t>第五节</w:t>
            </w:r>
            <w:r>
              <w:rPr>
                <w:spacing w:val="41"/>
              </w:rPr>
              <w:t> </w:t>
            </w:r>
            <w:r>
              <w:rPr/>
              <w:t>重要事项</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5" w:val="right" w:leader="dot"/>
            </w:tabs>
            <w:spacing w:line="240" w:lineRule="auto" w:before="77"/>
            <w:ind w:right="0"/>
            <w:jc w:val="left"/>
            <w:rPr>
              <w:rFonts w:ascii="Times New Roman" w:hAnsi="Times New Roman" w:cs="Times New Roman" w:eastAsia="Times New Roman" w:hint="default"/>
              <w:b w:val="0"/>
              <w:bCs w:val="0"/>
            </w:rPr>
          </w:pPr>
          <w:hyperlink w:history="true" w:anchor="_bookmark5">
            <w:r>
              <w:rPr/>
              <w:t>第六节</w:t>
            </w:r>
            <w:r>
              <w:rPr>
                <w:spacing w:val="41"/>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5" w:val="right" w:leader="dot"/>
            </w:tabs>
            <w:spacing w:line="240" w:lineRule="auto" w:before="72"/>
            <w:ind w:right="0"/>
            <w:jc w:val="left"/>
            <w:rPr>
              <w:rFonts w:ascii="Times New Roman" w:hAnsi="Times New Roman" w:cs="Times New Roman" w:eastAsia="Times New Roman" w:hint="default"/>
              <w:b w:val="0"/>
              <w:bCs w:val="0"/>
            </w:rPr>
          </w:pPr>
          <w:hyperlink w:history="true" w:anchor="_bookmark5">
            <w:r>
              <w:rPr/>
              <w:t>第七节</w:t>
            </w:r>
            <w:r>
              <w:rPr>
                <w:spacing w:val="41"/>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41"/>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5" w:val="right" w:leader="dot"/>
            </w:tabs>
            <w:spacing w:line="240" w:lineRule="auto" w:before="72"/>
            <w:ind w:right="0"/>
            <w:jc w:val="left"/>
            <w:rPr>
              <w:rFonts w:ascii="Times New Roman" w:hAnsi="Times New Roman" w:cs="Times New Roman" w:eastAsia="Times New Roman" w:hint="default"/>
              <w:b w:val="0"/>
              <w:bCs w:val="0"/>
            </w:rPr>
          </w:pPr>
          <w:hyperlink w:history="true" w:anchor="_bookmark7">
            <w:r>
              <w:rPr/>
              <w:t>第九节</w:t>
            </w:r>
            <w:r>
              <w:rPr>
                <w:spacing w:val="41"/>
              </w:rPr>
              <w:t> </w:t>
            </w:r>
            <w:r>
              <w:rPr/>
              <w:t>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41"/>
              </w:rPr>
              <w:t> </w:t>
            </w:r>
            <w:r>
              <w:rPr/>
              <w:t>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5" w:val="right" w:leader="dot"/>
            </w:tabs>
            <w:spacing w:line="240" w:lineRule="auto" w:before="72"/>
            <w:ind w:right="0"/>
            <w:jc w:val="left"/>
            <w:rPr>
              <w:rFonts w:ascii="Times New Roman" w:hAnsi="Times New Roman" w:cs="Times New Roman" w:eastAsia="Times New Roman" w:hint="default"/>
              <w:b w:val="0"/>
              <w:bCs w:val="0"/>
            </w:rPr>
          </w:pPr>
          <w:hyperlink w:history="true" w:anchor="_bookmark9">
            <w:r>
              <w:rPr/>
              <w:t>第十一节</w:t>
            </w:r>
            <w:r>
              <w:rPr>
                <w:spacing w:val="41"/>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41"/>
              </w:rPr>
              <w:t> </w:t>
            </w:r>
            <w:r>
              <w:rPr/>
              <w:t>备查文件目录</w:t>
            </w:r>
            <w:r>
              <w:rPr>
                <w:rFonts w:ascii="Times New Roman" w:hAnsi="Times New Roman" w:cs="Times New Roman" w:eastAsia="Times New Roman" w:hint="default"/>
              </w:rPr>
              <w:tab/>
              <w:t>225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before="852"/>
        <w:ind w:left="510" w:right="148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江苏润和科技投资集团有限公司，系公司控股股东。</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北京联创智融信息技术有限公司，系公司全资子公司。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重庆度融</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重庆度融信息技术有限公司，系联创智融的控股子公司。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成都联创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成都联创智融信息技术有限公司，系联创智融的全资子公司。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深圳联创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深圳联创智融信息技术有限公司，系联创智融的全资子公司。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南京汇聚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南京汇聚智融信息技术有限公司，系联创智融的控股子公司。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合肥汇聚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合肥汇聚智融信息技术有限公司，系联创智融的全资子公司。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北京捷科智诚科技有限公司，系公司全资子公司。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上海捷科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上海捷科智诚科技有限公司，系捷科智诚的全资子公司。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福州捷科智诚信息科技有限公司，系捷科智诚的全资子公司。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上海润和信息技术服务有限公司，系公司全资子公司。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上海菲耐得信息科技有限公司，系公司全资子公司。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润和云（上海）科技有限公司，系公司全资子公司。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西安润和软件信息技术有限公司，系公司全资子公司。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武汉宁润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武汉宁润软件信息技术有限公司，系公司全资子公司。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北京润和汇智信息技术有限公司，系公司全资子公司。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深圳润和汇智信息技术有限公司，系北京润和全资子公司。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润和捷诚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江苏润和捷诚科技产业投资有限公司，系公司全资子公司。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江苏润和南京软件外包园投资有限公司，系公司全资子公司。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软信和熙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江苏软信和熙信息科技有限公司，系外包园公司全资子公司。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指株式会社ホープラン東京，系公司全资子公司。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w:t>
            </w:r>
            <w:r>
              <w:rPr>
                <w:rFonts w:ascii="Times New Roman" w:hAnsi="Times New Roman" w:cs="Times New Roman" w:eastAsia="Times New Roman" w:hint="default"/>
                <w:spacing w:val="-3"/>
                <w:sz w:val="18"/>
                <w:szCs w:val="18"/>
              </w:rPr>
              <w:t>Pte.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，系东京润和的控股子公司。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香港润和信息技术投资有限公司，系公司全资子公司。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w:t>
            </w:r>
            <w:r>
              <w:rPr>
                <w:rFonts w:ascii="Times New Roman" w:hAnsi="Times New Roman" w:cs="Times New Roman" w:eastAsia="Times New Roman" w:hint="default"/>
                <w:spacing w:val="-3"/>
                <w:sz w:val="18"/>
                <w:szCs w:val="18"/>
              </w:rPr>
              <w:t>Technology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润和智融</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江苏润和智融科技有限公司，系公司控股子公司。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广州润和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广州润和颐能软件技术有限公司，系公司控股子公司。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润辰科技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南京润辰科技有限公司，系公司控股子公司。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润和润云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南京润和润云科技有限公司，系公司控股子公司。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新维数联（北京）科技有限公司，系公司实际控制的公司。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before="46"/>
        <w:ind w:left="0" w:right="1126"/>
        <w:jc w:val="right"/>
      </w:pPr>
      <w:r>
        <w:rPr/>
        <w:pict>
          <v:shape style="position:absolute;margin-left:56.424pt;margin-top:-101.458275pt;width:479.5pt;height:337.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江苏开拓信息与系统有限公司，系公司参股公司。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博纳讯动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苏州博纳讯动软件有限公司，系公司参股公司。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江苏鑫合易家信息技术有限责任公司，系公司参股公司。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奥特酷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苏民投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江苏民营投资控股有限公司，系公司参股公司。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宁波宏创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宁</w:t>
                        </w:r>
                        <w:r>
                          <w:rPr>
                            <w:rFonts w:ascii="宋体" w:hAnsi="宋体" w:cs="宋体" w:eastAsia="宋体" w:hint="default"/>
                            <w:spacing w:val="-5"/>
                            <w:w w:val="101"/>
                            <w:sz w:val="18"/>
                            <w:szCs w:val="18"/>
                          </w:rPr>
                          <w:t>波</w:t>
                        </w:r>
                        <w:r>
                          <w:rPr>
                            <w:rFonts w:ascii="宋体" w:hAnsi="宋体" w:cs="宋体" w:eastAsia="宋体" w:hint="default"/>
                            <w:w w:val="101"/>
                            <w:sz w:val="18"/>
                            <w:szCs w:val="18"/>
                          </w:rPr>
                          <w:t>宏</w:t>
                        </w:r>
                        <w:r>
                          <w:rPr>
                            <w:rFonts w:ascii="宋体" w:hAnsi="宋体" w:cs="宋体" w:eastAsia="宋体" w:hint="default"/>
                            <w:spacing w:val="-5"/>
                            <w:w w:val="101"/>
                            <w:sz w:val="18"/>
                            <w:szCs w:val="18"/>
                          </w:rPr>
                          <w:t>创</w:t>
                        </w:r>
                        <w:r>
                          <w:rPr>
                            <w:rFonts w:ascii="宋体" w:hAnsi="宋体" w:cs="宋体" w:eastAsia="宋体" w:hint="default"/>
                            <w:w w:val="101"/>
                            <w:sz w:val="18"/>
                            <w:szCs w:val="18"/>
                          </w:rPr>
                          <w:t>股</w:t>
                        </w:r>
                        <w:r>
                          <w:rPr>
                            <w:rFonts w:ascii="宋体" w:hAnsi="宋体" w:cs="宋体" w:eastAsia="宋体" w:hint="default"/>
                            <w:spacing w:val="-5"/>
                            <w:w w:val="101"/>
                            <w:sz w:val="18"/>
                            <w:szCs w:val="18"/>
                          </w:rPr>
                          <w:t>权</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73"/>
                            <w:w w:val="101"/>
                            <w:sz w:val="18"/>
                            <w:szCs w:val="18"/>
                          </w:rPr>
                          <w:t>业</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96"/>
                            <w:w w:val="101"/>
                            <w:sz w:val="18"/>
                            <w:szCs w:val="18"/>
                          </w:rPr>
                          <w:t>）</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系</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上</w:t>
                        </w:r>
                        <w:r>
                          <w:rPr>
                            <w:rFonts w:ascii="宋体" w:hAnsi="宋体" w:cs="宋体" w:eastAsia="宋体" w:hint="default"/>
                            <w:w w:val="101"/>
                            <w:sz w:val="18"/>
                            <w:szCs w:val="18"/>
                          </w:rPr>
                          <w:t>的</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z w:val="18"/>
                            <w:szCs w:val="18"/>
                          </w:rPr>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蚂蚁金服</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23" w:right="60"/>
                          <w:jc w:val="left"/>
                          <w:rPr>
                            <w:rFonts w:ascii="宋体" w:hAnsi="宋体" w:cs="宋体" w:eastAsia="宋体" w:hint="default"/>
                            <w:sz w:val="18"/>
                            <w:szCs w:val="18"/>
                          </w:rPr>
                        </w:pPr>
                        <w:r>
                          <w:rPr>
                            <w:rFonts w:ascii="宋体" w:hAnsi="宋体" w:cs="宋体" w:eastAsia="宋体" w:hint="default"/>
                            <w:spacing w:val="-3"/>
                            <w:sz w:val="18"/>
                            <w:szCs w:val="18"/>
                          </w:rPr>
                          <w:t>浙江蚂蚁小微金融服务集团股份有限公司，公司持股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海云鑫创业投资有限公司为蚂蚁金服的全资子公司。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混改基金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南京国资混改基金有限公司，系公司持股</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江苏润和软件股份有限公司的股东大会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江苏润和软件股份有限公司的董事会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江苏润和软件股份有限公司的监事会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2645" w:right="0"/>
        <w:jc w:val="left"/>
        <w:rPr>
          <w:b w:val="0"/>
          <w:bCs w:val="0"/>
        </w:rPr>
      </w:pPr>
      <w:bookmarkStart w:name="_bookmark0" w:id="1"/>
      <w:bookmarkEnd w:id="1"/>
      <w:r>
        <w:rPr>
          <w:b w:val="0"/>
          <w:bCs w:val="0"/>
        </w:rPr>
      </w:r>
      <w:r>
        <w:rPr/>
        <w:t>第二节 </w:t>
      </w:r>
      <w:r>
        <w:rPr>
          <w:spacing w:val="21"/>
        </w:rPr>
        <w:t> </w:t>
      </w:r>
      <w:r>
        <w:rPr/>
        <w:t>公司简介和主要财务指标</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65.154572pt;margin-top:115.172501pt;width:370.05pt;height:19.45pt;mso-position-horizontal-relative:page;mso-position-vertical-relative:paragraph;z-index:-120143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300339</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Jiangsu Hoperun Software Co.,</w:t>
            </w:r>
            <w:r>
              <w:rPr>
                <w:rFonts w:ascii="Times New Roman"/>
                <w:spacing w:val="-3"/>
                <w:sz w:val="18"/>
              </w:rPr>
              <w:t> Ltd.</w:t>
            </w:r>
          </w:p>
        </w:tc>
      </w:tr>
      <w:tr>
        <w:trPr>
          <w:trHeight w:val="398"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1"/>
                <w:sz w:val="18"/>
              </w:rPr>
              <w:t> </w:t>
            </w:r>
            <w:r>
              <w:rPr>
                <w:rFonts w:ascii="Times New Roman"/>
                <w:sz w:val="18"/>
              </w:rPr>
              <w:t>Software</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南京市雨花台区铁心桥工业园</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www.hoperun.com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胡传高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南京市雨花台区软件大道 </w:t>
            </w:r>
            <w:r>
              <w:rPr>
                <w:rFonts w:ascii="Times New Roman" w:hAnsi="Times New Roman" w:cs="Times New Roman" w:eastAsia="Times New Roman" w:hint="default"/>
                <w:sz w:val="18"/>
                <w:szCs w:val="18"/>
              </w:rPr>
              <w:t>168 </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南京市雨花台区软件大道 </w:t>
            </w:r>
            <w:r>
              <w:rPr>
                <w:rFonts w:ascii="Times New Roman" w:hAnsi="Times New Roman" w:cs="Times New Roman" w:eastAsia="Times New Roman" w:hint="default"/>
                <w:sz w:val="18"/>
                <w:szCs w:val="18"/>
              </w:rPr>
              <w:t>168 </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025-52668518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025-52668895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025-52668895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上海证券报、证券时报、证券日报</w:t>
            </w:r>
          </w:p>
        </w:tc>
      </w:tr>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华普天健会计师事务所（特殊普通合伙）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北京市西城区阜成门外大街</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号外经贸大厦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920-926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室</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华泰联合证券有限责任公司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03"/>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李琦、王平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09"/>
              <w:jc w:val="left"/>
              <w:rPr>
                <w:rFonts w:ascii="宋体" w:hAnsi="宋体" w:cs="宋体" w:eastAsia="宋体" w:hint="default"/>
                <w:sz w:val="18"/>
                <w:szCs w:val="18"/>
              </w:rPr>
            </w:pPr>
            <w:r>
              <w:rPr>
                <w:rFonts w:ascii="宋体" w:hAnsi="宋体" w:cs="宋体" w:eastAsia="宋体" w:hint="default"/>
                <w:spacing w:val="-3"/>
                <w:sz w:val="18"/>
                <w:szCs w:val="18"/>
              </w:rPr>
              <w:t>广东省深圳市福田区中心三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路</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号卓越时代广场（二期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胡蒲娟、孙骏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pict>
          <v:shape style="position:absolute;margin-left:290.244415pt;margin-top:-62.6875pt;width:125.15pt;height:50.65pt;mso-position-horizontal-relative:page;mso-position-vertical-relative:paragraph;z-index:-120140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w w:val="101"/>
                    </w:rPr>
                    <w:t>）</w:t>
                  </w:r>
                  <w:r>
                    <w:rPr/>
                  </w:r>
                </w:p>
              </w:txbxContent>
            </v:textbox>
            <w10:wrap type="none"/>
          </v:shape>
        </w:pict>
      </w:r>
      <w:r>
        <w:rPr/>
        <w:pict>
          <v:group style="position:absolute;margin-left:296.279999pt;margin-top:-62.6875pt;width:119.1pt;height:50.65pt;mso-position-horizontal-relative:page;mso-position-vertical-relative:paragraph;z-index:-1201384" coordorigin="5926,-1254" coordsize="2382,1013">
            <v:group style="position:absolute;left:5926;top:-1254;width:2382;height:1013" coordorigin="5926,-1254" coordsize="2382,1013">
              <v:shape style="position:absolute;left:5926;top:-1254;width:2382;height:1013" coordorigin="5926,-1254" coordsize="2382,1013" path="m5926,-241l8307,-241,8307,-1254,5926,-1254,5926,-241xe" filled="true" fillcolor="#ffffff" stroked="false">
                <v:path arrowok="t"/>
                <v:fill type="solid"/>
              </v:shape>
            </v:group>
            <v:group style="position:absolute;left:5950;top:-942;width:2334;height:389" coordorigin="5950,-942" coordsize="2334,389">
              <v:shape style="position:absolute;left:5950;top:-942;width:2334;height:389" coordorigin="5950,-942" coordsize="2334,389" path="m5950,-553l8283,-553,8283,-942,5950,-942,5950,-553xe" filled="true" fillcolor="#ffffff" stroked="false">
                <v:path arrowok="t"/>
                <v:fill type="solid"/>
              </v:shape>
            </v:group>
            <w10:wrap type="none"/>
          </v:group>
        </w:pict>
      </w:r>
      <w:r>
        <w:rPr/>
        <w:t>五、主要会计数据和财务指标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9"/>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2,037,713,936.33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1,611,974,436.67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1,314,967,805.29</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314,377,918.28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249,411,156.16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303,579,054.80</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292,203,574.22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225,585,118.92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173,953,579.61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275,263,631.67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144,639,794.41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289,731,558.49</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0.42</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6,355,454,798.88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5,446,279,251.67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5,125,521,981.46</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4,625,746,475.17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3,733,194,509.66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3,523,469,826.66</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六、分季度主要财务指标</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46"/>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448,502,583.59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429,028,856.59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526,143,354.84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634,039,141.31</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45,162,295.81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52,657,573.44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81,147,878.80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135,410,170.23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42,992,969.42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49,382,662.86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79,966,561.28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119,861,380.66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-397,005,776.58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108,037,583.77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81,344,100.74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482,887,723.74</w:t>
            </w:r>
          </w:p>
        </w:tc>
      </w:tr>
    </w:tbl>
    <w:p>
      <w:pPr>
        <w:pStyle w:val="BodyText"/>
        <w:spacing w:line="240" w:lineRule="auto" w:before="54"/>
        <w:ind w:right="0"/>
        <w:jc w:val="left"/>
      </w:pPr>
      <w:r>
        <w:rPr>
          <w:spacing w:val="-3"/>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9" w:lineRule="auto" w:before="101"/>
        <w:ind w:right="1128" w:firstLine="508"/>
        <w:jc w:val="both"/>
      </w:pPr>
      <w:r>
        <w:rPr>
          <w:spacing w:val="-4"/>
        </w:rPr>
        <w:t>根据买卖合同中权利义务条款认定，公司对第一季度部分外购软硬件产品销售业务核算由原总额法调整为净额法，调</w:t>
      </w:r>
      <w:r>
        <w:rPr>
          <w:w w:val="101"/>
        </w:rPr>
        <w:t> </w:t>
      </w:r>
      <w:r>
        <w:rPr>
          <w:spacing w:val="-2"/>
        </w:rPr>
        <w:t>减第一季度营业收入</w:t>
      </w:r>
      <w:r>
        <w:rPr>
          <w:rFonts w:ascii="Times New Roman" w:hAnsi="Times New Roman" w:cs="Times New Roman" w:eastAsia="Times New Roman" w:hint="default"/>
          <w:spacing w:val="-2"/>
        </w:rPr>
        <w:t>120,819,711.17</w:t>
      </w:r>
      <w:r>
        <w:rPr>
          <w:spacing w:val="-2"/>
        </w:rPr>
        <w:t>元，调减第一季度营业成本</w:t>
      </w:r>
      <w:r>
        <w:rPr>
          <w:rFonts w:ascii="Times New Roman" w:hAnsi="Times New Roman" w:cs="Times New Roman" w:eastAsia="Times New Roman" w:hint="default"/>
          <w:spacing w:val="-2"/>
        </w:rPr>
        <w:t>120,819,711.17</w:t>
      </w:r>
      <w:r>
        <w:rPr>
          <w:spacing w:val="-2"/>
        </w:rPr>
        <w:t>元，对公司本年及各季度归属于上市公司股东</w:t>
      </w:r>
      <w:r>
        <w:rPr>
          <w:spacing w:val="43"/>
        </w:rPr>
        <w:t> </w:t>
      </w:r>
      <w:r>
        <w:rPr>
          <w:spacing w:val="43"/>
        </w:rPr>
      </w:r>
      <w:r>
        <w:rPr>
          <w:spacing w:val="-3"/>
        </w:rPr>
        <w:t>的净利润、归属于上市公司股东的扣除非经常性损益的净利润均不产生影响。</w:t>
      </w: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16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43" w:lineRule="auto"/>
        <w:ind w:right="16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pStyle w:val="Heading2"/>
        <w:spacing w:line="240" w:lineRule="auto" w:before="160"/>
        <w:ind w:right="0"/>
        <w:jc w:val="left"/>
        <w:rPr>
          <w:b w:val="0"/>
          <w:bCs w:val="0"/>
        </w:rPr>
      </w:pPr>
      <w:r>
        <w:rPr/>
        <w:t>八、非经常性损益项目及金额</w:t>
      </w:r>
      <w:r>
        <w:rPr>
          <w:b w:val="0"/>
          <w:bCs w:val="0"/>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10"/>
      </w:tblGrid>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8"/>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583,372.19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3,274,697.68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106,938,366.92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15,766,936.92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20,967,474.58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29,672,111.94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2,027,000.00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15,008,154.75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3,640,374.26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17"/>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值业务外，持有交易性金融资产、交易性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金融负债产生的公允价值变动损益，以及</w:t>
            </w:r>
          </w:p>
        </w:tc>
        <w:tc>
          <w:tcPr>
            <w:tcW w:w="1517" w:type="dxa"/>
            <w:tcBorders>
              <w:top w:val="single" w:sz="4" w:space="0" w:color="000000"/>
              <w:left w:val="single" w:sz="13"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32,825.00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10"/>
      </w:tblGrid>
      <w:tr>
        <w:trPr>
          <w:trHeight w:val="67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8"/>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处置交易性金融资产、交易性金融负债和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可供出售金融资产取得的投资收益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-1,385,427.85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-177,143.77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-1,237,078.86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5,776,000.00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3,547,877.29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1"/>
              <w:jc w:val="both"/>
              <w:rPr>
                <w:rFonts w:ascii="宋体" w:hAnsi="宋体" w:cs="宋体" w:eastAsia="宋体" w:hint="default"/>
                <w:sz w:val="18"/>
                <w:szCs w:val="18"/>
              </w:rPr>
            </w:pPr>
            <w:r>
              <w:rPr>
                <w:rFonts w:ascii="宋体" w:hAnsi="宋体" w:cs="宋体" w:eastAsia="宋体" w:hint="default"/>
                <w:spacing w:val="-3"/>
                <w:sz w:val="18"/>
                <w:szCs w:val="18"/>
              </w:rPr>
              <w:t>系境外子公司波士顿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润和本期减资形成的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汇兑损益。</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4,215,699.63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3,775,553.21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20,724,929.27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18,211.83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11,315.33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63,975.29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22,174,344.06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23,826,037.24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129,625,475.19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26"/>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447" w:right="0"/>
        <w:jc w:val="left"/>
        <w:rPr>
          <w:b w:val="0"/>
          <w:bCs w:val="0"/>
        </w:rPr>
      </w:pPr>
      <w:bookmarkStart w:name="_bookmark1" w:id="2"/>
      <w:bookmarkEnd w:id="2"/>
      <w:r>
        <w:rPr>
          <w:b w:val="0"/>
          <w:bCs w:val="0"/>
        </w:rPr>
      </w:r>
      <w:r>
        <w:rPr/>
        <w:t>第三节 </w:t>
      </w:r>
      <w:r>
        <w:rPr>
          <w:spacing w:val="12"/>
        </w:rPr>
        <w:t> </w:t>
      </w:r>
      <w:r>
        <w:rPr/>
        <w:t>公司业务概要</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27"/>
        <w:ind w:right="0"/>
        <w:jc w:val="both"/>
      </w:pPr>
      <w:r>
        <w:rPr/>
        <w:t>软件与信息技术服务业</w:t>
      </w:r>
    </w:p>
    <w:p>
      <w:pPr>
        <w:pStyle w:val="BodyText"/>
        <w:spacing w:line="240" w:lineRule="auto" w:before="119"/>
        <w:ind w:right="0"/>
        <w:jc w:val="both"/>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316" w:lineRule="auto" w:before="96"/>
        <w:ind w:left="662" w:right="1026" w:hanging="144"/>
        <w:jc w:val="left"/>
      </w:pPr>
      <w:r>
        <w:rPr>
          <w:spacing w:val="-3"/>
        </w:rPr>
        <w:t>（一）报告期内公司所从事的主要业务</w:t>
      </w:r>
      <w:r>
        <w:rPr>
          <w:spacing w:val="-39"/>
        </w:rPr>
        <w:t> </w:t>
      </w:r>
      <w:r>
        <w:rPr>
          <w:spacing w:val="-39"/>
        </w:rPr>
      </w:r>
      <w:r>
        <w:rPr>
          <w:spacing w:val="-3"/>
        </w:rPr>
        <w:t>报告期内，公司的主营业务是向国内外客户提供以数字化解决方案为基础的综合科技服务，业务聚焦在 </w:t>
      </w:r>
      <w:r>
        <w:rPr>
          <w:spacing w:val="35"/>
        </w:rPr>
        <w:t> </w:t>
      </w:r>
      <w:r>
        <w:rPr>
          <w:rFonts w:ascii="Times New Roman" w:hAnsi="Times New Roman" w:cs="Times New Roman" w:eastAsia="Times New Roman" w:hint="default"/>
          <w:spacing w:val="-3"/>
        </w:rPr>
        <w:t>“</w:t>
      </w:r>
      <w:r>
        <w:rPr>
          <w:spacing w:val="-3"/>
        </w:rPr>
        <w:t>金融科技</w:t>
      </w:r>
      <w:r>
        <w:rPr>
          <w:rFonts w:ascii="Times New Roman" w:hAnsi="Times New Roman" w:cs="Times New Roman" w:eastAsia="Times New Roman" w:hint="default"/>
          <w:spacing w:val="-3"/>
        </w:rPr>
        <w:t>”</w:t>
      </w:r>
      <w:r>
        <w:rPr>
          <w:spacing w:val="-3"/>
        </w:rPr>
        <w:t>、</w:t>
      </w:r>
    </w:p>
    <w:p>
      <w:pPr>
        <w:pStyle w:val="BodyText"/>
        <w:spacing w:line="312" w:lineRule="auto"/>
        <w:ind w:right="1124"/>
        <w:jc w:val="both"/>
      </w:pPr>
      <w:r>
        <w:rPr>
          <w:rFonts w:ascii="Times New Roman" w:hAnsi="Times New Roman" w:cs="Times New Roman" w:eastAsia="Times New Roman" w:hint="default"/>
          <w:spacing w:val="-4"/>
        </w:rPr>
        <w:t>“</w:t>
      </w:r>
      <w:r>
        <w:rPr>
          <w:spacing w:val="-4"/>
        </w:rPr>
        <w:t>智能终端信息化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智慧能源信息化</w:t>
      </w:r>
      <w:r>
        <w:rPr>
          <w:rFonts w:ascii="Times New Roman" w:hAnsi="Times New Roman" w:cs="Times New Roman" w:eastAsia="Times New Roman" w:hint="default"/>
          <w:spacing w:val="-4"/>
        </w:rPr>
        <w:t>”</w:t>
      </w:r>
      <w:r>
        <w:rPr>
          <w:spacing w:val="-4"/>
        </w:rPr>
        <w:t>等专业领域，业务覆盖中国、日本、东南亚、北美等区域。公司总部位于南京，在北</w:t>
      </w:r>
      <w:r>
        <w:rPr>
          <w:spacing w:val="-3"/>
        </w:rPr>
        <w:t> </w:t>
      </w:r>
      <w:r>
        <w:rPr>
          <w:spacing w:val="-3"/>
        </w:rPr>
      </w:r>
      <w:r>
        <w:rPr>
          <w:spacing w:val="-4"/>
        </w:rPr>
        <w:t>京、上海、深圳、广州、重庆、成都、武汉、西安、合肥、福州、香港等国内主要城市设有分子公司，并在日本东京、新加</w:t>
      </w:r>
      <w:r>
        <w:rPr>
          <w:spacing w:val="40"/>
        </w:rPr>
        <w:t> </w:t>
      </w:r>
      <w:r>
        <w:rPr>
          <w:spacing w:val="40"/>
        </w:rPr>
      </w:r>
      <w:r>
        <w:rPr>
          <w:spacing w:val="-4"/>
        </w:rPr>
        <w:t>坡、美国波士顿设立了海外子公司，拥有全球化的技术整合与服务能力，能够为客户提供全面、即时、高效、智能的数字化</w:t>
      </w:r>
      <w:r>
        <w:rPr>
          <w:spacing w:val="40"/>
        </w:rPr>
        <w:t> </w:t>
      </w:r>
      <w:r>
        <w:rPr>
          <w:spacing w:val="40"/>
        </w:rPr>
      </w:r>
      <w:r>
        <w:rPr/>
        <w:t>科技服务。</w:t>
      </w:r>
    </w:p>
    <w:p>
      <w:pPr>
        <w:pStyle w:val="BodyText"/>
        <w:spacing w:line="300" w:lineRule="auto" w:before="22"/>
        <w:ind w:left="662" w:right="0"/>
        <w:jc w:val="left"/>
      </w:pPr>
      <w:r>
        <w:rPr>
          <w:rFonts w:ascii="Times New Roman" w:hAnsi="Times New Roman" w:cs="Times New Roman" w:eastAsia="Times New Roman" w:hint="default"/>
          <w:spacing w:val="-3"/>
        </w:rPr>
        <w:t>1</w:t>
      </w:r>
      <w:r>
        <w:rPr>
          <w:spacing w:val="-3"/>
        </w:rPr>
        <w:t>、金融科技业务</w:t>
      </w:r>
      <w:r>
        <w:rPr>
          <w:spacing w:val="-68"/>
        </w:rPr>
        <w:t> </w:t>
      </w:r>
      <w:r>
        <w:rPr>
          <w:spacing w:val="-68"/>
        </w:rPr>
      </w:r>
      <w:r>
        <w:rPr>
          <w:spacing w:val="-4"/>
        </w:rPr>
        <w:t>报告期内，公司金融科技业务以金融行业数字化为契机，以城商行与第一梯队农商行为目标客户，以软件全生命周期</w:t>
      </w:r>
    </w:p>
    <w:p>
      <w:pPr>
        <w:pStyle w:val="BodyText"/>
        <w:spacing w:line="316" w:lineRule="auto" w:before="32"/>
        <w:ind w:right="1122"/>
        <w:jc w:val="both"/>
      </w:pPr>
      <w:r>
        <w:rPr>
          <w:spacing w:val="-4"/>
        </w:rPr>
        <w:t>管理为核心理念，致力于向客户提供数字化创新的信息技术服务，推动并帮助传统银行逐步向数字化银行转型，业务范围遍</w:t>
      </w:r>
      <w:r>
        <w:rPr>
          <w:spacing w:val="45"/>
        </w:rPr>
        <w:t> </w:t>
      </w:r>
      <w:r>
        <w:rPr>
          <w:spacing w:val="45"/>
        </w:rPr>
      </w:r>
      <w:r>
        <w:rPr/>
        <w:t>及全国主要省份。</w:t>
      </w:r>
    </w:p>
    <w:p>
      <w:pPr>
        <w:pStyle w:val="BodyText"/>
        <w:spacing w:line="309" w:lineRule="auto" w:before="19"/>
        <w:ind w:left="662" w:right="0"/>
        <w:jc w:val="left"/>
      </w:pPr>
      <w:r>
        <w:rPr>
          <w:rFonts w:ascii="Times New Roman" w:hAnsi="Times New Roman" w:cs="Times New Roman" w:eastAsia="Times New Roman" w:hint="default"/>
          <w:spacing w:val="-3"/>
        </w:rPr>
        <w:t>2018</w:t>
      </w:r>
      <w:r>
        <w:rPr>
          <w:spacing w:val="-3"/>
        </w:rPr>
        <w:t>年是公司数字化升级战略开始全面落地的关键一年。报告期内，公司金融科技业务主要实现了以下关键突破：</w:t>
      </w:r>
      <w:r>
        <w:rPr>
          <w:spacing w:val="60"/>
        </w:rPr>
        <w:t> </w:t>
      </w:r>
      <w:r>
        <w:rPr>
          <w:spacing w:val="60"/>
        </w:rPr>
      </w:r>
      <w:r>
        <w:rPr>
          <w:spacing w:val="-3"/>
        </w:rPr>
        <w:t>一是拥有数字银行解决方案提供能力</w:t>
      </w:r>
      <w:r>
        <w:rPr>
          <w:spacing w:val="-44"/>
        </w:rPr>
        <w:t> </w:t>
      </w:r>
      <w:r>
        <w:rPr>
          <w:spacing w:val="-44"/>
        </w:rPr>
      </w:r>
      <w:r>
        <w:rPr>
          <w:spacing w:val="-4"/>
        </w:rPr>
        <w:t>报告期内，公司引入了战略合作伙伴蚂蚁金服，双方将共享技术资源、客户资源、团队资源，共同打造金融科技服务</w:t>
      </w:r>
    </w:p>
    <w:p>
      <w:pPr>
        <w:pStyle w:val="BodyText"/>
        <w:spacing w:line="316" w:lineRule="auto" w:before="24"/>
        <w:ind w:right="1123"/>
        <w:jc w:val="both"/>
      </w:pPr>
      <w:r>
        <w:rPr>
          <w:spacing w:val="-4"/>
        </w:rPr>
        <w:t>新模式，共同建设金融科技新生态，共同赋能金融行业新变革。双方将在金融科技服务市场，特别在城市商业银行和农村商</w:t>
      </w:r>
      <w:r>
        <w:rPr>
          <w:spacing w:val="40"/>
        </w:rPr>
        <w:t> </w:t>
      </w:r>
      <w:r>
        <w:rPr>
          <w:spacing w:val="40"/>
        </w:rPr>
      </w:r>
      <w:r>
        <w:rPr>
          <w:spacing w:val="-3"/>
        </w:rPr>
        <w:t>业银行的金融科技服务市场展开全面深入的合作。</w:t>
      </w:r>
    </w:p>
    <w:p>
      <w:pPr>
        <w:pStyle w:val="BodyText"/>
        <w:spacing w:line="319" w:lineRule="auto" w:before="19"/>
        <w:ind w:right="0" w:firstLine="508"/>
        <w:jc w:val="left"/>
      </w:pPr>
      <w:r>
        <w:rPr>
          <w:spacing w:val="-4"/>
        </w:rPr>
        <w:t>基于公司在金融科技应用领域的丰富经验（公司可灵活配置的强大中台、互联网金融、大零售、小微等场景与业务方</w:t>
      </w:r>
      <w:r>
        <w:rPr>
          <w:w w:val="101"/>
        </w:rPr>
        <w:t> </w:t>
      </w:r>
      <w:r>
        <w:rPr>
          <w:spacing w:val="-3"/>
        </w:rPr>
        <w:t>案能力）和覆盖全国的专业交付能力，结合蚂蚁金服多年积累的技术堆栈产品（包括分布式技术架构、移动运营技术架构、</w:t>
      </w:r>
      <w:r>
        <w:rPr>
          <w:spacing w:val="66"/>
        </w:rPr>
        <w:t> </w:t>
      </w:r>
      <w:r>
        <w:rPr>
          <w:spacing w:val="66"/>
        </w:rPr>
      </w:r>
      <w:r>
        <w:rPr>
          <w:spacing w:val="-8"/>
        </w:rPr>
        <w:t>大数据技术平台、人工智能技术平台、金融风控平台、生物识别技术等金融级技术产品）及其领先的互联网金融科技平台（包</w:t>
      </w:r>
      <w:r>
        <w:rPr>
          <w:spacing w:val="5"/>
        </w:rPr>
        <w:t> </w:t>
      </w:r>
      <w:r>
        <w:rPr>
          <w:spacing w:val="5"/>
        </w:rPr>
      </w:r>
      <w:r>
        <w:rPr>
          <w:spacing w:val="-4"/>
        </w:rPr>
        <w:t>括资产交换平台、多主体多账套核算体系、云客户平台、云产品平台、云资产平台、一键建账能力）与运营能力，双方联合</w:t>
      </w:r>
      <w:r>
        <w:rPr>
          <w:spacing w:val="40"/>
        </w:rPr>
        <w:t> </w:t>
      </w:r>
      <w:r>
        <w:rPr>
          <w:spacing w:val="40"/>
        </w:rPr>
      </w:r>
      <w:r>
        <w:rPr>
          <w:spacing w:val="-3"/>
        </w:rPr>
        <w:t>研发</w:t>
      </w:r>
      <w:r>
        <w:rPr>
          <w:rFonts w:ascii="Times New Roman" w:hAnsi="Times New Roman" w:cs="Times New Roman" w:eastAsia="Times New Roman" w:hint="default"/>
          <w:spacing w:val="-3"/>
        </w:rPr>
        <w:t>“</w:t>
      </w:r>
      <w:r>
        <w:rPr>
          <w:spacing w:val="-3"/>
        </w:rPr>
        <w:t>新一代分布式金融核心系统</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 </w:t>
      </w:r>
      <w:r>
        <w:rPr>
          <w:spacing w:val="-3"/>
        </w:rPr>
        <w:t>，共同打造融移动银行、智慧银行、数字银行为一体的金融科技运营平台。</w:t>
      </w:r>
    </w:p>
    <w:p>
      <w:pPr>
        <w:pStyle w:val="BodyText"/>
        <w:spacing w:line="300" w:lineRule="auto"/>
        <w:ind w:right="0" w:firstLine="508"/>
        <w:jc w:val="left"/>
      </w:pPr>
      <w:r>
        <w:rPr>
          <w:spacing w:val="-3"/>
        </w:rPr>
        <w:t>未来，公司通过联合研发的</w:t>
      </w:r>
      <w:r>
        <w:rPr>
          <w:rFonts w:ascii="Times New Roman" w:hAnsi="Times New Roman" w:cs="Times New Roman" w:eastAsia="Times New Roman" w:hint="default"/>
          <w:spacing w:val="-3"/>
        </w:rPr>
        <w:t>“</w:t>
      </w:r>
      <w:r>
        <w:rPr>
          <w:spacing w:val="-3"/>
        </w:rPr>
        <w:t>新一代分布式金融核心系统</w:t>
      </w:r>
      <w:r>
        <w:rPr>
          <w:rFonts w:ascii="Times New Roman" w:hAnsi="Times New Roman" w:cs="Times New Roman" w:eastAsia="Times New Roman" w:hint="default"/>
          <w:spacing w:val="-3"/>
        </w:rPr>
        <w:t>”</w:t>
      </w:r>
      <w:r>
        <w:rPr>
          <w:spacing w:val="-3"/>
        </w:rPr>
        <w:t>以及蚂蚁金服的</w:t>
      </w:r>
      <w:r>
        <w:rPr>
          <w:rFonts w:ascii="Times New Roman" w:hAnsi="Times New Roman" w:cs="Times New Roman" w:eastAsia="Times New Roman" w:hint="default"/>
          <w:spacing w:val="-3"/>
        </w:rPr>
        <w:t>“</w:t>
      </w:r>
      <w:r>
        <w:rPr>
          <w:spacing w:val="-3"/>
        </w:rPr>
        <w:t>底层基础技术平台</w:t>
      </w:r>
      <w:r>
        <w:rPr>
          <w:rFonts w:ascii="Times New Roman" w:hAnsi="Times New Roman" w:cs="Times New Roman" w:eastAsia="Times New Roman" w:hint="default"/>
          <w:spacing w:val="-3"/>
        </w:rPr>
        <w:t>”</w:t>
      </w:r>
      <w:r>
        <w:rPr>
          <w:spacing w:val="-3"/>
        </w:rPr>
        <w:t>，共同帮助传统银行打</w:t>
      </w:r>
      <w:r>
        <w:rPr>
          <w:w w:val="101"/>
        </w:rPr>
        <w:t> </w:t>
      </w:r>
      <w:r>
        <w:rPr>
          <w:spacing w:val="-3"/>
        </w:rPr>
        <w:t>造一个</w:t>
      </w:r>
      <w:r>
        <w:rPr>
          <w:rFonts w:ascii="Times New Roman" w:hAnsi="Times New Roman" w:cs="Times New Roman" w:eastAsia="Times New Roman" w:hint="default"/>
          <w:spacing w:val="-3"/>
        </w:rPr>
        <w:t>“</w:t>
      </w:r>
      <w:r>
        <w:rPr>
          <w:spacing w:val="-3"/>
        </w:rPr>
        <w:t>大中台、快前台</w:t>
      </w:r>
      <w:r>
        <w:rPr>
          <w:rFonts w:ascii="Times New Roman" w:hAnsi="Times New Roman" w:cs="Times New Roman" w:eastAsia="Times New Roman" w:hint="default"/>
          <w:spacing w:val="-3"/>
        </w:rPr>
        <w:t>”</w:t>
      </w:r>
      <w:r>
        <w:rPr>
          <w:spacing w:val="-3"/>
        </w:rPr>
        <w:t>的整体架构和运营模式，走向未来的数字银行时代。</w:t>
      </w:r>
    </w:p>
    <w:p>
      <w:pPr>
        <w:pStyle w:val="BodyText"/>
        <w:spacing w:line="319" w:lineRule="auto" w:before="13"/>
        <w:ind w:left="662" w:right="0"/>
        <w:jc w:val="left"/>
      </w:pPr>
      <w:r>
        <w:rPr>
          <w:spacing w:val="-3"/>
        </w:rPr>
        <w:t>二是初步实现软件全生命周期管理的能力闭环</w:t>
      </w:r>
      <w:r>
        <w:rPr>
          <w:spacing w:val="-32"/>
        </w:rPr>
        <w:t> </w:t>
      </w:r>
      <w:r>
        <w:rPr>
          <w:spacing w:val="-32"/>
        </w:rPr>
      </w:r>
      <w:r>
        <w:rPr>
          <w:spacing w:val="-4"/>
        </w:rPr>
        <w:t>报告期内，公司整合金融科技业务相关的需求管理、架构管理、开发管理、测试管理、投产发布、项目管理和运维管</w:t>
      </w:r>
    </w:p>
    <w:p>
      <w:pPr>
        <w:pStyle w:val="BodyText"/>
        <w:spacing w:line="316" w:lineRule="auto" w:before="17"/>
        <w:ind w:right="1123"/>
        <w:jc w:val="both"/>
      </w:pPr>
      <w:r>
        <w:rPr>
          <w:spacing w:val="-4"/>
        </w:rPr>
        <w:t>理等技术团队、产品和经验积累，以测试业务为核心全面向需求管理和自动化运维服务延伸，构建了面向金融行业的软件全</w:t>
      </w:r>
      <w:r>
        <w:rPr>
          <w:spacing w:val="43"/>
        </w:rPr>
        <w:t> </w:t>
      </w:r>
      <w:r>
        <w:rPr>
          <w:spacing w:val="43"/>
        </w:rPr>
      </w:r>
      <w:r>
        <w:rPr>
          <w:spacing w:val="-4"/>
        </w:rPr>
        <w:t>生命周期管理能力平台，实现自动化、知识化与仿真化，已初步实现了全生命周期管理的能力闭环，进一步提升了公司自有</w:t>
      </w:r>
      <w:r>
        <w:rPr>
          <w:spacing w:val="41"/>
        </w:rPr>
        <w:t> </w:t>
      </w:r>
      <w:r>
        <w:rPr>
          <w:spacing w:val="41"/>
        </w:rPr>
      </w:r>
      <w:r>
        <w:rPr>
          <w:spacing w:val="-3"/>
        </w:rPr>
        <w:t>平台与工具的自动化、智能化水平，逐步构建起了面向客户的价值交付体系与运营机制。</w:t>
      </w:r>
    </w:p>
    <w:p>
      <w:pPr>
        <w:spacing w:line="240" w:lineRule="auto" w:before="4"/>
        <w:rPr>
          <w:rFonts w:ascii="宋体" w:hAnsi="宋体" w:cs="宋体" w:eastAsia="宋体" w:hint="default"/>
          <w:sz w:val="25"/>
          <w:szCs w:val="25"/>
        </w:rPr>
      </w:pPr>
    </w:p>
    <w:p>
      <w:pPr>
        <w:pStyle w:val="BodyText"/>
        <w:spacing w:line="240" w:lineRule="auto"/>
        <w:ind w:left="662" w:right="0"/>
        <w:jc w:val="left"/>
      </w:pPr>
      <w:r>
        <w:rPr>
          <w:spacing w:val="-3"/>
        </w:rPr>
        <w:t>报告期内，公司金融科技业务主要分为专业交付、解决方案、科技运营等三大部分：</w:t>
      </w:r>
    </w:p>
    <w:p>
      <w:pPr>
        <w:pStyle w:val="BodyText"/>
        <w:spacing w:line="300" w:lineRule="auto" w:before="76"/>
        <w:ind w:left="662" w:right="1026" w:hanging="144"/>
        <w:jc w:val="left"/>
      </w:pPr>
      <w:r>
        <w:rPr>
          <w:spacing w:val="-3"/>
        </w:rPr>
        <w:t>（</w:t>
      </w:r>
      <w:r>
        <w:rPr>
          <w:rFonts w:ascii="Times New Roman" w:hAnsi="Times New Roman" w:cs="Times New Roman" w:eastAsia="Times New Roman" w:hint="default"/>
          <w:spacing w:val="-3"/>
        </w:rPr>
        <w:t>1</w:t>
      </w:r>
      <w:r>
        <w:rPr>
          <w:spacing w:val="-3"/>
        </w:rPr>
        <w:t>）专业交付</w:t>
      </w:r>
      <w:r>
        <w:rPr>
          <w:spacing w:val="-69"/>
        </w:rPr>
        <w:t> </w:t>
      </w:r>
      <w:r>
        <w:rPr>
          <w:spacing w:val="-69"/>
        </w:rPr>
      </w:r>
      <w:r>
        <w:rPr>
          <w:spacing w:val="-4"/>
        </w:rPr>
        <w:t>报告期内，公司该业务系向银行、保险、其他持牌金融客户提供专业的软件交付服务，服务内容以第三方测试业务为</w:t>
      </w:r>
    </w:p>
    <w:p>
      <w:pPr>
        <w:pStyle w:val="BodyText"/>
        <w:spacing w:line="316" w:lineRule="auto" w:before="31"/>
        <w:ind w:left="662" w:right="0" w:hanging="509"/>
        <w:jc w:val="left"/>
      </w:pPr>
      <w:r>
        <w:rPr>
          <w:spacing w:val="-3"/>
        </w:rPr>
        <w:t>核心，并向需求管理、自动化运维全生命周期延伸。</w:t>
      </w:r>
      <w:r>
        <w:rPr>
          <w:spacing w:val="-21"/>
        </w:rPr>
        <w:t> </w:t>
      </w:r>
      <w:r>
        <w:rPr>
          <w:spacing w:val="-21"/>
        </w:rPr>
      </w:r>
      <w:r>
        <w:rPr>
          <w:spacing w:val="-4"/>
        </w:rPr>
        <w:t>报告期内，公司持续对自动化交付工具进行研发，不断完善自动化交付工具的功能和性能，初步实现了全生命周期管</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3"/>
        </w:rPr>
        <w:t>理的能力闭环，逐步构建起了面向客户的价值交付体系与运营机制，进一步提升该业务的交付效率和核心竞争力。</w:t>
      </w:r>
    </w:p>
    <w:p>
      <w:pPr>
        <w:pStyle w:val="BodyText"/>
        <w:spacing w:line="300" w:lineRule="auto" w:before="76"/>
        <w:ind w:left="662" w:right="1026" w:hanging="144"/>
        <w:jc w:val="left"/>
      </w:pPr>
      <w:r>
        <w:rPr>
          <w:spacing w:val="-3"/>
        </w:rPr>
        <w:t>（</w:t>
      </w:r>
      <w:r>
        <w:rPr>
          <w:rFonts w:ascii="Times New Roman" w:hAnsi="Times New Roman" w:cs="Times New Roman" w:eastAsia="Times New Roman" w:hint="default"/>
          <w:spacing w:val="-3"/>
        </w:rPr>
        <w:t>2</w:t>
      </w:r>
      <w:r>
        <w:rPr>
          <w:spacing w:val="-3"/>
        </w:rPr>
        <w:t>）解决方案</w:t>
      </w:r>
      <w:r>
        <w:rPr>
          <w:spacing w:val="-69"/>
        </w:rPr>
        <w:t> </w:t>
      </w:r>
      <w:r>
        <w:rPr>
          <w:spacing w:val="-69"/>
        </w:rPr>
      </w:r>
      <w:r>
        <w:rPr>
          <w:spacing w:val="-4"/>
        </w:rPr>
        <w:t>报告期内，公司该业务主要面向银行等金融机构提供核心业务系统、运营管理、产品生产、营销服务、渠道管理、风</w:t>
      </w:r>
    </w:p>
    <w:p>
      <w:pPr>
        <w:pStyle w:val="BodyText"/>
        <w:spacing w:line="316" w:lineRule="auto" w:before="32"/>
        <w:ind w:left="662" w:right="0" w:hanging="509"/>
        <w:jc w:val="left"/>
      </w:pPr>
      <w:r>
        <w:rPr>
          <w:spacing w:val="-3"/>
        </w:rPr>
        <w:t>险管理、数据服务等专业的信息技术解决方案服务。</w:t>
      </w:r>
      <w:r>
        <w:rPr>
          <w:spacing w:val="-21"/>
        </w:rPr>
        <w:t> </w:t>
      </w:r>
      <w:r>
        <w:rPr>
          <w:spacing w:val="-21"/>
        </w:rPr>
      </w:r>
      <w:r>
        <w:rPr>
          <w:spacing w:val="-4"/>
        </w:rPr>
        <w:t>报告期内，公司启动了与蚂蚁金服</w:t>
      </w:r>
      <w:r>
        <w:rPr>
          <w:rFonts w:ascii="Times New Roman" w:hAnsi="Times New Roman" w:cs="Times New Roman" w:eastAsia="Times New Roman" w:hint="default"/>
          <w:spacing w:val="-4"/>
        </w:rPr>
        <w:t>“</w:t>
      </w:r>
      <w:r>
        <w:rPr>
          <w:spacing w:val="-4"/>
        </w:rPr>
        <w:t>新一代分布式金融核心系统</w:t>
      </w:r>
      <w:r>
        <w:rPr>
          <w:rFonts w:ascii="Times New Roman" w:hAnsi="Times New Roman" w:cs="Times New Roman" w:eastAsia="Times New Roman" w:hint="default"/>
          <w:spacing w:val="-4"/>
        </w:rPr>
        <w:t>”</w:t>
      </w:r>
      <w:r>
        <w:rPr>
          <w:spacing w:val="-4"/>
        </w:rPr>
        <w:t>的联合研发，将推出融移动银行、智慧银行、数字银</w:t>
      </w:r>
    </w:p>
    <w:p>
      <w:pPr>
        <w:pStyle w:val="BodyText"/>
        <w:spacing w:line="235" w:lineRule="exact"/>
        <w:ind w:right="0"/>
        <w:jc w:val="left"/>
      </w:pPr>
      <w:r>
        <w:rPr>
          <w:spacing w:val="-3"/>
        </w:rPr>
        <w:t>行为一体的金融科技解决方案产品及运营平台，通过研发不断提高公司在该业务领域的产品覆盖率和核心竞争力。</w:t>
      </w:r>
    </w:p>
    <w:p>
      <w:pPr>
        <w:pStyle w:val="BodyText"/>
        <w:spacing w:line="300" w:lineRule="auto" w:before="76"/>
        <w:ind w:left="662" w:right="1026" w:hanging="144"/>
        <w:jc w:val="left"/>
      </w:pPr>
      <w:r>
        <w:rPr>
          <w:spacing w:val="-3"/>
        </w:rPr>
        <w:t>（</w:t>
      </w:r>
      <w:r>
        <w:rPr>
          <w:rFonts w:ascii="Times New Roman" w:hAnsi="Times New Roman" w:cs="Times New Roman" w:eastAsia="Times New Roman" w:hint="default"/>
          <w:spacing w:val="-3"/>
        </w:rPr>
        <w:t>3</w:t>
      </w:r>
      <w:r>
        <w:rPr>
          <w:spacing w:val="-3"/>
        </w:rPr>
        <w:t>）科技运营</w:t>
      </w:r>
      <w:r>
        <w:rPr>
          <w:spacing w:val="-69"/>
        </w:rPr>
        <w:t> </w:t>
      </w:r>
      <w:r>
        <w:rPr>
          <w:spacing w:val="-69"/>
        </w:rPr>
      </w:r>
      <w:r>
        <w:rPr>
          <w:spacing w:val="-3"/>
        </w:rPr>
        <w:t>报告期内，公司推出了面向中小商业银行的</w:t>
      </w:r>
      <w:r>
        <w:rPr>
          <w:rFonts w:ascii="Times New Roman" w:hAnsi="Times New Roman" w:cs="Times New Roman" w:eastAsia="Times New Roman" w:hint="default"/>
          <w:spacing w:val="-3"/>
        </w:rPr>
        <w:t>“</w:t>
      </w:r>
      <w:r>
        <w:rPr>
          <w:spacing w:val="-3"/>
        </w:rPr>
        <w:t>互联网金融业务</w:t>
      </w:r>
      <w:r>
        <w:rPr>
          <w:rFonts w:ascii="Times New Roman" w:hAnsi="Times New Roman" w:cs="Times New Roman" w:eastAsia="Times New Roman" w:hint="default"/>
          <w:spacing w:val="-3"/>
        </w:rPr>
        <w:t>”</w:t>
      </w:r>
      <w:r>
        <w:rPr>
          <w:spacing w:val="-3"/>
        </w:rPr>
        <w:t>运营平台，该平台帮助中小金融机构面向小微企业及个</w:t>
      </w:r>
    </w:p>
    <w:p>
      <w:pPr>
        <w:pStyle w:val="BodyText"/>
        <w:spacing w:line="316" w:lineRule="auto" w:before="13"/>
        <w:ind w:left="662" w:right="0" w:hanging="509"/>
        <w:jc w:val="left"/>
      </w:pPr>
      <w:r>
        <w:rPr>
          <w:spacing w:val="-3"/>
        </w:rPr>
        <w:t>人开展基于互联网的普惠金融服务业务，实现了公司金融科技运营服务业务的突破。</w:t>
      </w:r>
      <w:r>
        <w:rPr>
          <w:spacing w:val="19"/>
        </w:rPr>
        <w:t> </w:t>
      </w:r>
      <w:r>
        <w:rPr>
          <w:spacing w:val="19"/>
        </w:rPr>
      </w:r>
      <w:r>
        <w:rPr>
          <w:spacing w:val="-4"/>
        </w:rPr>
        <w:t>报告期内，公司启动了</w:t>
      </w:r>
      <w:r>
        <w:rPr>
          <w:rFonts w:ascii="Times New Roman" w:hAnsi="Times New Roman" w:cs="Times New Roman" w:eastAsia="Times New Roman" w:hint="default"/>
          <w:spacing w:val="-4"/>
        </w:rPr>
        <w:t>“</w:t>
      </w:r>
      <w:r>
        <w:rPr>
          <w:spacing w:val="-4"/>
        </w:rPr>
        <w:t>新一代分布式金融核心系统</w:t>
      </w:r>
      <w:r>
        <w:rPr>
          <w:rFonts w:ascii="Times New Roman" w:hAnsi="Times New Roman" w:cs="Times New Roman" w:eastAsia="Times New Roman" w:hint="default"/>
          <w:spacing w:val="-4"/>
        </w:rPr>
        <w:t>”</w:t>
      </w:r>
      <w:r>
        <w:rPr>
          <w:spacing w:val="-4"/>
        </w:rPr>
        <w:t>的研发，将推出融移动银行、智慧银行、数字银行等为一体的金</w:t>
      </w:r>
    </w:p>
    <w:p>
      <w:pPr>
        <w:pStyle w:val="BodyText"/>
        <w:spacing w:line="235" w:lineRule="exact"/>
        <w:ind w:right="0"/>
        <w:jc w:val="left"/>
      </w:pPr>
      <w:r>
        <w:rPr>
          <w:spacing w:val="-3"/>
        </w:rPr>
        <w:t>融科技解决方案产品及运营平台，该运营平台是公司未来科技运营服务的重要支撑。</w:t>
      </w:r>
    </w:p>
    <w:p>
      <w:pPr>
        <w:pStyle w:val="BodyText"/>
        <w:spacing w:line="300" w:lineRule="auto" w:before="76"/>
        <w:ind w:left="662" w:right="0"/>
        <w:jc w:val="left"/>
      </w:pPr>
      <w:r>
        <w:rPr>
          <w:rFonts w:ascii="Times New Roman" w:hAnsi="Times New Roman" w:cs="Times New Roman" w:eastAsia="Times New Roman" w:hint="default"/>
          <w:spacing w:val="-3"/>
        </w:rPr>
        <w:t>2</w:t>
      </w:r>
      <w:r>
        <w:rPr>
          <w:spacing w:val="-3"/>
        </w:rPr>
        <w:t>、智能终端信息化业务</w:t>
      </w:r>
      <w:r>
        <w:rPr>
          <w:spacing w:val="-57"/>
        </w:rPr>
        <w:t> </w:t>
      </w:r>
      <w:r>
        <w:rPr>
          <w:spacing w:val="-57"/>
        </w:rPr>
      </w:r>
      <w:r>
        <w:rPr>
          <w:spacing w:val="-4"/>
        </w:rPr>
        <w:t>报告期内，公司智能终端信息化业务全面向智能物联网方向进行数字化战略升级，并逐步构建起了系统级芯片、边缘</w:t>
      </w:r>
    </w:p>
    <w:p>
      <w:pPr>
        <w:pStyle w:val="BodyText"/>
        <w:spacing w:line="309" w:lineRule="auto" w:before="32"/>
        <w:ind w:right="1064"/>
        <w:jc w:val="left"/>
      </w:pPr>
      <w:r>
        <w:rPr>
          <w:spacing w:val="-4"/>
        </w:rPr>
        <w:t>计算、云计算、大数据等全栈式智能物联网能力链；该业务已经初步具备了从芯片到应用的软硬件一体化的综合智能物联网</w:t>
      </w:r>
      <w:r>
        <w:rPr>
          <w:spacing w:val="38"/>
        </w:rPr>
        <w:t> </w:t>
      </w:r>
      <w:r>
        <w:rPr>
          <w:spacing w:val="38"/>
        </w:rPr>
      </w:r>
      <w:r>
        <w:rPr>
          <w:spacing w:val="-3"/>
        </w:rPr>
        <w:t>方案与综合服务能力，具有完整的预研</w:t>
      </w:r>
      <w:r>
        <w:rPr>
          <w:rFonts w:ascii="Times New Roman" w:hAnsi="Times New Roman" w:cs="Times New Roman" w:eastAsia="Times New Roman" w:hint="default"/>
          <w:spacing w:val="-3"/>
        </w:rPr>
        <w:t>-</w:t>
      </w:r>
      <w:r>
        <w:rPr>
          <w:spacing w:val="-3"/>
        </w:rPr>
        <w:t>设计</w:t>
      </w:r>
      <w:r>
        <w:rPr>
          <w:rFonts w:ascii="Times New Roman" w:hAnsi="Times New Roman" w:cs="Times New Roman" w:eastAsia="Times New Roman" w:hint="default"/>
          <w:spacing w:val="-3"/>
        </w:rPr>
        <w:t>-</w:t>
      </w:r>
      <w:r>
        <w:rPr>
          <w:spacing w:val="-3"/>
        </w:rPr>
        <w:t>开发</w:t>
      </w:r>
      <w:r>
        <w:rPr>
          <w:rFonts w:ascii="Times New Roman" w:hAnsi="Times New Roman" w:cs="Times New Roman" w:eastAsia="Times New Roman" w:hint="default"/>
          <w:spacing w:val="-3"/>
        </w:rPr>
        <w:t>-</w:t>
      </w:r>
      <w:r>
        <w:rPr>
          <w:spacing w:val="-3"/>
        </w:rPr>
        <w:t>测试的技术及实施体系，以</w:t>
      </w:r>
      <w:r>
        <w:rPr>
          <w:rFonts w:ascii="Times New Roman" w:hAnsi="Times New Roman" w:cs="Times New Roman" w:eastAsia="Times New Roman" w:hint="default"/>
          <w:spacing w:val="-3"/>
        </w:rPr>
        <w:t>“</w:t>
      </w:r>
      <w:r>
        <w:rPr>
          <w:spacing w:val="-3"/>
        </w:rPr>
        <w:t>一站式的交付模式</w:t>
      </w:r>
      <w:r>
        <w:rPr>
          <w:rFonts w:ascii="Times New Roman" w:hAnsi="Times New Roman" w:cs="Times New Roman" w:eastAsia="Times New Roman" w:hint="default"/>
          <w:spacing w:val="-3"/>
        </w:rPr>
        <w:t>”</w:t>
      </w:r>
      <w:r>
        <w:rPr>
          <w:spacing w:val="-3"/>
        </w:rPr>
        <w:t>帮助客户快速研发产品、</w:t>
      </w:r>
      <w:r>
        <w:rPr>
          <w:spacing w:val="73"/>
        </w:rPr>
        <w:t> </w:t>
      </w:r>
      <w:r>
        <w:rPr>
          <w:spacing w:val="73"/>
        </w:rPr>
      </w:r>
      <w:r>
        <w:rPr>
          <w:spacing w:val="-3"/>
        </w:rPr>
        <w:t>提高用户体验。</w:t>
      </w:r>
    </w:p>
    <w:p>
      <w:pPr>
        <w:pStyle w:val="BodyText"/>
        <w:spacing w:line="316" w:lineRule="auto" w:before="24"/>
        <w:ind w:right="1129" w:firstLine="508"/>
        <w:jc w:val="both"/>
      </w:pPr>
      <w:r>
        <w:rPr>
          <w:spacing w:val="-4"/>
        </w:rPr>
        <w:t>报告期内，公司智能终端信息化业务，在持续向智能手机、智能平板、智能芯片等客户提供芯片参考设计、整机系统</w:t>
      </w:r>
      <w:r>
        <w:rPr>
          <w:w w:val="101"/>
        </w:rPr>
        <w:t> </w:t>
      </w:r>
      <w:r>
        <w:rPr>
          <w:spacing w:val="-3"/>
        </w:rPr>
        <w:t>开发、智能设备调优等技术服务，通过数字化战略升级，实现了向智能物联网方案能力的延伸，具体如下：</w:t>
      </w:r>
    </w:p>
    <w:p>
      <w:pPr>
        <w:pStyle w:val="BodyText"/>
        <w:spacing w:line="300" w:lineRule="auto" w:before="19"/>
        <w:ind w:right="1128" w:firstLine="508"/>
        <w:jc w:val="both"/>
      </w:pPr>
      <w:r>
        <w:rPr>
          <w:spacing w:val="-3"/>
        </w:rPr>
        <w:t>报告期内，公司在芯片与边缘计算能力持续投入研发，推出新一代</w:t>
      </w:r>
      <w:r>
        <w:rPr>
          <w:rFonts w:ascii="Times New Roman" w:hAnsi="Times New Roman" w:cs="Times New Roman" w:eastAsia="Times New Roman" w:hint="default"/>
          <w:spacing w:val="-3"/>
        </w:rPr>
        <w:t>AI</w:t>
      </w:r>
      <w:r>
        <w:rPr>
          <w:spacing w:val="-3"/>
        </w:rPr>
        <w:t>计算平台</w:t>
      </w:r>
      <w:r>
        <w:rPr>
          <w:rFonts w:ascii="Times New Roman" w:hAnsi="Times New Roman" w:cs="Times New Roman" w:eastAsia="Times New Roman" w:hint="default"/>
          <w:spacing w:val="-3"/>
        </w:rPr>
        <w:t>HiHope</w:t>
      </w:r>
      <w:r>
        <w:rPr>
          <w:spacing w:val="-3"/>
        </w:rPr>
        <w:t>，包括</w:t>
      </w:r>
      <w:r>
        <w:rPr>
          <w:rFonts w:ascii="Times New Roman" w:hAnsi="Times New Roman" w:cs="Times New Roman" w:eastAsia="Times New Roman" w:hint="default"/>
          <w:spacing w:val="-3"/>
        </w:rPr>
        <w:t>HiHope</w:t>
      </w:r>
      <w:r>
        <w:rPr>
          <w:spacing w:val="-3"/>
        </w:rPr>
        <w:t>硬件开发平台、</w:t>
      </w:r>
      <w:r>
        <w:rPr>
          <w:w w:val="101"/>
        </w:rPr>
        <w:t> </w:t>
      </w:r>
      <w:r>
        <w:rPr>
          <w:rFonts w:ascii="Times New Roman" w:hAnsi="Times New Roman" w:cs="Times New Roman" w:eastAsia="Times New Roman" w:hint="default"/>
          <w:spacing w:val="-3"/>
        </w:rPr>
        <w:t>HiHopeAI-Engine</w:t>
      </w:r>
      <w:r>
        <w:rPr>
          <w:spacing w:val="-3"/>
        </w:rPr>
        <w:t>、</w:t>
      </w:r>
      <w:r>
        <w:rPr>
          <w:rFonts w:ascii="Times New Roman" w:hAnsi="Times New Roman" w:cs="Times New Roman" w:eastAsia="Times New Roman" w:hint="default"/>
          <w:spacing w:val="-3"/>
        </w:rPr>
        <w:t>HiHope</w:t>
      </w:r>
      <w:r>
        <w:rPr>
          <w:spacing w:val="-3"/>
        </w:rPr>
        <w:t>开源社区，旨在为业界提供创新、开放、简易的软硬一体化高性能平台，降低人工智能、图像处</w:t>
      </w:r>
      <w:r>
        <w:rPr>
          <w:spacing w:val="3"/>
        </w:rPr>
        <w:t> </w:t>
      </w:r>
      <w:r>
        <w:rPr>
          <w:spacing w:val="3"/>
        </w:rPr>
      </w:r>
      <w:r>
        <w:rPr>
          <w:spacing w:val="-3"/>
        </w:rPr>
        <w:t>理、边缘计算等技术门槛，加速产品化进程，为公司全面开展智能物联网业务提供了坚实的技术平台基础。</w:t>
      </w:r>
    </w:p>
    <w:p>
      <w:pPr>
        <w:pStyle w:val="BodyText"/>
        <w:spacing w:line="300" w:lineRule="auto" w:before="31"/>
        <w:ind w:right="0" w:firstLine="508"/>
        <w:jc w:val="left"/>
      </w:pPr>
      <w:r>
        <w:rPr>
          <w:spacing w:val="-4"/>
        </w:rPr>
        <w:t>报告期内，公司负责运营的</w:t>
      </w:r>
      <w:r>
        <w:rPr>
          <w:rFonts w:ascii="Times New Roman" w:hAnsi="Times New Roman" w:cs="Times New Roman" w:eastAsia="Times New Roman" w:hint="default"/>
          <w:spacing w:val="-4"/>
        </w:rPr>
        <w:t>HiHope</w:t>
      </w:r>
      <w:r>
        <w:rPr>
          <w:spacing w:val="-4"/>
        </w:rPr>
        <w:t>社区已经吸引了华为海思、日本瑞萨、索喜、英飞凌、德州仪器等主流芯片商和数</w:t>
      </w:r>
      <w:r>
        <w:rPr>
          <w:w w:val="101"/>
        </w:rPr>
        <w:t> </w:t>
      </w:r>
      <w:r>
        <w:rPr>
          <w:spacing w:val="-3"/>
        </w:rPr>
        <w:t>百名工程师入驻。至报告期末，</w:t>
      </w:r>
      <w:r>
        <w:rPr>
          <w:rFonts w:ascii="Times New Roman" w:hAnsi="Times New Roman" w:cs="Times New Roman" w:eastAsia="Times New Roman" w:hint="default"/>
          <w:spacing w:val="-3"/>
        </w:rPr>
        <w:t>HiHope</w:t>
      </w:r>
      <w:r>
        <w:rPr>
          <w:spacing w:val="-3"/>
        </w:rPr>
        <w:t>平台已发布了</w:t>
      </w:r>
      <w:r>
        <w:rPr>
          <w:rFonts w:ascii="Times New Roman" w:hAnsi="Times New Roman" w:cs="Times New Roman" w:eastAsia="Times New Roman" w:hint="default"/>
          <w:spacing w:val="-3"/>
        </w:rPr>
        <w:t>HiKey960</w:t>
      </w:r>
      <w:r>
        <w:rPr>
          <w:spacing w:val="-3"/>
        </w:rPr>
        <w:t>、</w:t>
      </w:r>
      <w:r>
        <w:rPr>
          <w:rFonts w:ascii="Times New Roman" w:hAnsi="Times New Roman" w:cs="Times New Roman" w:eastAsia="Times New Roman" w:hint="default"/>
          <w:spacing w:val="-3"/>
        </w:rPr>
        <w:t>HiKey970</w:t>
      </w:r>
      <w:r>
        <w:rPr>
          <w:spacing w:val="-3"/>
        </w:rPr>
        <w:t>等七款高性能</w:t>
      </w:r>
      <w:r>
        <w:rPr>
          <w:rFonts w:ascii="Times New Roman" w:hAnsi="Times New Roman" w:cs="Times New Roman" w:eastAsia="Times New Roman" w:hint="default"/>
          <w:spacing w:val="-3"/>
        </w:rPr>
        <w:t>AI</w:t>
      </w:r>
      <w:r>
        <w:rPr>
          <w:spacing w:val="-3"/>
        </w:rPr>
        <w:t>计算平台，能广泛应用于数字标</w:t>
      </w:r>
      <w:r>
        <w:rPr>
          <w:spacing w:val="10"/>
        </w:rPr>
        <w:t> </w:t>
      </w:r>
      <w:r>
        <w:rPr>
          <w:spacing w:val="10"/>
        </w:rPr>
      </w:r>
      <w:r>
        <w:rPr>
          <w:spacing w:val="-4"/>
        </w:rPr>
        <w:t>牌、移动</w:t>
      </w:r>
      <w:r>
        <w:rPr>
          <w:rFonts w:ascii="Times New Roman" w:hAnsi="Times New Roman" w:cs="Times New Roman" w:eastAsia="Times New Roman" w:hint="default"/>
          <w:spacing w:val="-4"/>
        </w:rPr>
        <w:t>POS</w:t>
      </w:r>
      <w:r>
        <w:rPr>
          <w:spacing w:val="-4"/>
        </w:rPr>
        <w:t>、机器人、智慧城市、自动驾驶、数字家庭中控、高性能边缘计算处理服务器、高精度安防、智慧能源等众多</w:t>
      </w:r>
      <w:r>
        <w:rPr>
          <w:spacing w:val="70"/>
        </w:rPr>
        <w:t> </w:t>
      </w:r>
      <w:r>
        <w:rPr>
          <w:spacing w:val="70"/>
        </w:rPr>
      </w:r>
      <w:r>
        <w:rPr>
          <w:spacing w:val="-3"/>
        </w:rPr>
        <w:t>行业物联网应用场景。当前</w:t>
      </w:r>
      <w:r>
        <w:rPr>
          <w:rFonts w:ascii="Times New Roman" w:hAnsi="Times New Roman" w:cs="Times New Roman" w:eastAsia="Times New Roman" w:hint="default"/>
          <w:spacing w:val="-3"/>
        </w:rPr>
        <w:t>HiHope</w:t>
      </w:r>
      <w:r>
        <w:rPr>
          <w:spacing w:val="-3"/>
        </w:rPr>
        <w:t>平台逐步构建起了一个涵盖芯片商、开发者、板卡、产品原型、下游客户与场景、软硬</w:t>
      </w:r>
      <w:r>
        <w:rPr>
          <w:spacing w:val="77"/>
        </w:rPr>
        <w:t> </w:t>
      </w:r>
      <w:r>
        <w:rPr>
          <w:spacing w:val="77"/>
        </w:rPr>
      </w:r>
      <w:r>
        <w:rPr>
          <w:spacing w:val="-3"/>
        </w:rPr>
        <w:t>件服务支持的</w:t>
      </w:r>
      <w:r>
        <w:rPr>
          <w:rFonts w:ascii="Times New Roman" w:hAnsi="Times New Roman" w:cs="Times New Roman" w:eastAsia="Times New Roman" w:hint="default"/>
          <w:spacing w:val="-3"/>
        </w:rPr>
        <w:t>HiHopeAI</w:t>
      </w:r>
      <w:r>
        <w:rPr>
          <w:spacing w:val="-3"/>
        </w:rPr>
        <w:t>生态圈，通过</w:t>
      </w:r>
      <w:r>
        <w:rPr>
          <w:rFonts w:ascii="Times New Roman" w:hAnsi="Times New Roman" w:cs="Times New Roman" w:eastAsia="Times New Roman" w:hint="default"/>
          <w:spacing w:val="-3"/>
        </w:rPr>
        <w:t>HiHope</w:t>
      </w:r>
      <w:r>
        <w:rPr>
          <w:spacing w:val="-3"/>
        </w:rPr>
        <w:t>社区运营扩大了公司在行业的影响力，也为公司开发行业物联网解决方案提供</w:t>
      </w:r>
      <w:r>
        <w:rPr>
          <w:spacing w:val="83"/>
        </w:rPr>
        <w:t> </w:t>
      </w:r>
      <w:r>
        <w:rPr>
          <w:spacing w:val="83"/>
        </w:rPr>
      </w:r>
      <w:r>
        <w:rPr>
          <w:spacing w:val="-3"/>
        </w:rPr>
        <w:t>产品原型、市场机会论证等关键支持。</w:t>
      </w:r>
    </w:p>
    <w:p>
      <w:pPr>
        <w:pStyle w:val="BodyText"/>
        <w:spacing w:line="309" w:lineRule="auto" w:before="31"/>
        <w:ind w:right="1124" w:firstLine="508"/>
        <w:jc w:val="both"/>
      </w:pPr>
      <w:r>
        <w:rPr>
          <w:spacing w:val="-6"/>
        </w:rPr>
        <w:t>报告期内，公司基本完成了以智能驾驶舱为核心的智能驾驶解决方案相关的技术与团队储备。其中，以</w:t>
      </w:r>
      <w:r>
        <w:rPr>
          <w:rFonts w:ascii="Times New Roman" w:hAnsi="Times New Roman" w:cs="Times New Roman" w:eastAsia="Times New Roman" w:hint="default"/>
          <w:spacing w:val="-6"/>
        </w:rPr>
        <w:t>Intel</w:t>
      </w:r>
      <w:r>
        <w:rPr>
          <w:rFonts w:ascii="Times New Roman" w:hAnsi="Times New Roman" w:cs="Times New Roman" w:eastAsia="Times New Roman" w:hint="default"/>
          <w:spacing w:val="4"/>
        </w:rPr>
        <w:t> </w:t>
      </w:r>
      <w:r>
        <w:rPr>
          <w:rFonts w:ascii="Times New Roman" w:hAnsi="Times New Roman" w:cs="Times New Roman" w:eastAsia="Times New Roman" w:hint="default"/>
        </w:rPr>
        <w:t>Apollolake</w:t>
      </w:r>
      <w:r>
        <w:rPr>
          <w:rFonts w:ascii="Times New Roman" w:hAnsi="Times New Roman" w:cs="Times New Roman" w:eastAsia="Times New Roman" w:hint="default"/>
          <w:w w:val="101"/>
        </w:rPr>
        <w:t> </w:t>
      </w:r>
      <w:r>
        <w:rPr>
          <w:spacing w:val="-4"/>
        </w:rPr>
        <w:t>为平台并采用自有虚拟化技术方案的智能驾驶舱方案已经成熟，该方案同时支持车载娱乐信息系统和智能仪表系统，并实现</w:t>
      </w:r>
      <w:r>
        <w:rPr>
          <w:spacing w:val="38"/>
        </w:rPr>
        <w:t> </w:t>
      </w:r>
      <w:r>
        <w:rPr>
          <w:spacing w:val="38"/>
        </w:rPr>
      </w:r>
      <w:r>
        <w:rPr>
          <w:spacing w:val="-3"/>
        </w:rPr>
        <w:t>了两大系统之间的信息共享与交互。</w:t>
      </w:r>
    </w:p>
    <w:p>
      <w:pPr>
        <w:pStyle w:val="BodyText"/>
        <w:spacing w:line="309" w:lineRule="auto" w:before="24"/>
        <w:ind w:right="1124" w:firstLine="508"/>
        <w:jc w:val="both"/>
      </w:pPr>
      <w:r>
        <w:rPr>
          <w:spacing w:val="-4"/>
        </w:rPr>
        <w:t>报告期内，公司成功开发了餐饮连锁智能物联网解决方案，主要包括库存盘点与效期智能管理、后厨智能物联等两大</w:t>
      </w:r>
      <w:r>
        <w:rPr>
          <w:w w:val="101"/>
        </w:rPr>
        <w:t> </w:t>
      </w:r>
      <w:r>
        <w:rPr>
          <w:spacing w:val="-3"/>
        </w:rPr>
        <w:t>应用场景解决方案。公司将综合应用</w:t>
      </w:r>
      <w:r>
        <w:rPr>
          <w:rFonts w:ascii="Times New Roman" w:hAnsi="Times New Roman" w:cs="Times New Roman" w:eastAsia="Times New Roman" w:hint="default"/>
          <w:spacing w:val="-3"/>
        </w:rPr>
        <w:t>RFID</w:t>
      </w:r>
      <w:r>
        <w:rPr>
          <w:spacing w:val="-3"/>
        </w:rPr>
        <w:t>、图像</w:t>
      </w:r>
      <w:r>
        <w:rPr>
          <w:rFonts w:ascii="Times New Roman" w:hAnsi="Times New Roman" w:cs="Times New Roman" w:eastAsia="Times New Roman" w:hint="default"/>
          <w:spacing w:val="-3"/>
        </w:rPr>
        <w:t>/</w:t>
      </w:r>
      <w:r>
        <w:rPr>
          <w:spacing w:val="-3"/>
        </w:rPr>
        <w:t>人脸识别、语音输入、边缘计算与深度学习等智能物联网技术，帮助连锁</w:t>
      </w:r>
      <w:r>
        <w:rPr>
          <w:spacing w:val="69"/>
        </w:rPr>
        <w:t> </w:t>
      </w:r>
      <w:r>
        <w:rPr>
          <w:spacing w:val="69"/>
        </w:rPr>
      </w:r>
      <w:r>
        <w:rPr>
          <w:spacing w:val="-3"/>
        </w:rPr>
        <w:t>门店实现对全库房的实时盘点、真实效期管理、原料全生命周期管理、后厨环境和设备动态感知等智能化、数字化运营。</w:t>
      </w:r>
    </w:p>
    <w:p>
      <w:pPr>
        <w:pStyle w:val="BodyText"/>
        <w:spacing w:line="300" w:lineRule="auto" w:before="24"/>
        <w:ind w:left="662" w:right="1126"/>
        <w:jc w:val="left"/>
      </w:pPr>
      <w:r>
        <w:rPr>
          <w:rFonts w:ascii="Times New Roman" w:hAnsi="Times New Roman" w:cs="Times New Roman" w:eastAsia="Times New Roman" w:hint="default"/>
          <w:spacing w:val="-3"/>
        </w:rPr>
        <w:t>3</w:t>
      </w:r>
      <w:r>
        <w:rPr>
          <w:spacing w:val="-3"/>
        </w:rPr>
        <w:t>、智慧能源信息化业务</w:t>
      </w:r>
      <w:r>
        <w:rPr>
          <w:spacing w:val="-57"/>
        </w:rPr>
        <w:t> </w:t>
      </w:r>
      <w:r>
        <w:rPr>
          <w:spacing w:val="-57"/>
        </w:rPr>
      </w:r>
      <w:r>
        <w:rPr>
          <w:spacing w:val="-4"/>
        </w:rPr>
        <w:t>报告期内，公司智慧能源信息化业务在实现专业交付的基础上，以数字化战略为目标，通过引入</w:t>
      </w:r>
      <w:r>
        <w:rPr>
          <w:rFonts w:ascii="Times New Roman" w:hAnsi="Times New Roman" w:cs="Times New Roman" w:eastAsia="Times New Roman" w:hint="default"/>
          <w:spacing w:val="-4"/>
        </w:rPr>
        <w:t>EC-IoT</w:t>
      </w:r>
      <w:r>
        <w:rPr>
          <w:spacing w:val="-4"/>
        </w:rPr>
        <w:t>开放式物联网</w:t>
      </w:r>
    </w:p>
    <w:p>
      <w:pPr>
        <w:pStyle w:val="BodyText"/>
        <w:spacing w:line="316" w:lineRule="auto" w:before="13"/>
        <w:ind w:right="0"/>
        <w:jc w:val="left"/>
      </w:pPr>
      <w:r>
        <w:rPr>
          <w:spacing w:val="-4"/>
        </w:rPr>
        <w:t>平台架构，结合公司在智能终端、智能硬件等行业经验，通过采用分布式架构、大数据、人工智能、边缘计算、物联网、微</w:t>
      </w:r>
      <w:r>
        <w:rPr>
          <w:spacing w:val="40"/>
        </w:rPr>
        <w:t> </w:t>
      </w:r>
      <w:r>
        <w:rPr>
          <w:spacing w:val="40"/>
        </w:rPr>
      </w:r>
      <w:r>
        <w:rPr>
          <w:spacing w:val="-3"/>
        </w:rPr>
        <w:t>服务架构等新技术进行深度融合研发，成功开发了</w:t>
      </w:r>
      <w:r>
        <w:rPr>
          <w:rFonts w:ascii="Times New Roman" w:hAnsi="Times New Roman" w:cs="Times New Roman" w:eastAsia="Times New Roman" w:hint="default"/>
          <w:spacing w:val="-3"/>
        </w:rPr>
        <w:t>“</w:t>
      </w:r>
      <w:r>
        <w:rPr>
          <w:spacing w:val="-3"/>
        </w:rPr>
        <w:t>智能配电物联网</w:t>
      </w:r>
      <w:r>
        <w:rPr>
          <w:rFonts w:ascii="Times New Roman" w:hAnsi="Times New Roman" w:cs="Times New Roman" w:eastAsia="Times New Roman" w:hint="default"/>
          <w:spacing w:val="-3"/>
        </w:rPr>
        <w:t>”</w:t>
      </w:r>
      <w:r>
        <w:rPr>
          <w:spacing w:val="-3"/>
        </w:rPr>
        <w:t>平台，提升了公司在智慧能源行业的核心竞争力。</w:t>
      </w:r>
    </w:p>
    <w:p>
      <w:pPr>
        <w:pStyle w:val="BodyText"/>
        <w:spacing w:line="312" w:lineRule="auto"/>
        <w:ind w:right="0" w:firstLine="508"/>
        <w:jc w:val="left"/>
      </w:pPr>
      <w:r>
        <w:rPr>
          <w:spacing w:val="-3"/>
        </w:rPr>
        <w:t>报告期内，公司智慧能源信息化业务以</w:t>
      </w:r>
      <w:r>
        <w:rPr>
          <w:rFonts w:ascii="Times New Roman" w:hAnsi="Times New Roman" w:cs="Times New Roman" w:eastAsia="Times New Roman" w:hint="default"/>
          <w:spacing w:val="-3"/>
        </w:rPr>
        <w:t>“</w:t>
      </w:r>
      <w:r>
        <w:rPr>
          <w:spacing w:val="-3"/>
        </w:rPr>
        <w:t>物联传感</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数据分析</w:t>
      </w:r>
      <w:r>
        <w:rPr>
          <w:rFonts w:ascii="Times New Roman" w:hAnsi="Times New Roman" w:cs="Times New Roman" w:eastAsia="Times New Roman" w:hint="default"/>
          <w:spacing w:val="-3"/>
        </w:rPr>
        <w:t>”</w:t>
      </w:r>
      <w:r>
        <w:rPr>
          <w:spacing w:val="-3"/>
        </w:rPr>
        <w:t>技术为基础，向客户提供设备数据采集与分析、表计</w:t>
      </w:r>
      <w:r>
        <w:rPr>
          <w:w w:val="101"/>
        </w:rPr>
        <w:t> </w:t>
      </w:r>
      <w:r>
        <w:rPr>
          <w:spacing w:val="-4"/>
        </w:rPr>
        <w:t>数据采集与分析、电网优化、生产移动作业管理、营销移动作业管理、综合能源服务、能源物联网等专业解决方案。主要细</w:t>
      </w:r>
      <w:r>
        <w:rPr>
          <w:spacing w:val="40"/>
        </w:rPr>
        <w:t> </w:t>
      </w:r>
      <w:r>
        <w:rPr>
          <w:spacing w:val="40"/>
        </w:rPr>
      </w:r>
      <w:r>
        <w:rPr>
          <w:spacing w:val="-3"/>
        </w:rPr>
        <w:t>分市场客户为发电企业、电网企业、新能源企业等，通过专业的系统状态分析和辅助决策模型，帮助客户实现用电的可靠、</w:t>
      </w:r>
      <w:r>
        <w:rPr>
          <w:spacing w:val="66"/>
        </w:rPr>
        <w:t> </w:t>
      </w:r>
      <w:r>
        <w:rPr>
          <w:spacing w:val="66"/>
        </w:rPr>
      </w:r>
      <w:r>
        <w:rPr>
          <w:spacing w:val="-3"/>
        </w:rPr>
        <w:t>安全、经济、高效的目标。</w:t>
      </w:r>
    </w:p>
    <w:p>
      <w:pPr>
        <w:pStyle w:val="BodyText"/>
        <w:spacing w:line="300" w:lineRule="auto" w:before="22"/>
        <w:ind w:left="662" w:right="0"/>
        <w:jc w:val="left"/>
      </w:pPr>
      <w:r>
        <w:rPr>
          <w:rFonts w:ascii="Times New Roman" w:hAnsi="Times New Roman" w:cs="Times New Roman" w:eastAsia="Times New Roman" w:hint="default"/>
          <w:spacing w:val="-3"/>
        </w:rPr>
        <w:t>4</w:t>
      </w:r>
      <w:r>
        <w:rPr>
          <w:spacing w:val="-3"/>
        </w:rPr>
        <w:t>、其它主营业务</w:t>
      </w:r>
      <w:r>
        <w:rPr>
          <w:spacing w:val="-68"/>
        </w:rPr>
        <w:t> </w:t>
      </w:r>
      <w:r>
        <w:rPr>
          <w:spacing w:val="-68"/>
        </w:rPr>
      </w:r>
      <w:r>
        <w:rPr>
          <w:spacing w:val="-4"/>
        </w:rPr>
        <w:t>报告期内，公司除上述金融科技业务、智能终端信息化业务、智慧能源信息化业务等主要业务领域之外，其它主营业</w:t>
      </w:r>
    </w:p>
    <w:p>
      <w:pPr>
        <w:pStyle w:val="BodyText"/>
        <w:spacing w:line="240" w:lineRule="auto" w:before="31"/>
        <w:ind w:right="0"/>
        <w:jc w:val="left"/>
      </w:pPr>
      <w:r>
        <w:rPr>
          <w:spacing w:val="-3"/>
        </w:rPr>
        <w:t>务主要为智能供应链信息化业务。</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316" w:lineRule="auto" w:before="46"/>
        <w:ind w:left="662" w:right="0" w:hanging="144"/>
        <w:jc w:val="left"/>
      </w:pPr>
      <w:r>
        <w:rPr>
          <w:spacing w:val="-3"/>
        </w:rPr>
        <w:t>（二）报告期内公司所属行业的发展阶段以及公司所处的行业地位等 根据中国证监会《上市公司行业分类指引》（</w:t>
      </w:r>
      <w:r>
        <w:rPr>
          <w:rFonts w:ascii="Times New Roman" w:hAnsi="Times New Roman" w:cs="Times New Roman" w:eastAsia="Times New Roman" w:hint="default"/>
          <w:spacing w:val="-3"/>
        </w:rPr>
        <w:t>2012</w:t>
      </w:r>
      <w:r>
        <w:rPr>
          <w:spacing w:val="-3"/>
        </w:rPr>
        <w:t>年修订），公司所处行业的编码为</w:t>
      </w:r>
      <w:r>
        <w:rPr>
          <w:rFonts w:ascii="Times New Roman" w:hAnsi="Times New Roman" w:cs="Times New Roman" w:eastAsia="Times New Roman" w:hint="default"/>
          <w:spacing w:val="-3"/>
        </w:rPr>
        <w:t>I65</w:t>
      </w:r>
      <w:r>
        <w:rPr>
          <w:spacing w:val="-3"/>
        </w:rPr>
        <w:t>，为</w:t>
      </w:r>
      <w:r>
        <w:rPr>
          <w:rFonts w:ascii="Times New Roman" w:hAnsi="Times New Roman" w:cs="Times New Roman" w:eastAsia="Times New Roman" w:hint="default"/>
          <w:spacing w:val="-3"/>
        </w:rPr>
        <w:t>“</w:t>
      </w:r>
      <w:r>
        <w:rPr>
          <w:spacing w:val="-3"/>
        </w:rPr>
        <w:t>信息传输、软件和信息</w:t>
      </w:r>
    </w:p>
    <w:p>
      <w:pPr>
        <w:pStyle w:val="BodyText"/>
        <w:spacing w:line="300" w:lineRule="auto"/>
        <w:ind w:left="662" w:right="0" w:hanging="509"/>
        <w:jc w:val="left"/>
      </w:pPr>
      <w:r>
        <w:rPr>
          <w:spacing w:val="-3"/>
        </w:rPr>
        <w:t>技术服务业</w:t>
      </w:r>
      <w:r>
        <w:rPr>
          <w:rFonts w:ascii="Times New Roman" w:hAnsi="Times New Roman" w:cs="Times New Roman" w:eastAsia="Times New Roman" w:hint="default"/>
          <w:spacing w:val="-3"/>
        </w:rPr>
        <w:t>”</w:t>
      </w:r>
      <w:r>
        <w:rPr>
          <w:spacing w:val="-3"/>
        </w:rPr>
        <w:t>中的</w:t>
      </w:r>
      <w:r>
        <w:rPr>
          <w:rFonts w:ascii="Times New Roman" w:hAnsi="Times New Roman" w:cs="Times New Roman" w:eastAsia="Times New Roman" w:hint="default"/>
          <w:spacing w:val="-3"/>
        </w:rPr>
        <w:t>“</w:t>
      </w:r>
      <w:r>
        <w:rPr>
          <w:spacing w:val="-3"/>
        </w:rPr>
        <w:t>软件和信息技术服务业</w:t>
      </w:r>
      <w:r>
        <w:rPr>
          <w:rFonts w:ascii="Times New Roman" w:hAnsi="Times New Roman" w:cs="Times New Roman" w:eastAsia="Times New Roman" w:hint="default"/>
          <w:spacing w:val="-3"/>
        </w:rPr>
        <w:t>”</w:t>
      </w:r>
      <w:r>
        <w:rPr>
          <w:spacing w:val="-3"/>
        </w:rPr>
        <w:t>。</w:t>
      </w:r>
      <w:r>
        <w:rPr>
          <w:spacing w:val="-26"/>
        </w:rPr>
        <w:t> </w:t>
      </w:r>
      <w:r>
        <w:rPr>
          <w:spacing w:val="-3"/>
        </w:rPr>
        <w:t>据国家工业与信息化部发布数据，</w:t>
      </w:r>
      <w:r>
        <w:rPr>
          <w:rFonts w:ascii="Times New Roman" w:hAnsi="Times New Roman" w:cs="Times New Roman" w:eastAsia="Times New Roman" w:hint="default"/>
          <w:spacing w:val="-3"/>
        </w:rPr>
        <w:t>2018</w:t>
      </w:r>
      <w:r>
        <w:rPr>
          <w:spacing w:val="-3"/>
        </w:rPr>
        <w:t>年，全国软件和信息技术服务业规模以上企业</w:t>
      </w:r>
      <w:r>
        <w:rPr>
          <w:rFonts w:ascii="Times New Roman" w:hAnsi="Times New Roman" w:cs="Times New Roman" w:eastAsia="Times New Roman" w:hint="default"/>
          <w:spacing w:val="-3"/>
        </w:rPr>
        <w:t>3.78</w:t>
      </w:r>
      <w:r>
        <w:rPr>
          <w:spacing w:val="-3"/>
        </w:rPr>
        <w:t>万家，累计完成软件业务收</w:t>
      </w:r>
    </w:p>
    <w:p>
      <w:pPr>
        <w:pStyle w:val="BodyText"/>
        <w:spacing w:line="300" w:lineRule="auto" w:before="13"/>
        <w:ind w:right="0"/>
        <w:jc w:val="left"/>
      </w:pPr>
      <w:r>
        <w:rPr>
          <w:spacing w:val="-3"/>
        </w:rPr>
        <w:t>入</w:t>
      </w:r>
      <w:r>
        <w:rPr>
          <w:rFonts w:ascii="Times New Roman" w:hAnsi="Times New Roman" w:cs="Times New Roman" w:eastAsia="Times New Roman" w:hint="default"/>
          <w:spacing w:val="-3"/>
        </w:rPr>
        <w:t>63061</w:t>
      </w:r>
      <w:r>
        <w:rPr>
          <w:spacing w:val="-3"/>
        </w:rPr>
        <w:t>亿元，同比增长</w:t>
      </w:r>
      <w:r>
        <w:rPr>
          <w:rFonts w:ascii="Times New Roman" w:hAnsi="Times New Roman" w:cs="Times New Roman" w:eastAsia="Times New Roman" w:hint="default"/>
          <w:spacing w:val="-3"/>
        </w:rPr>
        <w:t>14.2%</w:t>
      </w:r>
      <w:r>
        <w:rPr>
          <w:spacing w:val="-3"/>
        </w:rPr>
        <w:t>。其中，</w:t>
      </w:r>
      <w:r>
        <w:rPr>
          <w:rFonts w:ascii="Times New Roman" w:hAnsi="Times New Roman" w:cs="Times New Roman" w:eastAsia="Times New Roman" w:hint="default"/>
          <w:spacing w:val="-3"/>
        </w:rPr>
        <w:t>2018</w:t>
      </w:r>
      <w:r>
        <w:rPr>
          <w:spacing w:val="-3"/>
        </w:rPr>
        <w:t>年，全行业实现信息技术服务收入</w:t>
      </w:r>
      <w:r>
        <w:rPr>
          <w:rFonts w:ascii="Times New Roman" w:hAnsi="Times New Roman" w:cs="Times New Roman" w:eastAsia="Times New Roman" w:hint="default"/>
          <w:spacing w:val="-3"/>
        </w:rPr>
        <w:t>34756</w:t>
      </w:r>
      <w:r>
        <w:rPr>
          <w:spacing w:val="-3"/>
        </w:rPr>
        <w:t>亿元，同比增长</w:t>
      </w:r>
      <w:r>
        <w:rPr>
          <w:rFonts w:ascii="Times New Roman" w:hAnsi="Times New Roman" w:cs="Times New Roman" w:eastAsia="Times New Roman" w:hint="default"/>
          <w:spacing w:val="-3"/>
        </w:rPr>
        <w:t>17.6%</w:t>
      </w:r>
      <w:r>
        <w:rPr>
          <w:spacing w:val="-3"/>
        </w:rPr>
        <w:t>，增速高出全行</w:t>
      </w:r>
      <w:r>
        <w:rPr>
          <w:spacing w:val="11"/>
        </w:rPr>
        <w:t> </w:t>
      </w:r>
      <w:r>
        <w:rPr>
          <w:spacing w:val="11"/>
        </w:rPr>
      </w:r>
      <w:r>
        <w:rPr>
          <w:spacing w:val="-3"/>
        </w:rPr>
        <w:t>业平均水平</w:t>
      </w:r>
      <w:r>
        <w:rPr>
          <w:rFonts w:ascii="Times New Roman" w:hAnsi="Times New Roman" w:cs="Times New Roman" w:eastAsia="Times New Roman" w:hint="default"/>
          <w:spacing w:val="-3"/>
        </w:rPr>
        <w:t>3.4</w:t>
      </w:r>
      <w:r>
        <w:rPr>
          <w:spacing w:val="-3"/>
        </w:rPr>
        <w:t>个百分点，占全行业收入比重为</w:t>
      </w:r>
      <w:r>
        <w:rPr>
          <w:rFonts w:ascii="Times New Roman" w:hAnsi="Times New Roman" w:cs="Times New Roman" w:eastAsia="Times New Roman" w:hint="default"/>
          <w:spacing w:val="-3"/>
        </w:rPr>
        <w:t>55.1%</w:t>
      </w:r>
      <w:r>
        <w:rPr>
          <w:spacing w:val="-3"/>
        </w:rPr>
        <w:t>；</w:t>
      </w:r>
      <w:r>
        <w:rPr>
          <w:rFonts w:ascii="Times New Roman" w:hAnsi="Times New Roman" w:cs="Times New Roman" w:eastAsia="Times New Roman" w:hint="default"/>
          <w:spacing w:val="-3"/>
        </w:rPr>
        <w:t>2018</w:t>
      </w:r>
      <w:r>
        <w:rPr>
          <w:spacing w:val="-3"/>
        </w:rPr>
        <w:t>年，全行业实现嵌入式系统软件收入</w:t>
      </w:r>
      <w:r>
        <w:rPr>
          <w:rFonts w:ascii="Times New Roman" w:hAnsi="Times New Roman" w:cs="Times New Roman" w:eastAsia="Times New Roman" w:hint="default"/>
          <w:spacing w:val="-3"/>
        </w:rPr>
        <w:t>8952</w:t>
      </w:r>
      <w:r>
        <w:rPr>
          <w:spacing w:val="-3"/>
        </w:rPr>
        <w:t>亿元，同比增长</w:t>
      </w:r>
      <w:r>
        <w:rPr>
          <w:rFonts w:ascii="Times New Roman" w:hAnsi="Times New Roman" w:cs="Times New Roman" w:eastAsia="Times New Roman" w:hint="default"/>
          <w:spacing w:val="-3"/>
        </w:rPr>
        <w:t>6.8%</w:t>
      </w:r>
      <w:r>
        <w:rPr>
          <w:spacing w:val="-3"/>
        </w:rPr>
        <w:t>，</w:t>
      </w:r>
      <w:r>
        <w:rPr>
          <w:spacing w:val="11"/>
        </w:rPr>
        <w:t> </w:t>
      </w:r>
      <w:r>
        <w:rPr>
          <w:spacing w:val="-3"/>
        </w:rPr>
        <w:t>占全行业收入比重为</w:t>
      </w:r>
      <w:r>
        <w:rPr>
          <w:rFonts w:ascii="Times New Roman" w:hAnsi="Times New Roman" w:cs="Times New Roman" w:eastAsia="Times New Roman" w:hint="default"/>
          <w:spacing w:val="-3"/>
        </w:rPr>
        <w:t>14.2%</w:t>
      </w:r>
      <w:r>
        <w:rPr>
          <w:spacing w:val="-3"/>
        </w:rPr>
        <w:t>。嵌入式系统软件已成为产品和装备数字化改造、各领域智能化增值的关键性带动技术。</w:t>
      </w:r>
    </w:p>
    <w:p>
      <w:pPr>
        <w:pStyle w:val="BodyText"/>
        <w:spacing w:line="300" w:lineRule="auto" w:before="13"/>
        <w:ind w:left="662" w:right="0"/>
        <w:jc w:val="left"/>
      </w:pPr>
      <w:r>
        <w:rPr>
          <w:rFonts w:ascii="Times New Roman" w:hAnsi="Times New Roman" w:cs="Times New Roman" w:eastAsia="Times New Roman" w:hint="default"/>
          <w:spacing w:val="-3"/>
        </w:rPr>
        <w:t>1</w:t>
      </w:r>
      <w:r>
        <w:rPr>
          <w:spacing w:val="-3"/>
        </w:rPr>
        <w:t>、金融科技业务</w:t>
      </w:r>
      <w:r>
        <w:rPr>
          <w:spacing w:val="-68"/>
        </w:rPr>
        <w:t> </w:t>
      </w:r>
      <w:r>
        <w:rPr>
          <w:spacing w:val="-68"/>
        </w:rPr>
      </w:r>
      <w:r>
        <w:rPr>
          <w:spacing w:val="-4"/>
        </w:rPr>
        <w:t>中国金融业的经营环境正发生深刻变革，数字化转型是中国金融业的必由之路。随着金融用户自身精细化管理水平的</w:t>
      </w:r>
    </w:p>
    <w:p>
      <w:pPr>
        <w:pStyle w:val="BodyText"/>
        <w:spacing w:line="312" w:lineRule="auto" w:before="31"/>
        <w:ind w:right="1122"/>
        <w:jc w:val="both"/>
      </w:pPr>
      <w:r>
        <w:rPr>
          <w:spacing w:val="-4"/>
        </w:rPr>
        <w:t>提升，对信息技术解决方案供应商的需求也在不断变化，未来中国金融业信息技术解决方案市场在继续保持稳定增长态势的</w:t>
      </w:r>
      <w:r>
        <w:rPr>
          <w:spacing w:val="38"/>
        </w:rPr>
        <w:t> </w:t>
      </w:r>
      <w:r>
        <w:rPr>
          <w:spacing w:val="38"/>
        </w:rPr>
      </w:r>
      <w:r>
        <w:rPr>
          <w:spacing w:val="-4"/>
        </w:rPr>
        <w:t>同时也将步入整合期，专业化的服务依然是中国金融业信息技术解决方案市场的重要发展趋势，信息技术解决方案商应该不</w:t>
      </w:r>
      <w:r>
        <w:rPr>
          <w:spacing w:val="44"/>
        </w:rPr>
        <w:t> </w:t>
      </w:r>
      <w:r>
        <w:rPr>
          <w:spacing w:val="44"/>
        </w:rPr>
      </w:r>
      <w:r>
        <w:rPr>
          <w:spacing w:val="-3"/>
        </w:rPr>
        <w:t>断提升自己的专业积累与专业化服务能力。据</w:t>
      </w:r>
      <w:r>
        <w:rPr>
          <w:rFonts w:ascii="Times New Roman" w:hAnsi="Times New Roman" w:cs="Times New Roman" w:eastAsia="Times New Roman" w:hint="default"/>
          <w:spacing w:val="-3"/>
        </w:rPr>
        <w:t>IDC</w:t>
      </w:r>
      <w:r>
        <w:rPr>
          <w:spacing w:val="-3"/>
        </w:rPr>
        <w:t>中国银行业</w:t>
      </w:r>
      <w:r>
        <w:rPr>
          <w:rFonts w:ascii="Times New Roman" w:hAnsi="Times New Roman" w:cs="Times New Roman" w:eastAsia="Times New Roman" w:hint="default"/>
          <w:spacing w:val="-3"/>
        </w:rPr>
        <w:t>IT</w:t>
      </w:r>
      <w:r>
        <w:rPr>
          <w:spacing w:val="-3"/>
        </w:rPr>
        <w:t>解决方案市场报告显示，</w:t>
      </w:r>
      <w:r>
        <w:rPr>
          <w:rFonts w:ascii="Times New Roman" w:hAnsi="Times New Roman" w:cs="Times New Roman" w:eastAsia="Times New Roman" w:hint="default"/>
          <w:spacing w:val="-3"/>
        </w:rPr>
        <w:t>IDC</w:t>
      </w:r>
      <w:r>
        <w:rPr>
          <w:spacing w:val="-3"/>
        </w:rPr>
        <w:t>预测该市场</w:t>
      </w:r>
      <w:r>
        <w:rPr>
          <w:rFonts w:ascii="Times New Roman" w:hAnsi="Times New Roman" w:cs="Times New Roman" w:eastAsia="Times New Roman" w:hint="default"/>
          <w:spacing w:val="-3"/>
        </w:rPr>
        <w:t>2018</w:t>
      </w:r>
      <w:r>
        <w:rPr>
          <w:spacing w:val="-3"/>
        </w:rPr>
        <w:t>到</w:t>
      </w:r>
      <w:r>
        <w:rPr>
          <w:rFonts w:ascii="Times New Roman" w:hAnsi="Times New Roman" w:cs="Times New Roman" w:eastAsia="Times New Roman" w:hint="default"/>
          <w:spacing w:val="-3"/>
        </w:rPr>
        <w:t>2022</w:t>
      </w:r>
      <w:r>
        <w:rPr>
          <w:spacing w:val="-3"/>
        </w:rPr>
        <w:t>年的年</w:t>
      </w:r>
      <w:r>
        <w:rPr>
          <w:spacing w:val="-1"/>
        </w:rPr>
        <w:t> </w:t>
      </w:r>
      <w:r>
        <w:rPr>
          <w:spacing w:val="-1"/>
        </w:rPr>
      </w:r>
      <w:r>
        <w:rPr/>
        <w:t>均复合增长率为</w:t>
      </w:r>
      <w:r>
        <w:rPr>
          <w:rFonts w:ascii="Times New Roman" w:hAnsi="Times New Roman" w:cs="Times New Roman" w:eastAsia="Times New Roman" w:hint="default"/>
        </w:rPr>
        <w:t>20.8%</w:t>
      </w:r>
      <w:r>
        <w:rPr/>
        <w:t>，到</w:t>
      </w:r>
      <w:r>
        <w:rPr>
          <w:rFonts w:ascii="Times New Roman" w:hAnsi="Times New Roman" w:cs="Times New Roman" w:eastAsia="Times New Roman" w:hint="default"/>
        </w:rPr>
        <w:t>2022</w:t>
      </w:r>
      <w:r>
        <w:rPr/>
        <w:t>年中国银行业</w:t>
      </w:r>
      <w:r>
        <w:rPr>
          <w:rFonts w:ascii="Times New Roman" w:hAnsi="Times New Roman" w:cs="Times New Roman" w:eastAsia="Times New Roman" w:hint="default"/>
        </w:rPr>
        <w:t>IT</w:t>
      </w:r>
      <w:r>
        <w:rPr/>
        <w:t>解决方案市场规模将达到</w:t>
      </w:r>
      <w:r>
        <w:rPr>
          <w:rFonts w:ascii="Times New Roman" w:hAnsi="Times New Roman" w:cs="Times New Roman" w:eastAsia="Times New Roman" w:hint="default"/>
        </w:rPr>
        <w:t>882.95</w:t>
      </w:r>
      <w:r>
        <w:rPr/>
        <w:t>亿元。</w:t>
      </w:r>
    </w:p>
    <w:p>
      <w:pPr>
        <w:pStyle w:val="BodyText"/>
        <w:spacing w:line="316" w:lineRule="auto" w:before="3"/>
        <w:ind w:right="1124" w:firstLine="508"/>
        <w:jc w:val="both"/>
      </w:pPr>
      <w:r>
        <w:rPr>
          <w:spacing w:val="-4"/>
        </w:rPr>
        <w:t>随着新技术时代的不断发展与演进，金融行业尤其是银行业的发展越来越依赖于技术的支持。对商业银行而言，在诸</w:t>
      </w:r>
      <w:r>
        <w:rPr>
          <w:w w:val="101"/>
        </w:rPr>
        <w:t> </w:t>
      </w:r>
      <w:r>
        <w:rPr>
          <w:spacing w:val="-3"/>
        </w:rPr>
        <w:t>多由技术进步引发的管理变革中，如何有效促进业务与科技的深度融合，是金融创新能否成功的关键。</w:t>
      </w:r>
    </w:p>
    <w:p>
      <w:pPr>
        <w:pStyle w:val="BodyText"/>
        <w:spacing w:line="309" w:lineRule="auto" w:before="19"/>
        <w:ind w:right="1123" w:firstLine="508"/>
        <w:jc w:val="both"/>
      </w:pPr>
      <w:r>
        <w:rPr>
          <w:spacing w:val="-3"/>
        </w:rPr>
        <w:t>虽然现在金融机构正在迅速发展</w:t>
      </w:r>
      <w:r>
        <w:rPr>
          <w:rFonts w:ascii="Times New Roman" w:hAnsi="Times New Roman" w:cs="Times New Roman" w:eastAsia="Times New Roman" w:hint="default"/>
          <w:spacing w:val="-3"/>
        </w:rPr>
        <w:t>“</w:t>
      </w:r>
      <w:r>
        <w:rPr>
          <w:spacing w:val="-3"/>
        </w:rPr>
        <w:t>以客户为中心</w:t>
      </w:r>
      <w:r>
        <w:rPr>
          <w:rFonts w:ascii="Times New Roman" w:hAnsi="Times New Roman" w:cs="Times New Roman" w:eastAsia="Times New Roman" w:hint="default"/>
          <w:spacing w:val="-3"/>
        </w:rPr>
        <w:t>”</w:t>
      </w:r>
      <w:r>
        <w:rPr>
          <w:spacing w:val="-3"/>
        </w:rPr>
        <w:t>的服务转型，并且取得了很大的成绩，但是较之发达国家的客户服务</w:t>
      </w:r>
      <w:r>
        <w:rPr>
          <w:w w:val="101"/>
        </w:rPr>
        <w:t> </w:t>
      </w:r>
      <w:r>
        <w:rPr>
          <w:spacing w:val="-4"/>
        </w:rPr>
        <w:t>的运营与管理仍有不足。客户关系的管理和业务需求的提炼是银行信息化服务的重点，信息技术结合客户管理、信息服务管</w:t>
      </w:r>
      <w:r>
        <w:rPr>
          <w:spacing w:val="43"/>
        </w:rPr>
        <w:t> </w:t>
      </w:r>
      <w:r>
        <w:rPr>
          <w:spacing w:val="43"/>
        </w:rPr>
      </w:r>
      <w:r>
        <w:rPr>
          <w:spacing w:val="-3"/>
        </w:rPr>
        <w:t>理能力都将成为金融行业服务发展与进步的重要因素。</w:t>
      </w:r>
    </w:p>
    <w:p>
      <w:pPr>
        <w:pStyle w:val="BodyText"/>
        <w:spacing w:line="316" w:lineRule="auto" w:before="24"/>
        <w:ind w:right="1128" w:firstLine="508"/>
        <w:jc w:val="both"/>
      </w:pPr>
      <w:r>
        <w:rPr>
          <w:spacing w:val="-4"/>
        </w:rPr>
        <w:t>当前，全球的传统银行和科技公司均加快战略布局，以科技赋能金融服务创新，发展数字银行，这将有利于提高金融</w:t>
      </w:r>
      <w:r>
        <w:rPr>
          <w:w w:val="101"/>
        </w:rPr>
        <w:t> </w:t>
      </w:r>
      <w:r>
        <w:rPr>
          <w:spacing w:val="-3"/>
        </w:rPr>
        <w:t>服务可得性，增加用户对金融服务的获得感，以及提高金融服务满意度。</w:t>
      </w:r>
    </w:p>
    <w:p>
      <w:pPr>
        <w:pStyle w:val="BodyText"/>
        <w:spacing w:line="309" w:lineRule="auto" w:before="19"/>
        <w:ind w:right="1124" w:firstLine="508"/>
        <w:jc w:val="both"/>
      </w:pPr>
      <w:r>
        <w:rPr>
          <w:spacing w:val="-3"/>
        </w:rPr>
        <w:t>据</w:t>
      </w:r>
      <w:r>
        <w:rPr>
          <w:rFonts w:ascii="Times New Roman" w:hAnsi="Times New Roman" w:cs="Times New Roman" w:eastAsia="Times New Roman" w:hint="default"/>
          <w:spacing w:val="-3"/>
        </w:rPr>
        <w:t>IDC</w:t>
      </w:r>
      <w:r>
        <w:rPr>
          <w:spacing w:val="-3"/>
        </w:rPr>
        <w:t>中国银行业</w:t>
      </w:r>
      <w:r>
        <w:rPr>
          <w:rFonts w:ascii="Times New Roman" w:hAnsi="Times New Roman" w:cs="Times New Roman" w:eastAsia="Times New Roman" w:hint="default"/>
          <w:spacing w:val="-3"/>
        </w:rPr>
        <w:t>IT</w:t>
      </w:r>
      <w:r>
        <w:rPr>
          <w:spacing w:val="-3"/>
        </w:rPr>
        <w:t>解决方案市场报告显示，</w:t>
      </w:r>
      <w:r>
        <w:rPr>
          <w:rFonts w:ascii="Times New Roman" w:hAnsi="Times New Roman" w:cs="Times New Roman" w:eastAsia="Times New Roman" w:hint="default"/>
          <w:spacing w:val="-3"/>
        </w:rPr>
        <w:t>2017</w:t>
      </w:r>
      <w:r>
        <w:rPr>
          <w:spacing w:val="-3"/>
        </w:rPr>
        <w:t>年公司在中国银行</w:t>
      </w:r>
      <w:r>
        <w:rPr>
          <w:rFonts w:ascii="Times New Roman" w:hAnsi="Times New Roman" w:cs="Times New Roman" w:eastAsia="Times New Roman" w:hint="default"/>
          <w:spacing w:val="-3"/>
        </w:rPr>
        <w:t>IT</w:t>
      </w:r>
      <w:r>
        <w:rPr>
          <w:spacing w:val="-3"/>
        </w:rPr>
        <w:t>解决方案市场占有率排名第八，其中在业务类</w:t>
      </w:r>
      <w:r>
        <w:rPr>
          <w:w w:val="101"/>
        </w:rPr>
        <w:t> </w:t>
      </w:r>
      <w:r>
        <w:rPr>
          <w:spacing w:val="-4"/>
        </w:rPr>
        <w:t>解决方案市场排名第四，在核心业务解决方案子市场排名第二。同时公司的金融信息化第三方测试业务在国内拥有较高的市</w:t>
      </w:r>
      <w:r>
        <w:rPr>
          <w:spacing w:val="43"/>
        </w:rPr>
        <w:t> </w:t>
      </w:r>
      <w:r>
        <w:rPr>
          <w:spacing w:val="43"/>
        </w:rPr>
      </w:r>
      <w:r>
        <w:rPr>
          <w:spacing w:val="-3"/>
        </w:rPr>
        <w:t>场份额，当前公司已经在国内金融科技领域取得了一定的市场占有率和较高的品牌影响力。</w:t>
      </w:r>
    </w:p>
    <w:p>
      <w:pPr>
        <w:pStyle w:val="BodyText"/>
        <w:spacing w:line="300" w:lineRule="auto" w:before="24"/>
        <w:ind w:left="662" w:right="0"/>
        <w:jc w:val="left"/>
      </w:pPr>
      <w:r>
        <w:rPr>
          <w:rFonts w:ascii="Times New Roman" w:hAnsi="Times New Roman" w:cs="Times New Roman" w:eastAsia="Times New Roman" w:hint="default"/>
          <w:spacing w:val="-3"/>
        </w:rPr>
        <w:t>2</w:t>
      </w:r>
      <w:r>
        <w:rPr>
          <w:spacing w:val="-3"/>
        </w:rPr>
        <w:t>、智能终端信息化</w:t>
      </w:r>
      <w:r>
        <w:rPr>
          <w:spacing w:val="-63"/>
        </w:rPr>
        <w:t> </w:t>
      </w:r>
      <w:r>
        <w:rPr>
          <w:spacing w:val="-63"/>
        </w:rPr>
      </w:r>
      <w:r>
        <w:rPr>
          <w:spacing w:val="-4"/>
        </w:rPr>
        <w:t>随着移动互联技术的普及发展，智能终端设备越来越成为生活、娱乐、办公的工具，智能终端设备全球和中国出货量</w:t>
      </w:r>
    </w:p>
    <w:p>
      <w:pPr>
        <w:pStyle w:val="BodyText"/>
        <w:spacing w:line="316" w:lineRule="auto" w:before="31"/>
        <w:ind w:right="1124"/>
        <w:jc w:val="both"/>
      </w:pPr>
      <w:r>
        <w:rPr>
          <w:spacing w:val="-4"/>
        </w:rPr>
        <w:t>正呈现持续增长趋势，智能终端设备的持续增长带来了相关产业的持续发展，手机芯片、整机厂商的嵌入式软件服务近年来</w:t>
      </w:r>
      <w:r>
        <w:rPr>
          <w:spacing w:val="43"/>
        </w:rPr>
        <w:t> </w:t>
      </w:r>
      <w:r>
        <w:rPr>
          <w:spacing w:val="43"/>
        </w:rPr>
      </w:r>
      <w:r>
        <w:rPr>
          <w:spacing w:val="-3"/>
        </w:rPr>
        <w:t>一直呈现持续增长的趋势，特别是</w:t>
      </w:r>
      <w:r>
        <w:rPr>
          <w:rFonts w:ascii="Times New Roman" w:hAnsi="Times New Roman" w:cs="Times New Roman" w:eastAsia="Times New Roman" w:hint="default"/>
          <w:spacing w:val="-3"/>
        </w:rPr>
        <w:t>5G</w:t>
      </w:r>
      <w:r>
        <w:rPr>
          <w:spacing w:val="-3"/>
        </w:rPr>
        <w:t>通讯的建设开始，会加大嵌入式软件服务的市场需求。</w:t>
      </w:r>
    </w:p>
    <w:p>
      <w:pPr>
        <w:pStyle w:val="BodyText"/>
        <w:spacing w:line="314" w:lineRule="auto"/>
        <w:ind w:right="0" w:firstLine="508"/>
        <w:jc w:val="left"/>
      </w:pPr>
      <w:r>
        <w:rPr>
          <w:spacing w:val="-6"/>
        </w:rPr>
        <w:t>物联网是通过信息传感设备，按约定的协议，把任何物品与互联网相连接，进行信息交换和通信，以实现智能化识别、</w:t>
      </w:r>
      <w:r>
        <w:rPr>
          <w:w w:val="101"/>
        </w:rPr>
        <w:t> </w:t>
      </w:r>
      <w:r>
        <w:rPr>
          <w:spacing w:val="-4"/>
        </w:rPr>
        <w:t>定位、跟踪、监控和管理的一种网络。物联网正掀起信息产业的第三次革命浪潮，以智能驾驶、智能电网、智能零售、智能</w:t>
      </w:r>
      <w:r>
        <w:rPr>
          <w:spacing w:val="40"/>
        </w:rPr>
        <w:t> </w:t>
      </w:r>
      <w:r>
        <w:rPr>
          <w:spacing w:val="40"/>
        </w:rPr>
      </w:r>
      <w:r>
        <w:rPr>
          <w:spacing w:val="-4"/>
        </w:rPr>
        <w:t>家居、安防监控、移动支付、智能穿戴、远程医疗等应用领域为代表，为人们生活提供更大便利，提高公共服务资源调配效</w:t>
      </w:r>
      <w:r>
        <w:rPr>
          <w:spacing w:val="40"/>
        </w:rPr>
        <w:t> </w:t>
      </w:r>
      <w:r>
        <w:rPr>
          <w:spacing w:val="40"/>
        </w:rPr>
      </w:r>
      <w:r>
        <w:rPr>
          <w:spacing w:val="-3"/>
        </w:rPr>
        <w:t>率，甚至改变日常生活方式。物联网还与</w:t>
      </w:r>
      <w:r>
        <w:rPr>
          <w:rFonts w:ascii="Times New Roman" w:hAnsi="Times New Roman" w:cs="Times New Roman" w:eastAsia="Times New Roman" w:hint="default"/>
          <w:spacing w:val="-3"/>
        </w:rPr>
        <w:t>“</w:t>
      </w:r>
      <w:r>
        <w:rPr>
          <w:spacing w:val="-3"/>
        </w:rPr>
        <w:t>工业</w:t>
      </w:r>
      <w:r>
        <w:rPr>
          <w:rFonts w:ascii="Times New Roman" w:hAnsi="Times New Roman" w:cs="Times New Roman" w:eastAsia="Times New Roman" w:hint="default"/>
          <w:spacing w:val="-3"/>
        </w:rPr>
        <w:t>4.0”</w:t>
      </w:r>
      <w:r>
        <w:rPr>
          <w:spacing w:val="-3"/>
        </w:rPr>
        <w:t>息息相关，将促进传统生产方式向绿色、智能、低碳的方向转变，从刚</w:t>
      </w:r>
      <w:r>
        <w:rPr>
          <w:spacing w:val="78"/>
        </w:rPr>
        <w:t> </w:t>
      </w:r>
      <w:r>
        <w:rPr>
          <w:spacing w:val="78"/>
        </w:rPr>
      </w:r>
      <w:r>
        <w:rPr>
          <w:spacing w:val="-3"/>
        </w:rPr>
        <w:t>性生产方式向柔性生产方式转变，显著提高生产效率。</w:t>
      </w:r>
    </w:p>
    <w:p>
      <w:pPr>
        <w:pStyle w:val="BodyText"/>
        <w:spacing w:line="319" w:lineRule="auto" w:before="20"/>
        <w:ind w:right="1123" w:firstLine="508"/>
        <w:jc w:val="both"/>
      </w:pPr>
      <w:r>
        <w:rPr>
          <w:spacing w:val="-4"/>
        </w:rPr>
        <w:t>面对近年来国际金融危机引致的经济困局，以及新一轮技术革命可能带来的历史机遇，发达国家政府纷纷进行物联网</w:t>
      </w:r>
      <w:r>
        <w:rPr>
          <w:w w:val="101"/>
        </w:rPr>
        <w:t> </w:t>
      </w:r>
      <w:r>
        <w:rPr>
          <w:spacing w:val="-4"/>
        </w:rPr>
        <w:t>战略布局，开始重新审视实体经济和制造业战略地位，瞄准重大融合创新技术的研发与应用，寻找新一轮增长动力，以期把</w:t>
      </w:r>
      <w:r>
        <w:rPr>
          <w:spacing w:val="40"/>
        </w:rPr>
        <w:t> </w:t>
      </w:r>
      <w:r>
        <w:rPr>
          <w:spacing w:val="40"/>
        </w:rPr>
      </w:r>
      <w:r>
        <w:rPr>
          <w:spacing w:val="-3"/>
        </w:rPr>
        <w:t>握未来国际经济科技竞争主动权。</w:t>
      </w:r>
    </w:p>
    <w:p>
      <w:pPr>
        <w:pStyle w:val="BodyText"/>
        <w:spacing w:line="316" w:lineRule="auto" w:before="17"/>
        <w:ind w:right="1122" w:firstLine="508"/>
        <w:jc w:val="both"/>
      </w:pPr>
      <w:r>
        <w:rPr>
          <w:spacing w:val="-4"/>
        </w:rPr>
        <w:t>我国物联网发展的目标就是完善物联网产业链，重点发展与物联网产业链紧密相关的硬件、软件、系统集成以及运营</w:t>
      </w:r>
      <w:r>
        <w:rPr>
          <w:w w:val="101"/>
        </w:rPr>
        <w:t> </w:t>
      </w:r>
      <w:r>
        <w:rPr>
          <w:spacing w:val="-4"/>
        </w:rPr>
        <w:t>与服务等核心领域，着力打造传感器节点、网络接入、数据传输、操作系统、系统集成等重要产品与解决方案，从而实现产</w:t>
      </w:r>
      <w:r>
        <w:rPr>
          <w:spacing w:val="42"/>
        </w:rPr>
        <w:t> </w:t>
      </w:r>
      <w:r>
        <w:rPr>
          <w:spacing w:val="42"/>
        </w:rPr>
      </w:r>
      <w:r>
        <w:rPr/>
        <w:t>业链关键环节的突破。</w:t>
      </w:r>
    </w:p>
    <w:p>
      <w:pPr>
        <w:pStyle w:val="BodyText"/>
        <w:spacing w:line="300" w:lineRule="auto" w:before="19"/>
        <w:ind w:left="662" w:right="0"/>
        <w:jc w:val="left"/>
      </w:pPr>
      <w:r>
        <w:rPr>
          <w:rFonts w:ascii="Times New Roman" w:hAnsi="Times New Roman" w:cs="Times New Roman" w:eastAsia="Times New Roman" w:hint="default"/>
          <w:spacing w:val="-3"/>
        </w:rPr>
        <w:t>3</w:t>
      </w:r>
      <w:r>
        <w:rPr>
          <w:spacing w:val="-3"/>
        </w:rPr>
        <w:t>、智慧能源信息化</w:t>
      </w:r>
      <w:r>
        <w:rPr>
          <w:spacing w:val="-63"/>
        </w:rPr>
        <w:t> </w:t>
      </w:r>
      <w:r>
        <w:rPr>
          <w:spacing w:val="-63"/>
        </w:rPr>
      </w:r>
      <w:r>
        <w:rPr>
          <w:spacing w:val="-4"/>
        </w:rPr>
        <w:t>近年来，以互联网为代表的新一代信息通信技术不断发展渗透，为传统产业发展形成以人为中心的、信息物理深度融</w:t>
      </w:r>
    </w:p>
    <w:p>
      <w:pPr>
        <w:pStyle w:val="BodyText"/>
        <w:spacing w:line="300" w:lineRule="auto" w:before="31"/>
        <w:ind w:right="1126"/>
        <w:jc w:val="both"/>
      </w:pPr>
      <w:r>
        <w:rPr>
          <w:spacing w:val="-6"/>
          <w:w w:val="101"/>
        </w:rPr>
        <w:t>合的新业态提供了方向。能源管理作为互联网技术应用改造的关键领域，亟需在管控手段薄弱的配电网应用互联网理念和</w:t>
      </w:r>
      <w:r>
        <w:rPr>
          <w:rFonts w:ascii="Times New Roman" w:hAnsi="Times New Roman" w:cs="Times New Roman" w:eastAsia="Times New Roman" w:hint="default"/>
          <w:spacing w:val="-6"/>
          <w:w w:val="101"/>
        </w:rPr>
        <w:t>“</w:t>
      </w:r>
      <w:r>
        <w:rPr>
          <w:spacing w:val="-6"/>
          <w:w w:val="101"/>
        </w:rPr>
        <w:t>云</w:t>
      </w:r>
      <w:r>
        <w:rPr>
          <w:spacing w:val="-59"/>
          <w:w w:val="101"/>
        </w:rPr>
        <w:t> </w:t>
      </w:r>
      <w:r>
        <w:rPr>
          <w:spacing w:val="-3"/>
        </w:rPr>
        <w:t>大物移智</w:t>
      </w:r>
      <w:r>
        <w:rPr>
          <w:rFonts w:ascii="Times New Roman" w:hAnsi="Times New Roman" w:cs="Times New Roman" w:eastAsia="Times New Roman" w:hint="default"/>
          <w:spacing w:val="-3"/>
        </w:rPr>
        <w:t>”</w:t>
      </w:r>
      <w:r>
        <w:rPr>
          <w:spacing w:val="-3"/>
        </w:rPr>
        <w:t>等先进技术，从本质上提升配电网建设、运维、管理水平。因此，配电物联网的理念和解决方案应运而生，并将</w:t>
      </w:r>
      <w:r>
        <w:rPr>
          <w:spacing w:val="65"/>
        </w:rPr>
        <w:t> </w:t>
      </w:r>
      <w:r>
        <w:rPr>
          <w:spacing w:val="65"/>
        </w:rPr>
      </w:r>
      <w:r>
        <w:rPr>
          <w:spacing w:val="-3"/>
        </w:rPr>
        <w:t>成为未来产业布局的新思路、新模式、新焦点。</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0" w:firstLine="508"/>
        <w:jc w:val="lef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8</w:t>
      </w:r>
      <w:r>
        <w:rPr>
          <w:spacing w:val="-5"/>
        </w:rPr>
        <w:t>日，国家电网有限公司泛在电力物联网建设工作部署会议召开，对建设泛在电力物联网作出全面部署安排，</w:t>
      </w:r>
      <w:r>
        <w:rPr>
          <w:w w:val="101"/>
        </w:rPr>
        <w:t> </w:t>
      </w:r>
      <w:r>
        <w:rPr>
          <w:spacing w:val="-4"/>
        </w:rPr>
        <w:t>加快推进</w:t>
      </w:r>
      <w:r>
        <w:rPr>
          <w:rFonts w:ascii="Times New Roman" w:hAnsi="Times New Roman" w:cs="Times New Roman" w:eastAsia="Times New Roman" w:hint="default"/>
          <w:spacing w:val="-4"/>
        </w:rPr>
        <w:t>“</w:t>
      </w:r>
      <w:r>
        <w:rPr>
          <w:spacing w:val="-4"/>
        </w:rPr>
        <w:t>三型两网</w:t>
      </w:r>
      <w:r>
        <w:rPr>
          <w:rFonts w:ascii="Times New Roman" w:hAnsi="Times New Roman" w:cs="Times New Roman" w:eastAsia="Times New Roman" w:hint="default"/>
          <w:spacing w:val="-4"/>
        </w:rPr>
        <w:t>”</w:t>
      </w:r>
      <w:r>
        <w:rPr>
          <w:spacing w:val="-4"/>
        </w:rPr>
        <w:t>建设。会议强调，泛在电力物联网，就是围绕电力系统各环节，充分应用移动互联、人工智能等现代信</w:t>
      </w:r>
      <w:r>
        <w:rPr>
          <w:spacing w:val="59"/>
        </w:rPr>
        <w:t> </w:t>
      </w:r>
      <w:r>
        <w:rPr>
          <w:spacing w:val="59"/>
        </w:rPr>
      </w:r>
      <w:r>
        <w:rPr>
          <w:spacing w:val="-4"/>
        </w:rPr>
        <w:t>息技术、先进通信技术，实现电力系统各环节万物互联、人机交互，具有状态全面感知、信息高效处理、应用便捷灵活特征</w:t>
      </w:r>
      <w:r>
        <w:rPr>
          <w:spacing w:val="40"/>
        </w:rPr>
        <w:t> </w:t>
      </w:r>
      <w:r>
        <w:rPr>
          <w:spacing w:val="40"/>
        </w:rPr>
      </w:r>
      <w:r>
        <w:rPr>
          <w:spacing w:val="-4"/>
        </w:rPr>
        <w:t>的智慧服务系统，包含感知层、网络层、平台层、应用层四层结构。通过广泛应用大数据、云计算、物联网、移动互联、人</w:t>
      </w:r>
      <w:r>
        <w:rPr>
          <w:spacing w:val="40"/>
        </w:rPr>
        <w:t> </w:t>
      </w:r>
      <w:r>
        <w:rPr>
          <w:spacing w:val="40"/>
        </w:rPr>
      </w:r>
      <w:r>
        <w:rPr>
          <w:spacing w:val="-4"/>
        </w:rPr>
        <w:t>工智能、区块链、边缘计算等信息技术和智能技术，汇集各方面资源，为规划建设、生产运行、经营管理、综合服务、新业</w:t>
      </w:r>
      <w:r>
        <w:rPr>
          <w:spacing w:val="40"/>
        </w:rPr>
        <w:t> </w:t>
      </w:r>
      <w:r>
        <w:rPr>
          <w:spacing w:val="40"/>
        </w:rPr>
      </w:r>
      <w:r>
        <w:rPr>
          <w:spacing w:val="-4"/>
        </w:rPr>
        <w:t>务新模式发展、企业生态环境构建等各方面，提供充足有效的信息和数据支撑。坚强智能电网和泛在电力物联网，二者相辅</w:t>
      </w:r>
      <w:r>
        <w:rPr>
          <w:spacing w:val="40"/>
        </w:rPr>
        <w:t> </w:t>
      </w:r>
      <w:r>
        <w:rPr>
          <w:spacing w:val="40"/>
        </w:rPr>
      </w:r>
      <w:r>
        <w:rPr>
          <w:spacing w:val="-4"/>
        </w:rPr>
        <w:t>相成、融合发展，形成强大的价值创造平台，共同构成能源流、业务流、数据流</w:t>
      </w:r>
      <w:r>
        <w:rPr>
          <w:rFonts w:ascii="Times New Roman" w:hAnsi="Times New Roman" w:cs="Times New Roman" w:eastAsia="Times New Roman" w:hint="default"/>
          <w:spacing w:val="-4"/>
        </w:rPr>
        <w:t>“</w:t>
      </w:r>
      <w:r>
        <w:rPr>
          <w:spacing w:val="-4"/>
        </w:rPr>
        <w:t>三流合一</w:t>
      </w:r>
      <w:r>
        <w:rPr>
          <w:rFonts w:ascii="Times New Roman" w:hAnsi="Times New Roman" w:cs="Times New Roman" w:eastAsia="Times New Roman" w:hint="default"/>
          <w:spacing w:val="-4"/>
        </w:rPr>
        <w:t>”</w:t>
      </w:r>
      <w:r>
        <w:rPr>
          <w:spacing w:val="-4"/>
        </w:rPr>
        <w:t>的能源互联网。计划到</w:t>
      </w:r>
      <w:r>
        <w:rPr>
          <w:rFonts w:ascii="Times New Roman" w:hAnsi="Times New Roman" w:cs="Times New Roman" w:eastAsia="Times New Roman" w:hint="default"/>
          <w:spacing w:val="-4"/>
        </w:rPr>
        <w:t>2021</w:t>
      </w:r>
      <w:r>
        <w:rPr>
          <w:spacing w:val="-4"/>
        </w:rPr>
        <w:t>年初</w:t>
      </w:r>
      <w:r>
        <w:rPr>
          <w:spacing w:val="73"/>
        </w:rPr>
        <w:t> </w:t>
      </w:r>
      <w:r>
        <w:rPr>
          <w:spacing w:val="-6"/>
        </w:rPr>
        <w:t>步建成泛在电力物联网，基本实现业务协同和数据贯通，初步实现统一物联管理，各级智慧能源综合服务平台具备基本功能，</w:t>
      </w:r>
      <w:r>
        <w:rPr>
          <w:spacing w:val="63"/>
        </w:rPr>
        <w:t> </w:t>
      </w:r>
      <w:r>
        <w:rPr>
          <w:spacing w:val="63"/>
        </w:rPr>
      </w:r>
      <w:r>
        <w:rPr>
          <w:spacing w:val="-4"/>
        </w:rPr>
        <w:t>支撑电网业务与新兴业务发展。到</w:t>
      </w:r>
      <w:r>
        <w:rPr>
          <w:rFonts w:ascii="Times New Roman" w:hAnsi="Times New Roman" w:cs="Times New Roman" w:eastAsia="Times New Roman" w:hint="default"/>
          <w:spacing w:val="-4"/>
        </w:rPr>
        <w:t>2024</w:t>
      </w:r>
      <w:r>
        <w:rPr>
          <w:spacing w:val="-4"/>
        </w:rPr>
        <w:t>年建成泛在电力物联网，全面实现业务协同、数据贯通和统一物联管理，全面形成共</w:t>
      </w:r>
      <w:r>
        <w:rPr>
          <w:spacing w:val="47"/>
        </w:rPr>
        <w:t> </w:t>
      </w:r>
      <w:r>
        <w:rPr>
          <w:spacing w:val="47"/>
        </w:rPr>
      </w:r>
      <w:r>
        <w:rPr>
          <w:spacing w:val="-3"/>
        </w:rPr>
        <w:t>建共治共享的能源互联网生态圈。</w:t>
      </w:r>
    </w:p>
    <w:p>
      <w:pPr>
        <w:pStyle w:val="BodyText"/>
        <w:spacing w:line="309" w:lineRule="auto" w:before="24"/>
        <w:ind w:right="1122" w:firstLine="508"/>
        <w:jc w:val="both"/>
      </w:pPr>
      <w:r>
        <w:rPr>
          <w:spacing w:val="-4"/>
        </w:rPr>
        <w:t>当前，以新能源大规模开发利用为标志，以再电气化为根本路径的新一轮能源革命，正在全球深入发展。传统配电网</w:t>
      </w:r>
      <w:r>
        <w:rPr>
          <w:w w:val="101"/>
        </w:rPr>
        <w:t> </w:t>
      </w:r>
      <w:r>
        <w:rPr>
          <w:spacing w:val="-4"/>
        </w:rPr>
        <w:t>管理模式不能满足新时期配电网发展需求，迫切需要深入应用</w:t>
      </w:r>
      <w:r>
        <w:rPr>
          <w:rFonts w:ascii="Times New Roman" w:hAnsi="Times New Roman" w:cs="Times New Roman" w:eastAsia="Times New Roman" w:hint="default"/>
          <w:spacing w:val="-4"/>
        </w:rPr>
        <w:t>“</w:t>
      </w:r>
      <w:r>
        <w:rPr>
          <w:spacing w:val="-4"/>
        </w:rPr>
        <w:t>云大物移智</w:t>
      </w:r>
      <w:r>
        <w:rPr>
          <w:rFonts w:ascii="Times New Roman" w:hAnsi="Times New Roman" w:cs="Times New Roman" w:eastAsia="Times New Roman" w:hint="default"/>
          <w:spacing w:val="-4"/>
        </w:rPr>
        <w:t>”</w:t>
      </w:r>
      <w:r>
        <w:rPr>
          <w:spacing w:val="-4"/>
        </w:rPr>
        <w:t>等先进的配电物联网技术，从本质上提升配电网</w:t>
      </w:r>
      <w:r>
        <w:rPr>
          <w:spacing w:val="67"/>
        </w:rPr>
        <w:t> </w:t>
      </w:r>
      <w:r>
        <w:rPr>
          <w:spacing w:val="67"/>
        </w:rPr>
      </w:r>
      <w:r>
        <w:rPr>
          <w:spacing w:val="-3"/>
        </w:rPr>
        <w:t>建设、运维、管理水平，实现跨越式发展。</w:t>
      </w:r>
    </w:p>
    <w:p>
      <w:pPr>
        <w:spacing w:line="240" w:lineRule="auto" w:before="10"/>
        <w:rPr>
          <w:rFonts w:ascii="宋体" w:hAnsi="宋体" w:cs="宋体" w:eastAsia="宋体" w:hint="default"/>
          <w:sz w:val="25"/>
          <w:szCs w:val="25"/>
        </w:rPr>
      </w:pPr>
    </w:p>
    <w:p>
      <w:pPr>
        <w:pStyle w:val="BodyText"/>
        <w:spacing w:line="309" w:lineRule="auto"/>
        <w:ind w:right="1122" w:firstLine="508"/>
        <w:jc w:val="both"/>
      </w:pPr>
      <w:r>
        <w:rPr>
          <w:spacing w:val="-4"/>
        </w:rPr>
        <w:t>综上，国内软件和信息技术服务业处于持续稳定的增长期，为公司的业务持续发展提供了良好的市场空间。公司主要</w:t>
      </w:r>
      <w:r>
        <w:rPr>
          <w:w w:val="101"/>
        </w:rPr>
        <w:t> </w:t>
      </w:r>
      <w:r>
        <w:rPr>
          <w:spacing w:val="-4"/>
        </w:rPr>
        <w:t>业务领域所处的市场均呈现持续增长态势，公司</w:t>
      </w:r>
      <w:r>
        <w:rPr>
          <w:rFonts w:ascii="Times New Roman" w:hAnsi="Times New Roman" w:cs="Times New Roman" w:eastAsia="Times New Roman" w:hint="default"/>
          <w:spacing w:val="-4"/>
        </w:rPr>
        <w:t>“</w:t>
      </w:r>
      <w:r>
        <w:rPr>
          <w:spacing w:val="-4"/>
        </w:rPr>
        <w:t>数字化升级战略</w:t>
      </w:r>
      <w:r>
        <w:rPr>
          <w:rFonts w:ascii="Times New Roman" w:hAnsi="Times New Roman" w:cs="Times New Roman" w:eastAsia="Times New Roman" w:hint="default"/>
          <w:spacing w:val="-4"/>
        </w:rPr>
        <w:t>”</w:t>
      </w:r>
      <w:r>
        <w:rPr>
          <w:spacing w:val="-4"/>
        </w:rPr>
        <w:t>业务发展方向也符合行业发展趋势，为公司业务的持续发</w:t>
      </w:r>
      <w:r>
        <w:rPr>
          <w:spacing w:val="66"/>
        </w:rPr>
        <w:t> </w:t>
      </w:r>
      <w:r>
        <w:rPr>
          <w:spacing w:val="66"/>
        </w:rPr>
      </w:r>
      <w:r>
        <w:rPr>
          <w:spacing w:val="-3"/>
        </w:rPr>
        <w:t>展提供了良好市场发展基础。</w:t>
      </w:r>
    </w:p>
    <w:p>
      <w:pPr>
        <w:pStyle w:val="BodyText"/>
        <w:spacing w:line="309" w:lineRule="auto" w:before="24"/>
        <w:ind w:right="0" w:firstLine="508"/>
        <w:jc w:val="left"/>
      </w:pPr>
      <w:r>
        <w:rPr>
          <w:spacing w:val="-3"/>
        </w:rPr>
        <w:t>公司是中国电子工业标准化技术协会信息技术服务分会理事单位，是信息技术服务国家标准制定单位，公司拥有</w:t>
      </w:r>
      <w:r>
        <w:rPr>
          <w:w w:val="101"/>
        </w:rPr>
        <w:t> </w:t>
      </w:r>
      <w:r>
        <w:rPr>
          <w:rFonts w:ascii="Times New Roman" w:hAnsi="Times New Roman" w:cs="Times New Roman" w:eastAsia="Times New Roman" w:hint="default"/>
          <w:spacing w:val="-3"/>
        </w:rPr>
        <w:t>ISO9001</w:t>
      </w:r>
      <w:r>
        <w:rPr>
          <w:spacing w:val="-3"/>
        </w:rPr>
        <w:t>、</w:t>
      </w:r>
      <w:r>
        <w:rPr>
          <w:rFonts w:ascii="Times New Roman" w:hAnsi="Times New Roman" w:cs="Times New Roman" w:eastAsia="Times New Roman" w:hint="default"/>
          <w:spacing w:val="-3"/>
        </w:rPr>
        <w:t>ISO27001</w:t>
      </w:r>
      <w:r>
        <w:rPr>
          <w:spacing w:val="-3"/>
        </w:rPr>
        <w:t>、</w:t>
      </w:r>
      <w:r>
        <w:rPr>
          <w:rFonts w:ascii="Times New Roman" w:hAnsi="Times New Roman" w:cs="Times New Roman" w:eastAsia="Times New Roman" w:hint="default"/>
          <w:spacing w:val="-3"/>
        </w:rPr>
        <w:t>ISO14001</w:t>
      </w:r>
      <w:r>
        <w:rPr>
          <w:spacing w:val="-3"/>
        </w:rPr>
        <w:t>、</w:t>
      </w:r>
      <w:r>
        <w:rPr>
          <w:rFonts w:ascii="Times New Roman" w:hAnsi="Times New Roman" w:cs="Times New Roman" w:eastAsia="Times New Roman" w:hint="default"/>
          <w:spacing w:val="-3"/>
        </w:rPr>
        <w:t>OHSAS18001</w:t>
      </w:r>
      <w:r>
        <w:rPr>
          <w:spacing w:val="-3"/>
        </w:rPr>
        <w:t>、</w:t>
      </w:r>
      <w:r>
        <w:rPr>
          <w:rFonts w:ascii="Times New Roman" w:hAnsi="Times New Roman" w:cs="Times New Roman" w:eastAsia="Times New Roman" w:hint="default"/>
          <w:spacing w:val="-3"/>
        </w:rPr>
        <w:t>CMMI5</w:t>
      </w:r>
      <w:r>
        <w:rPr>
          <w:spacing w:val="-3"/>
        </w:rPr>
        <w:t>、系统集成二级等多项资质认证，公司还获得了江苏省高新技术企</w:t>
      </w:r>
      <w:r>
        <w:rPr>
          <w:spacing w:val="45"/>
        </w:rPr>
        <w:t> </w:t>
      </w:r>
      <w:r>
        <w:rPr>
          <w:spacing w:val="45"/>
        </w:rPr>
      </w:r>
      <w:r>
        <w:rPr>
          <w:spacing w:val="-3"/>
        </w:rPr>
        <w:t>业、江苏省首批技术先进型服务企业、江苏省信息产业优秀企业联合研发创新中心等多项荣誉。</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3054"/>
        <w:gridCol w:w="6517"/>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长期股权投资期末余额较期初余额增长 </w:t>
            </w:r>
            <w:r>
              <w:rPr>
                <w:rFonts w:ascii="Times New Roman" w:hAnsi="Times New Roman" w:cs="Times New Roman" w:eastAsia="Times New Roman" w:hint="default"/>
                <w:spacing w:val="-3"/>
                <w:sz w:val="18"/>
                <w:szCs w:val="18"/>
              </w:rPr>
              <w:t>225.30%</w:t>
            </w:r>
            <w:r>
              <w:rPr>
                <w:rFonts w:ascii="宋体" w:hAnsi="宋体" w:cs="宋体" w:eastAsia="宋体" w:hint="default"/>
                <w:spacing w:val="-3"/>
                <w:sz w:val="18"/>
                <w:szCs w:val="18"/>
              </w:rPr>
              <w:t>，主要原因是公司本期新增对奥特</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酷的股权投资，以及公司参股公司博纳讯动增资扩股，公司按照权益法核算相应增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加长期股权投资账面价值。</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4" w:space="0" w:color="000000"/>
              <w:right w:val="single" w:sz="4" w:space="0" w:color="000000"/>
            </w:tcBorders>
          </w:tcPr>
          <w:p>
            <w:pPr/>
          </w:p>
        </w:tc>
      </w:tr>
      <w:tr>
        <w:trPr>
          <w:trHeight w:val="31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3"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0" w:lineRule="auto" w:before="58"/>
              <w:ind w:left="23" w:right="18"/>
              <w:jc w:val="left"/>
              <w:rPr>
                <w:rFonts w:ascii="宋体" w:hAnsi="宋体" w:cs="宋体" w:eastAsia="宋体" w:hint="default"/>
                <w:sz w:val="18"/>
                <w:szCs w:val="18"/>
              </w:rPr>
            </w:pPr>
            <w:r>
              <w:rPr>
                <w:rFonts w:ascii="宋体" w:hAnsi="宋体" w:cs="宋体" w:eastAsia="宋体" w:hint="default"/>
                <w:spacing w:val="-2"/>
                <w:w w:val="101"/>
                <w:sz w:val="18"/>
                <w:szCs w:val="18"/>
              </w:rPr>
              <w:t>在建工程期末余额较期初余额减少</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6"/>
                <w:w w:val="101"/>
                <w:sz w:val="18"/>
                <w:szCs w:val="18"/>
              </w:rPr>
              <w:t>99.59%</w:t>
            </w:r>
            <w:r>
              <w:rPr>
                <w:rFonts w:ascii="宋体" w:hAnsi="宋体" w:cs="宋体" w:eastAsia="宋体" w:hint="default"/>
                <w:spacing w:val="-6"/>
                <w:w w:val="101"/>
                <w:sz w:val="18"/>
                <w:szCs w:val="18"/>
              </w:rPr>
              <w:t>，主要原因是本期在建工程完工转入固定</w:t>
            </w:r>
            <w:r>
              <w:rPr>
                <w:rFonts w:ascii="宋体" w:hAnsi="宋体" w:cs="宋体" w:eastAsia="宋体" w:hint="default"/>
                <w:w w:val="101"/>
                <w:sz w:val="18"/>
                <w:szCs w:val="18"/>
              </w:rPr>
              <w:t> </w:t>
            </w:r>
            <w:r>
              <w:rPr>
                <w:rFonts w:ascii="宋体" w:hAnsi="宋体" w:cs="宋体" w:eastAsia="宋体" w:hint="default"/>
                <w:sz w:val="18"/>
                <w:szCs w:val="18"/>
              </w:rPr>
              <w:t>资产。</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4" w:space="0" w:color="000000"/>
              <w:right w:val="single" w:sz="4" w:space="0" w:color="000000"/>
            </w:tcBorders>
          </w:tcPr>
          <w:p>
            <w:pPr/>
          </w:p>
        </w:tc>
      </w:tr>
      <w:tr>
        <w:trPr>
          <w:trHeight w:val="15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102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7"/>
              <w:jc w:val="both"/>
              <w:rPr>
                <w:rFonts w:ascii="宋体" w:hAnsi="宋体" w:cs="宋体" w:eastAsia="宋体" w:hint="default"/>
                <w:sz w:val="18"/>
                <w:szCs w:val="18"/>
              </w:rPr>
            </w:pPr>
            <w:r>
              <w:rPr>
                <w:rFonts w:ascii="宋体" w:hAnsi="宋体" w:cs="宋体" w:eastAsia="宋体" w:hint="default"/>
                <w:spacing w:val="-3"/>
                <w:w w:val="101"/>
                <w:sz w:val="18"/>
                <w:szCs w:val="18"/>
              </w:rPr>
              <w:t>可供出售金融资产期末余额较期初余额增长</w:t>
            </w:r>
            <w:r>
              <w:rPr>
                <w:rFonts w:ascii="宋体" w:hAnsi="宋体" w:cs="宋体" w:eastAsia="宋体" w:hint="default"/>
                <w:spacing w:val="-27"/>
                <w:w w:val="101"/>
                <w:sz w:val="18"/>
                <w:szCs w:val="18"/>
              </w:rPr>
              <w:t> </w:t>
            </w:r>
            <w:r>
              <w:rPr>
                <w:rFonts w:ascii="Times New Roman" w:hAnsi="Times New Roman" w:cs="Times New Roman" w:eastAsia="Times New Roman" w:hint="default"/>
                <w:spacing w:val="-7"/>
                <w:w w:val="101"/>
                <w:sz w:val="18"/>
                <w:szCs w:val="18"/>
              </w:rPr>
              <w:t>61.48%</w:t>
            </w:r>
            <w:r>
              <w:rPr>
                <w:rFonts w:ascii="宋体" w:hAnsi="宋体" w:cs="宋体" w:eastAsia="宋体" w:hint="default"/>
                <w:spacing w:val="-7"/>
                <w:w w:val="101"/>
                <w:sz w:val="18"/>
                <w:szCs w:val="18"/>
              </w:rPr>
              <w:t>，主要原因是子公司波士顿润和</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新增对</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NEVADA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NANOTECH</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的投资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1,003,035.00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美元，折合人民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6,884,029.81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开发支出期末余额较期初余额增长 </w:t>
            </w:r>
            <w:r>
              <w:rPr>
                <w:rFonts w:ascii="Times New Roman" w:hAnsi="Times New Roman" w:cs="Times New Roman" w:eastAsia="Times New Roman" w:hint="default"/>
                <w:spacing w:val="-6"/>
                <w:sz w:val="18"/>
                <w:szCs w:val="18"/>
              </w:rPr>
              <w:t>329.89%</w:t>
            </w:r>
            <w:r>
              <w:rPr>
                <w:rFonts w:ascii="宋体" w:hAnsi="宋体" w:cs="宋体" w:eastAsia="宋体" w:hint="default"/>
                <w:spacing w:val="-6"/>
                <w:sz w:val="18"/>
                <w:szCs w:val="18"/>
              </w:rPr>
              <w:t>，主要原因是公司本期新增对</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新一代分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布式金融核心系统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项目的研发投入。</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Microsoft JhengHei" w:hAnsi="Microsoft JhengHei" w:cs="Microsoft JhengHei" w:eastAsia="Microsoft JhengHei" w:hint="default"/>
          <w:b/>
          <w:bCs/>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三、核心竞争力分析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32"/>
        <w:ind w:right="0"/>
        <w:jc w:val="left"/>
      </w:pPr>
      <w:r>
        <w:rPr/>
        <w:t>软件与信息技术服务业</w:t>
      </w:r>
    </w:p>
    <w:p>
      <w:pPr>
        <w:pStyle w:val="BodyText"/>
        <w:spacing w:line="300" w:lineRule="auto" w:before="110"/>
        <w:ind w:right="0" w:firstLine="508"/>
        <w:jc w:val="left"/>
      </w:pPr>
      <w:r>
        <w:rPr>
          <w:rFonts w:ascii="Times New Roman" w:hAnsi="Times New Roman" w:cs="Times New Roman" w:eastAsia="Times New Roman" w:hint="default"/>
          <w:spacing w:val="-3"/>
        </w:rPr>
        <w:t>1</w:t>
      </w:r>
      <w:r>
        <w:rPr>
          <w:spacing w:val="-3"/>
        </w:rPr>
        <w:t>、报告期内，公司与蚂蚁金服战略合作，并联合研发</w:t>
      </w:r>
      <w:r>
        <w:rPr>
          <w:rFonts w:ascii="Times New Roman" w:hAnsi="Times New Roman" w:cs="Times New Roman" w:eastAsia="Times New Roman" w:hint="default"/>
          <w:spacing w:val="-3"/>
        </w:rPr>
        <w:t>“</w:t>
      </w:r>
      <w:r>
        <w:rPr>
          <w:spacing w:val="-3"/>
        </w:rPr>
        <w:t>新一代分布式金融核心系统</w:t>
      </w:r>
      <w:r>
        <w:rPr>
          <w:rFonts w:ascii="Times New Roman" w:hAnsi="Times New Roman" w:cs="Times New Roman" w:eastAsia="Times New Roman" w:hint="default"/>
          <w:spacing w:val="-3"/>
        </w:rPr>
        <w:t>”</w:t>
      </w:r>
      <w:r>
        <w:rPr>
          <w:spacing w:val="-3"/>
        </w:rPr>
        <w:t>，不仅提升了公司产品与解决方</w:t>
      </w:r>
      <w:r>
        <w:rPr>
          <w:w w:val="101"/>
        </w:rPr>
        <w:t> </w:t>
      </w:r>
      <w:r>
        <w:rPr>
          <w:spacing w:val="-4"/>
        </w:rPr>
        <w:t>案研发、技术架构、市场推广等三大关键能力，有效提升了公司的行业品牌效应；</w:t>
      </w:r>
      <w:r>
        <w:rPr>
          <w:rFonts w:ascii="Times New Roman" w:hAnsi="Times New Roman" w:cs="Times New Roman" w:eastAsia="Times New Roman" w:hint="default"/>
          <w:spacing w:val="-4"/>
        </w:rPr>
        <w:t>“</w:t>
      </w:r>
      <w:r>
        <w:rPr>
          <w:spacing w:val="-4"/>
        </w:rPr>
        <w:t>新一代分布式金融核心系统</w:t>
      </w:r>
      <w:r>
        <w:rPr>
          <w:rFonts w:ascii="Times New Roman" w:hAnsi="Times New Roman" w:cs="Times New Roman" w:eastAsia="Times New Roman" w:hint="default"/>
          <w:spacing w:val="-4"/>
        </w:rPr>
        <w:t>”</w:t>
      </w:r>
      <w:r>
        <w:rPr>
          <w:spacing w:val="-4"/>
        </w:rPr>
        <w:t>也将为公司</w:t>
      </w:r>
      <w:r>
        <w:rPr>
          <w:spacing w:val="65"/>
        </w:rPr>
        <w:t> </w:t>
      </w:r>
      <w:r>
        <w:rPr>
          <w:spacing w:val="65"/>
        </w:rPr>
      </w:r>
      <w:r>
        <w:rPr>
          <w:spacing w:val="-3"/>
        </w:rPr>
        <w:t>高效拓展银行核心系统业务奠定坚实的能力基础。</w:t>
      </w:r>
    </w:p>
    <w:p>
      <w:pPr>
        <w:pStyle w:val="BodyText"/>
        <w:spacing w:line="309" w:lineRule="auto" w:before="31"/>
        <w:ind w:right="1123" w:firstLine="508"/>
        <w:jc w:val="both"/>
      </w:pPr>
      <w:r>
        <w:rPr>
          <w:rFonts w:ascii="Times New Roman" w:hAnsi="Times New Roman" w:cs="Times New Roman" w:eastAsia="Times New Roman" w:hint="default"/>
          <w:spacing w:val="-3"/>
        </w:rPr>
        <w:t>2</w:t>
      </w:r>
      <w:r>
        <w:rPr>
          <w:spacing w:val="-3"/>
        </w:rPr>
        <w:t>、报告期内，公司专业交付业务以测试业务为核心全面向需求管理和自动化运维服务延伸，构建了面向金融行业的</w:t>
      </w:r>
      <w:r>
        <w:rPr>
          <w:w w:val="101"/>
        </w:rPr>
        <w:t> </w:t>
      </w:r>
      <w:r>
        <w:rPr>
          <w:spacing w:val="-4"/>
        </w:rPr>
        <w:t>软件全生命周期管理能力平台，实现自动化、知识化与仿真化，已初步实现了全生命周期管理的能力闭环，进一步提升了公</w:t>
      </w:r>
      <w:r>
        <w:rPr>
          <w:spacing w:val="40"/>
        </w:rPr>
        <w:t> </w:t>
      </w:r>
      <w:r>
        <w:rPr>
          <w:spacing w:val="40"/>
        </w:rPr>
      </w:r>
      <w:r>
        <w:rPr>
          <w:spacing w:val="-3"/>
        </w:rPr>
        <w:t>司自有平台与工具的自动化、智能化水平，逐步构建起了面向客户的价值交付体系与运营机制。</w:t>
      </w:r>
    </w:p>
    <w:p>
      <w:pPr>
        <w:pStyle w:val="BodyText"/>
        <w:spacing w:line="300" w:lineRule="auto" w:before="24"/>
        <w:ind w:right="0" w:firstLine="508"/>
        <w:jc w:val="left"/>
      </w:pPr>
      <w:r>
        <w:rPr>
          <w:rFonts w:ascii="Times New Roman" w:hAnsi="Times New Roman" w:cs="Times New Roman" w:eastAsia="Times New Roman" w:hint="default"/>
          <w:spacing w:val="-3"/>
        </w:rPr>
        <w:t>3</w:t>
      </w:r>
      <w:r>
        <w:rPr>
          <w:spacing w:val="-3"/>
        </w:rPr>
        <w:t>、报告期内，公司在智能物联网领域，首次实现包括人工智能（</w:t>
      </w:r>
      <w:r>
        <w:rPr>
          <w:rFonts w:ascii="Times New Roman" w:hAnsi="Times New Roman" w:cs="Times New Roman" w:eastAsia="Times New Roman" w:hint="default"/>
          <w:spacing w:val="-3"/>
        </w:rPr>
        <w:t>AI</w:t>
      </w:r>
      <w:r>
        <w:rPr>
          <w:spacing w:val="-3"/>
        </w:rPr>
        <w:t>）、系统级芯片（</w:t>
      </w:r>
      <w:r>
        <w:rPr>
          <w:rFonts w:ascii="Times New Roman" w:hAnsi="Times New Roman" w:cs="Times New Roman" w:eastAsia="Times New Roman" w:hint="default"/>
          <w:spacing w:val="-3"/>
        </w:rPr>
        <w:t>SoC</w:t>
      </w:r>
      <w:r>
        <w:rPr>
          <w:spacing w:val="-3"/>
        </w:rPr>
        <w:t>）、边缘计算、云计算、</w:t>
      </w:r>
      <w:r>
        <w:rPr>
          <w:w w:val="101"/>
        </w:rPr>
        <w:t> </w:t>
      </w:r>
      <w:r>
        <w:rPr>
          <w:spacing w:val="-3"/>
        </w:rPr>
        <w:t>大数据在内的五大底层能力的贯通与融合，提高了公司端到端的软硬件一体化智能物联网解决方案的交付效率与附加价值。</w:t>
      </w:r>
    </w:p>
    <w:p>
      <w:pPr>
        <w:pStyle w:val="BodyText"/>
        <w:spacing w:line="300" w:lineRule="auto" w:before="31"/>
        <w:ind w:right="0" w:firstLine="508"/>
        <w:jc w:val="left"/>
      </w:pPr>
      <w:r>
        <w:rPr>
          <w:rFonts w:ascii="Times New Roman" w:hAnsi="Times New Roman" w:cs="Times New Roman" w:eastAsia="Times New Roman" w:hint="default"/>
          <w:spacing w:val="-3"/>
        </w:rPr>
        <w:t>4</w:t>
      </w:r>
      <w:r>
        <w:rPr>
          <w:spacing w:val="-3"/>
        </w:rPr>
        <w:t>、报告期内，公司将智慧能源、智能零售等行业长期的</w:t>
      </w:r>
      <w:r>
        <w:rPr>
          <w:rFonts w:ascii="Times New Roman" w:hAnsi="Times New Roman" w:cs="Times New Roman" w:eastAsia="Times New Roman" w:hint="default"/>
          <w:spacing w:val="-3"/>
        </w:rPr>
        <w:t>IT</w:t>
      </w:r>
      <w:r>
        <w:rPr>
          <w:spacing w:val="-3"/>
        </w:rPr>
        <w:t>实践与行业洞察融合五大底层能力，成功开发了面向智能</w:t>
      </w:r>
      <w:r>
        <w:rPr>
          <w:w w:val="101"/>
        </w:rPr>
        <w:t> </w:t>
      </w:r>
      <w:r>
        <w:rPr>
          <w:spacing w:val="-3"/>
        </w:rPr>
        <w:t>电网、智能零售、智能驾驶等行业应用解决方案，抢占了智能物联的市场先机。</w:t>
      </w:r>
    </w:p>
    <w:p>
      <w:pPr>
        <w:spacing w:after="0" w:line="30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458" w:lineRule="exact"/>
        <w:ind w:left="2967" w:right="0"/>
        <w:jc w:val="left"/>
        <w:rPr>
          <w:b w:val="0"/>
          <w:bCs w:val="0"/>
        </w:rPr>
      </w:pPr>
      <w:bookmarkStart w:name="_bookmark2" w:id="3"/>
      <w:bookmarkEnd w:id="3"/>
      <w:r>
        <w:rPr>
          <w:b w:val="0"/>
          <w:bCs w:val="0"/>
        </w:rPr>
      </w:r>
      <w:r>
        <w:rPr/>
        <w:t>第四节 </w:t>
      </w:r>
      <w:r>
        <w:rPr>
          <w:spacing w:val="18"/>
        </w:rPr>
        <w:t> </w:t>
      </w:r>
      <w:r>
        <w:rPr/>
        <w:t>经营情况讨论与分析</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2"/>
        <w:spacing w:line="367" w:lineRule="exact"/>
        <w:ind w:right="0"/>
        <w:jc w:val="left"/>
        <w:rPr>
          <w:b w:val="0"/>
          <w:bCs w:val="0"/>
        </w:rPr>
      </w:pPr>
      <w:r>
        <w:rPr/>
        <w:t>一、概述</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00" w:lineRule="auto"/>
        <w:ind w:right="1127" w:firstLine="508"/>
        <w:jc w:val="left"/>
      </w:pPr>
      <w:r>
        <w:rPr>
          <w:spacing w:val="-4"/>
        </w:rPr>
        <w:t>报告期内，公司以</w:t>
      </w:r>
      <w:r>
        <w:rPr>
          <w:rFonts w:ascii="Times New Roman" w:hAnsi="Times New Roman" w:cs="Times New Roman" w:eastAsia="Times New Roman" w:hint="default"/>
          <w:spacing w:val="-4"/>
        </w:rPr>
        <w:t>“</w:t>
      </w:r>
      <w:r>
        <w:rPr>
          <w:spacing w:val="-4"/>
        </w:rPr>
        <w:t>总部（决策机构）</w:t>
      </w:r>
      <w:r>
        <w:rPr>
          <w:rFonts w:ascii="Times New Roman" w:hAnsi="Times New Roman" w:cs="Times New Roman" w:eastAsia="Times New Roman" w:hint="default"/>
          <w:spacing w:val="-4"/>
        </w:rPr>
        <w:t>+</w:t>
      </w:r>
      <w:r>
        <w:rPr>
          <w:spacing w:val="-4"/>
        </w:rPr>
        <w:t>平台（经营管理平台、共享服务平台）</w:t>
      </w:r>
      <w:r>
        <w:rPr>
          <w:rFonts w:ascii="Times New Roman" w:hAnsi="Times New Roman" w:cs="Times New Roman" w:eastAsia="Times New Roman" w:hint="default"/>
          <w:spacing w:val="-4"/>
        </w:rPr>
        <w:t>+</w:t>
      </w:r>
      <w:r>
        <w:rPr>
          <w:spacing w:val="-4"/>
        </w:rPr>
        <w:t>业务单元</w:t>
      </w:r>
      <w:r>
        <w:rPr>
          <w:rFonts w:ascii="Times New Roman" w:hAnsi="Times New Roman" w:cs="Times New Roman" w:eastAsia="Times New Roman" w:hint="default"/>
          <w:spacing w:val="-4"/>
        </w:rPr>
        <w:t>”</w:t>
      </w:r>
      <w:r>
        <w:rPr>
          <w:spacing w:val="-4"/>
        </w:rPr>
        <w:t>的扁平化管理架构，持续优</w:t>
      </w:r>
      <w:r>
        <w:rPr>
          <w:w w:val="101"/>
        </w:rPr>
        <w:t> </w:t>
      </w:r>
      <w:r>
        <w:rPr>
          <w:spacing w:val="-3"/>
        </w:rPr>
        <w:t>化平台运营能力，已全面实现了</w:t>
      </w:r>
      <w:r>
        <w:rPr>
          <w:rFonts w:ascii="Times New Roman" w:hAnsi="Times New Roman" w:cs="Times New Roman" w:eastAsia="Times New Roman" w:hint="default"/>
          <w:spacing w:val="-3"/>
        </w:rPr>
        <w:t>“</w:t>
      </w:r>
      <w:r>
        <w:rPr>
          <w:spacing w:val="-3"/>
        </w:rPr>
        <w:t>集中决策</w:t>
      </w:r>
      <w:r>
        <w:rPr>
          <w:rFonts w:ascii="Times New Roman" w:hAnsi="Times New Roman" w:cs="Times New Roman" w:eastAsia="Times New Roman" w:hint="default"/>
          <w:spacing w:val="-3"/>
        </w:rPr>
        <w:t>-</w:t>
      </w:r>
      <w:r>
        <w:rPr>
          <w:spacing w:val="-3"/>
        </w:rPr>
        <w:t>分散运营</w:t>
      </w:r>
      <w:r>
        <w:rPr>
          <w:rFonts w:ascii="Times New Roman" w:hAnsi="Times New Roman" w:cs="Times New Roman" w:eastAsia="Times New Roman" w:hint="default"/>
          <w:spacing w:val="-3"/>
        </w:rPr>
        <w:t>”</w:t>
      </w:r>
      <w:r>
        <w:rPr>
          <w:spacing w:val="-3"/>
        </w:rPr>
        <w:t>的授权经营体系。</w:t>
      </w:r>
    </w:p>
    <w:p>
      <w:pPr>
        <w:pStyle w:val="BodyText"/>
        <w:spacing w:line="316" w:lineRule="auto" w:before="13"/>
        <w:ind w:right="0" w:firstLine="508"/>
        <w:jc w:val="left"/>
      </w:pPr>
      <w:r>
        <w:rPr>
          <w:spacing w:val="-4"/>
        </w:rPr>
        <w:t>报告期内，公司顺利完成年度经营计划，实现了销售收入和经营业绩的稳定增长，巩固了公司的行业及市场地位，提</w:t>
      </w:r>
      <w:r>
        <w:rPr>
          <w:w w:val="101"/>
        </w:rPr>
        <w:t> </w:t>
      </w:r>
      <w:r>
        <w:rPr>
          <w:spacing w:val="-3"/>
        </w:rPr>
        <w:t>高了公司的品牌知名度。</w:t>
      </w:r>
    </w:p>
    <w:p>
      <w:pPr>
        <w:pStyle w:val="BodyText"/>
        <w:spacing w:line="316" w:lineRule="auto" w:before="19"/>
        <w:ind w:left="662" w:right="0"/>
        <w:jc w:val="left"/>
      </w:pPr>
      <w:r>
        <w:rPr>
          <w:spacing w:val="-3"/>
        </w:rPr>
        <w:t>具体经营数据如下：</w:t>
      </w:r>
      <w:r>
        <w:rPr>
          <w:spacing w:val="-62"/>
        </w:rPr>
        <w:t> </w:t>
      </w:r>
      <w:r>
        <w:rPr>
          <w:spacing w:val="-62"/>
        </w:rPr>
      </w:r>
      <w:r>
        <w:rPr>
          <w:spacing w:val="-3"/>
        </w:rPr>
        <w:t>报告期内，公司实现营业收入</w:t>
      </w:r>
      <w:r>
        <w:rPr>
          <w:rFonts w:ascii="Times New Roman" w:hAnsi="Times New Roman" w:cs="Times New Roman" w:eastAsia="Times New Roman" w:hint="default"/>
          <w:spacing w:val="-3"/>
        </w:rPr>
        <w:t>203,771.39</w:t>
      </w:r>
      <w:r>
        <w:rPr>
          <w:spacing w:val="-3"/>
        </w:rPr>
        <w:t>万元，较上年同期增长</w:t>
      </w:r>
      <w:r>
        <w:rPr>
          <w:rFonts w:ascii="Times New Roman" w:hAnsi="Times New Roman" w:cs="Times New Roman" w:eastAsia="Times New Roman" w:hint="default"/>
          <w:spacing w:val="-3"/>
        </w:rPr>
        <w:t>26.41%</w:t>
      </w:r>
      <w:r>
        <w:rPr>
          <w:spacing w:val="-3"/>
        </w:rPr>
        <w:t>；利润总额为</w:t>
      </w:r>
      <w:r>
        <w:rPr>
          <w:rFonts w:ascii="Times New Roman" w:hAnsi="Times New Roman" w:cs="Times New Roman" w:eastAsia="Times New Roman" w:hint="default"/>
          <w:spacing w:val="-3"/>
        </w:rPr>
        <w:t>32,593.56</w:t>
      </w:r>
      <w:r>
        <w:rPr>
          <w:spacing w:val="-3"/>
        </w:rPr>
        <w:t>万元，较上年同期增长</w:t>
      </w:r>
    </w:p>
    <w:p>
      <w:pPr>
        <w:pStyle w:val="BodyText"/>
        <w:spacing w:line="300" w:lineRule="auto"/>
        <w:ind w:right="0"/>
        <w:jc w:val="left"/>
      </w:pPr>
      <w:r>
        <w:rPr>
          <w:rFonts w:ascii="Times New Roman" w:hAnsi="Times New Roman" w:cs="Times New Roman" w:eastAsia="Times New Roman" w:hint="default"/>
          <w:spacing w:val="-3"/>
        </w:rPr>
        <w:t>21.08%</w:t>
      </w:r>
      <w:r>
        <w:rPr>
          <w:spacing w:val="-3"/>
        </w:rPr>
        <w:t>；归属上市公司股东净利润为</w:t>
      </w:r>
      <w:r>
        <w:rPr>
          <w:rFonts w:ascii="Times New Roman" w:hAnsi="Times New Roman" w:cs="Times New Roman" w:eastAsia="Times New Roman" w:hint="default"/>
          <w:spacing w:val="-3"/>
        </w:rPr>
        <w:t>31,437.79</w:t>
      </w:r>
      <w:r>
        <w:rPr>
          <w:spacing w:val="-3"/>
        </w:rPr>
        <w:t>万元，较上年同期增长</w:t>
      </w:r>
      <w:r>
        <w:rPr>
          <w:rFonts w:ascii="Times New Roman" w:hAnsi="Times New Roman" w:cs="Times New Roman" w:eastAsia="Times New Roman" w:hint="default"/>
          <w:spacing w:val="-3"/>
        </w:rPr>
        <w:t>26.05%</w:t>
      </w:r>
      <w:r>
        <w:rPr>
          <w:spacing w:val="-3"/>
        </w:rPr>
        <w:t>；归属于上市公司股东的扣除非经常性损益的</w:t>
      </w:r>
      <w:r>
        <w:rPr>
          <w:spacing w:val="9"/>
        </w:rPr>
        <w:t> </w:t>
      </w:r>
      <w:r>
        <w:rPr>
          <w:spacing w:val="9"/>
        </w:rPr>
      </w:r>
      <w:r>
        <w:rPr/>
        <w:t>净利润为</w:t>
      </w:r>
      <w:r>
        <w:rPr>
          <w:rFonts w:ascii="Times New Roman" w:hAnsi="Times New Roman" w:cs="Times New Roman" w:eastAsia="Times New Roman" w:hint="default"/>
        </w:rPr>
        <w:t>29,220.36</w:t>
      </w:r>
      <w:r>
        <w:rPr/>
        <w:t>万元，较上年同期增长</w:t>
      </w:r>
      <w:r>
        <w:rPr>
          <w:rFonts w:ascii="Times New Roman" w:hAnsi="Times New Roman" w:cs="Times New Roman" w:eastAsia="Times New Roman" w:hint="default"/>
        </w:rPr>
        <w:t>29.53%</w:t>
      </w:r>
      <w:r>
        <w:rPr/>
        <w:t>。</w:t>
      </w:r>
    </w:p>
    <w:p>
      <w:pPr>
        <w:pStyle w:val="BodyText"/>
        <w:spacing w:line="304" w:lineRule="auto" w:before="13"/>
        <w:ind w:right="1026" w:firstLine="508"/>
        <w:jc w:val="left"/>
      </w:pPr>
      <w:r>
        <w:rPr>
          <w:spacing w:val="-3"/>
        </w:rPr>
        <w:t>报告期内，公司主营业务收入为</w:t>
      </w:r>
      <w:r>
        <w:rPr>
          <w:rFonts w:ascii="Times New Roman" w:hAnsi="Times New Roman" w:cs="Times New Roman" w:eastAsia="Times New Roman" w:hint="default"/>
          <w:spacing w:val="-3"/>
        </w:rPr>
        <w:t>199,890.18</w:t>
      </w:r>
      <w:r>
        <w:rPr>
          <w:spacing w:val="-3"/>
        </w:rPr>
        <w:t>万元，较上年同期增长</w:t>
      </w:r>
      <w:r>
        <w:rPr>
          <w:rFonts w:ascii="Times New Roman" w:hAnsi="Times New Roman" w:cs="Times New Roman" w:eastAsia="Times New Roman" w:hint="default"/>
          <w:spacing w:val="-3"/>
        </w:rPr>
        <w:t>26.28%</w:t>
      </w:r>
      <w:r>
        <w:rPr>
          <w:spacing w:val="-3"/>
        </w:rPr>
        <w:t>，主要原因系公司主要的业务领域所在的市</w:t>
      </w:r>
      <w:r>
        <w:rPr>
          <w:w w:val="101"/>
        </w:rPr>
        <w:t> </w:t>
      </w:r>
      <w:r>
        <w:rPr>
          <w:spacing w:val="-4"/>
        </w:rPr>
        <w:t>场需求持续向好，公司各业务领域的核心竞争力不断提升，主营业务业绩不断增长。其中，公司金融科技服务业务实现营业</w:t>
      </w:r>
      <w:r>
        <w:rPr>
          <w:spacing w:val="40"/>
        </w:rPr>
        <w:t> </w:t>
      </w:r>
      <w:r>
        <w:rPr>
          <w:spacing w:val="40"/>
        </w:rPr>
      </w:r>
      <w:r>
        <w:rPr>
          <w:spacing w:val="-2"/>
        </w:rPr>
        <w:t>收入</w:t>
      </w:r>
      <w:r>
        <w:rPr>
          <w:rFonts w:ascii="Times New Roman" w:hAnsi="Times New Roman" w:cs="Times New Roman" w:eastAsia="Times New Roman" w:hint="default"/>
          <w:spacing w:val="-2"/>
        </w:rPr>
        <w:t>132,268.60</w:t>
      </w:r>
      <w:r>
        <w:rPr>
          <w:spacing w:val="-2"/>
        </w:rPr>
        <w:t>万元，较上年同期增长</w:t>
      </w:r>
      <w:r>
        <w:rPr>
          <w:rFonts w:ascii="Times New Roman" w:hAnsi="Times New Roman" w:cs="Times New Roman" w:eastAsia="Times New Roman" w:hint="default"/>
          <w:spacing w:val="-2"/>
        </w:rPr>
        <w:t>25.39%</w:t>
      </w:r>
      <w:r>
        <w:rPr>
          <w:spacing w:val="-2"/>
        </w:rPr>
        <w:t>；智能终端信息化业务实现营业收入</w:t>
      </w:r>
      <w:r>
        <w:rPr>
          <w:rFonts w:ascii="Times New Roman" w:hAnsi="Times New Roman" w:cs="Times New Roman" w:eastAsia="Times New Roman" w:hint="default"/>
          <w:spacing w:val="-2"/>
        </w:rPr>
        <w:t>29,818.60</w:t>
      </w:r>
      <w:r>
        <w:rPr>
          <w:spacing w:val="-2"/>
        </w:rPr>
        <w:t>万元，较上年同期增长</w:t>
      </w:r>
      <w:r>
        <w:rPr>
          <w:rFonts w:ascii="Times New Roman" w:hAnsi="Times New Roman" w:cs="Times New Roman" w:eastAsia="Times New Roman" w:hint="default"/>
          <w:spacing w:val="-2"/>
        </w:rPr>
        <w:t>45.10%</w:t>
      </w:r>
      <w:r>
        <w:rPr>
          <w:spacing w:val="-2"/>
        </w:rPr>
        <w:t>；</w:t>
      </w:r>
      <w:r>
        <w:rPr>
          <w:spacing w:val="49"/>
        </w:rPr>
        <w:t> </w:t>
      </w:r>
      <w:r>
        <w:rPr>
          <w:spacing w:val="-3"/>
        </w:rPr>
        <w:t>智慧能源信息化业务实现营业收入</w:t>
      </w:r>
      <w:r>
        <w:rPr>
          <w:rFonts w:ascii="Times New Roman" w:hAnsi="Times New Roman" w:cs="Times New Roman" w:eastAsia="Times New Roman" w:hint="default"/>
          <w:spacing w:val="-3"/>
        </w:rPr>
        <w:t>19,222.45</w:t>
      </w:r>
      <w:r>
        <w:rPr>
          <w:spacing w:val="-3"/>
        </w:rPr>
        <w:t>万元，较上年同期增长</w:t>
      </w:r>
      <w:r>
        <w:rPr>
          <w:rFonts w:ascii="Times New Roman" w:hAnsi="Times New Roman" w:cs="Times New Roman" w:eastAsia="Times New Roman" w:hint="default"/>
          <w:spacing w:val="-3"/>
        </w:rPr>
        <w:t>27.36%</w:t>
      </w:r>
      <w:r>
        <w:rPr>
          <w:spacing w:val="-3"/>
        </w:rPr>
        <w:t>；智能供应链信息化业务实现营业收入</w:t>
      </w:r>
      <w:r>
        <w:rPr>
          <w:rFonts w:ascii="Times New Roman" w:hAnsi="Times New Roman" w:cs="Times New Roman" w:eastAsia="Times New Roman" w:hint="default"/>
          <w:spacing w:val="-3"/>
        </w:rPr>
        <w:t>17,301.09</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3"/>
        </w:rPr>
        <w:t>万元，较上年同期增长</w:t>
      </w:r>
      <w:r>
        <w:rPr>
          <w:rFonts w:ascii="Times New Roman" w:hAnsi="Times New Roman" w:cs="Times New Roman" w:eastAsia="Times New Roman" w:hint="default"/>
          <w:spacing w:val="-3"/>
        </w:rPr>
        <w:t>24.96%</w:t>
      </w:r>
      <w:r>
        <w:rPr>
          <w:spacing w:val="-3"/>
        </w:rPr>
        <w:t>；其他软件服务业务实现营业收入</w:t>
      </w:r>
      <w:r>
        <w:rPr>
          <w:rFonts w:ascii="Times New Roman" w:hAnsi="Times New Roman" w:cs="Times New Roman" w:eastAsia="Times New Roman" w:hint="default"/>
          <w:spacing w:val="-3"/>
        </w:rPr>
        <w:t>721.12</w:t>
      </w:r>
      <w:r>
        <w:rPr>
          <w:spacing w:val="-3"/>
        </w:rPr>
        <w:t>万元；外购软硬件产品销售业务实现营业收入</w:t>
      </w:r>
      <w:r>
        <w:rPr>
          <w:rFonts w:ascii="Times New Roman" w:hAnsi="Times New Roman" w:cs="Times New Roman" w:eastAsia="Times New Roman" w:hint="default"/>
          <w:spacing w:val="-3"/>
        </w:rPr>
        <w:t>558.32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w:t>
      </w:r>
    </w:p>
    <w:p>
      <w:pPr>
        <w:pStyle w:val="BodyText"/>
        <w:spacing w:line="300" w:lineRule="auto" w:before="28"/>
        <w:ind w:right="0" w:firstLine="508"/>
        <w:jc w:val="left"/>
      </w:pPr>
      <w:r>
        <w:rPr>
          <w:spacing w:val="-3"/>
        </w:rPr>
        <w:t>报告期内，公司非主营业务实现营业收入</w:t>
      </w:r>
      <w:r>
        <w:rPr>
          <w:rFonts w:ascii="Times New Roman" w:hAnsi="Times New Roman" w:cs="Times New Roman" w:eastAsia="Times New Roman" w:hint="default"/>
          <w:spacing w:val="-3"/>
        </w:rPr>
        <w:t>3,881.21</w:t>
      </w:r>
      <w:r>
        <w:rPr>
          <w:spacing w:val="-3"/>
        </w:rPr>
        <w:t>万元，较上年同期增长</w:t>
      </w:r>
      <w:r>
        <w:rPr>
          <w:rFonts w:ascii="Times New Roman" w:hAnsi="Times New Roman" w:cs="Times New Roman" w:eastAsia="Times New Roman" w:hint="default"/>
          <w:spacing w:val="-3"/>
        </w:rPr>
        <w:t>33.40%</w:t>
      </w:r>
      <w:r>
        <w:rPr>
          <w:spacing w:val="-3"/>
        </w:rPr>
        <w:t>，非主营业务主要系公司子公司外包</w:t>
      </w:r>
      <w:r>
        <w:rPr>
          <w:w w:val="101"/>
        </w:rPr>
        <w:t> </w:t>
      </w:r>
      <w:r>
        <w:rPr>
          <w:spacing w:val="-3"/>
        </w:rPr>
        <w:t>园公司的房屋租赁及物业收入，增长的原因主要系办公楼对外租赁面积增加。</w:t>
      </w:r>
    </w:p>
    <w:p>
      <w:pPr>
        <w:spacing w:line="240" w:lineRule="auto" w:before="6"/>
        <w:rPr>
          <w:rFonts w:ascii="宋体" w:hAnsi="宋体" w:cs="宋体" w:eastAsia="宋体" w:hint="default"/>
          <w:sz w:val="15"/>
          <w:szCs w:val="15"/>
        </w:rPr>
      </w:pPr>
    </w:p>
    <w:p>
      <w:pPr>
        <w:pStyle w:val="Heading2"/>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0" w:lineRule="auto" w:before="0"/>
        <w:ind w:left="153" w:right="628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6967"/>
        <w:jc w:val="left"/>
      </w:pPr>
      <w:r>
        <w:rPr>
          <w:spacing w:val="-3"/>
        </w:rPr>
        <w:t>公司是否需要遵守光伏产业链相关业的披露要求</w:t>
      </w:r>
      <w:r>
        <w:rPr>
          <w:spacing w:val="-27"/>
        </w:rPr>
        <w:t> </w:t>
      </w:r>
      <w:r>
        <w:rPr>
          <w:spacing w:val="-27"/>
        </w:rPr>
      </w:r>
      <w:r>
        <w:rPr/>
        <w:t>否</w:t>
      </w:r>
    </w:p>
    <w:p>
      <w:pPr>
        <w:pStyle w:val="BodyText"/>
        <w:spacing w:line="338" w:lineRule="auto" w:before="31"/>
        <w:ind w:right="1362"/>
        <w:jc w:val="left"/>
      </w:pPr>
      <w:r>
        <w:rPr>
          <w:spacing w:val="-3"/>
        </w:rPr>
        <w:t>公司是否需遵守《深圳证券交易所创业板行业信息披露指引第 </w:t>
      </w:r>
      <w:r>
        <w:rPr>
          <w:rFonts w:ascii="Times New Roman" w:hAnsi="Times New Roman" w:cs="Times New Roman" w:eastAsia="Times New Roman" w:hint="default"/>
        </w:rPr>
        <w:t>1 </w:t>
      </w:r>
      <w:r>
        <w:rPr>
          <w:spacing w:val="-3"/>
        </w:rPr>
        <w:t>号</w:t>
      </w:r>
      <w:r>
        <w:rPr>
          <w:rFonts w:ascii="Times New Roman" w:hAnsi="Times New Roman" w:cs="Times New Roman" w:eastAsia="Times New Roman" w:hint="default"/>
          <w:spacing w:val="-3"/>
        </w:rPr>
        <w:t>——</w:t>
      </w:r>
      <w:r>
        <w:rPr>
          <w:spacing w:val="-3"/>
        </w:rPr>
        <w:t>上市公司从事广播电影电视业务》的披露要求：</w:t>
      </w:r>
      <w:r>
        <w:rPr>
          <w:spacing w:val="-69"/>
        </w:rPr>
        <w:t> </w:t>
      </w:r>
      <w:r>
        <w:rPr>
          <w:spacing w:val="-69"/>
        </w:rPr>
      </w:r>
      <w:r>
        <w:rPr/>
        <w:t>否</w:t>
      </w:r>
    </w:p>
    <w:p>
      <w:pPr>
        <w:pStyle w:val="BodyText"/>
        <w:spacing w:line="343" w:lineRule="auto" w:before="41"/>
        <w:ind w:right="1645"/>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29"/>
        </w:rPr>
        <w:t> </w:t>
      </w:r>
      <w:r>
        <w:rPr>
          <w:spacing w:val="-29"/>
        </w:rPr>
      </w:r>
      <w:r>
        <w:rPr/>
        <w:t>否</w:t>
      </w:r>
    </w:p>
    <w:p>
      <w:pPr>
        <w:pStyle w:val="BodyText"/>
        <w:spacing w:line="338" w:lineRule="auto" w:before="37"/>
        <w:ind w:right="1026"/>
        <w:jc w:val="left"/>
      </w:pPr>
      <w:r>
        <w:rPr>
          <w:spacing w:val="-3"/>
        </w:rPr>
        <w:t>公司是否需遵守《深圳证券交易所创业板行业信息披露指引第</w:t>
      </w:r>
      <w:r>
        <w:rPr>
          <w:spacing w:val="-21"/>
        </w:rPr>
        <w:t> </w:t>
      </w:r>
      <w:r>
        <w:rPr>
          <w:rFonts w:ascii="Times New Roman" w:hAnsi="Times New Roman" w:cs="Times New Roman" w:eastAsia="Times New Roman" w:hint="default"/>
        </w:rPr>
        <w:t>9</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w:t>
      </w:r>
      <w:r>
        <w:rPr>
          <w:spacing w:val="-13"/>
        </w:rPr>
        <w:t> </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28"/>
        </w:rPr>
        <w:t> </w:t>
      </w:r>
      <w:r>
        <w:rPr>
          <w:spacing w:val="-3"/>
        </w:rPr>
        <w:t>产业链相关业务》的披露要求：</w:t>
      </w:r>
      <w:r>
        <w:rPr>
          <w:spacing w:val="-77"/>
        </w:rPr>
        <w:t> </w:t>
      </w:r>
      <w:r>
        <w:rPr>
          <w:spacing w:val="-77"/>
        </w:rPr>
      </w:r>
      <w:r>
        <w:rPr/>
        <w:t>否</w:t>
      </w:r>
    </w:p>
    <w:p>
      <w:pPr>
        <w:pStyle w:val="BodyText"/>
        <w:spacing w:line="338" w:lineRule="auto" w:before="45"/>
        <w:ind w:right="1645"/>
        <w:jc w:val="left"/>
      </w:pPr>
      <w:r>
        <w:rPr>
          <w:spacing w:val="-3"/>
        </w:rPr>
        <w:t>公司是否需遵守《深圳证券交易所创业板行业信息披露指引第 </w:t>
      </w:r>
      <w:r>
        <w:rPr>
          <w:rFonts w:ascii="Times New Roman" w:hAnsi="Times New Roman" w:cs="Times New Roman" w:eastAsia="Times New Roman" w:hint="default"/>
        </w:rPr>
        <w:t>10 </w:t>
      </w:r>
      <w:r>
        <w:rPr>
          <w:spacing w:val="-3"/>
        </w:rPr>
        <w:t>号</w:t>
      </w:r>
      <w:r>
        <w:rPr>
          <w:rFonts w:ascii="Times New Roman" w:hAnsi="Times New Roman" w:cs="Times New Roman" w:eastAsia="Times New Roman" w:hint="default"/>
          <w:spacing w:val="-3"/>
        </w:rPr>
        <w:t>——</w:t>
      </w:r>
      <w:r>
        <w:rPr>
          <w:spacing w:val="-3"/>
        </w:rPr>
        <w:t>上市公司从事医疗器械业务》的披露要求：</w:t>
      </w:r>
      <w:r>
        <w:rPr>
          <w:spacing w:val="-28"/>
        </w:rPr>
        <w:t> </w:t>
      </w:r>
      <w:r>
        <w:rPr>
          <w:spacing w:val="-28"/>
        </w:rPr>
      </w:r>
      <w:r>
        <w:rPr/>
        <w:t>否</w:t>
      </w:r>
    </w:p>
    <w:p>
      <w:pPr>
        <w:spacing w:after="0" w:line="338"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8" w:lineRule="auto" w:before="46"/>
        <w:ind w:left="253" w:right="1626"/>
        <w:jc w:val="left"/>
      </w:pPr>
      <w:r>
        <w:rPr>
          <w:spacing w:val="-3"/>
        </w:rPr>
        <w:t>公司是否需遵守《深圳证券交易所行业信息披露指引第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上市公司从软件与信息技术服务业务》的披露要求</w:t>
      </w:r>
      <w:r>
        <w:rPr>
          <w:spacing w:val="-28"/>
        </w:rPr>
        <w:t> </w:t>
      </w:r>
      <w:r>
        <w:rPr>
          <w:spacing w:val="-28"/>
        </w:rPr>
      </w:r>
      <w:r>
        <w:rPr/>
        <w:t>是</w:t>
      </w: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661"/>
        <w:gridCol w:w="1008"/>
        <w:gridCol w:w="1013"/>
        <w:gridCol w:w="1008"/>
        <w:gridCol w:w="1013"/>
        <w:gridCol w:w="1004"/>
        <w:gridCol w:w="1004"/>
        <w:gridCol w:w="1004"/>
        <w:gridCol w:w="1004"/>
      </w:tblGrid>
      <w:tr>
        <w:trPr>
          <w:trHeight w:val="403" w:hRule="exact"/>
        </w:trPr>
        <w:tc>
          <w:tcPr>
            <w:tcW w:w="1661" w:type="dxa"/>
            <w:vMerge w:val="restart"/>
            <w:tcBorders>
              <w:top w:val="single" w:sz="4" w:space="0" w:color="000000"/>
              <w:left w:val="single" w:sz="4" w:space="0" w:color="000000"/>
              <w:right w:val="single" w:sz="4" w:space="0" w:color="000000"/>
            </w:tcBorders>
            <w:shd w:val="clear" w:color="auto" w:fill="D2D2D2"/>
          </w:tcPr>
          <w:p>
            <w:pP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1661"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448,502,583.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429,028,856.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526,143,354.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634,039,141.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343,211,581.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352,868,779.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384,875,338.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531,018,737.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6"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80"/>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45,162,295.8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52,657,573.4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81,147,878.8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135,410,170.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37,020,026.0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28,271,697.3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59,617,365.8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124,502,066.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880" w:right="0"/>
        </w:sectPr>
      </w:pPr>
    </w:p>
    <w:p>
      <w:pPr>
        <w:pStyle w:val="BodyText"/>
        <w:spacing w:line="362" w:lineRule="auto" w:before="53"/>
        <w:ind w:left="253" w:right="0"/>
        <w:jc w:val="left"/>
      </w:pPr>
      <w:r>
        <w:rPr>
          <w:spacing w:val="-3"/>
        </w:rPr>
        <w:t>说明经营季节性（或周期性）发生的原因及波动风险</w:t>
      </w:r>
      <w:r>
        <w:rPr>
          <w:spacing w:val="-21"/>
        </w:rPr>
        <w:t> </w:t>
      </w:r>
      <w:r>
        <w:rPr>
          <w:spacing w:val="-21"/>
        </w:rPr>
      </w: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253" w:right="0"/>
        <w:jc w:val="left"/>
      </w:pPr>
      <w:r>
        <w:rPr/>
        <w:t>单位：元</w:t>
      </w:r>
    </w:p>
    <w:p>
      <w:pPr>
        <w:spacing w:after="0" w:line="240" w:lineRule="auto"/>
        <w:jc w:val="left"/>
        <w:sectPr>
          <w:type w:val="continuous"/>
          <w:pgSz w:w="11910" w:h="16840"/>
          <w:pgMar w:top="1060" w:bottom="1160" w:left="880" w:right="0"/>
          <w:cols w:num="2" w:equalWidth="0">
            <w:col w:w="4397" w:space="4525"/>
            <w:col w:w="2108"/>
          </w:cols>
        </w:sectPr>
      </w:pP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2,037,713,936.33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1,611,974,436.67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26.41%</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1,993,318,672.78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1,553,092,113.27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28.35%</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系统集成及运维服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务业务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25,343,307.40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外购软硬件产品销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售业务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5,583,169.70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4,445,122.59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38,812,093.85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29,093,893.41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33.40%</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1,322,686,007.15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1,054,862,266.16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智能终端信息化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298,185,959.68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205,504,611.46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45.10%</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智慧能源信息化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192,224,531.62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150,924,979.14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智能供应链信息化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173,010,918.93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138,453,753.81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24.96%</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系统集成及运维服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25,343,307.40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外购软硬件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5,583,169.70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4,445,122.59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25.60%</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7,211,255.40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3,346,502.70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115.49%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房租物业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38,812,093.85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29,093,893.41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33.40%</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1,961,811,872.81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1,541,508,167.16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27.27%</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75,902,063.52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70,466,269.51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980" w:right="0"/>
        </w:sectPr>
      </w:pPr>
    </w:p>
    <w:p>
      <w:pPr>
        <w:pStyle w:val="BodyText"/>
        <w:spacing w:line="348" w:lineRule="auto" w:before="46"/>
        <w:ind w:right="57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公司是否需要遵守特殊行业的披露要求</w:t>
      </w:r>
      <w:r>
        <w:rPr>
          <w:spacing w:val="-39"/>
        </w:rPr>
        <w:t> </w:t>
      </w:r>
      <w:r>
        <w:rPr>
          <w:spacing w:val="-39"/>
        </w:rPr>
      </w:r>
      <w:r>
        <w:rPr/>
        <w:t>是</w:t>
      </w:r>
    </w:p>
    <w:p>
      <w:pPr>
        <w:pStyle w:val="BodyText"/>
        <w:spacing w:line="240" w:lineRule="auto" w:before="38"/>
        <w:ind w:right="5747"/>
        <w:jc w:val="left"/>
      </w:pPr>
      <w:r>
        <w:rPr/>
        <w:t>软件与信息技术服务业</w:t>
      </w:r>
    </w:p>
    <w:p>
      <w:pPr>
        <w:pStyle w:val="BodyText"/>
        <w:spacing w:line="240" w:lineRule="auto" w:before="115"/>
        <w:ind w:right="-12"/>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9"/>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6" w:hanging="270"/>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1,993,318,672.78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1,173,727,643.86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-3.32%</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1,322,686,007.15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735,806,467.44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智能终端信息化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298,185,959.68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179,883,579.94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-1.67%</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1,961,811,872.81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1,152,190,415.17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-2.85%</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type w:val="continuous"/>
          <w:pgSz w:w="11910" w:h="16840"/>
          <w:pgMar w:top="1060" w:bottom="1160" w:left="980" w:right="0"/>
        </w:sectPr>
      </w:pPr>
    </w:p>
    <w:p>
      <w:pPr>
        <w:pStyle w:val="BodyText"/>
        <w:spacing w:line="343" w:lineRule="auto" w:before="46"/>
        <w:ind w:right="-12"/>
        <w:jc w:val="left"/>
      </w:pPr>
      <w:r>
        <w:rPr>
          <w:spacing w:val="-3"/>
        </w:rPr>
        <w:t>公司需遵守《深圳证券交易所行业信息披露指引第</w:t>
      </w:r>
      <w:r>
        <w:rPr>
          <w:spacing w:val="2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79"/>
        </w:rPr>
        <w:t> </w:t>
      </w:r>
      <w:r>
        <w:rPr>
          <w:spacing w:val="-79"/>
        </w:rPr>
      </w:r>
      <w:r>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725,125,530.48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554,055,496.13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30.88%</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267,908,943.58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166,802,748.75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60.61%</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26" w:firstLine="451"/>
              <w:jc w:val="left"/>
              <w:rPr>
                <w:rFonts w:ascii="宋体" w:hAnsi="宋体" w:cs="宋体" w:eastAsia="宋体" w:hint="default"/>
                <w:sz w:val="18"/>
                <w:szCs w:val="18"/>
              </w:rPr>
            </w:pPr>
            <w:r>
              <w:rPr>
                <w:rFonts w:ascii="宋体" w:hAnsi="宋体" w:cs="宋体" w:eastAsia="宋体" w:hint="default"/>
                <w:spacing w:val="-15"/>
                <w:w w:val="101"/>
                <w:sz w:val="18"/>
                <w:szCs w:val="18"/>
              </w:rPr>
              <w:t>其中：（</w:t>
            </w: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）外</w:t>
            </w:r>
            <w:r>
              <w:rPr>
                <w:rFonts w:ascii="宋体" w:hAnsi="宋体" w:cs="宋体" w:eastAsia="宋体" w:hint="default"/>
                <w:w w:val="101"/>
                <w:sz w:val="18"/>
                <w:szCs w:val="18"/>
              </w:rPr>
              <w:t> </w:t>
            </w:r>
            <w:r>
              <w:rPr>
                <w:rFonts w:ascii="宋体" w:hAnsi="宋体" w:cs="宋体" w:eastAsia="宋体" w:hint="default"/>
                <w:sz w:val="18"/>
                <w:szCs w:val="18"/>
              </w:rPr>
              <w:t>包成本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230,914,909.17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119,060,997.66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）软硬件成本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36,994,034.41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47,741,751.09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、项目实施费用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183,268,830.78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163,516,812.94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主营业务成本合计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1,176,303,304.84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884,375,057.82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33.01%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362" w:lineRule="auto" w:before="53"/>
        <w:ind w:right="-7"/>
        <w:jc w:val="left"/>
      </w:pPr>
      <w:r>
        <w:rPr>
          <w:spacing w:val="-2"/>
        </w:rPr>
        <w:t>行业分类</w:t>
      </w:r>
      <w:r>
        <w:rPr>
          <w:spacing w:val="-78"/>
        </w:rPr>
        <w:t> </w:t>
      </w:r>
      <w:r>
        <w:rPr>
          <w:spacing w:val="-78"/>
        </w:rPr>
      </w:r>
      <w:r>
        <w:rPr>
          <w:spacing w:val="-2"/>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9" w:space="8043"/>
            <w:col w:w="2008"/>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725,125,530.48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554,055,496.13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267,908,943.58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166,802,748.75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60.61%</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0" w:firstLine="451"/>
              <w:jc w:val="left"/>
              <w:rPr>
                <w:rFonts w:ascii="宋体" w:hAnsi="宋体" w:cs="宋体" w:eastAsia="宋体" w:hint="default"/>
                <w:sz w:val="18"/>
                <w:szCs w:val="18"/>
              </w:rPr>
            </w:pPr>
            <w:r>
              <w:rPr>
                <w:rFonts w:ascii="宋体" w:hAnsi="宋体" w:cs="宋体" w:eastAsia="宋体" w:hint="default"/>
                <w:spacing w:val="-17"/>
                <w:w w:val="101"/>
                <w:sz w:val="18"/>
                <w:szCs w:val="18"/>
              </w:rPr>
              <w:t>其中：（</w:t>
            </w:r>
            <w:r>
              <w:rPr>
                <w:rFonts w:ascii="Times New Roman" w:hAnsi="Times New Roman" w:cs="Times New Roman" w:eastAsia="Times New Roman" w:hint="default"/>
                <w:spacing w:val="-17"/>
                <w:w w:val="101"/>
                <w:sz w:val="18"/>
                <w:szCs w:val="18"/>
              </w:rPr>
              <w:t>1</w:t>
            </w:r>
            <w:r>
              <w:rPr>
                <w:rFonts w:ascii="宋体" w:hAnsi="宋体" w:cs="宋体" w:eastAsia="宋体" w:hint="default"/>
                <w:spacing w:val="-17"/>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外包成本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230,914,909.17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119,060,997.66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）软硬件成本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36,994,034.41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47,741,751.09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、项目实施费用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183,268,830.78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163,516,812.94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软件与信息技术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主营业务成本合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1,176,303,304.84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884,375,057.82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w:t>
            </w:r>
          </w:p>
        </w:tc>
      </w:tr>
    </w:tbl>
    <w:p>
      <w:pPr>
        <w:pStyle w:val="BodyText"/>
        <w:spacing w:line="240" w:lineRule="auto" w:before="53"/>
        <w:ind w:right="0"/>
        <w:jc w:val="left"/>
      </w:pPr>
      <w:r>
        <w:rPr/>
        <w:t>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38" w:lineRule="auto"/>
        <w:ind w:right="696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详情见第十一节、八、合并范围的变更。</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399"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500,669,016.48</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24.57%</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4"/>
        <w:gridCol w:w="3141"/>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230,560,540.03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11.31%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87,410,144.70</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4.29%</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62,742,062.64</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60,842,259.84</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2.99%</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59,114,009.27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500,669,016.48</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24.57%</w:t>
            </w:r>
          </w:p>
        </w:tc>
      </w:tr>
    </w:tbl>
    <w:p>
      <w:pPr>
        <w:pStyle w:val="BodyText"/>
        <w:spacing w:line="240" w:lineRule="auto" w:before="53"/>
        <w:ind w:right="0"/>
        <w:jc w:val="left"/>
      </w:pPr>
      <w:r>
        <w:rPr/>
        <w:t>主要客户其他情况说明</w:t>
      </w:r>
    </w:p>
    <w:p>
      <w:pPr>
        <w:pStyle w:val="BodyText"/>
        <w:spacing w:line="343" w:lineRule="auto" w:before="115"/>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124,001,817.41</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46.28%</w:t>
            </w:r>
          </w:p>
        </w:tc>
      </w:tr>
      <w:tr>
        <w:trPr>
          <w:trHeight w:val="7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77"/>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1"/>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59,069,400.16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22.05%</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18,867,924.53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7.04%</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17,959,491.38</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15,498,966.87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5.78%</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12,606,034.47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4.71%</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124,001,817.41</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46.28%</w:t>
            </w:r>
          </w:p>
        </w:tc>
      </w:tr>
    </w:tbl>
    <w:p>
      <w:pPr>
        <w:pStyle w:val="BodyText"/>
        <w:spacing w:line="240" w:lineRule="auto" w:before="54"/>
        <w:ind w:right="0"/>
        <w:jc w:val="left"/>
      </w:pPr>
      <w:r>
        <w:rPr>
          <w:spacing w:val="-3"/>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20"/>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70,002,961.69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48,258,780.76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45.06%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主要原因是本期扩大业务规模，发生</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的相关费用有所增加。</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150,158,425.30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128,379,552.05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16.96%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66,268,200.59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70,251,069.09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-5.67%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231,799,180.39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176,523,289.90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31.31%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1"/>
              <w:jc w:val="left"/>
              <w:rPr>
                <w:rFonts w:ascii="宋体" w:hAnsi="宋体" w:cs="宋体" w:eastAsia="宋体" w:hint="default"/>
                <w:sz w:val="18"/>
                <w:szCs w:val="18"/>
              </w:rPr>
            </w:pPr>
            <w:r>
              <w:rPr>
                <w:rFonts w:ascii="宋体" w:hAnsi="宋体" w:cs="宋体" w:eastAsia="宋体" w:hint="default"/>
                <w:spacing w:val="-3"/>
                <w:sz w:val="18"/>
                <w:szCs w:val="18"/>
              </w:rPr>
              <w:t>主要原因是公司为提高业务核心竞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争力，研发投入持续加大。</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16" w:lineRule="auto" w:before="97"/>
        <w:ind w:right="1124" w:firstLine="508"/>
        <w:jc w:val="both"/>
      </w:pPr>
      <w:r>
        <w:rPr>
          <w:spacing w:val="-4"/>
        </w:rPr>
        <w:t>报告期内，公司确定了数字化升级战略，为保障公司顺利从人才与技术密集型向科技密集型转型，公司加大了战略发</w:t>
      </w:r>
      <w:r>
        <w:rPr>
          <w:w w:val="101"/>
        </w:rPr>
        <w:t> </w:t>
      </w:r>
      <w:r>
        <w:rPr>
          <w:spacing w:val="-3"/>
        </w:rPr>
        <w:t>展落地的配套研发。</w:t>
      </w:r>
    </w:p>
    <w:p>
      <w:pPr>
        <w:pStyle w:val="BodyText"/>
        <w:spacing w:line="316" w:lineRule="auto" w:before="19"/>
        <w:ind w:right="1124" w:firstLine="508"/>
        <w:jc w:val="both"/>
      </w:pPr>
      <w:r>
        <w:rPr>
          <w:spacing w:val="-4"/>
        </w:rPr>
        <w:t>为保持公司的技术及业务先进性，公司持续投入资金进行自主知识产权软件产品的研发，将公司多年积累的专业知识</w:t>
      </w:r>
      <w:r>
        <w:rPr>
          <w:w w:val="101"/>
        </w:rPr>
        <w:t> </w:t>
      </w:r>
      <w:r>
        <w:rPr>
          <w:spacing w:val="-4"/>
        </w:rPr>
        <w:t>与技术优势进行产品化、解决方案化，以适应和满足产业升级背景下信息化、智能化、移动化发展对软件服务的广阔市场需</w:t>
      </w:r>
      <w:r>
        <w:rPr>
          <w:spacing w:val="40"/>
        </w:rPr>
        <w:t> </w:t>
      </w:r>
      <w:r>
        <w:rPr>
          <w:spacing w:val="40"/>
        </w:rPr>
      </w:r>
      <w:r>
        <w:rPr>
          <w:spacing w:val="-3"/>
        </w:rPr>
        <w:t>求，集中力量提升公司的核心竞争力。</w:t>
      </w:r>
    </w:p>
    <w:p>
      <w:pPr>
        <w:pStyle w:val="BodyText"/>
        <w:spacing w:line="300" w:lineRule="auto" w:before="19"/>
        <w:ind w:right="1122" w:firstLine="508"/>
        <w:jc w:val="both"/>
      </w:pPr>
      <w:r>
        <w:rPr>
          <w:spacing w:val="-4"/>
        </w:rPr>
        <w:t>报告期内，公司研发投入为</w:t>
      </w:r>
      <w:r>
        <w:rPr>
          <w:rFonts w:ascii="Times New Roman" w:hAnsi="Times New Roman" w:cs="Times New Roman" w:eastAsia="Times New Roman" w:hint="default"/>
          <w:spacing w:val="-4"/>
        </w:rPr>
        <w:t>30,066.33</w:t>
      </w:r>
      <w:r>
        <w:rPr>
          <w:spacing w:val="-4"/>
        </w:rPr>
        <w:t>万元，占营业收入的比重为</w:t>
      </w:r>
      <w:r>
        <w:rPr>
          <w:rFonts w:ascii="Times New Roman" w:hAnsi="Times New Roman" w:cs="Times New Roman" w:eastAsia="Times New Roman" w:hint="default"/>
          <w:spacing w:val="-4"/>
        </w:rPr>
        <w:t>14.75%</w:t>
      </w:r>
      <w:r>
        <w:rPr>
          <w:spacing w:val="-4"/>
        </w:rPr>
        <w:t>，主要用于专业领域的自主知识产权软件产品</w:t>
      </w:r>
      <w:r>
        <w:rPr>
          <w:w w:val="101"/>
        </w:rPr>
        <w:t> </w:t>
      </w:r>
      <w:r>
        <w:rPr>
          <w:spacing w:val="-4"/>
        </w:rPr>
        <w:t>的研发。截止报告期末，公司共拥有软件著作权</w:t>
      </w:r>
      <w:r>
        <w:rPr>
          <w:rFonts w:ascii="Times New Roman" w:hAnsi="Times New Roman" w:cs="Times New Roman" w:eastAsia="Times New Roman" w:hint="default"/>
          <w:spacing w:val="-4"/>
        </w:rPr>
        <w:t>282</w:t>
      </w:r>
      <w:r>
        <w:rPr>
          <w:spacing w:val="-4"/>
        </w:rPr>
        <w:t>项，较上年增加</w:t>
      </w:r>
      <w:r>
        <w:rPr>
          <w:rFonts w:ascii="Times New Roman" w:hAnsi="Times New Roman" w:cs="Times New Roman" w:eastAsia="Times New Roman" w:hint="default"/>
          <w:spacing w:val="-4"/>
        </w:rPr>
        <w:t>35</w:t>
      </w:r>
      <w:r>
        <w:rPr>
          <w:spacing w:val="-4"/>
        </w:rPr>
        <w:t>项；拥有专利</w:t>
      </w:r>
      <w:r>
        <w:rPr>
          <w:rFonts w:ascii="Times New Roman" w:hAnsi="Times New Roman" w:cs="Times New Roman" w:eastAsia="Times New Roman" w:hint="default"/>
          <w:spacing w:val="-4"/>
        </w:rPr>
        <w:t>10</w:t>
      </w:r>
      <w:r>
        <w:rPr>
          <w:spacing w:val="-4"/>
        </w:rPr>
        <w:t>项，其中发明专利</w:t>
      </w:r>
      <w:r>
        <w:rPr>
          <w:rFonts w:ascii="Times New Roman" w:hAnsi="Times New Roman" w:cs="Times New Roman" w:eastAsia="Times New Roman" w:hint="default"/>
          <w:spacing w:val="-4"/>
        </w:rPr>
        <w:t>7</w:t>
      </w:r>
      <w:r>
        <w:rPr>
          <w:spacing w:val="-4"/>
        </w:rPr>
        <w:t>项，外观设计专利</w:t>
      </w:r>
      <w:r>
        <w:rPr>
          <w:spacing w:val="57"/>
        </w:rPr>
        <w:t> </w:t>
      </w:r>
      <w:r>
        <w:rPr>
          <w:spacing w:val="57"/>
        </w:rPr>
      </w:r>
      <w:r>
        <w:rPr>
          <w:rFonts w:ascii="Times New Roman" w:hAnsi="Times New Roman" w:cs="Times New Roman" w:eastAsia="Times New Roman" w:hint="default"/>
          <w:spacing w:val="-3"/>
        </w:rPr>
        <w:t>2</w:t>
      </w:r>
      <w:r>
        <w:rPr>
          <w:spacing w:val="-3"/>
        </w:rPr>
        <w:t>项，实用新型专利</w:t>
      </w:r>
      <w:r>
        <w:rPr>
          <w:rFonts w:ascii="Times New Roman" w:hAnsi="Times New Roman" w:cs="Times New Roman" w:eastAsia="Times New Roman" w:hint="default"/>
          <w:spacing w:val="-3"/>
        </w:rPr>
        <w:t>1</w:t>
      </w:r>
      <w:r>
        <w:rPr>
          <w:spacing w:val="-3"/>
        </w:rPr>
        <w:t>项，较上年增加发明专利</w:t>
      </w:r>
      <w:r>
        <w:rPr>
          <w:rFonts w:ascii="Times New Roman" w:hAnsi="Times New Roman" w:cs="Times New Roman" w:eastAsia="Times New Roman" w:hint="default"/>
          <w:spacing w:val="-3"/>
        </w:rPr>
        <w:t>1</w:t>
      </w:r>
      <w:r>
        <w:rPr>
          <w:spacing w:val="-3"/>
        </w:rPr>
        <w:t>项。</w:t>
      </w:r>
    </w:p>
    <w:p>
      <w:pPr>
        <w:pStyle w:val="BodyText"/>
        <w:spacing w:line="240" w:lineRule="auto" w:before="56"/>
        <w:ind w:right="0"/>
        <w:jc w:val="left"/>
      </w:pPr>
      <w:r>
        <w:rPr>
          <w:spacing w:val="-3"/>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903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13.97%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300,663,301.31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193,795,465.01</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170,548,265.73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12.97%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68,224,046.18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17,401,591.25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40,416,612.03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23.70%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12"/>
        <w:jc w:val="left"/>
      </w:pPr>
      <w:r>
        <w:rPr>
          <w:spacing w:val="-3"/>
        </w:rPr>
        <w:t>研发投入总额占营业收入的比重较上年发生显著变化的原因</w:t>
      </w:r>
    </w:p>
    <w:p>
      <w:pPr>
        <w:pStyle w:val="BodyText"/>
        <w:spacing w:line="338" w:lineRule="auto" w:before="119"/>
        <w:ind w:right="37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1"/>
        <w:ind w:right="57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4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新一代分布式金融核心系统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60,442,202.13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新一代分布式金融核心系统</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系公司启动的战略性研发项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目，该项目重构公司在该业务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领域的产品，以适应蚂蚁金服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的技术体系，最大化发挥分布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式、云计算等互联网技术优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势，补充互联网核心未包含组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件，形成面向城商行、农商行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客户的业务运营整体核心建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设、业务运营模式向数字化运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营转型的方案及产品。该产品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该研发项目的开发进度约为</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
              <w:jc w:val="left"/>
              <w:rPr>
                <w:rFonts w:ascii="宋体" w:hAnsi="宋体" w:cs="宋体" w:eastAsia="宋体" w:hint="default"/>
                <w:sz w:val="18"/>
                <w:szCs w:val="18"/>
              </w:rPr>
            </w:pPr>
            <w:r>
              <w:rPr>
                <w:rFonts w:ascii="宋体" w:hAnsi="宋体" w:cs="宋体" w:eastAsia="宋体" w:hint="default"/>
                <w:spacing w:val="-2"/>
                <w:sz w:val="18"/>
                <w:szCs w:val="18"/>
              </w:rPr>
              <w:t>旨在解决金融机构资产交换、</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资产核心以及会计核算分布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0"/>
                <w:sz w:val="18"/>
                <w:szCs w:val="18"/>
              </w:rPr>
              <w:t>式改造、产品管理、资金管理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账务清算等核心系统的数字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化转型难题。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1598" w:lineRule="exact"/>
              <w:ind w:right="-56"/>
              <w:jc w:val="left"/>
              <w:rPr>
                <w:rFonts w:ascii="宋体" w:hAnsi="宋体" w:cs="宋体" w:eastAsia="宋体" w:hint="default"/>
                <w:sz w:val="20"/>
                <w:szCs w:val="20"/>
              </w:rPr>
            </w:pPr>
            <w:r>
              <w:rPr>
                <w:rFonts w:ascii="宋体" w:hAnsi="宋体" w:cs="宋体" w:eastAsia="宋体" w:hint="default"/>
                <w:position w:val="-31"/>
                <w:sz w:val="20"/>
                <w:szCs w:val="20"/>
              </w:rPr>
              <w:pict>
                <v:group style="width:119.35pt;height:79.95pt;mso-position-horizontal-relative:char;mso-position-vertical-relative:line" coordorigin="0,0" coordsize="2387,1599">
                  <v:group style="position:absolute;left:0;top:0;width:2387;height:1599" coordorigin="0,0" coordsize="2387,1599">
                    <v:shape style="position:absolute;left:0;top:0;width:2387;height:1599" coordorigin="0,0" coordsize="2387,1599" path="m0,1599l2387,1599,2387,0,0,0,0,1599xe" filled="true" fillcolor="#ffffff" stroked="false">
                      <v:path arrowok="t"/>
                      <v:fill type="solid"/>
                    </v:shape>
                  </v:group>
                </v:group>
              </w:pict>
            </w:r>
            <w:r>
              <w:rPr>
                <w:rFonts w:ascii="宋体" w:hAnsi="宋体" w:cs="宋体" w:eastAsia="宋体" w:hint="default"/>
                <w:position w:val="-31"/>
                <w:sz w:val="20"/>
                <w:szCs w:val="20"/>
              </w:rPr>
            </w:r>
          </w:p>
        </w:tc>
      </w:tr>
    </w:tbl>
    <w:p>
      <w:pPr>
        <w:pStyle w:val="BodyText"/>
        <w:spacing w:line="300" w:lineRule="auto" w:before="10"/>
        <w:ind w:right="1122" w:firstLine="364"/>
        <w:jc w:val="both"/>
      </w:pPr>
      <w:r>
        <w:rPr/>
        <w:pict>
          <v:shape style="position:absolute;margin-left:410.057281pt;margin-top:-80.452271pt;width:125.15pt;height:79.95pt;mso-position-horizontal-relative:page;mso-position-vertical-relative:paragraph;z-index:-12013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spacing w:val="-3"/>
        </w:rPr>
        <w:t>“</w:t>
      </w:r>
      <w:r>
        <w:rPr>
          <w:spacing w:val="-3"/>
        </w:rPr>
        <w:t>新一代分布式金融核心系统</w:t>
      </w:r>
      <w:r>
        <w:rPr>
          <w:rFonts w:ascii="Times New Roman" w:hAnsi="Times New Roman" w:cs="Times New Roman" w:eastAsia="Times New Roman" w:hint="default"/>
          <w:spacing w:val="-3"/>
        </w:rPr>
        <w:t>”</w:t>
      </w:r>
      <w:r>
        <w:rPr>
          <w:spacing w:val="-3"/>
        </w:rPr>
        <w:t>系公司启动的战略性研发项目，其《可行性研究报告》于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月通过评审，根据公司</w:t>
      </w:r>
      <w:r>
        <w:rPr>
          <w:w w:val="101"/>
        </w:rPr>
        <w:t> </w:t>
      </w:r>
      <w:r>
        <w:rPr>
          <w:spacing w:val="-4"/>
        </w:rPr>
        <w:t>研发资本化适用的会计政策规定（详见第十一节、五</w:t>
      </w:r>
      <w:r>
        <w:rPr>
          <w:rFonts w:ascii="Times New Roman" w:hAnsi="Times New Roman" w:cs="Times New Roman" w:eastAsia="Times New Roman" w:hint="default"/>
          <w:spacing w:val="-4"/>
        </w:rPr>
        <w:t>“</w:t>
      </w:r>
      <w:r>
        <w:rPr>
          <w:spacing w:val="-4"/>
        </w:rPr>
        <w:t>重要会计政策及会计估计</w:t>
      </w:r>
      <w:r>
        <w:rPr>
          <w:rFonts w:ascii="Times New Roman" w:hAnsi="Times New Roman" w:cs="Times New Roman" w:eastAsia="Times New Roman" w:hint="default"/>
          <w:spacing w:val="-4"/>
        </w:rPr>
        <w:t>”</w:t>
      </w:r>
      <w:r>
        <w:rPr>
          <w:spacing w:val="-4"/>
        </w:rPr>
        <w:t>之第</w:t>
      </w:r>
      <w:r>
        <w:rPr>
          <w:rFonts w:ascii="Times New Roman" w:hAnsi="Times New Roman" w:cs="Times New Roman" w:eastAsia="Times New Roman" w:hint="default"/>
          <w:spacing w:val="-4"/>
        </w:rPr>
        <w:t>21</w:t>
      </w:r>
      <w:r>
        <w:rPr>
          <w:spacing w:val="-4"/>
        </w:rPr>
        <w:t>项</w:t>
      </w:r>
      <w:r>
        <w:rPr>
          <w:rFonts w:ascii="Times New Roman" w:hAnsi="Times New Roman" w:cs="Times New Roman" w:eastAsia="Times New Roman" w:hint="default"/>
          <w:spacing w:val="-4"/>
        </w:rPr>
        <w:t>“</w:t>
      </w:r>
      <w:r>
        <w:rPr>
          <w:spacing w:val="-4"/>
        </w:rPr>
        <w:t>无形资产</w:t>
      </w:r>
      <w:r>
        <w:rPr>
          <w:rFonts w:ascii="Times New Roman" w:hAnsi="Times New Roman" w:cs="Times New Roman" w:eastAsia="Times New Roman" w:hint="default"/>
          <w:spacing w:val="-4"/>
        </w:rPr>
        <w:t>”</w:t>
      </w:r>
      <w:r>
        <w:rPr>
          <w:spacing w:val="-4"/>
        </w:rPr>
        <w:t>），在《可行性研究报</w:t>
      </w:r>
      <w:r>
        <w:rPr>
          <w:spacing w:val="6"/>
        </w:rPr>
        <w:t> </w:t>
      </w:r>
      <w:r>
        <w:rPr>
          <w:spacing w:val="6"/>
        </w:rPr>
      </w:r>
      <w:r>
        <w:rPr>
          <w:spacing w:val="-3"/>
        </w:rPr>
        <w:t>告》评审通过后至项目完成验收期间发生的研发费用计入开发支出核算。</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2,031,216,523.80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1,534,848,528.47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32.34%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1,755,952,892.13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1,390,208,734.06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26.31%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275,263,631.67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144,639,794.41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90.31%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1,420,631,251.95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164,584,159.43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763.16%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1,800,094,389.82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159,184,986.61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1,030.82%</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-379,463,137.87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5,399,172.82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-7,128.17%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1,743,501,513.96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1,349,800,000.00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1,288,617,106.43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1,226,837,562.63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454,884,407.53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122,962,437.37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269.94%</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366,186,409.91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266,266,548.28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37.53%</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026" w:firstLine="508"/>
        <w:jc w:val="left"/>
      </w:pPr>
      <w:r>
        <w:rPr>
          <w:rFonts w:ascii="Times New Roman" w:hAnsi="Times New Roman" w:cs="Times New Roman" w:eastAsia="Times New Roman" w:hint="default"/>
          <w:spacing w:val="-3"/>
        </w:rPr>
        <w:t>1</w:t>
      </w:r>
      <w:r>
        <w:rPr>
          <w:spacing w:val="-3"/>
        </w:rPr>
        <w:t>、经营活动产生的现金流量净额</w:t>
      </w:r>
      <w:r>
        <w:rPr>
          <w:rFonts w:ascii="Times New Roman" w:hAnsi="Times New Roman" w:cs="Times New Roman" w:eastAsia="Times New Roman" w:hint="default"/>
          <w:spacing w:val="-3"/>
        </w:rPr>
        <w:t>2018</w:t>
      </w:r>
      <w:r>
        <w:rPr>
          <w:spacing w:val="-3"/>
        </w:rPr>
        <w:t>年度较</w:t>
      </w:r>
      <w:r>
        <w:rPr>
          <w:rFonts w:ascii="Times New Roman" w:hAnsi="Times New Roman" w:cs="Times New Roman" w:eastAsia="Times New Roman" w:hint="default"/>
          <w:spacing w:val="-3"/>
        </w:rPr>
        <w:t>2017</w:t>
      </w:r>
      <w:r>
        <w:rPr>
          <w:spacing w:val="-3"/>
        </w:rPr>
        <w:t>年度增长</w:t>
      </w:r>
      <w:r>
        <w:rPr>
          <w:rFonts w:ascii="Times New Roman" w:hAnsi="Times New Roman" w:cs="Times New Roman" w:eastAsia="Times New Roman" w:hint="default"/>
          <w:spacing w:val="-3"/>
        </w:rPr>
        <w:t>90.13%</w:t>
      </w:r>
      <w:r>
        <w:rPr>
          <w:spacing w:val="-3"/>
        </w:rPr>
        <w:t>，主要原因是本期销售商品、提供劳务收到的现金</w:t>
      </w:r>
      <w:r>
        <w:rPr>
          <w:w w:val="101"/>
        </w:rPr>
        <w:t> </w:t>
      </w:r>
      <w:r>
        <w:rPr/>
        <w:t>增加。</w:t>
      </w:r>
    </w:p>
    <w:p>
      <w:pPr>
        <w:pStyle w:val="BodyText"/>
        <w:spacing w:line="300" w:lineRule="auto" w:before="32"/>
        <w:ind w:right="0" w:firstLine="508"/>
        <w:jc w:val="left"/>
      </w:pPr>
      <w:r>
        <w:rPr>
          <w:rFonts w:ascii="Times New Roman" w:hAnsi="Times New Roman" w:cs="Times New Roman" w:eastAsia="Times New Roman" w:hint="default"/>
          <w:spacing w:val="-3"/>
        </w:rPr>
        <w:t>2</w:t>
      </w:r>
      <w:r>
        <w:rPr>
          <w:spacing w:val="-3"/>
        </w:rPr>
        <w:t>、投资活动产生的现金流量净额</w:t>
      </w:r>
      <w:r>
        <w:rPr>
          <w:rFonts w:ascii="Times New Roman" w:hAnsi="Times New Roman" w:cs="Times New Roman" w:eastAsia="Times New Roman" w:hint="default"/>
          <w:spacing w:val="-3"/>
        </w:rPr>
        <w:t>2018</w:t>
      </w:r>
      <w:r>
        <w:rPr>
          <w:spacing w:val="-3"/>
        </w:rPr>
        <w:t>年度较</w:t>
      </w:r>
      <w:r>
        <w:rPr>
          <w:rFonts w:ascii="Times New Roman" w:hAnsi="Times New Roman" w:cs="Times New Roman" w:eastAsia="Times New Roman" w:hint="default"/>
          <w:spacing w:val="-3"/>
        </w:rPr>
        <w:t>2017</w:t>
      </w:r>
      <w:r>
        <w:rPr>
          <w:spacing w:val="-3"/>
        </w:rPr>
        <w:t>年度减少</w:t>
      </w:r>
      <w:r>
        <w:rPr>
          <w:rFonts w:ascii="Times New Roman" w:hAnsi="Times New Roman" w:cs="Times New Roman" w:eastAsia="Times New Roman" w:hint="default"/>
          <w:spacing w:val="-3"/>
        </w:rPr>
        <w:t>7128.17%</w:t>
      </w:r>
      <w:r>
        <w:rPr>
          <w:spacing w:val="-3"/>
        </w:rPr>
        <w:t>，主要原因是公司本期新增购买金融机构理财产</w:t>
      </w:r>
      <w:r>
        <w:rPr>
          <w:w w:val="101"/>
        </w:rPr>
        <w:t> </w:t>
      </w:r>
      <w:r>
        <w:rPr/>
        <w:t>品</w:t>
      </w:r>
      <w:r>
        <w:rPr>
          <w:rFonts w:ascii="Times New Roman" w:hAnsi="Times New Roman" w:cs="Times New Roman" w:eastAsia="Times New Roman" w:hint="default"/>
        </w:rPr>
        <w:t>270,000,000.00</w:t>
      </w:r>
      <w:r>
        <w:rPr/>
        <w:t>元。</w:t>
      </w:r>
    </w:p>
    <w:p>
      <w:pPr>
        <w:pStyle w:val="BodyText"/>
        <w:spacing w:line="300" w:lineRule="auto" w:before="13"/>
        <w:ind w:right="1026" w:firstLine="508"/>
        <w:jc w:val="left"/>
      </w:pPr>
      <w:r>
        <w:rPr>
          <w:rFonts w:ascii="Times New Roman" w:hAnsi="Times New Roman" w:cs="Times New Roman" w:eastAsia="Times New Roman" w:hint="default"/>
          <w:spacing w:val="-3"/>
        </w:rPr>
        <w:t>3</w:t>
      </w:r>
      <w:r>
        <w:rPr>
          <w:spacing w:val="-3"/>
        </w:rPr>
        <w:t>、筹资活动产生的现金流量净额</w:t>
      </w:r>
      <w:r>
        <w:rPr>
          <w:rFonts w:ascii="Times New Roman" w:hAnsi="Times New Roman" w:cs="Times New Roman" w:eastAsia="Times New Roman" w:hint="default"/>
          <w:spacing w:val="-3"/>
        </w:rPr>
        <w:t>2018</w:t>
      </w:r>
      <w:r>
        <w:rPr>
          <w:spacing w:val="-3"/>
        </w:rPr>
        <w:t>年度较</w:t>
      </w:r>
      <w:r>
        <w:rPr>
          <w:rFonts w:ascii="Times New Roman" w:hAnsi="Times New Roman" w:cs="Times New Roman" w:eastAsia="Times New Roman" w:hint="default"/>
          <w:spacing w:val="-3"/>
        </w:rPr>
        <w:t>2017</w:t>
      </w:r>
      <w:r>
        <w:rPr>
          <w:spacing w:val="-3"/>
        </w:rPr>
        <w:t>年度增长</w:t>
      </w:r>
      <w:r>
        <w:rPr>
          <w:rFonts w:ascii="Times New Roman" w:hAnsi="Times New Roman" w:cs="Times New Roman" w:eastAsia="Times New Roman" w:hint="default"/>
          <w:spacing w:val="-3"/>
        </w:rPr>
        <w:t>269.94%</w:t>
      </w:r>
      <w:r>
        <w:rPr>
          <w:spacing w:val="-3"/>
        </w:rPr>
        <w:t>，主要原因是本期公司收到非公开发行</w:t>
      </w:r>
      <w:r>
        <w:rPr>
          <w:rFonts w:ascii="Times New Roman" w:hAnsi="Times New Roman" w:cs="Times New Roman" w:eastAsia="Times New Roman" w:hint="default"/>
          <w:spacing w:val="-3"/>
        </w:rPr>
        <w:t>A</w:t>
      </w:r>
      <w:r>
        <w:rPr>
          <w:spacing w:val="-3"/>
        </w:rPr>
        <w:t>股股票所</w:t>
      </w:r>
      <w:r>
        <w:rPr>
          <w:w w:val="101"/>
        </w:rPr>
        <w:t> </w:t>
      </w:r>
      <w:r>
        <w:rPr/>
        <w:t>募集的资金。</w:t>
      </w:r>
    </w:p>
    <w:p>
      <w:pPr>
        <w:pStyle w:val="BodyText"/>
        <w:spacing w:line="240" w:lineRule="auto" w:before="74"/>
        <w:ind w:right="0"/>
        <w:jc w:val="left"/>
      </w:pPr>
      <w:r>
        <w:rPr>
          <w:spacing w:val="-3"/>
        </w:rPr>
        <w:t>报告期内公司经营活动产生的现金净流量与本年度净利润存在重大差异的原因说明</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pict>
          <v:group style="position:absolute;margin-left:418.48999pt;margin-top:39.697716pt;width:116.7pt;height:71.1pt;mso-position-horizontal-relative:page;mso-position-vertical-relative:paragraph;z-index:-1201312" coordorigin="8370,794" coordsize="2334,1422">
            <v:group style="position:absolute;left:8370;top:794;width:2334;height:707" coordorigin="8370,794" coordsize="2334,707">
              <v:shape style="position:absolute;left:8370;top:794;width:2334;height:707" coordorigin="8370,794" coordsize="2334,707" path="m8370,1500l10704,1500,10704,794,8370,794,8370,1500xe" filled="true" fillcolor="#ffffff" stroked="false">
                <v:path arrowok="t"/>
                <v:fill type="solid"/>
              </v:shape>
            </v:group>
            <v:group style="position:absolute;left:8394;top:952;width:2286;height:390" coordorigin="8394,952" coordsize="2286,390">
              <v:shape style="position:absolute;left:8394;top:952;width:2286;height:390" coordorigin="8394,952" coordsize="2286,390" path="m8394,1342l10680,1342,10680,952,8394,952,8394,1342xe" filled="true" fillcolor="#ffffff" stroked="false">
                <v:path arrowok="t"/>
                <v:fill type="solid"/>
              </v:shape>
            </v:group>
            <v:group style="position:absolute;left:8370;top:1510;width:2334;height:706" coordorigin="8370,1510" coordsize="2334,706">
              <v:shape style="position:absolute;left:8370;top:1510;width:2334;height:706" coordorigin="8370,1510" coordsize="2334,706" path="m8370,2215l10704,2215,10704,1510,8370,1510,8370,2215xe" filled="true" fillcolor="#ffffff" stroked="false">
                <v:path arrowok="t"/>
                <v:fill type="solid"/>
              </v:shape>
            </v:group>
            <v:group style="position:absolute;left:8394;top:1663;width:2286;height:394" coordorigin="8394,1663" coordsize="2286,394">
              <v:shape style="position:absolute;left:8394;top:1663;width:2286;height:394" coordorigin="8394,1663" coordsize="2286,394" path="m8394,2057l10680,2057,10680,1663,8394,1663,8394,2057xe" filled="true" fillcolor="#ffffff" stroked="false">
                <v:path arrowok="t"/>
                <v:fill type="solid"/>
              </v:shape>
            </v:group>
            <w10:wrap type="none"/>
          </v:group>
        </w:pict>
      </w: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9"/>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11,894,455.33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3"/>
              <w:jc w:val="left"/>
              <w:rPr>
                <w:rFonts w:ascii="宋体" w:hAnsi="宋体" w:cs="宋体" w:eastAsia="宋体" w:hint="default"/>
                <w:sz w:val="18"/>
                <w:szCs w:val="18"/>
              </w:rPr>
            </w:pPr>
            <w:r>
              <w:rPr>
                <w:rFonts w:ascii="宋体" w:hAnsi="宋体" w:cs="宋体" w:eastAsia="宋体" w:hint="default"/>
                <w:spacing w:val="-3"/>
                <w:sz w:val="18"/>
                <w:szCs w:val="18"/>
              </w:rPr>
              <w:t>主要原因是公司购买金融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机构理财产品产生的收益。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9,010,653.06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3"/>
              <w:jc w:val="left"/>
              <w:rPr>
                <w:rFonts w:ascii="宋体" w:hAnsi="宋体" w:cs="宋体" w:eastAsia="宋体" w:hint="default"/>
                <w:sz w:val="18"/>
                <w:szCs w:val="18"/>
              </w:rPr>
            </w:pPr>
            <w:r>
              <w:rPr>
                <w:rFonts w:ascii="宋体" w:hAnsi="宋体" w:cs="宋体" w:eastAsia="宋体" w:hint="default"/>
                <w:spacing w:val="-3"/>
                <w:sz w:val="18"/>
                <w:szCs w:val="18"/>
              </w:rPr>
              <w:t>主要原因是应收款项增长，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相应坏账计提增加。</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11,031,309.71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1,630,487.37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主要是公益性捐赠支出。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18,524,094.87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主要原因是本期收到的与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收益相关的政府补助以及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增值税退税增加。</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84"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0" w:hRule="exact"/>
        </w:trPr>
        <w:tc>
          <w:tcPr>
            <w:tcW w:w="1369" w:type="dxa"/>
            <w:vMerge/>
            <w:tcBorders>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tcBorders>
              <w:left w:val="single" w:sz="4" w:space="0" w:color="000000"/>
              <w:right w:val="single" w:sz="4" w:space="0" w:color="000000"/>
            </w:tcBorders>
            <w:shd w:val="clear" w:color="auto" w:fill="D2D2D2"/>
          </w:tcPr>
          <w:p>
            <w:pPr/>
          </w:p>
        </w:tc>
        <w:tc>
          <w:tcPr>
            <w:tcW w:w="2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1,252,551,826.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882,943,137.49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16.21%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1,209,334,647.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1,029,155,159.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46,858,875.12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14,404,988.54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630,185,392.1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608,629,342.95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-1.26%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14,552,771.28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-0.27%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3"/>
                <w:sz w:val="18"/>
                <w:szCs w:val="18"/>
              </w:rPr>
              <w:t>公司长期借款减少主要原因是公司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一年内到期的长期借款增加，重分类</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至一年内到期的非流动负债。</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2,638,024,655.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2,615,847,954.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48.03%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-6.52%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流动负债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公司一年内到期的长期借款增加，重</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分类至一年内到期的非流动负债。</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left="633"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left="633"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623" w:type="dxa"/>
        <w:tblLayout w:type="fixed"/>
        <w:tblCellMar>
          <w:top w:w="0" w:type="dxa"/>
          <w:left w:w="0" w:type="dxa"/>
          <w:bottom w:w="0" w:type="dxa"/>
          <w:right w:w="0" w:type="dxa"/>
        </w:tblCellMar>
        <w:tblLook w:val="01E0"/>
      </w:tblPr>
      <w:tblGrid>
        <w:gridCol w:w="2766"/>
        <w:gridCol w:w="1772"/>
        <w:gridCol w:w="3762"/>
      </w:tblGrid>
      <w:tr>
        <w:trPr>
          <w:trHeight w:val="346"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599"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5,975,158.00</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61" w:lineRule="auto"/>
              <w:ind w:left="4" w:right="-32"/>
              <w:jc w:val="both"/>
              <w:rPr>
                <w:rFonts w:ascii="宋体" w:hAnsi="宋体" w:cs="宋体" w:eastAsia="宋体" w:hint="default"/>
                <w:sz w:val="21"/>
                <w:szCs w:val="21"/>
              </w:rPr>
            </w:pPr>
            <w:r>
              <w:rPr>
                <w:rFonts w:ascii="宋体" w:hAnsi="宋体" w:cs="宋体" w:eastAsia="宋体" w:hint="default"/>
                <w:sz w:val="21"/>
                <w:szCs w:val="21"/>
              </w:rPr>
              <w:t>其他货币资金余额中</w:t>
            </w:r>
            <w:r>
              <w:rPr>
                <w:rFonts w:ascii="Times New Roman" w:hAnsi="Times New Roman" w:cs="Times New Roman" w:eastAsia="Times New Roman" w:hint="default"/>
                <w:sz w:val="21"/>
                <w:szCs w:val="21"/>
              </w:rPr>
              <w:t>477,500.00</w:t>
            </w:r>
            <w:r>
              <w:rPr>
                <w:rFonts w:ascii="宋体" w:hAnsi="宋体" w:cs="宋体" w:eastAsia="宋体" w:hint="default"/>
                <w:sz w:val="21"/>
                <w:szCs w:val="21"/>
              </w:rPr>
              <w:t>元系本公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司为开具保函存入的保证金；</w:t>
            </w:r>
            <w:r>
              <w:rPr>
                <w:rFonts w:ascii="Times New Roman" w:hAnsi="Times New Roman" w:cs="Times New Roman" w:eastAsia="Times New Roman" w:hint="default"/>
                <w:sz w:val="21"/>
                <w:szCs w:val="21"/>
              </w:rPr>
              <w:t>200,000.00</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pacing w:val="10"/>
                <w:sz w:val="21"/>
                <w:szCs w:val="21"/>
              </w:rPr>
            </w:r>
            <w:r>
              <w:rPr>
                <w:rFonts w:ascii="宋体" w:hAnsi="宋体" w:cs="宋体" w:eastAsia="宋体" w:hint="default"/>
                <w:spacing w:val="-2"/>
                <w:sz w:val="21"/>
                <w:szCs w:val="21"/>
              </w:rPr>
              <w:t>元系本公司为银行借款质押的银行存单；</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Times New Roman" w:hAnsi="Times New Roman" w:cs="Times New Roman" w:eastAsia="Times New Roman" w:hint="default"/>
                <w:spacing w:val="3"/>
                <w:sz w:val="21"/>
                <w:szCs w:val="21"/>
              </w:rPr>
              <w:t>5,297,658.00</w:t>
            </w:r>
            <w:r>
              <w:rPr>
                <w:rFonts w:ascii="宋体" w:hAnsi="宋体" w:cs="宋体" w:eastAsia="宋体" w:hint="default"/>
                <w:spacing w:val="3"/>
                <w:sz w:val="21"/>
                <w:szCs w:val="21"/>
              </w:rPr>
              <w:t>元系子公司捷科智诚为开具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保函存入的保证金。</w:t>
            </w:r>
          </w:p>
        </w:tc>
      </w:tr>
      <w:tr>
        <w:trPr>
          <w:trHeight w:val="346"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338,304,268.23</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r>
        <w:trPr>
          <w:trHeight w:val="346"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38,066,022.22</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r>
        <w:trPr>
          <w:trHeight w:val="284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5"/>
              <w:jc w:val="left"/>
              <w:rPr>
                <w:rFonts w:ascii="宋体" w:hAnsi="宋体" w:cs="宋体" w:eastAsia="宋体" w:hint="default"/>
                <w:sz w:val="21"/>
                <w:szCs w:val="21"/>
              </w:rPr>
            </w:pPr>
            <w:r>
              <w:rPr>
                <w:rFonts w:ascii="宋体" w:hAnsi="宋体" w:cs="宋体" w:eastAsia="宋体" w:hint="default"/>
                <w:spacing w:val="9"/>
                <w:sz w:val="21"/>
                <w:szCs w:val="21"/>
              </w:rPr>
              <w:t>本公司所持联创智融</w:t>
            </w:r>
            <w:r>
              <w:rPr>
                <w:rFonts w:ascii="Times New Roman" w:hAnsi="Times New Roman" w:cs="Times New Roman" w:eastAsia="Times New Roman" w:hint="default"/>
                <w:spacing w:val="9"/>
                <w:sz w:val="21"/>
                <w:szCs w:val="21"/>
              </w:rPr>
              <w:t>100%</w:t>
            </w:r>
            <w:r>
              <w:rPr>
                <w:rFonts w:ascii="宋体" w:hAnsi="宋体" w:cs="宋体" w:eastAsia="宋体" w:hint="default"/>
                <w:spacing w:val="9"/>
                <w:sz w:val="21"/>
                <w:szCs w:val="21"/>
              </w:rPr>
              <w:t>股</w:t>
            </w:r>
            <w:r>
              <w:rPr>
                <w:rFonts w:ascii="宋体" w:hAnsi="宋体" w:cs="宋体" w:eastAsia="宋体" w:hint="default"/>
                <w:spacing w:val="-75"/>
                <w:sz w:val="21"/>
                <w:szCs w:val="21"/>
              </w:rPr>
              <w:t> </w:t>
            </w:r>
            <w:r>
              <w:rPr>
                <w:rFonts w:ascii="宋体" w:hAnsi="宋体" w:cs="宋体" w:eastAsia="宋体" w:hint="default"/>
                <w:sz w:val="21"/>
                <w:szCs w:val="21"/>
              </w:rPr>
              <w:t>权</w:t>
            </w:r>
          </w:p>
        </w:tc>
        <w:tc>
          <w:tcPr>
            <w:tcW w:w="1772" w:type="dxa"/>
            <w:tcBorders>
              <w:top w:val="single" w:sz="6" w:space="0" w:color="000000"/>
              <w:left w:val="single" w:sz="6" w:space="0" w:color="000000"/>
              <w:bottom w:val="single" w:sz="6" w:space="0" w:color="000000"/>
              <w:right w:val="single" w:sz="6" w:space="0" w:color="000000"/>
            </w:tcBorders>
          </w:tcPr>
          <w:p>
            <w:pP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66" w:lineRule="auto"/>
              <w:ind w:left="4" w:right="4"/>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银行借款质押物。本公司以子公司联创智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融</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股权作为质押物向中国工商银行</w:t>
            </w:r>
            <w:r>
              <w:rPr>
                <w:rFonts w:ascii="宋体" w:hAnsi="宋体" w:cs="宋体" w:eastAsia="宋体" w:hint="default"/>
                <w:spacing w:val="-57"/>
                <w:sz w:val="21"/>
                <w:szCs w:val="21"/>
              </w:rPr>
              <w:t> </w:t>
            </w:r>
            <w:r>
              <w:rPr>
                <w:rFonts w:ascii="宋体" w:hAnsi="宋体" w:cs="宋体" w:eastAsia="宋体" w:hint="default"/>
                <w:spacing w:val="-4"/>
                <w:sz w:val="21"/>
                <w:szCs w:val="21"/>
              </w:rPr>
              <w:t>南京玄武支行取得并购资金借款，借款总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额</w:t>
            </w:r>
            <w:r>
              <w:rPr>
                <w:rFonts w:ascii="Times New Roman" w:hAnsi="Times New Roman" w:cs="Times New Roman" w:eastAsia="Times New Roman" w:hint="default"/>
                <w:spacing w:val="2"/>
                <w:sz w:val="21"/>
                <w:szCs w:val="21"/>
              </w:rPr>
              <w:t>400,000,000.00</w:t>
            </w:r>
            <w:r>
              <w:rPr>
                <w:rFonts w:ascii="宋体" w:hAnsi="宋体" w:cs="宋体" w:eastAsia="宋体" w:hint="default"/>
                <w:spacing w:val="2"/>
                <w:sz w:val="21"/>
                <w:szCs w:val="21"/>
              </w:rPr>
              <w:t>元，截止</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p>
          <w:p>
            <w:pPr>
              <w:pStyle w:val="TableParagraph"/>
              <w:spacing w:line="256" w:lineRule="auto"/>
              <w:ind w:left="4" w:right="3"/>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日，已归还借款</w:t>
            </w:r>
            <w:r>
              <w:rPr>
                <w:rFonts w:ascii="Times New Roman" w:hAnsi="Times New Roman" w:cs="Times New Roman" w:eastAsia="Times New Roman" w:hint="default"/>
                <w:spacing w:val="-5"/>
                <w:sz w:val="21"/>
                <w:szCs w:val="21"/>
              </w:rPr>
              <w:t>200,000,000.00</w:t>
            </w:r>
            <w:r>
              <w:rPr>
                <w:rFonts w:ascii="宋体" w:hAnsi="宋体" w:cs="宋体" w:eastAsia="宋体" w:hint="default"/>
                <w:spacing w:val="-5"/>
                <w:sz w:val="21"/>
                <w:szCs w:val="21"/>
              </w:rPr>
              <w:t>元，借款余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w:t>
            </w:r>
            <w:r>
              <w:rPr>
                <w:rFonts w:ascii="Times New Roman" w:hAnsi="Times New Roman" w:cs="Times New Roman" w:eastAsia="Times New Roman" w:hint="default"/>
                <w:sz w:val="21"/>
                <w:szCs w:val="21"/>
              </w:rPr>
              <w:t>200,000,000.00</w:t>
            </w:r>
            <w:r>
              <w:rPr>
                <w:rFonts w:ascii="宋体" w:hAnsi="宋体" w:cs="宋体" w:eastAsia="宋体" w:hint="default"/>
                <w:sz w:val="21"/>
                <w:szCs w:val="21"/>
              </w:rPr>
              <w:t>元，其中</w:t>
            </w:r>
            <w:r>
              <w:rPr>
                <w:rFonts w:ascii="Times New Roman" w:hAnsi="Times New Roman" w:cs="Times New Roman" w:eastAsia="Times New Roman" w:hint="default"/>
                <w:sz w:val="21"/>
                <w:szCs w:val="21"/>
              </w:rPr>
              <w:t>100,000,000.00</w:t>
            </w:r>
          </w:p>
          <w:p>
            <w:pPr>
              <w:pStyle w:val="TableParagraph"/>
              <w:spacing w:line="264" w:lineRule="auto" w:before="5"/>
              <w:ind w:left="4" w:right="3"/>
              <w:jc w:val="both"/>
              <w:rPr>
                <w:rFonts w:ascii="宋体" w:hAnsi="宋体" w:cs="宋体" w:eastAsia="宋体" w:hint="default"/>
                <w:sz w:val="21"/>
                <w:szCs w:val="21"/>
              </w:rPr>
            </w:pPr>
            <w:r>
              <w:rPr>
                <w:rFonts w:ascii="宋体" w:hAnsi="宋体" w:cs="宋体" w:eastAsia="宋体" w:hint="default"/>
                <w:spacing w:val="-5"/>
                <w:w w:val="100"/>
                <w:sz w:val="21"/>
                <w:szCs w:val="21"/>
              </w:rPr>
              <w:t>元在长期借款列示，</w:t>
            </w:r>
            <w:r>
              <w:rPr>
                <w:rFonts w:ascii="Times New Roman" w:hAnsi="Times New Roman" w:cs="Times New Roman" w:eastAsia="Times New Roman" w:hint="default"/>
                <w:spacing w:val="-5"/>
                <w:w w:val="100"/>
                <w:sz w:val="21"/>
                <w:szCs w:val="21"/>
              </w:rPr>
              <w:t>100,000,000.00</w:t>
            </w:r>
            <w:r>
              <w:rPr>
                <w:rFonts w:ascii="宋体" w:hAnsi="宋体" w:cs="宋体" w:eastAsia="宋体" w:hint="default"/>
                <w:spacing w:val="-5"/>
                <w:w w:val="100"/>
                <w:sz w:val="21"/>
                <w:szCs w:val="21"/>
              </w:rPr>
              <w:t>元将于</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sz w:val="21"/>
                <w:szCs w:val="21"/>
              </w:rPr>
              <w:t>一年内到期，重分类至一年内到期的非流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动负债。</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1"/>
          <w:szCs w:val="11"/>
        </w:rPr>
      </w:pPr>
    </w:p>
    <w:p>
      <w:pPr>
        <w:pStyle w:val="Heading2"/>
        <w:spacing w:line="367" w:lineRule="exact"/>
        <w:ind w:left="633"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633"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62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27,954,029.81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551.61%</w:t>
            </w:r>
          </w:p>
        </w:tc>
      </w:tr>
    </w:tbl>
    <w:p>
      <w:pPr>
        <w:spacing w:line="240" w:lineRule="auto" w:before="3"/>
        <w:rPr>
          <w:rFonts w:ascii="宋体" w:hAnsi="宋体" w:cs="宋体" w:eastAsia="宋体" w:hint="default"/>
          <w:sz w:val="19"/>
          <w:szCs w:val="19"/>
        </w:rPr>
      </w:pPr>
    </w:p>
    <w:p>
      <w:pPr>
        <w:pStyle w:val="Heading3"/>
        <w:spacing w:line="335" w:lineRule="exact"/>
        <w:ind w:left="633"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pict>
          <v:shape style="position:absolute;margin-left:124.83168pt;margin-top:58.067715pt;width:33.9pt;height:50.9pt;mso-position-horizontal-relative:page;mso-position-vertical-relative:paragraph;z-index:-120128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49"/>
                    <w:ind w:left="0" w:right="0"/>
                    <w:jc w:val="left"/>
                  </w:pPr>
                  <w:r>
                    <w:rPr>
                      <w:w w:val="101"/>
                    </w:rPr>
                    <w:t>、</w:t>
                  </w:r>
                  <w:r>
                    <w:rPr/>
                  </w:r>
                </w:p>
              </w:txbxContent>
            </v:textbox>
            <w10:wrap type="none"/>
          </v:shape>
        </w:pict>
      </w:r>
      <w:r>
        <w:rPr/>
        <w:pict>
          <v:group style="position:absolute;margin-left:130.850006pt;margin-top:58.067715pt;width:27.9pt;height:50.9pt;mso-position-horizontal-relative:page;mso-position-vertical-relative:paragraph;z-index:-1201264" coordorigin="2617,1161" coordsize="558,1018">
            <v:group style="position:absolute;left:2617;top:1161;width:558;height:1018" coordorigin="2617,1161" coordsize="558,1018">
              <v:shape style="position:absolute;left:2617;top:1161;width:558;height:1018" coordorigin="2617,1161" coordsize="558,1018" path="m2617,2179l3174,2179,3174,1161,2617,1161,2617,2179xe" filled="true" fillcolor="#ffffff" stroked="false">
                <v:path arrowok="t"/>
                <v:fill type="solid"/>
              </v:shape>
            </v:group>
            <v:group style="position:absolute;left:2641;top:1473;width:510;height:394" coordorigin="2641,1473" coordsize="510,394">
              <v:shape style="position:absolute;left:2641;top:1473;width:510;height:394" coordorigin="2641,1473" coordsize="510,394" path="m2641,1867l3150,1867,3150,1473,2641,1473,2641,1867xe" filled="true" fillcolor="#ffffff" stroked="false">
                <v:path arrowok="t"/>
                <v:fill type="solid"/>
              </v:shape>
            </v:group>
            <w10:wrap type="none"/>
          </v:group>
        </w:pict>
      </w:r>
      <w:r>
        <w:rPr/>
        <w:pict>
          <v:group style="position:absolute;margin-left:308.279999pt;margin-top:58.067715pt;width:27.85pt;height:50.9pt;mso-position-horizontal-relative:page;mso-position-vertical-relative:paragraph;z-index:-1201240" coordorigin="6166,1161" coordsize="557,1018">
            <v:group style="position:absolute;left:6166;top:1161;width:557;height:1018" coordorigin="6166,1161" coordsize="557,1018">
              <v:shape style="position:absolute;left:6166;top:1161;width:557;height:1018" coordorigin="6166,1161" coordsize="557,1018" path="m6166,2179l6722,2179,6722,1161,6166,1161,6166,2179xe" filled="true" fillcolor="#ffffff" stroked="false">
                <v:path arrowok="t"/>
                <v:fill type="solid"/>
              </v:shape>
            </v:group>
            <v:group style="position:absolute;left:6185;top:1473;width:514;height:394" coordorigin="6185,1473" coordsize="514,394">
              <v:shape style="position:absolute;left:6185;top:1473;width:514;height:394" coordorigin="6185,1473" coordsize="514,394" path="m6185,1867l6698,1867,6698,1473,6185,1473,6185,1867xe" filled="true" fillcolor="#ffffff" stroked="false">
                <v:path arrowok="t"/>
                <v:fill type="solid"/>
              </v:shape>
            </v:group>
            <w10:wrap type="none"/>
          </v:group>
        </w:pict>
      </w:r>
      <w:r>
        <w:rPr>
          <w:spacing w:val="-2"/>
        </w:rPr>
        <w:t>单位：元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792"/>
        <w:gridCol w:w="1196"/>
        <w:gridCol w:w="567"/>
        <w:gridCol w:w="994"/>
        <w:gridCol w:w="706"/>
        <w:gridCol w:w="571"/>
        <w:gridCol w:w="706"/>
        <w:gridCol w:w="566"/>
        <w:gridCol w:w="711"/>
        <w:gridCol w:w="711"/>
        <w:gridCol w:w="989"/>
        <w:gridCol w:w="567"/>
        <w:gridCol w:w="793"/>
        <w:gridCol w:w="787"/>
      </w:tblGrid>
      <w:tr>
        <w:trPr>
          <w:trHeight w:val="706"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9" w:right="26" w:hanging="92"/>
              <w:jc w:val="left"/>
              <w:rPr>
                <w:rFonts w:ascii="宋体" w:hAnsi="宋体" w:cs="宋体" w:eastAsia="宋体" w:hint="default"/>
                <w:sz w:val="18"/>
                <w:szCs w:val="18"/>
              </w:rPr>
            </w:pPr>
            <w:r>
              <w:rPr>
                <w:rFonts w:ascii="宋体" w:hAnsi="宋体" w:cs="宋体" w:eastAsia="宋体" w:hint="default"/>
                <w:sz w:val="18"/>
                <w:szCs w:val="18"/>
              </w:rPr>
              <w:t>被投资公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94"/>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9" w:right="70" w:hanging="179"/>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98"/>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95"/>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9" w:right="74" w:hanging="178"/>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9" w:right="75" w:hanging="178"/>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03" w:right="31" w:hanging="360"/>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95"/>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涉诉</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3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2"/>
              <w:ind w:left="23" w:right="31"/>
              <w:jc w:val="left"/>
              <w:rPr>
                <w:rFonts w:ascii="宋体" w:hAnsi="宋体" w:cs="宋体" w:eastAsia="宋体" w:hint="default"/>
                <w:sz w:val="18"/>
                <w:szCs w:val="18"/>
              </w:rPr>
            </w:pPr>
            <w:r>
              <w:rPr>
                <w:rFonts w:ascii="宋体" w:hAnsi="宋体" w:cs="宋体" w:eastAsia="宋体" w:hint="default"/>
                <w:sz w:val="18"/>
                <w:szCs w:val="18"/>
              </w:rPr>
              <w:t>奥特酷智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能科技</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2"/>
              <w:ind w:left="23" w:right="75"/>
              <w:jc w:val="both"/>
              <w:rPr>
                <w:rFonts w:ascii="宋体" w:hAnsi="宋体" w:cs="宋体" w:eastAsia="宋体" w:hint="default"/>
                <w:sz w:val="18"/>
                <w:szCs w:val="18"/>
              </w:rPr>
            </w:pPr>
            <w:r>
              <w:rPr>
                <w:rFonts w:ascii="宋体" w:hAnsi="宋体" w:cs="宋体" w:eastAsia="宋体" w:hint="default"/>
                <w:spacing w:val="-2"/>
                <w:sz w:val="18"/>
                <w:szCs w:val="18"/>
              </w:rPr>
              <w:t>软件和信息技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术、网络科技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智能驾驶领域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16.00%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2"/>
              <w:ind w:left="24" w:right="127"/>
              <w:jc w:val="left"/>
              <w:rPr>
                <w:rFonts w:ascii="宋体" w:hAnsi="宋体" w:cs="宋体" w:eastAsia="宋体" w:hint="default"/>
                <w:sz w:val="18"/>
                <w:szCs w:val="18"/>
              </w:rPr>
            </w:pPr>
            <w:r>
              <w:rPr>
                <w:rFonts w:ascii="宋体" w:hAnsi="宋体" w:cs="宋体" w:eastAsia="宋体" w:hint="default"/>
                <w:sz w:val="18"/>
                <w:szCs w:val="18"/>
              </w:rPr>
              <w:t>捷跑智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能科技</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before="95"/>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-344,117.84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82"/>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r>
              <w:rPr>
                <w:rFonts w:ascii="宋体" w:hAnsi="宋体" w:cs="宋体" w:eastAsia="宋体" w:hint="default"/>
                <w:spacing w:val="-88"/>
                <w:sz w:val="18"/>
                <w:szCs w:val="18"/>
              </w:rPr>
              <w:t> </w:t>
            </w:r>
            <w:hyperlink r:id="rId12">
              <w:r>
                <w:rPr>
                  <w:rFonts w:ascii="Times New Roman" w:hAnsi="Times New Roman" w:cs="Times New Roman" w:eastAsia="Times New Roman" w:hint="default"/>
                  <w:sz w:val="18"/>
                  <w:szCs w:val="18"/>
                </w:rPr>
                <w:t>http://ww</w:t>
              </w:r>
            </w:hyperlink>
          </w:p>
        </w:tc>
      </w:tr>
    </w:tbl>
    <w:p>
      <w:pPr>
        <w:spacing w:after="0" w:line="336" w:lineRule="auto"/>
        <w:jc w:val="left"/>
        <w:rPr>
          <w:rFonts w:ascii="Times New Roman" w:hAnsi="Times New Roman" w:cs="Times New Roman" w:eastAsia="Times New Roman" w:hint="default"/>
          <w:sz w:val="18"/>
          <w:szCs w:val="18"/>
        </w:rPr>
        <w:sectPr>
          <w:pgSz w:w="11910" w:h="16840"/>
          <w:pgMar w:header="741" w:footer="979" w:top="1060" w:bottom="1160" w:left="500" w:right="0"/>
        </w:sectPr>
      </w:pPr>
    </w:p>
    <w:p>
      <w:pPr>
        <w:spacing w:line="240" w:lineRule="auto" w:before="11"/>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792"/>
        <w:gridCol w:w="1196"/>
        <w:gridCol w:w="567"/>
        <w:gridCol w:w="994"/>
        <w:gridCol w:w="706"/>
        <w:gridCol w:w="571"/>
        <w:gridCol w:w="706"/>
        <w:gridCol w:w="566"/>
        <w:gridCol w:w="711"/>
        <w:gridCol w:w="711"/>
        <w:gridCol w:w="989"/>
        <w:gridCol w:w="567"/>
        <w:gridCol w:w="793"/>
        <w:gridCol w:w="787"/>
      </w:tblGrid>
      <w:tr>
        <w:trPr>
          <w:trHeight w:val="909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5"/>
              <w:jc w:val="left"/>
              <w:rPr>
                <w:rFonts w:ascii="宋体" w:hAnsi="宋体" w:cs="宋体" w:eastAsia="宋体" w:hint="default"/>
                <w:sz w:val="18"/>
                <w:szCs w:val="18"/>
              </w:rPr>
            </w:pPr>
            <w:r>
              <w:rPr>
                <w:rFonts w:ascii="宋体" w:hAnsi="宋体" w:cs="宋体" w:eastAsia="宋体" w:hint="default"/>
                <w:sz w:val="18"/>
                <w:szCs w:val="18"/>
              </w:rPr>
              <w:t>内的技术开</w:t>
            </w:r>
            <w:r>
              <w:rPr>
                <w:rFonts w:ascii="宋体" w:hAnsi="宋体" w:cs="宋体" w:eastAsia="宋体" w:hint="default"/>
                <w:w w:val="101"/>
                <w:sz w:val="18"/>
                <w:szCs w:val="18"/>
              </w:rPr>
              <w:t> </w:t>
            </w:r>
            <w:r>
              <w:rPr>
                <w:rFonts w:ascii="宋体" w:hAnsi="宋体" w:cs="宋体" w:eastAsia="宋体" w:hint="default"/>
                <w:spacing w:val="-8"/>
                <w:sz w:val="18"/>
                <w:szCs w:val="18"/>
              </w:rPr>
              <w:t>发、技术咨询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技术服务、技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术转让；软件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及辅助设备开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发、安装和维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护；集成电路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设计与研发；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信息系统集</w:t>
            </w:r>
            <w:r>
              <w:rPr>
                <w:rFonts w:ascii="宋体" w:hAnsi="宋体" w:cs="宋体" w:eastAsia="宋体" w:hint="default"/>
                <w:w w:val="101"/>
                <w:sz w:val="18"/>
                <w:szCs w:val="18"/>
              </w:rPr>
              <w:t> </w:t>
            </w:r>
            <w:r>
              <w:rPr>
                <w:rFonts w:ascii="宋体" w:hAnsi="宋体" w:cs="宋体" w:eastAsia="宋体" w:hint="default"/>
                <w:spacing w:val="-2"/>
                <w:sz w:val="18"/>
                <w:szCs w:val="18"/>
              </w:rPr>
              <w:t>成；物联网技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术开发与服务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及运行维护服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务；信息处理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和存储服务；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互联网接入及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相关服务；汽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车零部件技术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开发、技术转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让、技术咨询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及技术服务；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自营和代理各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类商品及技术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的进出口业</w:t>
            </w:r>
            <w:r>
              <w:rPr>
                <w:rFonts w:ascii="宋体" w:hAnsi="宋体" w:cs="宋体" w:eastAsia="宋体" w:hint="default"/>
                <w:w w:val="101"/>
                <w:sz w:val="18"/>
                <w:szCs w:val="18"/>
              </w:rPr>
              <w:t> </w:t>
            </w:r>
            <w:r>
              <w:rPr>
                <w:rFonts w:ascii="宋体" w:hAnsi="宋体" w:cs="宋体" w:eastAsia="宋体" w:hint="default"/>
                <w:spacing w:val="-2"/>
                <w:sz w:val="18"/>
                <w:szCs w:val="18"/>
              </w:rPr>
              <w:t>务；汽车零部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件、电子产品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的设计、安装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制造、销售；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企业管理咨</w:t>
            </w:r>
            <w:r>
              <w:rPr>
                <w:rFonts w:ascii="宋体" w:hAnsi="宋体" w:cs="宋体" w:eastAsia="宋体" w:hint="default"/>
                <w:w w:val="101"/>
                <w:sz w:val="18"/>
                <w:szCs w:val="18"/>
              </w:rPr>
              <w:t> </w:t>
            </w:r>
            <w:r>
              <w:rPr>
                <w:rFonts w:ascii="宋体" w:hAnsi="宋体" w:cs="宋体" w:eastAsia="宋体" w:hint="default"/>
                <w:sz w:val="18"/>
                <w:szCs w:val="18"/>
              </w:rPr>
              <w:t>询。</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9089" w:lineRule="exact"/>
              <w:ind w:right="-51"/>
              <w:jc w:val="left"/>
              <w:rPr>
                <w:rFonts w:ascii="宋体" w:hAnsi="宋体" w:cs="宋体" w:eastAsia="宋体" w:hint="default"/>
                <w:sz w:val="20"/>
                <w:szCs w:val="20"/>
              </w:rPr>
            </w:pPr>
            <w:r>
              <w:rPr>
                <w:rFonts w:ascii="宋体" w:hAnsi="宋体" w:cs="宋体" w:eastAsia="宋体" w:hint="default"/>
                <w:position w:val="-181"/>
                <w:sz w:val="20"/>
                <w:szCs w:val="20"/>
              </w:rPr>
              <w:pict>
                <v:group style="width:27.9pt;height:454.5pt;mso-position-horizontal-relative:char;mso-position-vertical-relative:line" coordorigin="0,0" coordsize="558,9090">
                  <v:group style="position:absolute;left:0;top:0;width:558;height:9090" coordorigin="0,0" coordsize="558,9090">
                    <v:shape style="position:absolute;left:0;top:0;width:558;height:9090" coordorigin="0,0" coordsize="558,9090" path="m0,9089l557,9089,557,0,0,0,0,9089xe" filled="true" fillcolor="#ffffff" stroked="false">
                      <v:path arrowok="t"/>
                      <v:fill type="solid"/>
                    </v:shape>
                  </v:group>
                </v:group>
              </w:pict>
            </w:r>
            <w:r>
              <w:rPr>
                <w:rFonts w:ascii="宋体" w:hAnsi="宋体" w:cs="宋体" w:eastAsia="宋体" w:hint="default"/>
                <w:position w:val="-181"/>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司、刘洁</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52"/>
              <w:ind w:left="23" w:right="82"/>
              <w:jc w:val="left"/>
              <w:rPr>
                <w:rFonts w:ascii="Times New Roman" w:hAnsi="Times New Roman" w:cs="Times New Roman" w:eastAsia="Times New Roman" w:hint="default"/>
                <w:sz w:val="18"/>
                <w:szCs w:val="18"/>
              </w:rPr>
            </w:pPr>
            <w:r>
              <w:rPr>
                <w:rFonts w:ascii="Times New Roman"/>
                <w:spacing w:val="-3"/>
                <w:sz w:val="18"/>
              </w:rPr>
              <w:t>w.cninfo.</w:t>
            </w:r>
            <w:r>
              <w:rPr>
                <w:rFonts w:ascii="Times New Roman"/>
                <w:spacing w:val="-32"/>
                <w:sz w:val="18"/>
              </w:rPr>
              <w:t> </w:t>
            </w:r>
            <w:r>
              <w:rPr>
                <w:rFonts w:ascii="Times New Roman"/>
                <w:spacing w:val="-32"/>
                <w:sz w:val="18"/>
              </w:rPr>
            </w:r>
            <w:r>
              <w:rPr>
                <w:rFonts w:ascii="Times New Roman"/>
                <w:spacing w:val="-2"/>
                <w:sz w:val="18"/>
              </w:rPr>
              <w:t>com.cn</w:t>
            </w: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-344,117.84</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left="633" w:right="0"/>
        <w:jc w:val="left"/>
        <w:rPr>
          <w:b w:val="0"/>
          <w:bCs w:val="0"/>
        </w:rPr>
      </w:pPr>
      <w:r>
        <w:rPr/>
        <w:pict>
          <v:shape style="position:absolute;margin-left:124.83168pt;margin-top:-503.265015pt;width:33.9pt;height:454.5pt;mso-position-horizontal-relative:page;mso-position-vertical-relative:paragraph;z-index:-1201192" type="#_x0000_t202" filled="false" stroked="false">
            <v:textbox inset="0,0,0,0">
              <w:txbxContent>
                <w:p>
                  <w:pPr>
                    <w:spacing w:line="240" w:lineRule="auto" w:before="8"/>
                    <w:rPr>
                      <w:rFonts w:ascii="宋体" w:hAnsi="宋体" w:cs="宋体" w:eastAsia="宋体" w:hint="default"/>
                      <w:sz w:val="24"/>
                      <w:szCs w:val="24"/>
                    </w:rPr>
                  </w:pPr>
                </w:p>
                <w:p>
                  <w:pPr>
                    <w:pStyle w:val="BodyText"/>
                    <w:spacing w:line="240" w:lineRule="auto"/>
                    <w:ind w:left="0" w:right="0"/>
                    <w:jc w:val="left"/>
                  </w:pP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left="633"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left="633"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6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500" w:right="0"/>
        </w:sectPr>
      </w:pPr>
    </w:p>
    <w:p>
      <w:pPr>
        <w:spacing w:line="240" w:lineRule="auto" w:before="12"/>
        <w:rPr>
          <w:rFonts w:ascii="宋体" w:hAnsi="宋体" w:cs="宋体" w:eastAsia="宋体" w:hint="default"/>
          <w:sz w:val="24"/>
          <w:szCs w:val="24"/>
        </w:rPr>
      </w:pPr>
    </w:p>
    <w:p>
      <w:pPr>
        <w:pStyle w:val="Heading3"/>
        <w:spacing w:line="335" w:lineRule="exact"/>
        <w:ind w:left="393"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6"/>
        <w:ind w:left="0" w:right="1146"/>
        <w:jc w:val="right"/>
      </w:pPr>
      <w:r>
        <w:rPr/>
        <w:pict>
          <v:shape style="position:absolute;margin-left:56.424pt;margin-top:-288.580261pt;width:479pt;height:32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52,882.63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52,896.15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79,073.42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19,350.13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19,350.13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59,723.29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存放募集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资金专户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及购买金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融机构理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131,956.05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19,350.13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72,246.28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59,723.29</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96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7"/>
                            <w:w w:val="101"/>
                            <w:sz w:val="18"/>
                            <w:szCs w:val="18"/>
                          </w:rPr>
                          <w:t>年度公司募集资金使用情况为：（一）</w:t>
                        </w:r>
                        <w:r>
                          <w:rPr>
                            <w:rFonts w:ascii="Times New Roman" w:hAnsi="Times New Roman" w:cs="Times New Roman" w:eastAsia="Times New Roman" w:hint="default"/>
                            <w:spacing w:val="-7"/>
                            <w:w w:val="101"/>
                            <w:sz w:val="18"/>
                            <w:szCs w:val="18"/>
                          </w:rPr>
                          <w:t>2015</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年发行股份购买资产并配套募集资金用于支付现金对价：募集资金</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2016</w:t>
                        </w:r>
                        <w:r>
                          <w:rPr>
                            <w:rFonts w:ascii="Times New Roman" w:hAnsi="Times New Roman" w:cs="Times New Roman" w:eastAsia="Times New Roman" w:hint="default"/>
                            <w:spacing w:val="-32"/>
                            <w:w w:val="101"/>
                            <w:sz w:val="18"/>
                            <w:szCs w:val="18"/>
                          </w:rPr>
                          <w:t> </w:t>
                        </w:r>
                        <w:r>
                          <w:rPr>
                            <w:rFonts w:ascii="宋体" w:hAnsi="宋体" w:cs="宋体" w:eastAsia="宋体" w:hint="default"/>
                            <w:spacing w:val="-2"/>
                            <w:w w:val="101"/>
                            <w:sz w:val="18"/>
                            <w:szCs w:val="18"/>
                          </w:rPr>
                          <w:t>年已使用完毕，</w:t>
                        </w:r>
                        <w:r>
                          <w:rPr>
                            <w:rFonts w:ascii="Times New Roman" w:hAnsi="Times New Roman" w:cs="Times New Roman" w:eastAsia="Times New Roman" w:hint="default"/>
                            <w:spacing w:val="-2"/>
                            <w:w w:val="101"/>
                            <w:sz w:val="18"/>
                            <w:szCs w:val="18"/>
                          </w:rPr>
                          <w:t>2017 </w:t>
                        </w:r>
                        <w:r>
                          <w:rPr>
                            <w:rFonts w:ascii="宋体" w:hAnsi="宋体" w:cs="宋体" w:eastAsia="宋体" w:hint="default"/>
                            <w:spacing w:val="-7"/>
                            <w:w w:val="101"/>
                            <w:sz w:val="18"/>
                            <w:szCs w:val="18"/>
                          </w:rPr>
                          <w:t>年账户已销户。（二）非公开发行股份：</w:t>
                        </w:r>
                        <w:r>
                          <w:rPr>
                            <w:rFonts w:ascii="Times New Roman" w:hAnsi="Times New Roman" w:cs="Times New Roman" w:eastAsia="Times New Roman" w:hint="default"/>
                            <w:spacing w:val="-7"/>
                            <w:w w:val="101"/>
                            <w:sz w:val="18"/>
                            <w:szCs w:val="18"/>
                          </w:rPr>
                          <w:t>2018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年度，使用募集资金</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1"/>
                            <w:w w:val="101"/>
                            <w:sz w:val="18"/>
                            <w:szCs w:val="18"/>
                          </w:rPr>
                          <w:t>14,460.54</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
                            <w:w w:val="101"/>
                            <w:sz w:val="18"/>
                            <w:szCs w:val="18"/>
                          </w:rPr>
                          <w:t>万元补充流动资金，使</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用募集资金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4,889.59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万元投资金融云服务平台建设项目，合计使用募集资金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19,350.13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万元，截止</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日，累</w:t>
                        </w:r>
                      </w:p>
                      <w:p>
                        <w:pPr>
                          <w:pStyle w:val="TableParagraph"/>
                          <w:spacing w:line="302" w:lineRule="auto" w:before="13"/>
                          <w:ind w:left="24" w:right="17"/>
                          <w:jc w:val="left"/>
                          <w:rPr>
                            <w:rFonts w:ascii="宋体" w:hAnsi="宋体" w:cs="宋体" w:eastAsia="宋体" w:hint="default"/>
                            <w:sz w:val="18"/>
                            <w:szCs w:val="18"/>
                          </w:rPr>
                        </w:pPr>
                        <w:r>
                          <w:rPr>
                            <w:rFonts w:ascii="宋体" w:hAnsi="宋体" w:cs="宋体" w:eastAsia="宋体" w:hint="default"/>
                            <w:sz w:val="18"/>
                            <w:szCs w:val="18"/>
                          </w:rPr>
                          <w:t>计使用募集资金 </w:t>
                        </w:r>
                        <w:r>
                          <w:rPr>
                            <w:rFonts w:ascii="Times New Roman" w:hAnsi="Times New Roman" w:cs="Times New Roman" w:eastAsia="Times New Roman" w:hint="default"/>
                            <w:sz w:val="18"/>
                            <w:szCs w:val="18"/>
                          </w:rPr>
                          <w:t>19,350.13 </w:t>
                        </w:r>
                        <w:r>
                          <w:rPr>
                            <w:rFonts w:ascii="宋体" w:hAnsi="宋体" w:cs="宋体" w:eastAsia="宋体" w:hint="default"/>
                            <w:spacing w:val="-4"/>
                            <w:sz w:val="18"/>
                            <w:szCs w:val="18"/>
                          </w:rPr>
                          <w:t>万元，扣除累计已使用募集资金后，募集资金余额为 </w:t>
                        </w:r>
                        <w:r>
                          <w:rPr>
                            <w:rFonts w:ascii="Times New Roman" w:hAnsi="Times New Roman" w:cs="Times New Roman" w:eastAsia="Times New Roman" w:hint="default"/>
                            <w:sz w:val="18"/>
                            <w:szCs w:val="18"/>
                          </w:rPr>
                          <w:t>59,723.29 </w:t>
                        </w:r>
                        <w:r>
                          <w:rPr>
                            <w:rFonts w:ascii="宋体" w:hAnsi="宋体" w:cs="宋体" w:eastAsia="宋体" w:hint="default"/>
                            <w:spacing w:val="-4"/>
                            <w:sz w:val="18"/>
                            <w:szCs w:val="18"/>
                          </w:rPr>
                          <w:t>万元，使用暂时闲置募集资金购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买金融机构理财产品的余额为 </w:t>
                        </w:r>
                        <w:r>
                          <w:rPr>
                            <w:rFonts w:ascii="Times New Roman" w:hAnsi="Times New Roman" w:cs="Times New Roman" w:eastAsia="Times New Roman" w:hint="default"/>
                            <w:sz w:val="18"/>
                            <w:szCs w:val="18"/>
                          </w:rPr>
                          <w:t>27,000.00 </w:t>
                        </w:r>
                        <w:r>
                          <w:rPr>
                            <w:rFonts w:ascii="宋体" w:hAnsi="宋体" w:cs="宋体" w:eastAsia="宋体" w:hint="default"/>
                            <w:spacing w:val="-3"/>
                            <w:sz w:val="18"/>
                            <w:szCs w:val="18"/>
                          </w:rPr>
                          <w:t>万元，募集资金专用账户累计利息收入净额（利息收入扣除手续费）</w:t>
                        </w:r>
                        <w:r>
                          <w:rPr>
                            <w:rFonts w:ascii="Times New Roman" w:hAnsi="Times New Roman" w:cs="Times New Roman" w:eastAsia="Times New Roman" w:hint="default"/>
                            <w:spacing w:val="-3"/>
                            <w:sz w:val="18"/>
                            <w:szCs w:val="18"/>
                          </w:rPr>
                          <w:t>1,286.63 </w:t>
                        </w:r>
                        <w:r>
                          <w:rPr>
                            <w:rFonts w:ascii="宋体" w:hAnsi="宋体" w:cs="宋体" w:eastAsia="宋体" w:hint="default"/>
                            <w:sz w:val="18"/>
                            <w:szCs w:val="18"/>
                          </w:rPr>
                          <w:t>元</w:t>
                        </w:r>
                        <w:r>
                          <w:rPr>
                            <w:rFonts w:ascii="宋体" w:hAnsi="宋体" w:cs="宋体" w:eastAsia="宋体" w:hint="default"/>
                            <w:spacing w:val="-23"/>
                            <w:sz w:val="18"/>
                            <w:szCs w:val="18"/>
                          </w:rPr>
                          <w:t> </w:t>
                        </w:r>
                        <w:r>
                          <w:rPr>
                            <w:rFonts w:ascii="宋体" w:hAnsi="宋体" w:cs="宋体" w:eastAsia="宋体" w:hint="default"/>
                            <w:sz w:val="18"/>
                            <w:szCs w:val="18"/>
                          </w:rPr>
                          <w:t>募集资金专用账户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34,009.92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3"/>
        <w:ind w:left="393"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277"/>
        <w:gridCol w:w="566"/>
        <w:gridCol w:w="994"/>
        <w:gridCol w:w="989"/>
        <w:gridCol w:w="975"/>
        <w:gridCol w:w="869"/>
        <w:gridCol w:w="711"/>
        <w:gridCol w:w="710"/>
        <w:gridCol w:w="850"/>
        <w:gridCol w:w="850"/>
        <w:gridCol w:w="850"/>
        <w:gridCol w:w="710"/>
      </w:tblGrid>
      <w:tr>
        <w:trPr>
          <w:trHeight w:val="196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1" w:right="89"/>
              <w:jc w:val="center"/>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和超募资金投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67" w:right="6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w:t>
            </w:r>
            <w:r>
              <w:rPr>
                <w:rFonts w:ascii="宋体" w:hAnsi="宋体" w:cs="宋体" w:eastAsia="宋体" w:hint="default"/>
                <w:w w:val="101"/>
                <w:sz w:val="18"/>
                <w:szCs w:val="18"/>
              </w:rPr>
              <w:t> </w:t>
            </w:r>
            <w:r>
              <w:rPr>
                <w:rFonts w:ascii="宋体" w:hAnsi="宋体" w:cs="宋体" w:eastAsia="宋体" w:hint="default"/>
                <w:sz w:val="18"/>
                <w:szCs w:val="18"/>
              </w:rPr>
              <w:t>已变</w:t>
            </w:r>
            <w:r>
              <w:rPr>
                <w:rFonts w:ascii="宋体" w:hAnsi="宋体" w:cs="宋体" w:eastAsia="宋体" w:hint="default"/>
                <w:spacing w:val="-86"/>
                <w:sz w:val="18"/>
                <w:szCs w:val="18"/>
              </w:rPr>
              <w:t> </w:t>
            </w:r>
            <w:r>
              <w:rPr>
                <w:rFonts w:ascii="宋体" w:hAnsi="宋体" w:cs="宋体" w:eastAsia="宋体" w:hint="default"/>
                <w:sz w:val="18"/>
                <w:szCs w:val="18"/>
              </w:rPr>
              <w:t>更项</w:t>
            </w:r>
            <w:r>
              <w:rPr>
                <w:rFonts w:ascii="宋体" w:hAnsi="宋体" w:cs="宋体" w:eastAsia="宋体" w:hint="default"/>
                <w:spacing w:val="-86"/>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z w:val="18"/>
                <w:szCs w:val="18"/>
              </w:rPr>
              <w:t>部分</w:t>
            </w:r>
            <w:r>
              <w:rPr>
                <w:rFonts w:ascii="宋体" w:hAnsi="宋体" w:cs="宋体" w:eastAsia="宋体" w:hint="default"/>
                <w:spacing w:val="-86"/>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36"/>
              <w:jc w:val="left"/>
              <w:rPr>
                <w:rFonts w:ascii="宋体" w:hAnsi="宋体" w:cs="宋体" w:eastAsia="宋体" w:hint="default"/>
                <w:sz w:val="18"/>
                <w:szCs w:val="18"/>
              </w:rPr>
            </w:pPr>
            <w:r>
              <w:rPr>
                <w:rFonts w:ascii="宋体" w:hAnsi="宋体" w:cs="宋体" w:eastAsia="宋体" w:hint="default"/>
                <w:spacing w:val="-2"/>
                <w:sz w:val="18"/>
                <w:szCs w:val="18"/>
              </w:rPr>
              <w:t>募集资金承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诺投资总额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6" w:right="32" w:hanging="16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调整后投资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pacing w:val="-2"/>
                <w:sz w:val="18"/>
                <w:szCs w:val="18"/>
              </w:rPr>
              <w:t>本报告期投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67"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62" w:right="62" w:firstLine="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101"/>
                <w:sz w:val="18"/>
                <w:szCs w:val="18"/>
              </w:rPr>
              <w:t> </w:t>
            </w:r>
            <w:r>
              <w:rPr>
                <w:rFonts w:ascii="宋体" w:hAnsi="宋体" w:cs="宋体" w:eastAsia="宋体" w:hint="default"/>
                <w:sz w:val="18"/>
                <w:szCs w:val="18"/>
              </w:rPr>
              <w:t>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p>
            <w:pPr>
              <w:pStyle w:val="TableParagraph"/>
              <w:spacing w:line="240" w:lineRule="auto" w:before="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1" w:right="74"/>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63" w:right="50"/>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57" w:right="55"/>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期末累计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实现的效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51"/>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1" w:right="7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398" w:hRule="exact"/>
        </w:trPr>
        <w:tc>
          <w:tcPr>
            <w:tcW w:w="103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股份购买资产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并募集配套资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52,882.63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52,882.63</w:t>
            </w:r>
          </w:p>
        </w:tc>
        <w:tc>
          <w:tcPr>
            <w:tcW w:w="9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22,560.94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63,894.46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7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金融云服务平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台建设项目的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42,481.22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42,481.22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4,889.59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4,889.59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pacing w:val="-3"/>
                <w:sz w:val="18"/>
              </w:rPr>
              <w:t>11.51%</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77"/>
        <w:gridCol w:w="566"/>
        <w:gridCol w:w="994"/>
        <w:gridCol w:w="989"/>
        <w:gridCol w:w="975"/>
        <w:gridCol w:w="869"/>
        <w:gridCol w:w="711"/>
        <w:gridCol w:w="710"/>
        <w:gridCol w:w="850"/>
        <w:gridCol w:w="850"/>
        <w:gridCol w:w="850"/>
        <w:gridCol w:w="710"/>
      </w:tblGrid>
      <w:tr>
        <w:trPr>
          <w:trHeight w:val="36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存储和使用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能源信息化平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台建设项目的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存储和使用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22,131.66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22,131.66</w:t>
            </w:r>
          </w:p>
        </w:tc>
        <w:tc>
          <w:tcPr>
            <w:tcW w:w="9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补充流动资金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项目的存储和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使用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14,460.54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14,460.54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14,460.54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14,460.54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小计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3"/>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131,956.05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131,956.05</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19,350.13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19,350.13</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22,560.94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63,894.46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23"/>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131,956.05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131,956.05</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19,350.13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19,350.13</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22,560.94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63,894.46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未达到计划进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度或预计收益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的情况和原因</w:t>
            </w:r>
          </w:p>
          <w:p>
            <w:pPr>
              <w:pStyle w:val="TableParagraph"/>
              <w:spacing w:line="240" w:lineRule="auto" w:before="25"/>
              <w:ind w:left="24"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分</w:t>
            </w:r>
            <w:r>
              <w:rPr>
                <w:rFonts w:ascii="宋体" w:hAnsi="宋体" w:cs="宋体" w:eastAsia="宋体" w:hint="default"/>
                <w:w w:val="101"/>
                <w:sz w:val="18"/>
                <w:szCs w:val="18"/>
              </w:rPr>
              <w:t>具</w:t>
            </w:r>
            <w:r>
              <w:rPr>
                <w:rFonts w:ascii="宋体" w:hAnsi="宋体" w:cs="宋体" w:eastAsia="宋体" w:hint="default"/>
                <w:spacing w:val="-5"/>
                <w:w w:val="101"/>
                <w:sz w:val="18"/>
                <w:szCs w:val="18"/>
              </w:rPr>
              <w:t>体</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项目可行性发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生重大变化的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情况说明</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超募资金的金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额、用途及使用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进展情况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5"/>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项目实施地点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变更情况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vMerge/>
            <w:tcBorders>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5"/>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vMerge/>
            <w:tcBorders>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项目先期投入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及置换情况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用闲置募集资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金暂时补充流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动资金情况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项目实施出现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募集资金结余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的金额及原因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尚未使用的募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集资金用途及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95"/>
              <w:jc w:val="left"/>
              <w:rPr>
                <w:rFonts w:ascii="宋体" w:hAnsi="宋体" w:cs="宋体" w:eastAsia="宋体" w:hint="default"/>
                <w:sz w:val="18"/>
                <w:szCs w:val="18"/>
              </w:rPr>
            </w:pPr>
            <w:r>
              <w:rPr>
                <w:rFonts w:ascii="宋体" w:hAnsi="宋体" w:cs="宋体" w:eastAsia="宋体" w:hint="default"/>
                <w:spacing w:val="-3"/>
                <w:sz w:val="18"/>
                <w:szCs w:val="18"/>
              </w:rPr>
              <w:t>根据公司第五届董事会第三十一次会议及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年第一次临时股东大会决议审议通过的《关于使用部分闲置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w w:val="101"/>
                <w:sz w:val="18"/>
                <w:szCs w:val="18"/>
              </w:rPr>
              <w:t>募集资金进行现金管理的议案》，同意公司在确保不影响募集资金投资项目建设、不变相改变募集资金使用</w:t>
            </w:r>
            <w:r>
              <w:rPr>
                <w:rFonts w:ascii="宋体" w:hAnsi="宋体" w:cs="宋体" w:eastAsia="宋体" w:hint="default"/>
                <w:spacing w:val="-5"/>
                <w:sz w:val="18"/>
                <w:szCs w:val="18"/>
              </w:rPr>
            </w:r>
          </w:p>
        </w:tc>
      </w:tr>
    </w:tbl>
    <w:p>
      <w:pPr>
        <w:spacing w:after="0" w:line="295" w:lineRule="auto"/>
        <w:jc w:val="left"/>
        <w:rPr>
          <w:rFonts w:ascii="宋体" w:hAnsi="宋体" w:cs="宋体" w:eastAsia="宋体" w:hint="default"/>
          <w:sz w:val="18"/>
          <w:szCs w:val="18"/>
        </w:rPr>
        <w:sectPr>
          <w:pgSz w:w="11910" w:h="16840"/>
          <w:pgMar w:header="741"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46"/>
        <w:ind w:left="0" w:right="633"/>
        <w:jc w:val="right"/>
      </w:pPr>
      <w:r>
        <w:rPr/>
        <w:pict>
          <v:shape style="position:absolute;margin-left:42.264pt;margin-top:-61.378258pt;width:518.4pt;height:147.9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566"/>
                    <w:gridCol w:w="8509"/>
                  </w:tblGrid>
                  <w:tr>
                    <w:trPr>
                      <w:trHeight w:val="160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pacing w:val="-4"/>
                            <w:sz w:val="18"/>
                            <w:szCs w:val="18"/>
                          </w:rPr>
                          <w:t>用途、不影响公司正常经营及确保资金安全的情况下，使用不超过人民币 </w:t>
                        </w:r>
                        <w:r>
                          <w:rPr>
                            <w:rFonts w:ascii="Times New Roman" w:hAnsi="Times New Roman" w:cs="Times New Roman" w:eastAsia="Times New Roman" w:hint="default"/>
                            <w:sz w:val="18"/>
                            <w:szCs w:val="18"/>
                          </w:rPr>
                          <w:t>60,000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万元的暂时闲置募集资金进</w:t>
                        </w:r>
                      </w:p>
                      <w:p>
                        <w:pPr>
                          <w:pStyle w:val="TableParagraph"/>
                          <w:spacing w:line="309" w:lineRule="auto" w:before="63"/>
                          <w:ind w:left="23" w:right="55"/>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行现金管理，用于购买金融机构发行的期限不超过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个月保本型理财产品（包括但不限于银行固定收益型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w w:val="101"/>
                            <w:sz w:val="18"/>
                            <w:szCs w:val="18"/>
                          </w:rPr>
                          <w:t>或保本浮动收益型的理财产品、结构性存款及证券公司保本型收益凭证等），使用期限自公司股东大会审议</w:t>
                        </w:r>
                        <w:r>
                          <w:rPr>
                            <w:rFonts w:ascii="宋体" w:hAnsi="宋体" w:cs="宋体" w:eastAsia="宋体" w:hint="default"/>
                            <w:spacing w:val="-64"/>
                            <w:w w:val="101"/>
                            <w:sz w:val="18"/>
                            <w:szCs w:val="18"/>
                          </w:rPr>
                          <w:t> </w:t>
                        </w:r>
                        <w:r>
                          <w:rPr>
                            <w:rFonts w:ascii="宋体" w:hAnsi="宋体" w:cs="宋体" w:eastAsia="宋体" w:hint="default"/>
                            <w:spacing w:val="-64"/>
                            <w:w w:val="101"/>
                            <w:sz w:val="18"/>
                            <w:szCs w:val="18"/>
                          </w:rPr>
                        </w:r>
                        <w:r>
                          <w:rPr>
                            <w:rFonts w:ascii="宋体" w:hAnsi="宋体" w:cs="宋体" w:eastAsia="宋体" w:hint="default"/>
                            <w:sz w:val="18"/>
                            <w:szCs w:val="18"/>
                          </w:rPr>
                          <w:t>通过之日起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个月内有效。在上述使用期限及额度范围内，资金可以循环滚动使用。截至</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pacing w:val="-77"/>
                            <w:w w:val="101"/>
                            <w:sz w:val="18"/>
                            <w:szCs w:val="18"/>
                          </w:rPr>
                          <w:t>，</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购</w:t>
                        </w:r>
                        <w:r>
                          <w:rPr>
                            <w:rFonts w:ascii="宋体" w:hAnsi="宋体" w:cs="宋体" w:eastAsia="宋体" w:hint="default"/>
                            <w:spacing w:val="-5"/>
                            <w:w w:val="101"/>
                            <w:sz w:val="18"/>
                            <w:szCs w:val="18"/>
                          </w:rPr>
                          <w:t>买</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机</w:t>
                        </w:r>
                        <w:r>
                          <w:rPr>
                            <w:rFonts w:ascii="宋体" w:hAnsi="宋体" w:cs="宋体" w:eastAsia="宋体" w:hint="default"/>
                            <w:spacing w:val="-5"/>
                            <w:w w:val="101"/>
                            <w:sz w:val="18"/>
                            <w:szCs w:val="18"/>
                          </w:rPr>
                          <w:t>构</w:t>
                        </w:r>
                        <w:r>
                          <w:rPr>
                            <w:rFonts w:ascii="宋体" w:hAnsi="宋体" w:cs="宋体" w:eastAsia="宋体" w:hint="default"/>
                            <w:w w:val="101"/>
                            <w:sz w:val="18"/>
                            <w:szCs w:val="18"/>
                          </w:rPr>
                          <w:t>理</w:t>
                        </w:r>
                        <w:r>
                          <w:rPr>
                            <w:rFonts w:ascii="宋体" w:hAnsi="宋体" w:cs="宋体" w:eastAsia="宋体" w:hint="default"/>
                            <w:spacing w:val="-5"/>
                            <w:w w:val="101"/>
                            <w:sz w:val="18"/>
                            <w:szCs w:val="18"/>
                          </w:rPr>
                          <w:t>财</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的</w:t>
                        </w:r>
                        <w:r>
                          <w:rPr>
                            <w:rFonts w:ascii="宋体" w:hAnsi="宋体" w:cs="宋体" w:eastAsia="宋体" w:hint="default"/>
                            <w:spacing w:val="-5"/>
                            <w:w w:val="101"/>
                            <w:sz w:val="18"/>
                            <w:szCs w:val="18"/>
                          </w:rPr>
                          <w:t>余</w:t>
                        </w:r>
                        <w:r>
                          <w:rPr>
                            <w:rFonts w:ascii="宋体" w:hAnsi="宋体" w:cs="宋体" w:eastAsia="宋体" w:hint="default"/>
                            <w:w w:val="101"/>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77"/>
                            <w:w w:val="101"/>
                            <w:sz w:val="18"/>
                            <w:szCs w:val="18"/>
                          </w:rPr>
                          <w:t>，</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存</w:t>
                        </w:r>
                        <w:r>
                          <w:rPr>
                            <w:rFonts w:ascii="宋体" w:hAnsi="宋体" w:cs="宋体" w:eastAsia="宋体" w:hint="default"/>
                            <w:spacing w:val="-5"/>
                            <w:w w:val="101"/>
                            <w:sz w:val="18"/>
                            <w:szCs w:val="18"/>
                          </w:rPr>
                          <w:t>放</w:t>
                        </w:r>
                        <w:r>
                          <w:rPr>
                            <w:rFonts w:ascii="宋体" w:hAnsi="宋体" w:cs="宋体" w:eastAsia="宋体" w:hint="default"/>
                            <w:w w:val="101"/>
                            <w:sz w:val="18"/>
                            <w:szCs w:val="18"/>
                          </w:rPr>
                          <w:t>在</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z w:val="18"/>
                            <w:szCs w:val="18"/>
                          </w:rPr>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募集资金使用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及披露中存在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的问题或其他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3"/>
        <w:spacing w:line="335" w:lineRule="exact"/>
        <w:ind w:left="533" w:right="721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left="53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6"/>
        <w:rPr>
          <w:rFonts w:ascii="宋体" w:hAnsi="宋体" w:cs="宋体" w:eastAsia="宋体" w:hint="default"/>
          <w:sz w:val="12"/>
          <w:szCs w:val="12"/>
        </w:rPr>
      </w:pPr>
    </w:p>
    <w:p>
      <w:pPr>
        <w:pStyle w:val="Heading2"/>
        <w:spacing w:line="240" w:lineRule="auto"/>
        <w:ind w:left="533" w:right="7211"/>
        <w:jc w:val="left"/>
        <w:rPr>
          <w:b w:val="0"/>
          <w:bCs w:val="0"/>
        </w:rPr>
      </w:pPr>
      <w:r>
        <w:rPr/>
        <w:t>六、重大资产和股权出售</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3"/>
        <w:spacing w:line="240" w:lineRule="auto"/>
        <w:ind w:left="533" w:right="721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38" w:lineRule="auto"/>
        <w:ind w:left="53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12"/>
        <w:rPr>
          <w:rFonts w:ascii="宋体" w:hAnsi="宋体" w:cs="宋体" w:eastAsia="宋体" w:hint="default"/>
          <w:sz w:val="15"/>
          <w:szCs w:val="15"/>
        </w:rPr>
      </w:pPr>
    </w:p>
    <w:p>
      <w:pPr>
        <w:pStyle w:val="Heading3"/>
        <w:spacing w:line="240" w:lineRule="auto"/>
        <w:ind w:left="533" w:right="721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53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left="533" w:right="7211"/>
        <w:jc w:val="left"/>
        <w:rPr>
          <w:b w:val="0"/>
          <w:bCs w:val="0"/>
        </w:rPr>
      </w:pPr>
      <w:r>
        <w:rPr/>
        <w:t>七、主要控股参股公司分析</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600" w:right="0"/>
        </w:sectPr>
      </w:pPr>
    </w:p>
    <w:p>
      <w:pPr>
        <w:pStyle w:val="BodyText"/>
        <w:spacing w:line="240" w:lineRule="auto" w:before="46"/>
        <w:ind w:left="533" w:right="-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33" w:right="-15"/>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533" w:right="0"/>
        <w:jc w:val="left"/>
      </w:pPr>
      <w:r>
        <w:rPr/>
        <w:t>单位：元</w:t>
      </w:r>
    </w:p>
    <w:p>
      <w:pPr>
        <w:spacing w:after="0" w:line="240" w:lineRule="auto"/>
        <w:jc w:val="left"/>
        <w:sectPr>
          <w:type w:val="continuous"/>
          <w:pgSz w:w="11910" w:h="16840"/>
          <w:pgMar w:top="1060" w:bottom="1160" w:left="600" w:right="0"/>
          <w:cols w:num="2" w:equalWidth="0">
            <w:col w:w="5235" w:space="3687"/>
            <w:col w:w="2388"/>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54"/>
        <w:gridCol w:w="850"/>
        <w:gridCol w:w="1277"/>
        <w:gridCol w:w="1277"/>
        <w:gridCol w:w="1272"/>
        <w:gridCol w:w="1330"/>
        <w:gridCol w:w="1225"/>
        <w:gridCol w:w="1277"/>
        <w:gridCol w:w="1273"/>
      </w:tblGrid>
      <w:tr>
        <w:trPr>
          <w:trHeight w:val="403"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0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93"/>
              <w:jc w:val="left"/>
              <w:rPr>
                <w:rFonts w:ascii="宋体" w:hAnsi="宋体" w:cs="宋体" w:eastAsia="宋体" w:hint="default"/>
                <w:sz w:val="18"/>
                <w:szCs w:val="18"/>
              </w:rPr>
            </w:pPr>
            <w:r>
              <w:rPr>
                <w:rFonts w:ascii="宋体" w:hAnsi="宋体" w:cs="宋体" w:eastAsia="宋体" w:hint="default"/>
                <w:sz w:val="18"/>
                <w:szCs w:val="18"/>
              </w:rPr>
              <w:t>外包园公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软件外包园区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的投资和管理；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实业投资；计算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机软、硬件系统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的开发、集成、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咨询、销售和服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务；物业管理；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自建房屋出租；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停车场管理服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128,761,620.11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pacing w:val="-1"/>
                <w:sz w:val="18"/>
              </w:rPr>
              <w:t>903,525,912.85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202,832,689.52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57,392,637.86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-598,755.10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59,280.38</w:t>
            </w:r>
          </w:p>
        </w:tc>
      </w:tr>
      <w:tr>
        <w:trPr>
          <w:trHeight w:val="40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软件开发与服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pacing w:val="-1"/>
                <w:sz w:val="18"/>
              </w:rPr>
              <w:t>420,735,037.62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260,627,469.41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558,033,727.43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83,083,676.61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77,483,931.77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00" w:right="0"/>
        </w:sectPr>
      </w:pPr>
    </w:p>
    <w:p>
      <w:pPr>
        <w:spacing w:line="240" w:lineRule="auto" w:before="11"/>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854"/>
        <w:gridCol w:w="850"/>
        <w:gridCol w:w="1277"/>
        <w:gridCol w:w="1277"/>
        <w:gridCol w:w="1272"/>
        <w:gridCol w:w="1330"/>
        <w:gridCol w:w="1225"/>
        <w:gridCol w:w="1277"/>
        <w:gridCol w:w="1273"/>
      </w:tblGrid>
      <w:tr>
        <w:trPr>
          <w:trHeight w:val="360" w:hRule="exact"/>
        </w:trPr>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软件开发与服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103,975,000.00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874,670,781.55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693,040,070.02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638,809,691.46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247,088,597.09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225,609,431.14</w:t>
            </w:r>
          </w:p>
        </w:tc>
      </w:tr>
      <w:tr>
        <w:trPr>
          <w:trHeight w:val="71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软件开发与服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25,033,575.29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15,355,685.36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81,422,500.24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116,264.79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407,119.95</w:t>
            </w:r>
          </w:p>
        </w:tc>
      </w:tr>
      <w:tr>
        <w:trPr>
          <w:trHeight w:val="71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软件开发与服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58,314,956.09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53,085,416.49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75,363,943.89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3,250,657.65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3,660,300.49</w:t>
            </w:r>
          </w:p>
        </w:tc>
      </w:tr>
    </w:tbl>
    <w:p>
      <w:pPr>
        <w:pStyle w:val="BodyText"/>
        <w:spacing w:line="240" w:lineRule="auto" w:before="54"/>
        <w:ind w:left="533" w:right="7211"/>
        <w:jc w:val="left"/>
      </w:pPr>
      <w:r>
        <w:rPr>
          <w:spacing w:val="-3"/>
        </w:rPr>
        <w:t>报告期内取得和处置子公司的情况</w:t>
      </w:r>
    </w:p>
    <w:p>
      <w:pPr>
        <w:pStyle w:val="BodyText"/>
        <w:spacing w:line="240" w:lineRule="auto" w:before="115"/>
        <w:ind w:left="53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6"/>
        <w:ind w:left="0" w:right="1127"/>
        <w:jc w:val="right"/>
      </w:pPr>
      <w:r>
        <w:rPr/>
        <w:pict>
          <v:shape style="position:absolute;margin-left:56.424pt;margin-top:-98.818283pt;width:479.5pt;height:502.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29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润辰科技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94"/>
                          <w:jc w:val="both"/>
                          <w:rPr>
                            <w:rFonts w:ascii="宋体" w:hAnsi="宋体" w:cs="宋体" w:eastAsia="宋体" w:hint="default"/>
                            <w:sz w:val="18"/>
                            <w:szCs w:val="18"/>
                          </w:rPr>
                        </w:pPr>
                        <w:r>
                          <w:rPr>
                            <w:rFonts w:ascii="宋体" w:hAnsi="宋体" w:cs="宋体" w:eastAsia="宋体" w:hint="default"/>
                            <w:spacing w:val="-3"/>
                            <w:sz w:val="18"/>
                            <w:szCs w:val="18"/>
                          </w:rPr>
                          <w:t>润辰科技主要专注于提供面向金融行业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的区块链解决方案，同时帮助金融客户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与企业客户开发、部署基于区块链技术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的业务系统，并与生态合作伙伴一起利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用区块链的业务和技术特性共建新金融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生态圈。本次投资由公司自有资金解决</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不会对公司财务及经营状况产生重大不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利影响，不存在损害公司及全体股东利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益的情况。</w:t>
                        </w:r>
                      </w:p>
                    </w:tc>
                  </w:tr>
                  <w:tr>
                    <w:trPr>
                      <w:trHeight w:val="321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润和润云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5"/>
                          <w:jc w:val="both"/>
                          <w:rPr>
                            <w:rFonts w:ascii="宋体" w:hAnsi="宋体" w:cs="宋体" w:eastAsia="宋体" w:hint="default"/>
                            <w:sz w:val="18"/>
                            <w:szCs w:val="18"/>
                          </w:rPr>
                        </w:pPr>
                        <w:r>
                          <w:rPr>
                            <w:rFonts w:ascii="宋体" w:hAnsi="宋体" w:cs="宋体" w:eastAsia="宋体" w:hint="default"/>
                            <w:spacing w:val="-3"/>
                            <w:sz w:val="18"/>
                            <w:szCs w:val="18"/>
                          </w:rPr>
                          <w:t>抓住行业发展机遇，实现公司整体战略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布局和发展目标，围绕核心客户，提供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专业的解决方案和产品实施服务，同时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围绕金融、智能终端、智慧能源等领域</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提供相应的云计算、大数据技术解决方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案服务，加速公司核心战略的布局和落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地，从而进一步加强公司的核心竞争力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和提升公司的市场地位。投资新设润和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润云由公司自有资金解决，不会对公司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财务及经营状况产生重大不利影响。</w:t>
                        </w:r>
                      </w:p>
                    </w:tc>
                  </w:tr>
                  <w:tr>
                    <w:trPr>
                      <w:trHeight w:val="35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5"/>
                          <w:jc w:val="both"/>
                          <w:rPr>
                            <w:rFonts w:ascii="宋体" w:hAnsi="宋体" w:cs="宋体" w:eastAsia="宋体" w:hint="default"/>
                            <w:sz w:val="18"/>
                            <w:szCs w:val="18"/>
                          </w:rPr>
                        </w:pPr>
                        <w:r>
                          <w:rPr>
                            <w:rFonts w:ascii="宋体" w:hAnsi="宋体" w:cs="宋体" w:eastAsia="宋体" w:hint="default"/>
                            <w:spacing w:val="-3"/>
                            <w:sz w:val="18"/>
                            <w:szCs w:val="18"/>
                          </w:rPr>
                          <w:t>吸收新维数联核心团队，可以进一步提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升公司在专业交付上的核心竞争力，有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利于公司提升金融信息化解决方案专业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交付的效率，有利于公司实现自动化平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台为核心的交付能力。同时，公司将新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维数联纳入上市公司的管理体系，在品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牌、客户关系、技术研发等多个维度为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新维数联提供帮助，保证其业务持续良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好发展。投资新维数联由公司自有资金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解决，不会对公司财务及经营状况产生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重大不利影响。</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6"/>
        <w:ind w:left="533" w:right="7211"/>
        <w:jc w:val="left"/>
      </w:pPr>
      <w:r>
        <w:rPr>
          <w:spacing w:val="-3"/>
        </w:rPr>
        <w:t>主要控股参股公司情况说明</w:t>
      </w:r>
    </w:p>
    <w:p>
      <w:pPr>
        <w:spacing w:after="0" w:line="240" w:lineRule="auto"/>
        <w:jc w:val="left"/>
        <w:sectPr>
          <w:pgSz w:w="11910" w:h="16840"/>
          <w:pgMar w:header="741" w:footer="979" w:top="1060" w:bottom="1160" w:left="600" w:right="0"/>
        </w:sectPr>
      </w:pPr>
    </w:p>
    <w:p>
      <w:pPr>
        <w:spacing w:line="240" w:lineRule="auto" w:before="5"/>
        <w:rPr>
          <w:rFonts w:ascii="宋体" w:hAnsi="宋体" w:cs="宋体" w:eastAsia="宋体" w:hint="default"/>
          <w:sz w:val="23"/>
          <w:szCs w:val="23"/>
        </w:rPr>
      </w:pPr>
    </w:p>
    <w:p>
      <w:pPr>
        <w:pStyle w:val="Heading2"/>
        <w:spacing w:line="367" w:lineRule="exact"/>
        <w:ind w:right="0"/>
        <w:jc w:val="left"/>
        <w:rPr>
          <w:b w:val="0"/>
          <w:bCs w:val="0"/>
        </w:rPr>
      </w:pPr>
      <w:r>
        <w:rPr/>
        <w:t>八、公司控制的结构化主体情况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九、公司未来发展的展望</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left="518" w:right="0"/>
        <w:jc w:val="left"/>
      </w:pPr>
      <w:r>
        <w:rPr>
          <w:spacing w:val="-3"/>
        </w:rPr>
        <w:t>（一）公司发展规划</w:t>
      </w:r>
    </w:p>
    <w:p>
      <w:pPr>
        <w:pStyle w:val="BodyText"/>
        <w:spacing w:line="300" w:lineRule="auto" w:before="76"/>
        <w:ind w:left="662" w:right="1026"/>
        <w:jc w:val="left"/>
      </w:pPr>
      <w:r>
        <w:rPr>
          <w:rFonts w:ascii="Times New Roman" w:hAnsi="Times New Roman" w:cs="Times New Roman" w:eastAsia="Times New Roman" w:hint="default"/>
          <w:spacing w:val="-3"/>
        </w:rPr>
        <w:t>1</w:t>
      </w:r>
      <w:r>
        <w:rPr>
          <w:spacing w:val="-3"/>
        </w:rPr>
        <w:t>、数字化战略</w:t>
      </w:r>
      <w:r>
        <w:rPr>
          <w:spacing w:val="-69"/>
        </w:rPr>
        <w:t> </w:t>
      </w:r>
      <w:r>
        <w:rPr>
          <w:spacing w:val="-69"/>
        </w:rPr>
      </w:r>
      <w:r>
        <w:rPr>
          <w:spacing w:val="-4"/>
        </w:rPr>
        <w:t>公司已经确定了以金融科技、智能物联为两大数字化战略升级方向，逐步实现公司从技术服务型企业升级为科技服务</w:t>
      </w:r>
    </w:p>
    <w:p>
      <w:pPr>
        <w:pStyle w:val="BodyText"/>
        <w:spacing w:line="316" w:lineRule="auto" w:before="31"/>
        <w:ind w:right="0"/>
        <w:jc w:val="left"/>
      </w:pPr>
      <w:r>
        <w:rPr>
          <w:spacing w:val="-4"/>
        </w:rPr>
        <w:t>型企业，逐步实现从依靠人员数量扩张到依靠运营效率扩张，逐步从人才与技术密集型的发展到知识与科技密集型的可持续</w:t>
      </w:r>
      <w:r>
        <w:rPr>
          <w:spacing w:val="38"/>
        </w:rPr>
        <w:t> </w:t>
      </w:r>
      <w:r>
        <w:rPr>
          <w:spacing w:val="38"/>
        </w:rPr>
      </w:r>
      <w:r>
        <w:rPr>
          <w:spacing w:val="-3"/>
        </w:rPr>
        <w:t>发展，实现公司的客户结构、业务结构、营收结构的持续优化。</w:t>
      </w:r>
    </w:p>
    <w:p>
      <w:pPr>
        <w:pStyle w:val="BodyText"/>
        <w:spacing w:line="300" w:lineRule="auto" w:before="19"/>
        <w:ind w:left="662" w:right="0"/>
        <w:jc w:val="left"/>
      </w:pPr>
      <w:r>
        <w:rPr>
          <w:rFonts w:ascii="Times New Roman" w:hAnsi="Times New Roman" w:cs="Times New Roman" w:eastAsia="Times New Roman" w:hint="default"/>
          <w:spacing w:val="-3"/>
        </w:rPr>
        <w:t>2</w:t>
      </w:r>
      <w:r>
        <w:rPr>
          <w:spacing w:val="-3"/>
        </w:rPr>
        <w:t>、金融科技业务规划</w:t>
      </w:r>
      <w:r>
        <w:rPr>
          <w:spacing w:val="-63"/>
        </w:rPr>
        <w:t> </w:t>
      </w:r>
      <w:r>
        <w:rPr>
          <w:spacing w:val="-63"/>
        </w:rPr>
      </w:r>
      <w:r>
        <w:rPr>
          <w:spacing w:val="-4"/>
        </w:rPr>
        <w:t>未来，公司将继续坚持聚焦城商行与第一梯队农商行，充分抓住传统银行业新一轮数字化系统升级与改造的广阔市场</w:t>
      </w:r>
    </w:p>
    <w:p>
      <w:pPr>
        <w:pStyle w:val="BodyText"/>
        <w:spacing w:line="240" w:lineRule="auto" w:before="32"/>
        <w:ind w:right="0"/>
        <w:jc w:val="left"/>
      </w:pPr>
      <w:r>
        <w:rPr>
          <w:spacing w:val="-3"/>
        </w:rPr>
        <w:t>需求，积极拓展客户与业务规模，提前进行布局和战略卡位，快速建立起先发优势。</w:t>
      </w:r>
    </w:p>
    <w:p>
      <w:pPr>
        <w:pStyle w:val="BodyText"/>
        <w:spacing w:line="300" w:lineRule="auto" w:before="76"/>
        <w:ind w:left="662" w:right="0"/>
        <w:jc w:val="left"/>
      </w:pPr>
      <w:r>
        <w:rPr>
          <w:rFonts w:ascii="Times New Roman" w:hAnsi="Times New Roman" w:cs="Times New Roman" w:eastAsia="Times New Roman" w:hint="default"/>
          <w:spacing w:val="-3"/>
        </w:rPr>
        <w:t>3</w:t>
      </w:r>
      <w:r>
        <w:rPr>
          <w:spacing w:val="-3"/>
        </w:rPr>
        <w:t>、智能物联发展规划</w:t>
      </w:r>
      <w:r>
        <w:rPr>
          <w:spacing w:val="-63"/>
        </w:rPr>
        <w:t> </w:t>
      </w:r>
      <w:r>
        <w:rPr>
          <w:spacing w:val="-63"/>
        </w:rPr>
      </w:r>
      <w:r>
        <w:rPr>
          <w:spacing w:val="-5"/>
        </w:rPr>
        <w:t>未来，公司将基于软硬件一体化的策略，全面整合场景、算法与系统级芯片（</w:t>
      </w:r>
      <w:r>
        <w:rPr>
          <w:rFonts w:ascii="Times New Roman" w:hAnsi="Times New Roman" w:cs="Times New Roman" w:eastAsia="Times New Roman" w:hint="default"/>
          <w:spacing w:val="-5"/>
        </w:rPr>
        <w:t>SoC</w:t>
      </w:r>
      <w:r>
        <w:rPr>
          <w:spacing w:val="-5"/>
        </w:rPr>
        <w:t>），继续聚焦智慧能源、智能驾驶、</w:t>
      </w:r>
    </w:p>
    <w:p>
      <w:pPr>
        <w:pStyle w:val="BodyText"/>
        <w:spacing w:line="240" w:lineRule="auto" w:before="13"/>
        <w:ind w:right="0"/>
        <w:jc w:val="left"/>
      </w:pPr>
      <w:r>
        <w:rPr>
          <w:spacing w:val="-3"/>
        </w:rPr>
        <w:t>智能零售、智能硬件等智能物联网领域。</w:t>
      </w:r>
    </w:p>
    <w:p>
      <w:pPr>
        <w:pStyle w:val="BodyText"/>
        <w:spacing w:line="300" w:lineRule="auto" w:before="76"/>
        <w:ind w:left="662" w:right="0"/>
        <w:jc w:val="left"/>
      </w:pPr>
      <w:r>
        <w:rPr>
          <w:rFonts w:ascii="Times New Roman" w:hAnsi="Times New Roman" w:cs="Times New Roman" w:eastAsia="Times New Roman" w:hint="default"/>
          <w:spacing w:val="-3"/>
        </w:rPr>
        <w:t>4</w:t>
      </w:r>
      <w:r>
        <w:rPr>
          <w:spacing w:val="-3"/>
        </w:rPr>
        <w:t>、技术研发战略</w:t>
      </w:r>
      <w:r>
        <w:rPr>
          <w:spacing w:val="-68"/>
        </w:rPr>
        <w:t> </w:t>
      </w:r>
      <w:r>
        <w:rPr>
          <w:spacing w:val="-68"/>
        </w:rPr>
      </w:r>
      <w:r>
        <w:rPr>
          <w:spacing w:val="-4"/>
        </w:rPr>
        <w:t>公司将继续深化全生命周期管理理念的实施，坚持以数字化、智能化驱动研发进程，进一步打通金融科技、智能物联</w:t>
      </w:r>
    </w:p>
    <w:p>
      <w:pPr>
        <w:pStyle w:val="BodyText"/>
        <w:spacing w:line="309" w:lineRule="auto" w:before="32"/>
        <w:ind w:right="1122"/>
        <w:jc w:val="both"/>
      </w:pPr>
      <w:r>
        <w:rPr>
          <w:spacing w:val="-4"/>
        </w:rPr>
        <w:t>的底层技术能力，持续完善并优化公司基于</w:t>
      </w:r>
      <w:r>
        <w:rPr>
          <w:rFonts w:ascii="Times New Roman" w:hAnsi="Times New Roman" w:cs="Times New Roman" w:eastAsia="Times New Roman" w:hint="default"/>
          <w:spacing w:val="-4"/>
        </w:rPr>
        <w:t>AI</w:t>
      </w:r>
      <w:r>
        <w:rPr>
          <w:spacing w:val="-4"/>
        </w:rPr>
        <w:t>、系统级芯片（</w:t>
      </w:r>
      <w:r>
        <w:rPr>
          <w:rFonts w:ascii="Times New Roman" w:hAnsi="Times New Roman" w:cs="Times New Roman" w:eastAsia="Times New Roman" w:hint="default"/>
          <w:spacing w:val="-4"/>
        </w:rPr>
        <w:t>SoC</w:t>
      </w:r>
      <w:r>
        <w:rPr>
          <w:spacing w:val="-4"/>
        </w:rPr>
        <w:t>）、边缘计算、云计算、大数据等五大核心技术的底层技</w:t>
      </w:r>
      <w:r>
        <w:rPr>
          <w:spacing w:val="4"/>
        </w:rPr>
        <w:t> </w:t>
      </w:r>
      <w:r>
        <w:rPr>
          <w:spacing w:val="4"/>
        </w:rPr>
      </w:r>
      <w:r>
        <w:rPr>
          <w:spacing w:val="-4"/>
        </w:rPr>
        <w:t>术平台；并以此底层技术平台，结合公司行业经验，在重点市场方向进行技术与业务的融合研发，持续完善公司的产品及解</w:t>
      </w:r>
      <w:r>
        <w:rPr>
          <w:spacing w:val="41"/>
        </w:rPr>
        <w:t> </w:t>
      </w:r>
      <w:r>
        <w:rPr>
          <w:spacing w:val="41"/>
        </w:rPr>
      </w:r>
      <w:r>
        <w:rPr>
          <w:spacing w:val="-3"/>
        </w:rPr>
        <w:t>决方案的宽度及深度，不断提升公司的核心竞争力。</w:t>
      </w:r>
    </w:p>
    <w:p>
      <w:pPr>
        <w:pStyle w:val="BodyText"/>
        <w:spacing w:line="300" w:lineRule="auto" w:before="24"/>
        <w:ind w:left="662" w:right="1645"/>
        <w:jc w:val="left"/>
      </w:pPr>
      <w:r>
        <w:rPr>
          <w:rFonts w:ascii="Times New Roman" w:hAnsi="Times New Roman" w:cs="Times New Roman" w:eastAsia="Times New Roman" w:hint="default"/>
          <w:spacing w:val="-3"/>
        </w:rPr>
        <w:t>5</w:t>
      </w:r>
      <w:r>
        <w:rPr>
          <w:spacing w:val="-3"/>
        </w:rPr>
        <w:t>、资本助力战略</w:t>
      </w:r>
      <w:r>
        <w:rPr>
          <w:spacing w:val="-68"/>
        </w:rPr>
        <w:t> </w:t>
      </w:r>
      <w:r>
        <w:rPr>
          <w:spacing w:val="-68"/>
        </w:rPr>
      </w:r>
      <w:r>
        <w:rPr>
          <w:spacing w:val="-3"/>
        </w:rPr>
        <w:t>未来，公司会采用积极的资本运作手段，加速公司发展战略的快速落地，抢占市场变革的先机。</w:t>
      </w:r>
    </w:p>
    <w:p>
      <w:pPr>
        <w:spacing w:line="240" w:lineRule="auto" w:before="4"/>
        <w:rPr>
          <w:rFonts w:ascii="宋体" w:hAnsi="宋体" w:cs="宋体" w:eastAsia="宋体" w:hint="default"/>
          <w:sz w:val="26"/>
          <w:szCs w:val="26"/>
        </w:rPr>
      </w:pPr>
    </w:p>
    <w:p>
      <w:pPr>
        <w:pStyle w:val="BodyText"/>
        <w:spacing w:line="240" w:lineRule="auto"/>
        <w:ind w:left="510" w:right="7875"/>
        <w:jc w:val="center"/>
      </w:pPr>
      <w:r>
        <w:rPr>
          <w:spacing w:val="-3"/>
        </w:rPr>
        <w:t>（二）公司经营面临的风险因素</w:t>
      </w:r>
    </w:p>
    <w:p>
      <w:pPr>
        <w:pStyle w:val="BodyText"/>
        <w:spacing w:line="300" w:lineRule="auto" w:before="76"/>
        <w:ind w:left="662" w:right="0"/>
        <w:jc w:val="left"/>
      </w:pPr>
      <w:r>
        <w:rPr>
          <w:rFonts w:ascii="Times New Roman" w:hAnsi="Times New Roman" w:cs="Times New Roman" w:eastAsia="Times New Roman" w:hint="default"/>
          <w:spacing w:val="-3"/>
        </w:rPr>
        <w:t>1</w:t>
      </w:r>
      <w:r>
        <w:rPr>
          <w:spacing w:val="-3"/>
        </w:rPr>
        <w:t>、国家产业政策变动风险</w:t>
      </w:r>
      <w:r>
        <w:rPr>
          <w:spacing w:val="-57"/>
        </w:rPr>
        <w:t> </w:t>
      </w:r>
      <w:r>
        <w:rPr>
          <w:spacing w:val="-57"/>
        </w:rPr>
      </w:r>
      <w:r>
        <w:rPr>
          <w:spacing w:val="-3"/>
        </w:rPr>
        <w:t>自</w:t>
      </w:r>
      <w:r>
        <w:rPr>
          <w:rFonts w:ascii="Times New Roman" w:hAnsi="Times New Roman" w:cs="Times New Roman" w:eastAsia="Times New Roman" w:hint="default"/>
          <w:spacing w:val="-3"/>
        </w:rPr>
        <w:t>2000</w:t>
      </w:r>
      <w:r>
        <w:rPr>
          <w:spacing w:val="-3"/>
        </w:rPr>
        <w:t>年国务院正式颁布《鼓励软件产业和集成电路产业发展的若干政策》（国发</w:t>
      </w:r>
      <w:r>
        <w:rPr>
          <w:rFonts w:ascii="Times New Roman" w:hAnsi="Times New Roman" w:cs="Times New Roman" w:eastAsia="Times New Roman" w:hint="default"/>
          <w:spacing w:val="-3"/>
        </w:rPr>
        <w:t>[2000]18</w:t>
      </w:r>
      <w:r>
        <w:rPr>
          <w:spacing w:val="-3"/>
        </w:rPr>
        <w:t>号）以来，软件和信息技</w:t>
      </w:r>
    </w:p>
    <w:p>
      <w:pPr>
        <w:pStyle w:val="BodyText"/>
        <w:spacing w:line="314" w:lineRule="auto" w:before="13"/>
        <w:ind w:right="0"/>
        <w:jc w:val="left"/>
      </w:pPr>
      <w:r>
        <w:rPr>
          <w:spacing w:val="-4"/>
        </w:rPr>
        <w:t>术服务行业作为国家鼓励发展的战略性、基础性和先导性支柱产业的地位得以确立，软件企业长期以来受益于各级政府的一</w:t>
      </w:r>
      <w:r>
        <w:rPr>
          <w:spacing w:val="43"/>
        </w:rPr>
        <w:t> </w:t>
      </w:r>
      <w:r>
        <w:rPr>
          <w:spacing w:val="43"/>
        </w:rPr>
      </w:r>
      <w:r>
        <w:rPr>
          <w:spacing w:val="-4"/>
        </w:rPr>
        <w:t>系列优惠政策。这些政策从税收优惠、软件出口、人才吸引与培养、知识产权保护、行业组织与管理等多方面为软件产业发</w:t>
      </w:r>
      <w:r>
        <w:rPr>
          <w:spacing w:val="40"/>
        </w:rPr>
        <w:t> </w:t>
      </w:r>
      <w:r>
        <w:rPr>
          <w:spacing w:val="40"/>
        </w:rPr>
      </w:r>
      <w:r>
        <w:rPr>
          <w:spacing w:val="-6"/>
        </w:rPr>
        <w:t>展提供了政策保障和扶持。</w:t>
      </w:r>
      <w:r>
        <w:rPr>
          <w:rFonts w:ascii="Times New Roman" w:hAnsi="Times New Roman" w:cs="Times New Roman" w:eastAsia="Times New Roman" w:hint="default"/>
          <w:spacing w:val="-6"/>
        </w:rPr>
        <w:t>2011</w:t>
      </w:r>
      <w:r>
        <w:rPr>
          <w:spacing w:val="-6"/>
        </w:rPr>
        <w:t>年国务院颁布了《进一步鼓励软件产业和集成电路产业发展若干政策的通知》（国发〔</w:t>
      </w:r>
      <w:r>
        <w:rPr>
          <w:rFonts w:ascii="Times New Roman" w:hAnsi="Times New Roman" w:cs="Times New Roman" w:eastAsia="Times New Roman" w:hint="default"/>
          <w:spacing w:val="-6"/>
        </w:rPr>
        <w:t>2011</w:t>
      </w:r>
      <w:r>
        <w:rPr>
          <w:spacing w:val="-6"/>
        </w:rPr>
        <w:t>〕</w:t>
      </w:r>
      <w:r>
        <w:rPr>
          <w:spacing w:val="9"/>
        </w:rPr>
        <w:t> </w:t>
      </w:r>
      <w:r>
        <w:rPr>
          <w:rFonts w:ascii="Times New Roman" w:hAnsi="Times New Roman" w:cs="Times New Roman" w:eastAsia="Times New Roman" w:hint="default"/>
          <w:spacing w:val="-3"/>
        </w:rPr>
        <w:t>4</w:t>
      </w:r>
      <w:r>
        <w:rPr>
          <w:spacing w:val="-3"/>
        </w:rPr>
        <w:t>号），确立了软件产业作为国家战略性新兴产业的地位，并进一步细化了对软件产业在税收优惠、金融支持等方面的政策</w:t>
      </w:r>
      <w:r>
        <w:rPr>
          <w:spacing w:val="70"/>
        </w:rPr>
        <w:t> </w:t>
      </w:r>
      <w:r>
        <w:rPr>
          <w:spacing w:val="70"/>
        </w:rPr>
      </w:r>
      <w:r>
        <w:rPr>
          <w:spacing w:val="-4"/>
        </w:rPr>
        <w:t>保障和扶持。可以说，我国软件和信息技术服务企业近年来的飞速发展与国家的产业政策扶持息息相关，一旦未来国家对软</w:t>
      </w:r>
      <w:r>
        <w:rPr>
          <w:spacing w:val="43"/>
        </w:rPr>
        <w:t> </w:t>
      </w:r>
      <w:r>
        <w:rPr>
          <w:spacing w:val="43"/>
        </w:rPr>
      </w:r>
      <w:r>
        <w:rPr>
          <w:spacing w:val="-4"/>
        </w:rPr>
        <w:t>件和信息技术服务行业的产业政策发生不利变化，将有可能对公司的生产经营造成不利影响。受益于税收政策及当地政府对</w:t>
      </w:r>
      <w:r>
        <w:rPr>
          <w:spacing w:val="42"/>
        </w:rPr>
        <w:t> </w:t>
      </w:r>
      <w:r>
        <w:rPr>
          <w:spacing w:val="42"/>
        </w:rPr>
      </w:r>
      <w:r>
        <w:rPr>
          <w:spacing w:val="-4"/>
        </w:rPr>
        <w:t>软件和信息技术服务业务给予的各种补贴政策，公司在业务规模的扩张和综合实力的增强方面得到了快速提升，同时，随着</w:t>
      </w:r>
      <w:r>
        <w:rPr>
          <w:spacing w:val="43"/>
        </w:rPr>
        <w:t> </w:t>
      </w:r>
      <w:r>
        <w:rPr>
          <w:spacing w:val="43"/>
        </w:rPr>
      </w:r>
      <w:r>
        <w:rPr>
          <w:spacing w:val="-4"/>
        </w:rPr>
        <w:t>业务的发展，公司对政策的依赖风险逐年下降，发展动力已转变为依靠公司自身的市场竞争力，随着公司的继续发展，对国</w:t>
      </w:r>
      <w:r>
        <w:rPr>
          <w:spacing w:val="40"/>
        </w:rPr>
        <w:t> </w:t>
      </w:r>
      <w:r>
        <w:rPr>
          <w:spacing w:val="40"/>
        </w:rPr>
      </w:r>
      <w:r>
        <w:rPr>
          <w:spacing w:val="-3"/>
        </w:rPr>
        <w:t>家产业政策的依赖风险将得到适当的控制。</w:t>
      </w:r>
    </w:p>
    <w:p>
      <w:pPr>
        <w:pStyle w:val="BodyText"/>
        <w:spacing w:line="300" w:lineRule="auto" w:before="20"/>
        <w:ind w:left="662" w:right="0"/>
        <w:jc w:val="left"/>
      </w:pPr>
      <w:r>
        <w:rPr>
          <w:rFonts w:ascii="Times New Roman" w:hAnsi="Times New Roman" w:cs="Times New Roman" w:eastAsia="Times New Roman" w:hint="default"/>
          <w:spacing w:val="-3"/>
        </w:rPr>
        <w:t>2</w:t>
      </w:r>
      <w:r>
        <w:rPr>
          <w:spacing w:val="-3"/>
        </w:rPr>
        <w:t>、人力成本上升的风险</w:t>
      </w:r>
      <w:r>
        <w:rPr>
          <w:spacing w:val="-57"/>
        </w:rPr>
        <w:t> </w:t>
      </w:r>
      <w:r>
        <w:rPr>
          <w:spacing w:val="-57"/>
        </w:rPr>
      </w:r>
      <w:r>
        <w:rPr>
          <w:spacing w:val="-4"/>
        </w:rPr>
        <w:t>作为人才密集型企业，公司最主要的经营成本是人力成本。随着中国经济的快速发展，城市生活成本的上升，社会平</w:t>
      </w:r>
    </w:p>
    <w:p>
      <w:pPr>
        <w:pStyle w:val="BodyText"/>
        <w:spacing w:line="316" w:lineRule="auto" w:before="32"/>
        <w:ind w:right="1064"/>
        <w:jc w:val="left"/>
      </w:pPr>
      <w:r>
        <w:rPr>
          <w:spacing w:val="-4"/>
        </w:rPr>
        <w:t>均工资逐年递增，尤其是大中城市，具有丰富业务经验的中高端人才工资薪酬呈上升趋势。随着生活水平的提高以及社会工</w:t>
      </w:r>
      <w:r>
        <w:rPr>
          <w:spacing w:val="43"/>
        </w:rPr>
        <w:t> </w:t>
      </w:r>
      <w:r>
        <w:rPr>
          <w:spacing w:val="43"/>
        </w:rPr>
      </w:r>
      <w:r>
        <w:rPr>
          <w:spacing w:val="-4"/>
        </w:rPr>
        <w:t>资水平的上涨，公司面临人力成本上升导致利润水平下降的风险。公司提高效率，提高价值附加，优化成本与收入结构以及</w:t>
      </w:r>
      <w:r>
        <w:rPr>
          <w:spacing w:val="40"/>
        </w:rPr>
        <w:t> </w:t>
      </w:r>
      <w:r>
        <w:rPr>
          <w:spacing w:val="40"/>
        </w:rPr>
      </w:r>
      <w:r>
        <w:rPr>
          <w:spacing w:val="-3"/>
        </w:rPr>
        <w:t>提高员工利用效率等方法来保障公司利润水平的增长，并以数字化升级战略推动公司从人才与技术密集型向科技密集型升</w:t>
      </w:r>
      <w:r>
        <w:rPr>
          <w:spacing w:val="66"/>
        </w:rPr>
        <w:t> </w:t>
      </w:r>
      <w:r>
        <w:rPr>
          <w:spacing w:val="66"/>
        </w:rPr>
      </w:r>
      <w:r>
        <w:rPr/>
        <w:t>级。</w:t>
      </w:r>
    </w:p>
    <w:p>
      <w:pPr>
        <w:pStyle w:val="BodyText"/>
        <w:spacing w:line="240" w:lineRule="auto" w:before="18"/>
        <w:ind w:left="662" w:right="0"/>
        <w:jc w:val="left"/>
      </w:pPr>
      <w:r>
        <w:rPr>
          <w:rFonts w:ascii="Times New Roman" w:hAnsi="Times New Roman" w:cs="Times New Roman" w:eastAsia="Times New Roman" w:hint="default"/>
          <w:spacing w:val="-3"/>
        </w:rPr>
        <w:t>3</w:t>
      </w:r>
      <w:r>
        <w:rPr>
          <w:spacing w:val="-3"/>
        </w:rPr>
        <w:t>、新产品开发风险</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032" w:firstLine="508"/>
        <w:jc w:val="both"/>
      </w:pPr>
      <w:r>
        <w:rPr>
          <w:spacing w:val="-3"/>
        </w:rPr>
        <w:t>新产品开发对公司的市场竞争力和未来发展具有重要影响。软件和信息技术服务技术发展日新月异，更新换代很快，</w:t>
      </w:r>
      <w:r>
        <w:rPr>
          <w:w w:val="101"/>
        </w:rPr>
        <w:t> </w:t>
      </w:r>
      <w:r>
        <w:rPr>
          <w:spacing w:val="-4"/>
        </w:rPr>
        <w:t>公司和其他优秀的软件公司一样，始终利用成熟、先进的技术作为开发和应用平台，但如果公司错误预测软件技术的发展趋</w:t>
      </w:r>
      <w:r>
        <w:rPr>
          <w:spacing w:val="44"/>
        </w:rPr>
        <w:t> </w:t>
      </w:r>
      <w:r>
        <w:rPr>
          <w:spacing w:val="44"/>
        </w:rPr>
      </w:r>
      <w:r>
        <w:rPr>
          <w:spacing w:val="-6"/>
        </w:rPr>
        <w:t>势，使用落后的技术开发新产品，或新产品开发失败，则会给公司造成较大的影响。公司将进一步加强行业发展趋势的研究，</w:t>
      </w:r>
      <w:r>
        <w:rPr>
          <w:spacing w:val="67"/>
        </w:rPr>
        <w:t> </w:t>
      </w:r>
      <w:r>
        <w:rPr>
          <w:spacing w:val="67"/>
        </w:rPr>
      </w:r>
      <w:r>
        <w:rPr>
          <w:spacing w:val="-6"/>
        </w:rPr>
        <w:t>进一步加强对市场的调研，收集客户当前和未来的需求信息，做好新产品研发的可行性分析；其次，将进一步完善激励机制，</w:t>
      </w:r>
      <w:r>
        <w:rPr>
          <w:spacing w:val="64"/>
        </w:rPr>
        <w:t> </w:t>
      </w:r>
      <w:r>
        <w:rPr>
          <w:spacing w:val="64"/>
        </w:rPr>
      </w:r>
      <w:r>
        <w:rPr>
          <w:spacing w:val="-6"/>
        </w:rPr>
        <w:t>鼓励技术人员知识更新、技术进步和产品创新；同时，公司将继续保持研发投入，提前研究前瞻性软件技术和行业业务模式，</w:t>
      </w:r>
      <w:r>
        <w:rPr>
          <w:spacing w:val="68"/>
        </w:rPr>
        <w:t> </w:t>
      </w:r>
      <w:r>
        <w:rPr>
          <w:spacing w:val="68"/>
        </w:rPr>
      </w:r>
      <w:r>
        <w:rPr>
          <w:spacing w:val="-3"/>
        </w:rPr>
        <w:t>保证公司的技术先进性。</w:t>
      </w:r>
    </w:p>
    <w:p>
      <w:pPr>
        <w:pStyle w:val="BodyText"/>
        <w:spacing w:line="300" w:lineRule="auto" w:before="17"/>
        <w:ind w:left="662" w:right="0"/>
        <w:jc w:val="left"/>
      </w:pPr>
      <w:r>
        <w:rPr>
          <w:rFonts w:ascii="Times New Roman" w:hAnsi="Times New Roman" w:cs="Times New Roman" w:eastAsia="Times New Roman" w:hint="default"/>
          <w:spacing w:val="-3"/>
        </w:rPr>
        <w:t>4</w:t>
      </w:r>
      <w:r>
        <w:rPr>
          <w:spacing w:val="-3"/>
        </w:rPr>
        <w:t>、核心技术泄密或被侵权的风险</w:t>
      </w:r>
      <w:r>
        <w:rPr>
          <w:spacing w:val="-46"/>
        </w:rPr>
        <w:t> </w:t>
      </w:r>
      <w:r>
        <w:rPr>
          <w:spacing w:val="-46"/>
        </w:rPr>
      </w:r>
      <w:r>
        <w:rPr>
          <w:spacing w:val="-4"/>
        </w:rPr>
        <w:t>技术优势是公司在行业中保持竞争优势的最主要因素之一，目前，公司拥有的计算机软件著作权、专利、产品、在研</w:t>
      </w:r>
    </w:p>
    <w:p>
      <w:pPr>
        <w:pStyle w:val="BodyText"/>
        <w:spacing w:line="316" w:lineRule="auto" w:before="32"/>
        <w:ind w:right="1124"/>
        <w:jc w:val="both"/>
      </w:pPr>
      <w:r>
        <w:rPr>
          <w:spacing w:val="-4"/>
        </w:rPr>
        <w:t>技术等均属于公司的核心技术，上述核心技术是公司平稳快速发展的基础，如果公司核心技术泄密或被侵权，则会对公司生</w:t>
      </w:r>
      <w:r>
        <w:rPr>
          <w:spacing w:val="43"/>
        </w:rPr>
        <w:t> </w:t>
      </w:r>
      <w:r>
        <w:rPr>
          <w:spacing w:val="43"/>
        </w:rPr>
      </w:r>
      <w:r>
        <w:rPr>
          <w:spacing w:val="-4"/>
        </w:rPr>
        <w:t>产经营造成较大负面影响。为控制核心技术泄密，公司在与员工签订劳动合同的同时签订保密协议书，要求员工严格遵守公</w:t>
      </w:r>
      <w:r>
        <w:rPr>
          <w:spacing w:val="43"/>
        </w:rPr>
        <w:t> </w:t>
      </w:r>
      <w:r>
        <w:rPr>
          <w:spacing w:val="43"/>
        </w:rPr>
      </w:r>
      <w:r>
        <w:rPr>
          <w:spacing w:val="-4"/>
        </w:rPr>
        <w:t>司制定的保密制度；为防范技术被侵权，公司及时将已开发的技术或产品在国家知识产权管理机构登记，通过法律手段保护</w:t>
      </w:r>
      <w:r>
        <w:rPr>
          <w:spacing w:val="43"/>
        </w:rPr>
        <w:t> </w:t>
      </w:r>
      <w:r>
        <w:rPr>
          <w:spacing w:val="43"/>
        </w:rPr>
      </w:r>
      <w:r>
        <w:rPr/>
        <w:t>公司的知识产权。</w:t>
      </w:r>
    </w:p>
    <w:p>
      <w:pPr>
        <w:pStyle w:val="BodyText"/>
        <w:spacing w:line="300" w:lineRule="auto" w:before="19"/>
        <w:ind w:left="662" w:right="0"/>
        <w:jc w:val="left"/>
      </w:pPr>
      <w:r>
        <w:rPr>
          <w:rFonts w:ascii="Times New Roman" w:hAnsi="Times New Roman" w:cs="Times New Roman" w:eastAsia="Times New Roman" w:hint="default"/>
          <w:spacing w:val="-3"/>
        </w:rPr>
        <w:t>5</w:t>
      </w:r>
      <w:r>
        <w:rPr>
          <w:spacing w:val="-3"/>
        </w:rPr>
        <w:t>、公司规模扩大引致的管理风险</w:t>
      </w:r>
      <w:r>
        <w:rPr>
          <w:spacing w:val="-46"/>
        </w:rPr>
        <w:t> </w:t>
      </w:r>
      <w:r>
        <w:rPr>
          <w:spacing w:val="-46"/>
        </w:rPr>
      </w:r>
      <w:r>
        <w:rPr>
          <w:spacing w:val="-4"/>
        </w:rPr>
        <w:t>随着公司的业务规模持续增长及并购等资本运作，公司的规模实现了高速扩张，公司子公司的数量正逐渐增加，从而</w:t>
      </w:r>
    </w:p>
    <w:p>
      <w:pPr>
        <w:pStyle w:val="BodyText"/>
        <w:spacing w:line="316" w:lineRule="auto" w:before="31"/>
        <w:ind w:right="1123"/>
        <w:jc w:val="both"/>
      </w:pPr>
      <w:r>
        <w:rPr>
          <w:spacing w:val="-4"/>
        </w:rPr>
        <w:t>对公司现有的管理架构及管理能力形成一定的挑战。公司管理层将面临着公司规模扩大而导致的管理风险。公司通过不断完</w:t>
      </w:r>
      <w:r>
        <w:rPr>
          <w:spacing w:val="43"/>
        </w:rPr>
        <w:t> </w:t>
      </w:r>
      <w:r>
        <w:rPr>
          <w:spacing w:val="43"/>
        </w:rPr>
      </w:r>
      <w:r>
        <w:rPr>
          <w:spacing w:val="-4"/>
        </w:rPr>
        <w:t>善细化各项管理制度，引进管理人才，推行科学的管理办法，降低管理风险产生的可能性。对于公司子公司，特别是并购吸</w:t>
      </w:r>
      <w:r>
        <w:rPr>
          <w:spacing w:val="40"/>
        </w:rPr>
        <w:t> </w:t>
      </w:r>
      <w:r>
        <w:rPr>
          <w:spacing w:val="40"/>
        </w:rPr>
      </w:r>
      <w:r>
        <w:rPr>
          <w:spacing w:val="-3"/>
        </w:rPr>
        <w:t>收的子公司，公司通过不断加强子公司的管理治理，并加强对子公司的内部考核和财务管控，降低管理风险。</w:t>
      </w:r>
    </w:p>
    <w:p>
      <w:pPr>
        <w:pStyle w:val="BodyText"/>
        <w:spacing w:line="300" w:lineRule="auto" w:before="19"/>
        <w:ind w:left="662" w:right="0"/>
        <w:jc w:val="left"/>
      </w:pPr>
      <w:r>
        <w:rPr>
          <w:rFonts w:ascii="Times New Roman" w:hAnsi="Times New Roman" w:cs="Times New Roman" w:eastAsia="Times New Roman" w:hint="default"/>
          <w:spacing w:val="-3"/>
        </w:rPr>
        <w:t>6</w:t>
      </w:r>
      <w:r>
        <w:rPr>
          <w:spacing w:val="-3"/>
        </w:rPr>
        <w:t>、核心员工流失的管理风险</w:t>
      </w:r>
      <w:r>
        <w:rPr>
          <w:spacing w:val="-51"/>
        </w:rPr>
        <w:t> </w:t>
      </w:r>
      <w:r>
        <w:rPr>
          <w:spacing w:val="-51"/>
        </w:rPr>
      </w:r>
      <w:r>
        <w:rPr>
          <w:spacing w:val="-6"/>
        </w:rPr>
        <w:t>公司的属于人才密集型行业，企业发展高度依赖人力资源，近些年来人力资源成本快速上涨，而行业竞争的日趋激烈，</w:t>
      </w:r>
    </w:p>
    <w:p>
      <w:pPr>
        <w:pStyle w:val="BodyText"/>
        <w:spacing w:line="316" w:lineRule="auto" w:before="31"/>
        <w:ind w:right="0"/>
        <w:jc w:val="left"/>
      </w:pPr>
      <w:r>
        <w:rPr>
          <w:spacing w:val="-3"/>
        </w:rPr>
        <w:t>对人才的争夺亦趋于白热化，企业间的高薪招聘等因素都为核心员工的流动提供了客观条件。公司为了避免核心人员流失，</w:t>
      </w:r>
      <w:r>
        <w:rPr>
          <w:spacing w:val="66"/>
        </w:rPr>
        <w:t> </w:t>
      </w:r>
      <w:r>
        <w:rPr>
          <w:spacing w:val="66"/>
        </w:rPr>
      </w:r>
      <w:r>
        <w:rPr>
          <w:spacing w:val="-4"/>
        </w:rPr>
        <w:t>稳定员工团队，公司一直重点关注人力资源体系的建设，通过多年的建设和实践已建成一个高效的人力资源体系，包括建立</w:t>
      </w:r>
      <w:r>
        <w:rPr>
          <w:spacing w:val="43"/>
        </w:rPr>
        <w:t> </w:t>
      </w:r>
      <w:r>
        <w:rPr>
          <w:spacing w:val="43"/>
        </w:rPr>
      </w:r>
      <w:r>
        <w:rPr>
          <w:spacing w:val="-3"/>
        </w:rPr>
        <w:t>以人为本的企业文化、员工职业生涯发展规划、渐进式的培训体系、技术人员任职资格鉴定、科学合理的薪酬及绩效体系、</w:t>
      </w:r>
      <w:r>
        <w:rPr>
          <w:spacing w:val="66"/>
        </w:rPr>
        <w:t> </w:t>
      </w:r>
      <w:r>
        <w:rPr>
          <w:spacing w:val="66"/>
        </w:rPr>
      </w:r>
      <w:r>
        <w:rPr>
          <w:spacing w:val="-3"/>
        </w:rPr>
        <w:t>优秀人才特别奖励办法等。同时公司也通过股权激励、员工持股计划等激励方式，与优秀员工共享公司发展成果。</w:t>
      </w:r>
    </w:p>
    <w:p>
      <w:pPr>
        <w:pStyle w:val="BodyText"/>
        <w:spacing w:line="300" w:lineRule="auto" w:before="19"/>
        <w:ind w:left="662" w:right="0"/>
        <w:jc w:val="left"/>
      </w:pPr>
      <w:r>
        <w:rPr>
          <w:rFonts w:ascii="Times New Roman" w:hAnsi="Times New Roman" w:cs="Times New Roman" w:eastAsia="Times New Roman" w:hint="default"/>
          <w:spacing w:val="-3"/>
        </w:rPr>
        <w:t>7</w:t>
      </w:r>
      <w:r>
        <w:rPr>
          <w:spacing w:val="-3"/>
        </w:rPr>
        <w:t>、应收账款回收风险</w:t>
      </w:r>
      <w:r>
        <w:rPr>
          <w:spacing w:val="-63"/>
        </w:rPr>
        <w:t> </w:t>
      </w:r>
      <w:r>
        <w:rPr>
          <w:spacing w:val="-63"/>
        </w:rPr>
      </w:r>
      <w:r>
        <w:rPr>
          <w:spacing w:val="-4"/>
        </w:rPr>
        <w:t>公司开发的软件业务从合同签订到验收需要经历设计、开发、测试和上线试运行阶段，周期较长，且大多项目依据合</w:t>
      </w:r>
    </w:p>
    <w:p>
      <w:pPr>
        <w:pStyle w:val="BodyText"/>
        <w:spacing w:line="319" w:lineRule="auto" w:before="31"/>
        <w:ind w:right="0"/>
        <w:jc w:val="left"/>
      </w:pPr>
      <w:r>
        <w:rPr>
          <w:spacing w:val="-4"/>
        </w:rPr>
        <w:t>同分阶段验收，项目验收与客户付款之间存在时间差，同时，随着新客户的开发和业务规模的扩大，在原有的回款政策不变</w:t>
      </w:r>
      <w:r>
        <w:rPr>
          <w:spacing w:val="40"/>
        </w:rPr>
        <w:t> </w:t>
      </w:r>
      <w:r>
        <w:rPr>
          <w:spacing w:val="40"/>
        </w:rPr>
      </w:r>
      <w:r>
        <w:rPr>
          <w:spacing w:val="-4"/>
        </w:rPr>
        <w:t>的情形下，应收账款余额会不断增加，虽然期末应收账款都在结算期内，公司也已按照坏账准备政策提取了坏账准备，但仍</w:t>
      </w:r>
      <w:r>
        <w:rPr>
          <w:spacing w:val="40"/>
        </w:rPr>
        <w:t> </w:t>
      </w:r>
      <w:r>
        <w:rPr>
          <w:spacing w:val="40"/>
        </w:rPr>
      </w:r>
      <w:r>
        <w:rPr>
          <w:spacing w:val="-3"/>
        </w:rPr>
        <w:t>不排除因客户信用恶化导致坏账准备提取不足和应收款项发生坏账损失的风险。公司不断建立和完善信用审批前的信用调</w:t>
      </w:r>
      <w:r>
        <w:rPr>
          <w:spacing w:val="66"/>
        </w:rPr>
        <w:t> </w:t>
      </w:r>
      <w:r>
        <w:rPr>
          <w:spacing w:val="66"/>
        </w:rPr>
      </w:r>
      <w:r>
        <w:rPr>
          <w:spacing w:val="-4"/>
        </w:rPr>
        <w:t>查、建立并有效执行了谨慎合理的坏账准备计提政策、严格的应收账款催收制度以及应收账款回收率与销售业绩挂钩的业务</w:t>
      </w:r>
      <w:r>
        <w:rPr>
          <w:spacing w:val="40"/>
        </w:rPr>
        <w:t> </w:t>
      </w:r>
      <w:r>
        <w:rPr>
          <w:spacing w:val="40"/>
        </w:rPr>
      </w:r>
      <w:r>
        <w:rPr>
          <w:spacing w:val="-3"/>
        </w:rPr>
        <w:t>考核机制，将应收账款发生坏账的风险降低到可承受的水平。</w:t>
      </w:r>
    </w:p>
    <w:p>
      <w:pPr>
        <w:pStyle w:val="BodyText"/>
        <w:spacing w:line="300" w:lineRule="auto" w:before="17"/>
        <w:ind w:left="662" w:right="0"/>
        <w:jc w:val="left"/>
      </w:pPr>
      <w:r>
        <w:rPr>
          <w:rFonts w:ascii="Times New Roman" w:hAnsi="Times New Roman" w:cs="Times New Roman" w:eastAsia="Times New Roman" w:hint="default"/>
          <w:spacing w:val="-3"/>
        </w:rPr>
        <w:t>8</w:t>
      </w:r>
      <w:r>
        <w:rPr>
          <w:spacing w:val="-3"/>
        </w:rPr>
        <w:t>、商誉减值风险</w:t>
      </w:r>
      <w:r>
        <w:rPr>
          <w:spacing w:val="-68"/>
        </w:rPr>
        <w:t> </w:t>
      </w:r>
      <w:r>
        <w:rPr>
          <w:spacing w:val="-68"/>
        </w:rPr>
      </w:r>
      <w:r>
        <w:rPr>
          <w:spacing w:val="-4"/>
        </w:rPr>
        <w:t>根据企业会计准则要求，由于非同一控制下的企业合并形成的商誉，该商誉不作摊销处理，但需在未来年度每年年终</w:t>
      </w:r>
    </w:p>
    <w:p>
      <w:pPr>
        <w:pStyle w:val="BodyText"/>
        <w:spacing w:line="316" w:lineRule="auto" w:before="31"/>
        <w:ind w:right="1026"/>
        <w:jc w:val="left"/>
      </w:pPr>
      <w:r>
        <w:rPr>
          <w:spacing w:val="-4"/>
        </w:rPr>
        <w:t>进行减值测试。如果未来因国家政策变化、金融科技行业发展不乐观、自身业务下降或者其他因素导致未来经营状况和盈利</w:t>
      </w:r>
      <w:r>
        <w:rPr>
          <w:spacing w:val="43"/>
        </w:rPr>
        <w:t> </w:t>
      </w:r>
      <w:r>
        <w:rPr>
          <w:spacing w:val="43"/>
        </w:rPr>
      </w:r>
      <w:r>
        <w:rPr>
          <w:spacing w:val="-4"/>
        </w:rPr>
        <w:t>能力未达预期，则公司存在商誉减值的风险，从而对公司当期损益造成不利影响，若一旦集中计提大额的商誉减值，将对公</w:t>
      </w:r>
      <w:r>
        <w:rPr>
          <w:spacing w:val="40"/>
        </w:rPr>
        <w:t> </w:t>
      </w:r>
      <w:r>
        <w:rPr>
          <w:spacing w:val="40"/>
        </w:rPr>
      </w:r>
      <w:r>
        <w:rPr>
          <w:spacing w:val="-4"/>
        </w:rPr>
        <w:t>司盈利水平产生较大的不利影响。公司将建立相应的内控管理制度，每年对商誉进行减值测试。此外公司将以现有金融科技</w:t>
      </w:r>
      <w:r>
        <w:rPr>
          <w:spacing w:val="45"/>
        </w:rPr>
        <w:t> </w:t>
      </w:r>
      <w:r>
        <w:rPr>
          <w:spacing w:val="45"/>
        </w:rPr>
      </w:r>
      <w:r>
        <w:rPr>
          <w:spacing w:val="-3"/>
        </w:rPr>
        <w:t>业务板块为基础，通过和并购标的资产在企业文化、业务战略、市场开拓、人员发展、技术开发、经营管理等方面的整合，</w:t>
      </w:r>
      <w:r>
        <w:rPr>
          <w:spacing w:val="66"/>
        </w:rPr>
        <w:t> </w:t>
      </w:r>
      <w:r>
        <w:rPr>
          <w:spacing w:val="66"/>
        </w:rPr>
      </w:r>
      <w:r>
        <w:rPr>
          <w:spacing w:val="-5"/>
        </w:rPr>
        <w:t>积极发挥标的资产的优势，保持标的资产的持续竞争力，将因非同一控制下的企业合并形成的商誉对公司未来业绩的影响降</w:t>
      </w:r>
      <w:r>
        <w:rPr>
          <w:spacing w:val="6"/>
        </w:rPr>
        <w:t> </w:t>
      </w:r>
      <w:r>
        <w:rPr>
          <w:spacing w:val="6"/>
        </w:rPr>
      </w:r>
      <w:r>
        <w:rPr/>
        <w:t>到最低程度。</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6"/>
        <w:ind w:left="0" w:right="1141"/>
        <w:jc w:val="right"/>
      </w:pPr>
      <w:r>
        <w:rPr/>
        <w:pict>
          <v:shape style="position:absolute;margin-left:56.424pt;margin-top:-174.678314pt;width:479.5pt;height:210.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7"/>
                            <w:w w:val="101"/>
                            <w:sz w:val="18"/>
                            <w:szCs w:val="18"/>
                          </w:rPr>
                          <w:t>公司与蚂蚁金服战略合作情况，公司业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务结构、人才结构的情况等。</w:t>
                        </w:r>
                        <w:r>
                          <w:rPr>
                            <w:rFonts w:ascii="宋体" w:hAnsi="宋体" w:cs="宋体" w:eastAsia="宋体" w:hint="default"/>
                            <w:sz w:val="18"/>
                            <w:szCs w:val="18"/>
                          </w:rPr>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
                          <w:jc w:val="both"/>
                          <w:rPr>
                            <w:rFonts w:ascii="宋体" w:hAnsi="宋体" w:cs="宋体" w:eastAsia="宋体" w:hint="default"/>
                            <w:sz w:val="18"/>
                            <w:szCs w:val="18"/>
                          </w:rPr>
                        </w:pPr>
                        <w:r>
                          <w:rPr>
                            <w:rFonts w:ascii="宋体" w:hAnsi="宋体" w:cs="宋体" w:eastAsia="宋体" w:hint="default"/>
                            <w:spacing w:val="-7"/>
                            <w:w w:val="101"/>
                            <w:sz w:val="18"/>
                            <w:szCs w:val="18"/>
                          </w:rPr>
                          <w:t>公司金融科技业务的进展情况，与蚂蚁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金服战略合作的进展，非金融业务发展</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情况，公司人员结构情况等。</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both"/>
                          <w:rPr>
                            <w:rFonts w:ascii="宋体" w:hAnsi="宋体" w:cs="宋体" w:eastAsia="宋体" w:hint="default"/>
                            <w:sz w:val="18"/>
                            <w:szCs w:val="18"/>
                          </w:rPr>
                        </w:pPr>
                        <w:r>
                          <w:rPr>
                            <w:rFonts w:ascii="宋体" w:hAnsi="宋体" w:cs="宋体" w:eastAsia="宋体" w:hint="default"/>
                            <w:spacing w:val="-7"/>
                            <w:w w:val="101"/>
                            <w:sz w:val="18"/>
                            <w:szCs w:val="18"/>
                          </w:rPr>
                          <w:t>公司主要业务战略及实施进展，金融科</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技业务的行业地位及发展战略，与蚂蚁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金服战略合作进展情况等。</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9"/>
                          <w:jc w:val="both"/>
                          <w:rPr>
                            <w:rFonts w:ascii="宋体" w:hAnsi="宋体" w:cs="宋体" w:eastAsia="宋体" w:hint="default"/>
                            <w:sz w:val="18"/>
                            <w:szCs w:val="18"/>
                          </w:rPr>
                        </w:pPr>
                        <w:r>
                          <w:rPr>
                            <w:rFonts w:ascii="宋体" w:hAnsi="宋体" w:cs="宋体" w:eastAsia="宋体" w:hint="default"/>
                            <w:spacing w:val="-3"/>
                            <w:sz w:val="18"/>
                            <w:szCs w:val="18"/>
                          </w:rPr>
                          <w:t>公司金融科技业务相关产品研发进展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情况，智能物联相关业务开展的模式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客户及战略情况等。</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236.919846pt;margin-top:724.536011pt;width:298.3pt;height:19.7pt;mso-position-horizontal-relative:page;mso-position-vertical-relative:page;z-index:-1201072"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483"/>
        <w:jc w:val="center"/>
        <w:rPr>
          <w:b w:val="0"/>
          <w:bCs w:val="0"/>
        </w:rPr>
      </w:pPr>
      <w:bookmarkStart w:name="_bookmark3" w:id="4"/>
      <w:bookmarkEnd w:id="4"/>
      <w:r>
        <w:rPr>
          <w:b w:val="0"/>
          <w:bCs w:val="0"/>
        </w:rPr>
      </w:r>
      <w:r>
        <w:rPr/>
        <w:t>第五节 </w:t>
      </w:r>
      <w:r>
        <w:rPr>
          <w:spacing w:val="9"/>
        </w:rPr>
        <w:t> </w:t>
      </w:r>
      <w:r>
        <w:rPr/>
        <w:t>重要事项</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21"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报告期内，公司严格按照《公司章程》中相关利润分配政策和审议程序执行利润分配方案，分红标准和分红比例明确清晰，</w:t>
      </w:r>
      <w:r>
        <w:rPr>
          <w:spacing w:val="66"/>
        </w:rPr>
        <w:t> </w:t>
      </w:r>
      <w:r>
        <w:rPr>
          <w:spacing w:val="66"/>
        </w:rPr>
      </w:r>
      <w:r>
        <w:rPr>
          <w:spacing w:val="-4"/>
        </w:rPr>
        <w:t>相关的决策程序和机制完备。在分配预案拟定和决策时，独立董事尽职履责发表了独立意见。公司以详细公告形式向全体股</w:t>
      </w:r>
      <w:r>
        <w:rPr>
          <w:spacing w:val="43"/>
        </w:rPr>
        <w:t> </w:t>
      </w:r>
      <w:r>
        <w:rPr>
          <w:spacing w:val="43"/>
        </w:rPr>
      </w:r>
      <w:r>
        <w:rPr>
          <w:spacing w:val="-4"/>
        </w:rPr>
        <w:t>东发出股东大会通知，并提供网络投票方式，中小股东有充分表达意见和诉求的机会，股东大会审议通过后公司在规定时间</w:t>
      </w:r>
      <w:r>
        <w:rPr>
          <w:spacing w:val="43"/>
        </w:rPr>
        <w:t> </w:t>
      </w:r>
      <w:r>
        <w:rPr>
          <w:spacing w:val="43"/>
        </w:rPr>
      </w:r>
      <w:r>
        <w:rPr>
          <w:spacing w:val="-3"/>
        </w:rPr>
        <w:t>内实施了权益分派，以充分维护中小股东的合法权益。</w:t>
      </w:r>
      <w:r>
        <w:rPr>
          <w:spacing w:val="-16"/>
        </w:rPr>
        <w:t> </w:t>
      </w:r>
      <w:r>
        <w:rPr>
          <w:spacing w:val="-16"/>
        </w:rPr>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日，公司召开第五届董事会第三十三次会议，审议通过了《</w:t>
      </w:r>
      <w:r>
        <w:rPr>
          <w:rFonts w:ascii="Times New Roman" w:hAnsi="Times New Roman" w:cs="Times New Roman" w:eastAsia="Times New Roman" w:hint="default"/>
          <w:spacing w:val="-3"/>
        </w:rPr>
        <w:t>2017</w:t>
      </w:r>
      <w:r>
        <w:rPr>
          <w:spacing w:val="-3"/>
        </w:rPr>
        <w:t>年度利润分配预案》：以公司现有总股本</w:t>
      </w:r>
    </w:p>
    <w:p>
      <w:pPr>
        <w:pStyle w:val="BodyText"/>
        <w:spacing w:line="300" w:lineRule="auto"/>
        <w:ind w:right="0"/>
        <w:jc w:val="left"/>
      </w:pPr>
      <w:r>
        <w:rPr>
          <w:rFonts w:ascii="Times New Roman" w:hAnsi="Times New Roman" w:cs="Times New Roman" w:eastAsia="Times New Roman" w:hint="default"/>
          <w:spacing w:val="-4"/>
        </w:rPr>
        <w:t>796,410,841</w:t>
      </w:r>
      <w:r>
        <w:rPr>
          <w:spacing w:val="-4"/>
        </w:rPr>
        <w:t>股为基数，向全体股东每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1.00</w:t>
      </w:r>
      <w:r>
        <w:rPr>
          <w:spacing w:val="-4"/>
        </w:rPr>
        <w:t>元人民币（含税），共计派送现金红利</w:t>
      </w:r>
      <w:r>
        <w:rPr>
          <w:rFonts w:ascii="Times New Roman" w:hAnsi="Times New Roman" w:cs="Times New Roman" w:eastAsia="Times New Roman" w:hint="default"/>
          <w:spacing w:val="-4"/>
        </w:rPr>
        <w:t>79,641,084.10</w:t>
      </w:r>
      <w:r>
        <w:rPr>
          <w:spacing w:val="-4"/>
        </w:rPr>
        <w:t>元（含税），</w:t>
      </w:r>
      <w:r>
        <w:rPr>
          <w:spacing w:val="16"/>
        </w:rPr>
        <w:t> </w:t>
      </w:r>
      <w:r>
        <w:rPr>
          <w:spacing w:val="16"/>
        </w:rPr>
      </w:r>
      <w:r>
        <w:rPr>
          <w:spacing w:val="-3"/>
        </w:rPr>
        <w:t>累计剩余未分配利润</w:t>
      </w:r>
      <w:r>
        <w:rPr>
          <w:rFonts w:ascii="Times New Roman" w:hAnsi="Times New Roman" w:cs="Times New Roman" w:eastAsia="Times New Roman" w:hint="default"/>
          <w:spacing w:val="-3"/>
        </w:rPr>
        <w:t>223,751,772.72</w:t>
      </w:r>
      <w:r>
        <w:rPr>
          <w:spacing w:val="-3"/>
        </w:rPr>
        <w:t>元，结转至下年度。本次分配不实施资本公积转增股本、不分红股。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日，公</w:t>
      </w:r>
      <w:r>
        <w:rPr>
          <w:spacing w:val="66"/>
        </w:rPr>
        <w:t> </w:t>
      </w:r>
      <w:r>
        <w:rPr>
          <w:spacing w:val="66"/>
        </w:rPr>
      </w:r>
      <w:r>
        <w:rPr>
          <w:spacing w:val="-3"/>
        </w:rPr>
        <w:t>司召开</w:t>
      </w:r>
      <w:r>
        <w:rPr>
          <w:rFonts w:ascii="Times New Roman" w:hAnsi="Times New Roman" w:cs="Times New Roman" w:eastAsia="Times New Roman" w:hint="default"/>
          <w:spacing w:val="-3"/>
        </w:rPr>
        <w:t>2017</w:t>
      </w:r>
      <w:r>
        <w:rPr>
          <w:spacing w:val="-3"/>
        </w:rPr>
        <w:t>年年度股东大会审议通过了《</w:t>
      </w:r>
      <w:r>
        <w:rPr>
          <w:rFonts w:ascii="Times New Roman" w:hAnsi="Times New Roman" w:cs="Times New Roman" w:eastAsia="Times New Roman" w:hint="default"/>
          <w:spacing w:val="-3"/>
        </w:rPr>
        <w:t>2017</w:t>
      </w:r>
      <w:r>
        <w:rPr>
          <w:spacing w:val="-3"/>
        </w:rPr>
        <w:t>年度利润分配预案》。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日，公司在中国证监会指定的信息披露网</w:t>
      </w:r>
      <w:r>
        <w:rPr>
          <w:spacing w:val="3"/>
        </w:rPr>
        <w:t> </w:t>
      </w:r>
      <w:r>
        <w:rPr>
          <w:spacing w:val="3"/>
        </w:rPr>
      </w:r>
      <w:r>
        <w:rPr>
          <w:spacing w:val="-4"/>
        </w:rPr>
        <w:t>站披露了《</w:t>
      </w:r>
      <w:r>
        <w:rPr>
          <w:rFonts w:ascii="Times New Roman" w:hAnsi="Times New Roman" w:cs="Times New Roman" w:eastAsia="Times New Roman" w:hint="default"/>
          <w:spacing w:val="-4"/>
        </w:rPr>
        <w:t>2017</w:t>
      </w:r>
      <w:r>
        <w:rPr>
          <w:spacing w:val="-4"/>
        </w:rPr>
        <w:t>年年度权益分派实施公告》，本次权益分派股权登记日为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4</w:t>
      </w:r>
      <w:r>
        <w:rPr>
          <w:spacing w:val="-4"/>
        </w:rPr>
        <w:t>日，除权除息日为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日，公司</w:t>
      </w:r>
      <w:r>
        <w:rPr>
          <w:spacing w:val="71"/>
        </w:rPr>
        <w:t> </w:t>
      </w:r>
      <w:r>
        <w:rPr>
          <w:spacing w:val="71"/>
        </w:rPr>
      </w:r>
      <w:r>
        <w:rPr/>
        <w:t>本次利润分配方案于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日实施完毕。</w:t>
      </w:r>
    </w:p>
    <w:p>
      <w:pPr>
        <w:spacing w:line="240" w:lineRule="auto" w:before="1"/>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0"/>
        <w:jc w:val="left"/>
      </w:pPr>
      <w:r>
        <w:rPr>
          <w:spacing w:val="-3"/>
        </w:rPr>
        <w:t>公司报告期利润分配预案及资本公积金转增股本预案与公司章程和分红管理办法等的相关规定一致</w:t>
      </w:r>
    </w:p>
    <w:p>
      <w:pPr>
        <w:pStyle w:val="BodyText"/>
        <w:spacing w:line="350" w:lineRule="auto" w:before="115"/>
        <w:ind w:right="356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7"/>
        <w:gridCol w:w="5854"/>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796,410,841</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5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148,753,014.66</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148,753,014.66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6"/>
        <w:ind w:left="0" w:right="1129"/>
        <w:jc w:val="right"/>
      </w:pPr>
      <w:r>
        <w:rPr/>
        <w:pict>
          <v:shape style="position:absolute;margin-left:56.424pt;margin-top:-226.068268pt;width:479.25pt;height:292.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314,377,918.28</w:t>
                        </w:r>
                      </w:p>
                    </w:tc>
                  </w:tr>
                  <w:tr>
                    <w:trPr>
                      <w:trHeight w:val="71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公司发展阶段不易区分但有重大资金支出安排的，进行利润分配时，现金分红在本次利润分配中所占比例最低应达到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52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5"/>
                            <w:sz w:val="18"/>
                            <w:szCs w:val="18"/>
                          </w:rPr>
                          <w:t>经华普天健会计师事务所（特殊普通合伙）审计，公司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年实现归属于上市公司股东的净利润为 </w:t>
                        </w:r>
                        <w:r>
                          <w:rPr>
                            <w:rFonts w:ascii="Times New Roman" w:hAnsi="Times New Roman" w:cs="Times New Roman" w:eastAsia="Times New Roman" w:hint="default"/>
                            <w:sz w:val="18"/>
                            <w:szCs w:val="18"/>
                          </w:rPr>
                          <w:t>314,377,918.28</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元，母</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公司实现的净利润为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166,784,784.48</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元。按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年度母公司实现净利润的</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提取法定盈余公积金之后，截至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日，母公司可供股东分配利润为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373,858,078.75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元，母公司年末资本公积金余额为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2,891,486,208.31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元。根据中国证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w w:val="101"/>
                            <w:sz w:val="18"/>
                            <w:szCs w:val="18"/>
                          </w:rPr>
                          <w:t>券监督管理委员会《关于支持上市公司回购股份的意见》、《深圳证券交易所上市公司回购股份实施细则》的相关规定，上</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3"/>
                            <w:sz w:val="18"/>
                            <w:szCs w:val="18"/>
                          </w:rPr>
                          <w:t>市公司以现金为对价，采用要约方式、集中竞价方式回购股份的，当年已实施的回购股份金额视同现金分红金额，纳入该</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年度现金分红的相关比例计算。</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年度，公司通过股份回购专用证券账户以集中竞价交易方式累计回购股份数量为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spacing w:val="-1"/>
                            <w:w w:val="101"/>
                            <w:sz w:val="18"/>
                            <w:szCs w:val="18"/>
                          </w:rPr>
                          <w:t>14,999,445</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股，累计成交总金额</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1"/>
                            <w:w w:val="101"/>
                            <w:sz w:val="18"/>
                            <w:szCs w:val="18"/>
                          </w:rPr>
                          <w:t>148,753,014.66</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7"/>
                            <w:w w:val="101"/>
                            <w:sz w:val="18"/>
                            <w:szCs w:val="18"/>
                          </w:rPr>
                          <w:t>元（不含交易费用），视同现金分红金额为</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1"/>
                            <w:w w:val="101"/>
                            <w:sz w:val="18"/>
                            <w:szCs w:val="18"/>
                          </w:rPr>
                          <w:t>148,753,014.66</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元。根据《公司</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1"/>
                            <w:w w:val="101"/>
                            <w:sz w:val="18"/>
                            <w:szCs w:val="18"/>
                          </w:rPr>
                          <w:t>法》、《关于支持上市公司回购股份的意见》、《深圳证券交易所上市公司回购股份实施细则》以及《公司章程》等相关规定</w:t>
                        </w:r>
                        <w:r>
                          <w:rPr>
                            <w:rFonts w:ascii="宋体" w:hAnsi="宋体" w:cs="宋体" w:eastAsia="宋体" w:hint="default"/>
                            <w:w w:val="101"/>
                            <w:sz w:val="18"/>
                            <w:szCs w:val="18"/>
                          </w:rPr>
                          <w:t> </w:t>
                        </w:r>
                        <w:r>
                          <w:rPr>
                            <w:rFonts w:ascii="宋体" w:hAnsi="宋体" w:cs="宋体" w:eastAsia="宋体" w:hint="default"/>
                            <w:spacing w:val="-3"/>
                            <w:sz w:val="18"/>
                            <w:szCs w:val="18"/>
                          </w:rPr>
                          <w:t>结合公司实际情况，公司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年度拟不派发现金红利，不送红股，不以公积金转增股本，剩余未分配利润结转至下年度</w:t>
                        </w:r>
                      </w:p>
                      <w:p>
                        <w:pPr>
                          <w:pStyle w:val="TableParagraph"/>
                          <w:spacing w:line="304" w:lineRule="auto" w:before="5"/>
                          <w:ind w:left="24" w:right="84"/>
                          <w:jc w:val="left"/>
                          <w:rPr>
                            <w:rFonts w:ascii="宋体" w:hAnsi="宋体" w:cs="宋体" w:eastAsia="宋体" w:hint="default"/>
                            <w:sz w:val="18"/>
                            <w:szCs w:val="18"/>
                          </w:rPr>
                        </w:pPr>
                        <w:r>
                          <w:rPr>
                            <w:rFonts w:ascii="宋体" w:hAnsi="宋体" w:cs="宋体" w:eastAsia="宋体" w:hint="default"/>
                            <w:sz w:val="18"/>
                            <w:szCs w:val="18"/>
                          </w:rPr>
                          <w:t>本次利润分配预案已经</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日召开的第五届董事会第四十六次会议审议通过，尚需经公司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会审议批准。</w:t>
                        </w:r>
                      </w:p>
                    </w:tc>
                  </w:tr>
                </w:tbl>
                <w:p>
                  <w:pPr/>
                </w:p>
              </w:txbxContent>
            </v:textbox>
            <w10:wrap type="none"/>
          </v:shape>
        </w:pict>
      </w:r>
      <w:r>
        <w:rPr>
          <w:w w:val="101"/>
        </w:rPr>
        <w:t>，</w:t>
      </w:r>
      <w:r>
        <w:rPr/>
      </w:r>
    </w:p>
    <w:p>
      <w:pPr>
        <w:pStyle w:val="BodyText"/>
        <w:spacing w:line="240" w:lineRule="auto" w:before="76"/>
        <w:ind w:left="0" w:right="1128"/>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16" w:lineRule="auto" w:before="46"/>
        <w:ind w:right="0"/>
        <w:jc w:val="left"/>
      </w:pPr>
      <w:r>
        <w:rPr>
          <w:w w:val="101"/>
        </w:rPr>
        <w:t>公司近</w:t>
      </w:r>
      <w:r>
        <w:rPr>
          <w:spacing w:val="-48"/>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8"/>
          <w:w w:val="101"/>
        </w:rPr>
        <w:t> </w:t>
      </w:r>
      <w:r>
        <w:rPr>
          <w:spacing w:val="-5"/>
          <w:w w:val="101"/>
        </w:rPr>
        <w:t>年（包括本报告期）的普通股股利分配方案（预案）、资本公积金转增股本方案（预案）情况</w:t>
      </w:r>
      <w:r>
        <w:rPr>
          <w:spacing w:val="-74"/>
          <w:w w:val="101"/>
        </w:rPr>
        <w:t> </w:t>
      </w:r>
      <w:r>
        <w:rPr>
          <w:spacing w:val="-74"/>
          <w:w w:val="101"/>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日，公司</w:t>
      </w:r>
      <w:r>
        <w:rPr>
          <w:rFonts w:ascii="Times New Roman" w:hAnsi="Times New Roman" w:cs="Times New Roman" w:eastAsia="Times New Roman" w:hint="default"/>
          <w:spacing w:val="-2"/>
        </w:rPr>
        <w:t>2016</w:t>
      </w:r>
      <w:r>
        <w:rPr>
          <w:spacing w:val="-2"/>
        </w:rPr>
        <w:t>年年度股东大会审议通过了公司</w:t>
      </w:r>
      <w:r>
        <w:rPr>
          <w:rFonts w:ascii="Times New Roman" w:hAnsi="Times New Roman" w:cs="Times New Roman" w:eastAsia="Times New Roman" w:hint="default"/>
          <w:spacing w:val="-2"/>
        </w:rPr>
        <w:t>2016</w:t>
      </w:r>
      <w:r>
        <w:rPr>
          <w:spacing w:val="-2"/>
        </w:rPr>
        <w:t>年度利润分配预案：以公司现有总股本</w:t>
      </w:r>
      <w:r>
        <w:rPr>
          <w:rFonts w:ascii="Times New Roman" w:hAnsi="Times New Roman" w:cs="Times New Roman" w:eastAsia="Times New Roman" w:hint="default"/>
          <w:spacing w:val="-2"/>
        </w:rPr>
        <w:t>357,733,350</w:t>
      </w:r>
      <w:r>
        <w:rPr>
          <w:spacing w:val="-2"/>
        </w:rPr>
        <w:t>股为基</w:t>
      </w:r>
      <w:r>
        <w:rPr>
          <w:spacing w:val="40"/>
        </w:rPr>
        <w:t> </w:t>
      </w:r>
      <w:r>
        <w:rPr>
          <w:spacing w:val="40"/>
        </w:rPr>
      </w:r>
      <w:r>
        <w:rPr>
          <w:spacing w:val="-3"/>
        </w:rPr>
        <w:t>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2.00</w:t>
      </w:r>
      <w:r>
        <w:rPr>
          <w:spacing w:val="-3"/>
        </w:rPr>
        <w:t>元人民币（含税），共计派送现金红利</w:t>
      </w:r>
      <w:r>
        <w:rPr>
          <w:rFonts w:ascii="Times New Roman" w:hAnsi="Times New Roman" w:cs="Times New Roman" w:eastAsia="Times New Roman" w:hint="default"/>
          <w:spacing w:val="-3"/>
        </w:rPr>
        <w:t>71,546,670.00</w:t>
      </w:r>
      <w:r>
        <w:rPr>
          <w:spacing w:val="-3"/>
        </w:rPr>
        <w:t>元（含税），累计剩余未分配</w:t>
      </w:r>
    </w:p>
    <w:p>
      <w:pPr>
        <w:pStyle w:val="BodyText"/>
        <w:spacing w:line="300" w:lineRule="auto"/>
        <w:ind w:right="0"/>
        <w:jc w:val="left"/>
      </w:pPr>
      <w:r>
        <w:rPr>
          <w:spacing w:val="-3"/>
        </w:rPr>
        <w:t>利润</w:t>
      </w:r>
      <w:r>
        <w:rPr>
          <w:rFonts w:ascii="Times New Roman" w:hAnsi="Times New Roman" w:cs="Times New Roman" w:eastAsia="Times New Roman" w:hint="default"/>
          <w:spacing w:val="-3"/>
        </w:rPr>
        <w:t>99,870,354.38</w:t>
      </w:r>
      <w:r>
        <w:rPr>
          <w:spacing w:val="-3"/>
        </w:rPr>
        <w:t>元，结转至下年度；同时，以公司现有总股本</w:t>
      </w:r>
      <w:r>
        <w:rPr>
          <w:rFonts w:ascii="Times New Roman" w:hAnsi="Times New Roman" w:cs="Times New Roman" w:eastAsia="Times New Roman" w:hint="default"/>
          <w:spacing w:val="-3"/>
        </w:rPr>
        <w:t>357,733,350</w:t>
      </w:r>
      <w:r>
        <w:rPr>
          <w:spacing w:val="-3"/>
        </w:rPr>
        <w:t>股为基数，用母公司资本公积金向全体股东每</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6"/>
        </w:rPr>
        <w:t> </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357,733,350</w:t>
      </w:r>
      <w:r>
        <w:rPr>
          <w:spacing w:val="-3"/>
        </w:rPr>
        <w:t>股，转增后公司总股本将增加至</w:t>
      </w:r>
      <w:r>
        <w:rPr>
          <w:rFonts w:ascii="Times New Roman" w:hAnsi="Times New Roman" w:cs="Times New Roman" w:eastAsia="Times New Roman" w:hint="default"/>
          <w:spacing w:val="-3"/>
        </w:rPr>
        <w:t>715,466,700</w:t>
      </w:r>
      <w:r>
        <w:rPr>
          <w:spacing w:val="-3"/>
        </w:rPr>
        <w:t>股，转增后母公司资本公积金余额为</w:t>
      </w:r>
      <w:r>
        <w:rPr>
          <w:spacing w:val="3"/>
        </w:rPr>
        <w:t> </w:t>
      </w:r>
      <w:r>
        <w:rPr>
          <w:spacing w:val="3"/>
        </w:rPr>
      </w:r>
      <w:r>
        <w:rPr>
          <w:rFonts w:ascii="Times New Roman" w:hAnsi="Times New Roman" w:cs="Times New Roman" w:eastAsia="Times New Roman" w:hint="default"/>
        </w:rPr>
        <w:t>2,186,951,591.05</w:t>
      </w:r>
      <w:r>
        <w:rPr/>
        <w:t>元。上述利润分配方案于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w:t>
      </w:r>
    </w:p>
    <w:p>
      <w:pPr>
        <w:pStyle w:val="BodyText"/>
        <w:spacing w:line="304" w:lineRule="auto" w:before="13"/>
        <w:ind w:right="1026"/>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日，公司</w:t>
      </w:r>
      <w:r>
        <w:rPr>
          <w:rFonts w:ascii="Times New Roman" w:hAnsi="Times New Roman" w:cs="Times New Roman" w:eastAsia="Times New Roman" w:hint="default"/>
          <w:spacing w:val="-4"/>
        </w:rPr>
        <w:t>2017</w:t>
      </w:r>
      <w:r>
        <w:rPr>
          <w:spacing w:val="-4"/>
        </w:rPr>
        <w:t>年年度股东大会审议通过了公司</w:t>
      </w:r>
      <w:r>
        <w:rPr>
          <w:rFonts w:ascii="Times New Roman" w:hAnsi="Times New Roman" w:cs="Times New Roman" w:eastAsia="Times New Roman" w:hint="default"/>
          <w:spacing w:val="-4"/>
        </w:rPr>
        <w:t>2017</w:t>
      </w:r>
      <w:r>
        <w:rPr>
          <w:spacing w:val="-4"/>
        </w:rPr>
        <w:t>年度利润分配预案：以公司现有总股本</w:t>
      </w:r>
      <w:r>
        <w:rPr>
          <w:rFonts w:ascii="Times New Roman" w:hAnsi="Times New Roman" w:cs="Times New Roman" w:eastAsia="Times New Roman" w:hint="default"/>
          <w:spacing w:val="-4"/>
        </w:rPr>
        <w:t>796,410,841</w:t>
      </w:r>
      <w:r>
        <w:rPr>
          <w:spacing w:val="-4"/>
        </w:rPr>
        <w:t>股为基</w:t>
      </w:r>
      <w:r>
        <w:rPr>
          <w:spacing w:val="10"/>
        </w:rPr>
        <w:t> </w:t>
      </w:r>
      <w:r>
        <w:rPr>
          <w:spacing w:val="10"/>
        </w:rPr>
      </w:r>
      <w:r>
        <w:rPr>
          <w:spacing w:val="-3"/>
        </w:rPr>
        <w:t>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1.00</w:t>
      </w:r>
      <w:r>
        <w:rPr>
          <w:spacing w:val="-3"/>
        </w:rPr>
        <w:t>元人民币（含税），共计派送现金红利</w:t>
      </w:r>
      <w:r>
        <w:rPr>
          <w:rFonts w:ascii="Times New Roman" w:hAnsi="Times New Roman" w:cs="Times New Roman" w:eastAsia="Times New Roman" w:hint="default"/>
          <w:spacing w:val="-3"/>
        </w:rPr>
        <w:t>79,641,084.10</w:t>
      </w:r>
      <w:r>
        <w:rPr>
          <w:spacing w:val="-3"/>
        </w:rPr>
        <w:t>元（含税），累计剩余未分配</w:t>
      </w:r>
      <w:r>
        <w:rPr>
          <w:spacing w:val="12"/>
        </w:rPr>
        <w:t> </w:t>
      </w:r>
      <w:r>
        <w:rPr>
          <w:spacing w:val="12"/>
        </w:rPr>
      </w:r>
      <w:r>
        <w:rPr>
          <w:spacing w:val="-3"/>
        </w:rPr>
        <w:t>利润</w:t>
      </w:r>
      <w:r>
        <w:rPr>
          <w:rFonts w:ascii="Times New Roman" w:hAnsi="Times New Roman" w:cs="Times New Roman" w:eastAsia="Times New Roman" w:hint="default"/>
          <w:spacing w:val="-3"/>
        </w:rPr>
        <w:t>223,751,772.72</w:t>
      </w:r>
      <w:r>
        <w:rPr>
          <w:spacing w:val="-3"/>
        </w:rPr>
        <w:t>元，结转至下年度。本次分配不实施资本公积转增股本、不分红股。上述利润分配方案于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w:t>
      </w:r>
      <w:r>
        <w:rPr>
          <w:spacing w:val="14"/>
        </w:rPr>
        <w:t> </w:t>
      </w:r>
      <w:r>
        <w:rPr/>
        <w:t>实施完毕。</w:t>
      </w:r>
      <w:r>
        <w:rPr>
          <w:w w:val="101"/>
        </w:rPr>
        <w:t> </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11</w:t>
      </w:r>
      <w:r>
        <w:rPr>
          <w:spacing w:val="-4"/>
        </w:rPr>
        <w:t>日，公司第五届董事会第四十六次会议审议通过了公司</w:t>
      </w:r>
      <w:r>
        <w:rPr>
          <w:rFonts w:ascii="Times New Roman" w:hAnsi="Times New Roman" w:cs="Times New Roman" w:eastAsia="Times New Roman" w:hint="default"/>
          <w:spacing w:val="-4"/>
        </w:rPr>
        <w:t>2018</w:t>
      </w:r>
      <w:r>
        <w:rPr>
          <w:spacing w:val="-4"/>
        </w:rPr>
        <w:t>年度利润分配预案：公司</w:t>
      </w:r>
      <w:r>
        <w:rPr>
          <w:rFonts w:ascii="Times New Roman" w:hAnsi="Times New Roman" w:cs="Times New Roman" w:eastAsia="Times New Roman" w:hint="default"/>
          <w:spacing w:val="-4"/>
        </w:rPr>
        <w:t>2018</w:t>
      </w:r>
      <w:r>
        <w:rPr>
          <w:spacing w:val="-4"/>
        </w:rPr>
        <w:t>年度拟不派发现金</w:t>
      </w:r>
      <w:r>
        <w:rPr>
          <w:spacing w:val="75"/>
        </w:rPr>
        <w:t> </w:t>
      </w:r>
      <w:r>
        <w:rPr>
          <w:spacing w:val="75"/>
        </w:rPr>
      </w:r>
      <w:r>
        <w:rPr>
          <w:spacing w:val="-3"/>
        </w:rPr>
        <w:t>红利，不送红股，不以公积金转增股本。本次利润分配预案尚需经公司</w:t>
      </w:r>
      <w:r>
        <w:rPr>
          <w:rFonts w:ascii="Times New Roman" w:hAnsi="Times New Roman" w:cs="Times New Roman" w:eastAsia="Times New Roman" w:hint="default"/>
          <w:spacing w:val="-3"/>
        </w:rPr>
        <w:t>2018</w:t>
      </w:r>
      <w:r>
        <w:rPr>
          <w:spacing w:val="-3"/>
        </w:rPr>
        <w:t>年年度股东大会审议批准。</w:t>
      </w:r>
    </w:p>
    <w:p>
      <w:pPr>
        <w:pStyle w:val="BodyText"/>
        <w:spacing w:line="240" w:lineRule="auto" w:before="52"/>
        <w:ind w:right="0"/>
        <w:jc w:val="left"/>
      </w:pPr>
      <w:r>
        <w:rPr>
          <w:spacing w:val="-3"/>
        </w:rPr>
        <w:t>公司近三年（包括本报告期）普通股现金分红情况表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227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6"/>
              <w:ind w:left="412" w:right="13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314,377,918.28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148,753,014.66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148,753,014.66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47.32%</w:t>
            </w: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79,641,084.10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249,411,156.16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79,641,084.10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31.93%</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71,546,670.00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303,579,054.80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23.57%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71,546,670.00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23.57%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493" w:right="0"/>
        <w:jc w:val="left"/>
      </w:pPr>
      <w:r>
        <w:rPr>
          <w:spacing w:val="-3"/>
        </w:rPr>
        <w:t>公司报告期内盈利且母公司可供普通股股东分配利润为正但未提出普通股现金红利分配预案</w:t>
      </w:r>
    </w:p>
    <w:p>
      <w:pPr>
        <w:pStyle w:val="BodyText"/>
        <w:spacing w:line="240" w:lineRule="auto" w:before="115"/>
        <w:ind w:left="4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17"/>
          <w:szCs w:val="17"/>
        </w:rPr>
      </w:pPr>
    </w:p>
    <w:p>
      <w:pPr>
        <w:pStyle w:val="Heading2"/>
        <w:spacing w:line="240" w:lineRule="auto"/>
        <w:ind w:left="493" w:right="0"/>
        <w:jc w:val="left"/>
        <w:rPr>
          <w:b w:val="0"/>
          <w:bCs w:val="0"/>
        </w:rPr>
      </w:pPr>
      <w:r>
        <w:rPr/>
        <w:t>二、承诺事项履行情况</w:t>
      </w:r>
      <w:r>
        <w:rPr>
          <w:b w:val="0"/>
          <w:bCs w:val="0"/>
        </w:rPr>
      </w:r>
    </w:p>
    <w:p>
      <w:pPr>
        <w:spacing w:line="240" w:lineRule="auto" w:before="11"/>
        <w:rPr>
          <w:rFonts w:ascii="Microsoft JhengHei" w:hAnsi="Microsoft JhengHei" w:cs="Microsoft JhengHei" w:eastAsia="Microsoft JhengHei" w:hint="default"/>
          <w:b/>
          <w:bCs/>
          <w:sz w:val="17"/>
          <w:szCs w:val="17"/>
        </w:rPr>
      </w:pPr>
    </w:p>
    <w:p>
      <w:pPr>
        <w:pStyle w:val="Heading3"/>
        <w:spacing w:line="308" w:lineRule="exact"/>
        <w:ind w:left="493"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5"/>
        </w:rPr>
        <w:t> </w:t>
      </w:r>
      <w:r>
        <w:rPr>
          <w:spacing w:val="25"/>
        </w:rPr>
      </w:r>
      <w:r>
        <w:rPr/>
        <w:t>尚未履行完毕的承诺事项</w:t>
      </w:r>
      <w:r>
        <w:rPr>
          <w:b w:val="0"/>
          <w:bCs w:val="0"/>
        </w:rPr>
      </w:r>
    </w:p>
    <w:p>
      <w:pPr>
        <w:spacing w:line="240" w:lineRule="auto" w:before="7"/>
        <w:rPr>
          <w:rFonts w:ascii="Microsoft JhengHei" w:hAnsi="Microsoft JhengHei" w:cs="Microsoft JhengHei" w:eastAsia="Microsoft JhengHei" w:hint="default"/>
          <w:b/>
          <w:bCs/>
          <w:sz w:val="19"/>
          <w:szCs w:val="19"/>
        </w:rPr>
      </w:pPr>
    </w:p>
    <w:p>
      <w:pPr>
        <w:pStyle w:val="BodyText"/>
        <w:spacing w:line="240" w:lineRule="auto"/>
        <w:ind w:left="4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163" w:hRule="exact"/>
        </w:trPr>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4" w:hanging="178"/>
              <w:jc w:val="left"/>
              <w:rPr>
                <w:rFonts w:ascii="宋体" w:hAnsi="宋体" w:cs="宋体" w:eastAsia="宋体" w:hint="default"/>
                <w:sz w:val="18"/>
                <w:szCs w:val="18"/>
              </w:rPr>
            </w:pPr>
            <w:r>
              <w:rPr>
                <w:rFonts w:ascii="宋体" w:hAnsi="宋体" w:cs="宋体" w:eastAsia="宋体" w:hint="default"/>
                <w:sz w:val="18"/>
                <w:szCs w:val="18"/>
              </w:rPr>
              <w:t>履行情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89"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vMerge/>
            <w:tcBorders>
              <w:left w:val="single" w:sz="4" w:space="0" w:color="000000"/>
              <w:right w:val="single" w:sz="4" w:space="0" w:color="000000"/>
            </w:tcBorders>
            <w:shd w:val="clear" w:color="auto" w:fill="D2D2D2"/>
          </w:tcPr>
          <w:p>
            <w:pPr/>
          </w:p>
        </w:tc>
        <w:tc>
          <w:tcPr>
            <w:tcW w:w="127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3"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1335"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1" w:right="89"/>
              <w:jc w:val="both"/>
              <w:rPr>
                <w:rFonts w:ascii="宋体" w:hAnsi="宋体" w:cs="宋体" w:eastAsia="宋体" w:hint="default"/>
                <w:sz w:val="18"/>
                <w:szCs w:val="18"/>
              </w:rPr>
            </w:pPr>
            <w:r>
              <w:rPr>
                <w:rFonts w:ascii="宋体" w:hAnsi="宋体" w:cs="宋体" w:eastAsia="宋体" w:hint="default"/>
                <w:spacing w:val="-2"/>
                <w:sz w:val="18"/>
                <w:szCs w:val="18"/>
              </w:rPr>
              <w:t>收购报告书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或权益变动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报告书中所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1" w:right="89"/>
              <w:jc w:val="left"/>
              <w:rPr>
                <w:rFonts w:ascii="宋体" w:hAnsi="宋体" w:cs="宋体" w:eastAsia="宋体" w:hint="default"/>
                <w:sz w:val="18"/>
                <w:szCs w:val="18"/>
              </w:rPr>
            </w:pPr>
            <w:r>
              <w:rPr>
                <w:rFonts w:ascii="宋体" w:hAnsi="宋体" w:cs="宋体" w:eastAsia="宋体" w:hint="default"/>
                <w:spacing w:val="-2"/>
                <w:sz w:val="18"/>
                <w:szCs w:val="18"/>
              </w:rPr>
              <w:t>资产重组时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所作承诺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8" w:right="128"/>
              <w:jc w:val="left"/>
              <w:rPr>
                <w:rFonts w:ascii="宋体" w:hAnsi="宋体" w:cs="宋体" w:eastAsia="宋体" w:hint="default"/>
                <w:sz w:val="18"/>
                <w:szCs w:val="18"/>
              </w:rPr>
            </w:pPr>
            <w:r>
              <w:rPr>
                <w:rFonts w:ascii="宋体" w:hAnsi="宋体" w:cs="宋体" w:eastAsia="宋体" w:hint="default"/>
                <w:sz w:val="18"/>
                <w:szCs w:val="18"/>
              </w:rPr>
              <w:t>润和软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307"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、本次交易完成后，公司承诺在业务、资产、财务、人员、机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构等方面与实际控制人及其关联方将继续保持独立。</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、本次交</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易完成后，公司与控股股东润和投资、实际控制人周红卫、姚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宁之间也不会形成同业竞争或增加新的关联交易。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5670"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8" w:right="12"/>
              <w:jc w:val="left"/>
              <w:rPr>
                <w:rFonts w:ascii="宋体" w:hAnsi="宋体" w:cs="宋体" w:eastAsia="宋体" w:hint="default"/>
                <w:sz w:val="18"/>
                <w:szCs w:val="18"/>
              </w:rPr>
            </w:pPr>
            <w:r>
              <w:rPr>
                <w:rFonts w:ascii="宋体" w:hAnsi="宋体" w:cs="宋体" w:eastAsia="宋体" w:hint="default"/>
                <w:sz w:val="18"/>
                <w:szCs w:val="18"/>
              </w:rPr>
              <w:t>润和投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资、周红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9"/>
                <w:sz w:val="18"/>
                <w:szCs w:val="18"/>
              </w:rPr>
              <w:t>卫、姚宁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4" w:right="89"/>
              <w:jc w:val="left"/>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争、减少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和规范关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规范资金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占用行为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方面的承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（一）避免同业竞争：</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本人控股和实</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际控制的其他企业目前均未从事与润和软件及其子公司相竞争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本人保证本公司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本人控股和</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实际控制的其他企业未来不会以任何形式直接或间接地从事与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润和软件及其子公司相同或相似的业务。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本人保证</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严格遵守中国证监会、证券交易所有关规章及润和软件公司章</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程的规定，与其他股东一样平等的行使股东权利、履行股东义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务，不利用控股股东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实际控制人的地位谋取不当利益，不损害</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润和软件和其他股东的合法权益。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述声明、保证与承诺造成润和软件经济损失的，承诺人同意赔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偿相应损失。（二）减少和规范关联交易：</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、本公司</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本人及本</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本人关联方将不会通过借款、代偿债务、代垫款项或者其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他方式占用润和软件及其子公司之资金。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本人关联方将采取措施尽量减少与润和软件及其子公司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发生关联交易；若发生必要且不可避免的关联交易，本公司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8"/>
                <w:sz w:val="18"/>
                <w:szCs w:val="18"/>
              </w:rPr>
              <w:t> </w:t>
            </w:r>
            <w:r>
              <w:rPr>
                <w:rFonts w:ascii="宋体" w:hAnsi="宋体" w:cs="宋体" w:eastAsia="宋体" w:hint="default"/>
                <w:spacing w:val="-3"/>
                <w:sz w:val="18"/>
                <w:szCs w:val="18"/>
              </w:rPr>
              <w:t>人及本公司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本人关联方将严格按照法律法规、规范性文件及润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和软件公司制度的规定履行信息披露义务及相关内部决策程序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和回避制度，保证交易条件和价格公正公允，确保不损害润和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诺的情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况。</w:t>
            </w:r>
          </w:p>
        </w:tc>
      </w:tr>
    </w:tbl>
    <w:p>
      <w:pPr>
        <w:spacing w:after="0" w:line="319"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76886pt;margin-top:90.499985pt;width:48.1pt;height:534.65pt;mso-position-horizontal-relative:page;mso-position-vertical-relative:page;z-index:-1201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pStyle w:val="BodyText"/>
                    <w:spacing w:line="240" w:lineRule="auto"/>
                    <w:ind w:left="0" w:right="0"/>
                    <w:jc w:val="left"/>
                  </w:pPr>
                  <w:r>
                    <w:rPr>
                      <w:w w:val="101"/>
                    </w:rPr>
                    <w:t>，</w:t>
                  </w:r>
                  <w:r>
                    <w:rPr/>
                  </w:r>
                </w:p>
              </w:txbxContent>
            </v:textbox>
            <w10:wrap type="none"/>
          </v:shape>
        </w:pict>
      </w:r>
      <w:r>
        <w:rPr/>
        <w:pict>
          <v:shape style="position:absolute;margin-left:409.805939pt;margin-top:625.630005pt;width:48.05pt;height:142.65pt;mso-position-horizontal-relative:page;mso-position-vertical-relative:page;z-index:-1201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90.499985pt;width:42pt;height:677.75pt;mso-position-horizontal-relative:page;mso-position-vertical-relative:page;z-index:-1200976" coordorigin="8317,1810" coordsize="840,13555">
            <v:group style="position:absolute;left:8317;top:1810;width:840;height:10693" coordorigin="8317,1810" coordsize="840,10693">
              <v:shape style="position:absolute;left:8317;top:1810;width:840;height:10693" coordorigin="8317,1810" coordsize="840,10693" path="m8317,12503l9157,12503,9157,1810,8317,1810,8317,12503xe" filled="true" fillcolor="#ffffff" stroked="false">
                <v:path arrowok="t"/>
                <v:fill type="solid"/>
              </v:shape>
            </v:group>
            <v:group style="position:absolute;left:8341;top:6804;width:792;height:356" coordorigin="8341,6804" coordsize="792,356">
              <v:shape style="position:absolute;left:8341;top:6804;width:792;height:356" coordorigin="8341,6804" coordsize="792,356" path="m8341,7159l9133,7159,9133,6804,8341,6804,8341,7159xe" filled="true" fillcolor="#ffffff" stroked="false">
                <v:path arrowok="t"/>
                <v:fill type="solid"/>
              </v:shape>
            </v:group>
            <v:group style="position:absolute;left:8341;top:7159;width:792;height:351" coordorigin="8341,7159" coordsize="792,351">
              <v:shape style="position:absolute;left:8341;top:7159;width:792;height:351" coordorigin="8341,7159" coordsize="792,351" path="m8341,7510l9133,7510,9133,7159,8341,7159,8341,7510xe" filled="true" fillcolor="#ffffff" stroked="false">
                <v:path arrowok="t"/>
                <v:fill type="solid"/>
              </v:shape>
            </v:group>
            <v:group style="position:absolute;left:8317;top:12513;width:840;height:2853" coordorigin="8317,12513" coordsize="840,2853">
              <v:shape style="position:absolute;left:8317;top:12513;width:840;height:2853" coordorigin="8317,12513" coordsize="840,2853" path="m8317,15365l9157,15365,9157,12513,8317,12513,8317,15365xe" filled="true" fillcolor="#ffffff" stroked="false">
                <v:path arrowok="t"/>
                <v:fill type="solid"/>
              </v:shape>
            </v:group>
            <v:group style="position:absolute;left:8341;top:13588;width:792;height:351" coordorigin="8341,13588" coordsize="792,351">
              <v:shape style="position:absolute;left:8341;top:13588;width:792;height:351" coordorigin="8341,13588" coordsize="792,351" path="m8341,13939l9133,13939,9133,13588,8341,13588,8341,13939xe" filled="true" fillcolor="#ffffff" stroked="false">
                <v:path arrowok="t"/>
                <v:fill type="solid"/>
              </v:shape>
            </v:group>
            <v:group style="position:absolute;left:8341;top:13939;width:792;height:351" coordorigin="8341,13939" coordsize="792,351">
              <v:shape style="position:absolute;left:8341;top:13939;width:792;height:351" coordorigin="8341,13939" coordsize="792,351" path="m8341,14289l9133,14289,9133,13939,8341,13939,8341,1428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60"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软件及其他股东的合法权益。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703"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9" w:lineRule="auto"/>
              <w:ind w:left="28" w:right="12"/>
              <w:jc w:val="both"/>
              <w:rPr>
                <w:rFonts w:ascii="宋体" w:hAnsi="宋体" w:cs="宋体" w:eastAsia="宋体" w:hint="default"/>
                <w:sz w:val="18"/>
                <w:szCs w:val="18"/>
              </w:rPr>
            </w:pPr>
            <w:r>
              <w:rPr>
                <w:rFonts w:ascii="宋体" w:hAnsi="宋体" w:cs="宋体" w:eastAsia="宋体" w:hint="default"/>
                <w:spacing w:val="-18"/>
                <w:w w:val="101"/>
                <w:sz w:val="18"/>
                <w:szCs w:val="18"/>
              </w:rPr>
              <w:t>王杰、王</w:t>
            </w:r>
            <w:r>
              <w:rPr>
                <w:rFonts w:ascii="宋体" w:hAnsi="宋体" w:cs="宋体" w:eastAsia="宋体" w:hint="default"/>
                <w:w w:val="101"/>
                <w:sz w:val="18"/>
                <w:szCs w:val="18"/>
              </w:rPr>
              <w:t> </w:t>
            </w:r>
            <w:r>
              <w:rPr>
                <w:rFonts w:ascii="宋体" w:hAnsi="宋体" w:cs="宋体" w:eastAsia="宋体" w:hint="default"/>
                <w:spacing w:val="-18"/>
                <w:w w:val="101"/>
                <w:sz w:val="18"/>
                <w:szCs w:val="18"/>
              </w:rPr>
              <w:t>拥军、吴</w:t>
            </w:r>
            <w:r>
              <w:rPr>
                <w:rFonts w:ascii="宋体" w:hAnsi="宋体" w:cs="宋体" w:eastAsia="宋体" w:hint="default"/>
                <w:w w:val="101"/>
                <w:sz w:val="18"/>
                <w:szCs w:val="18"/>
              </w:rPr>
              <w:t> </w:t>
            </w:r>
            <w:r>
              <w:rPr>
                <w:rFonts w:ascii="宋体" w:hAnsi="宋体" w:cs="宋体" w:eastAsia="宋体" w:hint="default"/>
                <w:spacing w:val="-18"/>
                <w:w w:val="101"/>
                <w:sz w:val="18"/>
                <w:szCs w:val="18"/>
              </w:rPr>
              <w:t>向东、郭</w:t>
            </w:r>
            <w:r>
              <w:rPr>
                <w:rFonts w:ascii="宋体" w:hAnsi="宋体" w:cs="宋体" w:eastAsia="宋体" w:hint="default"/>
                <w:w w:val="101"/>
                <w:sz w:val="18"/>
                <w:szCs w:val="18"/>
              </w:rPr>
              <w:t> </w:t>
            </w:r>
            <w:r>
              <w:rPr>
                <w:rFonts w:ascii="宋体" w:hAnsi="宋体" w:cs="宋体" w:eastAsia="宋体" w:hint="default"/>
                <w:spacing w:val="-18"/>
                <w:w w:val="101"/>
                <w:sz w:val="18"/>
                <w:szCs w:val="18"/>
              </w:rPr>
              <w:t>小宇、吴</w:t>
            </w:r>
            <w:r>
              <w:rPr>
                <w:rFonts w:ascii="宋体" w:hAnsi="宋体" w:cs="宋体" w:eastAsia="宋体" w:hint="default"/>
                <w:w w:val="101"/>
                <w:sz w:val="18"/>
                <w:szCs w:val="18"/>
              </w:rPr>
              <w:t> </w:t>
            </w:r>
            <w:r>
              <w:rPr>
                <w:rFonts w:ascii="宋体" w:hAnsi="宋体" w:cs="宋体" w:eastAsia="宋体" w:hint="default"/>
                <w:spacing w:val="-18"/>
                <w:w w:val="101"/>
                <w:sz w:val="18"/>
                <w:szCs w:val="18"/>
              </w:rPr>
              <w:t>天波、许</w:t>
            </w:r>
            <w:r>
              <w:rPr>
                <w:rFonts w:ascii="宋体" w:hAnsi="宋体" w:cs="宋体" w:eastAsia="宋体" w:hint="default"/>
                <w:w w:val="101"/>
                <w:sz w:val="18"/>
                <w:szCs w:val="18"/>
              </w:rPr>
              <w:t> </w:t>
            </w:r>
            <w:r>
              <w:rPr>
                <w:rFonts w:ascii="宋体" w:hAnsi="宋体" w:cs="宋体" w:eastAsia="宋体" w:hint="default"/>
                <w:sz w:val="18"/>
                <w:szCs w:val="18"/>
              </w:rPr>
              <w:t>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9" w:lineRule="auto"/>
              <w:ind w:left="24" w:right="89"/>
              <w:jc w:val="both"/>
              <w:rPr>
                <w:rFonts w:ascii="宋体" w:hAnsi="宋体" w:cs="宋体" w:eastAsia="宋体" w:hint="default"/>
                <w:sz w:val="18"/>
                <w:szCs w:val="18"/>
              </w:rPr>
            </w:pPr>
            <w:r>
              <w:rPr>
                <w:rFonts w:ascii="宋体" w:hAnsi="宋体" w:cs="宋体" w:eastAsia="宋体" w:hint="default"/>
                <w:sz w:val="18"/>
                <w:szCs w:val="18"/>
              </w:rPr>
              <w:t>关于规范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行为、减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少和规范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5"/>
              <w:jc w:val="left"/>
              <w:rPr>
                <w:rFonts w:ascii="宋体" w:hAnsi="宋体" w:cs="宋体" w:eastAsia="宋体" w:hint="default"/>
                <w:sz w:val="18"/>
                <w:szCs w:val="18"/>
              </w:rPr>
            </w:pPr>
            <w:r>
              <w:rPr>
                <w:rFonts w:ascii="宋体" w:hAnsi="宋体" w:cs="宋体" w:eastAsia="宋体" w:hint="default"/>
                <w:spacing w:val="-4"/>
                <w:sz w:val="18"/>
                <w:szCs w:val="18"/>
              </w:rPr>
              <w:t>一、规范资金占用行为：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、截至本承诺出具之日，本人及本人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8"/>
                <w:w w:val="101"/>
                <w:sz w:val="18"/>
                <w:szCs w:val="18"/>
              </w:rPr>
              <w:t>对外投资（包括直接持股、间接持股或委托持股）、实际控制的</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企业与捷科智诚及其子公司之间的非经营性资金往来已全部清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理完毕，不存在纠纷。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、本承诺出具日后，本人及本人对外投</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资、实际控制的企业不会利用本人的股东身份或职务便利以借</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款、代偿债务、代垫款项或者其他方式占用捷科智诚及其子公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、本人保证本人关系密切的家庭成员（包括配偶、</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5"/>
                <w:sz w:val="18"/>
                <w:szCs w:val="18"/>
              </w:rPr>
              <w:t>父母及配偶的父母、兄弟姐妹及其配偶、年满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其配偶、配偶的兄弟姐妹和子女配偶的父母等）也遵守以上承</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诺。二、减少和规范关联交易：</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、本次交易完成后，本人及本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人对外投资的企业（包括但不限于直接持股、间接持股或委托</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持股）、实际控制或担任董事、高级管理人员的企业将尽可能减</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少与润和软件及其下属公司（包括但不限于捷科智诚）的关联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交易，不会利用自身作为润和软件股东之地位谋求与润和软件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及其下属公司（包括但不限于捷科智诚）在业务合作等方面给</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予优于市场第三方的权利；不会利用自身作为润和软件股东之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地位谋求与润和软件及其下属公司（包括但不限于捷科智诚）</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达成交易的优先权利。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、若发生必要且不可避免的关联交易，</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本人及本人对外投资的企业（包括但不限于直接持股、间接持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股或委托持股）、实际控制或担任董事、高级管理人员的企业将</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5"/>
                <w:sz w:val="18"/>
                <w:szCs w:val="18"/>
              </w:rPr>
              <w:t>与润和软件及其下属公司（包括但不限于捷科智诚）按照公平</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公允、等价有偿等原则依法签订协议，履行合法程序，并将按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照有关法律法规和《江苏润和软件股份有限公司章程》的规定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履行信息披露义务及相关内部决策程序和回避制度，关联交易</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价格依照与无关联关系的独立第三方进行相同或相似交易时的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价格确定，保证关联交易价格具有公允性，亦不利用该等交易</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从事任何损害润和软件及润和软件股东的合法权益的行为。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5"/>
                <w:sz w:val="18"/>
                <w:szCs w:val="18"/>
              </w:rPr>
              <w:t> </w:t>
            </w:r>
            <w:r>
              <w:rPr>
                <w:rFonts w:ascii="宋体" w:hAnsi="宋体" w:cs="宋体" w:eastAsia="宋体" w:hint="default"/>
                <w:spacing w:val="-3"/>
                <w:sz w:val="18"/>
                <w:szCs w:val="18"/>
              </w:rPr>
              <w:t>本人保证将依照《江苏润和软件股份有限公司章程》的规定参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加股东大会，平等地行使相应权利，承担相应义务，不利用股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东地位谋取不正当利益，不利用关联交易非法转移润和软件及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其下属子公司（包括但不限于捷科智诚）的资金、利润，保证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sz w:val="18"/>
                <w:szCs w:val="18"/>
              </w:rPr>
              <w:t>不损害润和软件及股东的合法权益。</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、若违反上述声明和保证</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本人将对前述行为给润和软件造成的损失向润和软件进行赔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2862"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4" w:right="89"/>
              <w:jc w:val="both"/>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、截至本承诺出具之日，本人及本人直接或间接控制的企业、</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或直接或间接参与经营管理的企业未在中华人民共和国（包括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香港、澳门及台湾地区）从事与润和软件及其下属公司（包括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但不限于捷科智诚）相同或相似的业务。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、本次交易完成后至</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日期间，本人及本人直接或间接控制的企业、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或直接或间接参与经营管理的企业不会在中华人民共和国（包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括香港、澳门及台湾地区）从事与润和软件及其下属公司（包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括但不限于捷科智诚）相同或相似的业务。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、本次交易完成后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w w:val="101"/>
                <w:sz w:val="18"/>
                <w:szCs w:val="18"/>
              </w:rPr>
              <w:t>至</w:t>
            </w:r>
            <w:r>
              <w:rPr>
                <w:rFonts w:ascii="宋体" w:hAnsi="宋体" w:cs="宋体" w:eastAsia="宋体" w:hint="default"/>
                <w:spacing w:val="-50"/>
                <w:w w:val="101"/>
                <w:sz w:val="18"/>
                <w:szCs w:val="18"/>
              </w:rPr>
              <w:t> </w:t>
            </w:r>
            <w:r>
              <w:rPr>
                <w:rFonts w:ascii="Times New Roman" w:hAnsi="Times New Roman" w:cs="Times New Roman" w:eastAsia="Times New Roman" w:hint="default"/>
                <w:spacing w:val="-2"/>
                <w:w w:val="101"/>
                <w:sz w:val="18"/>
                <w:szCs w:val="18"/>
              </w:rPr>
              <w:t>2018</w:t>
            </w:r>
            <w:r>
              <w:rPr>
                <w:rFonts w:ascii="Times New Roman" w:hAnsi="Times New Roman" w:cs="Times New Roman" w:eastAsia="Times New Roman" w:hint="default"/>
                <w:spacing w:val="-5"/>
                <w:w w:val="101"/>
                <w:sz w:val="18"/>
                <w:szCs w:val="18"/>
              </w:rPr>
              <w:t> </w:t>
            </w:r>
            <w:r>
              <w:rPr>
                <w:rFonts w:ascii="宋体" w:hAnsi="宋体" w:cs="宋体" w:eastAsia="宋体" w:hint="default"/>
                <w:w w:val="101"/>
                <w:sz w:val="18"/>
                <w:szCs w:val="18"/>
              </w:rPr>
              <w:t>年</w:t>
            </w:r>
            <w:r>
              <w:rPr>
                <w:rFonts w:ascii="宋体" w:hAnsi="宋体" w:cs="宋体" w:eastAsia="宋体" w:hint="default"/>
                <w:spacing w:val="-56"/>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9"/>
                <w:w w:val="101"/>
                <w:sz w:val="18"/>
                <w:szCs w:val="18"/>
              </w:rPr>
              <w:t> </w:t>
            </w:r>
            <w:r>
              <w:rPr>
                <w:rFonts w:ascii="宋体" w:hAnsi="宋体" w:cs="宋体" w:eastAsia="宋体" w:hint="default"/>
                <w:w w:val="101"/>
                <w:sz w:val="18"/>
                <w:szCs w:val="18"/>
              </w:rPr>
              <w:t>月</w:t>
            </w:r>
            <w:r>
              <w:rPr>
                <w:rFonts w:ascii="宋体" w:hAnsi="宋体" w:cs="宋体" w:eastAsia="宋体" w:hint="default"/>
                <w:spacing w:val="-50"/>
                <w:w w:val="101"/>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8"/>
                <w:w w:val="101"/>
                <w:sz w:val="18"/>
                <w:szCs w:val="18"/>
              </w:rPr>
              <w:t>日期间，本人及本人直接或间接控制的企业</w:t>
            </w:r>
            <w:r>
              <w:rPr>
                <w:rFonts w:ascii="宋体" w:hAnsi="宋体" w:cs="宋体" w:eastAsia="宋体" w:hint="default"/>
                <w:spacing w:val="-8"/>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该承诺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完毕，承</w:t>
            </w:r>
            <w:r>
              <w:rPr>
                <w:rFonts w:ascii="宋体" w:hAnsi="宋体" w:cs="宋体" w:eastAsia="宋体" w:hint="default"/>
                <w:w w:val="101"/>
                <w:sz w:val="18"/>
                <w:szCs w:val="18"/>
              </w:rPr>
              <w:t> </w:t>
            </w:r>
            <w:r>
              <w:rPr>
                <w:rFonts w:ascii="宋体" w:hAnsi="宋体" w:cs="宋体" w:eastAsia="宋体" w:hint="default"/>
                <w:sz w:val="18"/>
                <w:szCs w:val="18"/>
              </w:rPr>
              <w:t>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承诺，未</w:t>
            </w:r>
            <w:r>
              <w:rPr>
                <w:rFonts w:ascii="宋体" w:hAnsi="宋体" w:cs="宋体" w:eastAsia="宋体" w:hint="default"/>
                <w:w w:val="101"/>
                <w:sz w:val="18"/>
                <w:szCs w:val="18"/>
              </w:rPr>
              <w:t> </w:t>
            </w:r>
            <w:r>
              <w:rPr>
                <w:rFonts w:ascii="宋体" w:hAnsi="宋体" w:cs="宋体" w:eastAsia="宋体" w:hint="default"/>
                <w:sz w:val="18"/>
                <w:szCs w:val="18"/>
              </w:rPr>
              <w:t>出现违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w:t>
            </w:r>
          </w:p>
        </w:tc>
      </w:tr>
    </w:tbl>
    <w:p>
      <w:pPr>
        <w:spacing w:after="0" w:line="316"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86011pt;margin-top:308.969971pt;width:48.1pt;height:363pt;mso-position-horizontal-relative:page;mso-position-vertical-relative:page;z-index:-1200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txbxContent>
            </v:textbox>
            <w10:wrap type="none"/>
          </v:shape>
        </w:pict>
      </w:r>
      <w:r>
        <w:rPr/>
        <w:pict>
          <v:group style="position:absolute;margin-left:125.089996pt;margin-top:308.969971pt;width:42.05pt;height:363pt;mso-position-horizontal-relative:page;mso-position-vertical-relative:page;z-index:-1200904" coordorigin="2502,6179" coordsize="841,7260">
            <v:group style="position:absolute;left:2502;top:6179;width:841;height:7260" coordorigin="2502,6179" coordsize="841,7260">
              <v:shape style="position:absolute;left:2502;top:6179;width:841;height:7260" coordorigin="2502,6179" coordsize="841,7260" path="m2502,13439l3342,13439,3342,6179,2502,6179,2502,13439xe" filled="true" fillcolor="#ffffff" stroked="false">
                <v:path arrowok="t"/>
                <v:fill type="solid"/>
              </v:shape>
            </v:group>
            <v:group style="position:absolute;left:2526;top:9300;width:798;height:356" coordorigin="2526,9300" coordsize="798,356">
              <v:shape style="position:absolute;left:2526;top:9300;width:798;height:356" coordorigin="2526,9300" coordsize="798,356" path="m2526,9656l3323,9656,3323,9300,2526,9300,2526,9656xe" filled="true" fillcolor="#ffffff" stroked="false">
                <v:path arrowok="t"/>
                <v:fill type="solid"/>
              </v:shape>
            </v:group>
            <v:group style="position:absolute;left:2526;top:9656;width:798;height:312" coordorigin="2526,9656" coordsize="798,312">
              <v:shape style="position:absolute;left:2526;top:9656;width:798;height:312" coordorigin="2526,9656" coordsize="798,312" path="m2526,9968l3323,9968,3323,9656,2526,9656,2526,9968xe" filled="true" fillcolor="#ffffff" stroked="false">
                <v:path arrowok="t"/>
                <v:fill type="solid"/>
              </v:shape>
            </v:group>
            <v:group style="position:absolute;left:2526;top:9968;width:798;height:351" coordorigin="2526,9968" coordsize="798,351">
              <v:shape style="position:absolute;left:2526;top:9968;width:798;height:351" coordorigin="2526,9968" coordsize="798,351" path="m2526,10318l3323,10318,3323,9968,2526,9968,2526,1031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4730"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5"/>
              <w:jc w:val="left"/>
              <w:rPr>
                <w:rFonts w:ascii="宋体" w:hAnsi="宋体" w:cs="宋体" w:eastAsia="宋体" w:hint="default"/>
                <w:sz w:val="18"/>
                <w:szCs w:val="18"/>
              </w:rPr>
            </w:pPr>
            <w:r>
              <w:rPr>
                <w:rFonts w:ascii="宋体" w:hAnsi="宋体" w:cs="宋体" w:eastAsia="宋体" w:hint="default"/>
                <w:spacing w:val="-3"/>
                <w:sz w:val="18"/>
                <w:szCs w:val="18"/>
              </w:rPr>
              <w:t>或直接或间接参与经营管理的企业不会在中华人民共和国（包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括香港、澳门及台湾地区）从事金融业（含银行、保险和证券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等相关细分）的应用软件开发业务（含开发服务、自有产品及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代理产品的开发和服务）和测试业务。</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、若本人及本人直接或</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间接控制的企业、或直接或间接参与经营管理的企业违反上述</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承诺，本人及相关企业将采取包括但不限于停止经营产生竞争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的业务、将产生竞争的业务纳入润和软件或者转让给无关联关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系第三方等合法方式，以避免同业竞争。</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、本人保证本人关系</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密切的家庭成员（包括配偶、父母及配偶的父母、兄弟姐妹及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其配偶、年满 </w:t>
            </w:r>
            <w:r>
              <w:rPr>
                <w:rFonts w:ascii="Times New Roman" w:hAnsi="Times New Roman" w:cs="Times New Roman" w:eastAsia="Times New Roman" w:hint="default"/>
                <w:sz w:val="18"/>
                <w:szCs w:val="18"/>
              </w:rPr>
              <w:t>18 </w:t>
            </w:r>
            <w:r>
              <w:rPr>
                <w:rFonts w:ascii="宋体" w:hAnsi="宋体" w:cs="宋体" w:eastAsia="宋体" w:hint="default"/>
                <w:spacing w:val="-4"/>
                <w:sz w:val="18"/>
                <w:szCs w:val="18"/>
              </w:rPr>
              <w:t>周岁的子女及其配偶、配偶的兄弟姐妹和子女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配偶的父母等）也遵守以上承诺。</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、如违反上述承诺，本人将</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5"/>
                <w:sz w:val="18"/>
                <w:szCs w:val="18"/>
              </w:rPr>
              <w:t>在违反竞业禁止业务当年向上市公司支付违约金，违约金数额</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本次交易中本人获得的对价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竞业禁止义务未履行年数</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宋体" w:hAnsi="宋体" w:cs="宋体" w:eastAsia="宋体" w:hint="default"/>
                <w:spacing w:val="-2"/>
                <w:sz w:val="18"/>
                <w:szCs w:val="18"/>
              </w:rPr>
              <w:t> </w:t>
            </w:r>
            <w:r>
              <w:rPr>
                <w:rFonts w:ascii="宋体" w:hAnsi="宋体" w:cs="宋体" w:eastAsia="宋体" w:hint="default"/>
                <w:spacing w:val="-3"/>
                <w:sz w:val="18"/>
                <w:szCs w:val="18"/>
              </w:rPr>
              <w:t>其中竞业禁止义务未履行年数指违反竞业禁止义务当年至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年的年数。</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7269"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8" w:right="128"/>
              <w:jc w:val="left"/>
              <w:rPr>
                <w:rFonts w:ascii="宋体" w:hAnsi="宋体" w:cs="宋体" w:eastAsia="宋体" w:hint="default"/>
                <w:sz w:val="18"/>
                <w:szCs w:val="18"/>
              </w:rPr>
            </w:pPr>
            <w:r>
              <w:rPr>
                <w:rFonts w:ascii="宋体" w:hAnsi="宋体" w:cs="宋体" w:eastAsia="宋体" w:hint="default"/>
                <w:sz w:val="18"/>
                <w:szCs w:val="18"/>
              </w:rPr>
              <w:t>吴向东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吴天波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关于避免</w:t>
            </w:r>
          </w:p>
          <w:p>
            <w:pPr>
              <w:pStyle w:val="TableParagraph"/>
              <w:spacing w:line="156"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、截至本承诺出具之日，本人及本人直接或间接控制的企业、</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或担任董事或高级管理人员（包括总经理、副总经理、财务总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监及董事会秘书）的企业在中华人民共和国（包括香港、澳门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及台湾地区）未从事金融业（含银行、保险和证券等相关细分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的应用软件开发业务（含开发服务、自有产品及代理产品的开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发和服务）和测试业务。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、自本次交易完成之日至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309" w:lineRule="auto" w:before="1"/>
              <w:ind w:left="23" w:right="17"/>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日，本人及本人直接或间接控制的企业、或担任董事或高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级管理人员（包括总经理、副总经理、财务总监及董事会秘书</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的企业在中华人民共和国（包括香港、澳门及台湾地区）未从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事金融业（含银行、保险和证券等相关细分）的应用软件开发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业务（含开发服务、自有产品及代理产品的开发和服务）和测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试业务。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、若本人及本人直接或间接控制的企业、或担任董事</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或高级管理人员（包括总经理、副总经理、财务总监及董事会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秘书）的企业违反上述承诺，本人及相关企业将采取包括但不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限于停止经营产生竞争的业务、将产生竞争的业务纳入润和软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件或者转让给无关联关系第三方等合法方式，以避免同业竞争</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、本人保证本人关系密切的家庭成员（包括配偶、父母及配偶</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的父母、兄弟姐妹及其配偶、年满 </w:t>
            </w:r>
            <w:r>
              <w:rPr>
                <w:rFonts w:ascii="Times New Roman" w:hAnsi="Times New Roman" w:cs="Times New Roman" w:eastAsia="Times New Roman" w:hint="default"/>
                <w:sz w:val="18"/>
                <w:szCs w:val="18"/>
              </w:rPr>
              <w:t>18 </w:t>
            </w:r>
            <w:r>
              <w:rPr>
                <w:rFonts w:ascii="宋体" w:hAnsi="宋体" w:cs="宋体" w:eastAsia="宋体" w:hint="default"/>
                <w:spacing w:val="-4"/>
                <w:sz w:val="18"/>
                <w:szCs w:val="18"/>
              </w:rPr>
              <w:t>周岁的子女及其配偶、配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偶的兄弟姐妹和子女配偶的父母等）也遵守以上承诺。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、如违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反上述承诺，本人将在违反竞业禁止业务当年向上市公司支付</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违约金，违约金数额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本次交易中本人获得的对价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竞业禁止义</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务未履行年数</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，其中竞业禁止义务未履行年数指违反竞业</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禁止义务当年至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725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4"/>
                <w:sz w:val="20"/>
                <w:szCs w:val="20"/>
              </w:rPr>
              <w:pict>
                <v:group style="width:42pt;height:363pt;mso-position-horizontal-relative:char;mso-position-vertical-relative:line" coordorigin="0,0" coordsize="840,7260">
                  <v:group style="position:absolute;left:0;top:0;width:840;height:7260" coordorigin="0,0" coordsize="840,7260">
                    <v:shape style="position:absolute;left:0;top:0;width:840;height:7260" coordorigin="0,0" coordsize="840,7260" path="m0,7260l840,7260,840,0,0,0,0,7260xe" filled="true" fillcolor="#ffffff" stroked="false">
                      <v:path arrowok="t"/>
                      <v:fill type="solid"/>
                    </v:shape>
                  </v:group>
                  <v:group style="position:absolute;left:24;top:3279;width:792;height:351" coordorigin="24,3279" coordsize="792,351">
                    <v:shape style="position:absolute;left:24;top:3279;width:792;height:351" coordorigin="24,3279" coordsize="792,351" path="m24,3630l816,3630,816,3279,24,3279,24,3630xe" filled="true" fillcolor="#ffffff" stroked="false">
                      <v:path arrowok="t"/>
                      <v:fill type="solid"/>
                    </v:shape>
                  </v:group>
                  <v:group style="position:absolute;left:24;top:3630;width:792;height:356" coordorigin="24,3630" coordsize="792,356">
                    <v:shape style="position:absolute;left:24;top:3630;width:792;height:356" coordorigin="24,3630" coordsize="792,356" path="m24,3985l816,3985,816,3630,24,3630,24,3985xe" filled="true" fillcolor="#ffffff" stroked="false">
                      <v:path arrowok="t"/>
                      <v:fill type="solid"/>
                    </v:shape>
                  </v:group>
                </v:group>
              </w:pict>
            </w:r>
            <w:r>
              <w:rPr>
                <w:rFonts w:ascii="Times New Roman" w:hAnsi="Times New Roman" w:cs="Times New Roman" w:eastAsia="Times New Roman" w:hint="default"/>
                <w:position w:val="-144"/>
                <w:sz w:val="20"/>
                <w:szCs w:val="20"/>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该承诺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完毕，承</w:t>
            </w:r>
            <w:r>
              <w:rPr>
                <w:rFonts w:ascii="宋体" w:hAnsi="宋体" w:cs="宋体" w:eastAsia="宋体" w:hint="default"/>
                <w:w w:val="101"/>
                <w:sz w:val="18"/>
                <w:szCs w:val="18"/>
              </w:rPr>
              <w:t> </w:t>
            </w:r>
            <w:r>
              <w:rPr>
                <w:rFonts w:ascii="宋体" w:hAnsi="宋体" w:cs="宋体" w:eastAsia="宋体" w:hint="default"/>
                <w:sz w:val="18"/>
                <w:szCs w:val="18"/>
              </w:rPr>
              <w:t>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承诺，未</w:t>
            </w:r>
            <w:r>
              <w:rPr>
                <w:rFonts w:ascii="宋体" w:hAnsi="宋体" w:cs="宋体" w:eastAsia="宋体" w:hint="default"/>
                <w:w w:val="101"/>
                <w:sz w:val="18"/>
                <w:szCs w:val="18"/>
              </w:rPr>
              <w:t> </w:t>
            </w:r>
            <w:r>
              <w:rPr>
                <w:rFonts w:ascii="宋体" w:hAnsi="宋体" w:cs="宋体" w:eastAsia="宋体" w:hint="default"/>
                <w:sz w:val="18"/>
                <w:szCs w:val="18"/>
              </w:rPr>
              <w:t>出现违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r>
      <w:tr>
        <w:trPr>
          <w:trHeight w:val="1926"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8" w:right="128"/>
              <w:jc w:val="both"/>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240" w:lineRule="auto" w:before="18"/>
              <w:ind w:left="28" w:right="0"/>
              <w:jc w:val="both"/>
              <w:rPr>
                <w:rFonts w:ascii="宋体" w:hAnsi="宋体" w:cs="宋体" w:eastAsia="宋体" w:hint="default"/>
                <w:sz w:val="18"/>
                <w:szCs w:val="18"/>
              </w:rPr>
            </w:pPr>
            <w:r>
              <w:rPr>
                <w:rFonts w:ascii="宋体" w:hAnsi="宋体" w:cs="宋体" w:eastAsia="宋体" w:hint="default"/>
                <w:sz w:val="18"/>
                <w:szCs w:val="18"/>
              </w:rPr>
              <w:t>（有限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在本次交易中取得的润和软件股份，自该股份上市之日起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w:t>
            </w:r>
            <w:r>
              <w:rPr>
                <w:rFonts w:ascii="宋体" w:hAnsi="宋体" w:cs="宋体" w:eastAsia="宋体" w:hint="default"/>
                <w:spacing w:val="-73"/>
                <w:sz w:val="18"/>
                <w:szCs w:val="18"/>
              </w:rPr>
              <w:t> </w:t>
            </w:r>
            <w:r>
              <w:rPr>
                <w:rFonts w:ascii="宋体" w:hAnsi="宋体" w:cs="宋体" w:eastAsia="宋体" w:hint="default"/>
                <w:spacing w:val="-3"/>
                <w:sz w:val="18"/>
                <w:szCs w:val="18"/>
              </w:rPr>
              <w:t>月内将不以任何方式转让，包括但不限于通过证券市场公开转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让或通过协议方式转让。自本次交易发行的股份上市之日起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个月起，本企业可以转让在本次交易中认购的润和软件股份的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（包括因未完成考核期内业绩承诺而被润和软件回购的股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10"/>
                <w:w w:val="101"/>
                <w:sz w:val="18"/>
                <w:szCs w:val="18"/>
              </w:rPr>
              <w:t>份），本企业在本次交易中认购的</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5"/>
                <w:w w:val="101"/>
                <w:sz w:val="18"/>
                <w:szCs w:val="18"/>
              </w:rPr>
              <w:t>30%</w:t>
            </w:r>
            <w:r>
              <w:rPr>
                <w:rFonts w:ascii="宋体" w:hAnsi="宋体" w:cs="宋体" w:eastAsia="宋体" w:hint="default"/>
                <w:spacing w:val="-5"/>
                <w:w w:val="101"/>
                <w:sz w:val="18"/>
                <w:szCs w:val="18"/>
              </w:rPr>
              <w:t>的公司股份继续锁定。自</w:t>
            </w:r>
            <w:r>
              <w:rPr>
                <w:rFonts w:ascii="宋体" w:hAnsi="宋体" w:cs="宋体" w:eastAsia="宋体" w:hint="default"/>
                <w:spacing w:val="-5"/>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6"/>
                <w:w w:val="101"/>
                <w:sz w:val="18"/>
                <w:szCs w:val="18"/>
              </w:rPr>
              <w:t>日起，可以转</w:t>
            </w:r>
            <w:r>
              <w:rPr>
                <w:rFonts w:ascii="宋体" w:hAnsi="宋体" w:cs="宋体" w:eastAsia="宋体" w:hint="default"/>
                <w:w w:val="101"/>
                <w:sz w:val="18"/>
                <w:szCs w:val="18"/>
              </w:rPr>
              <w:t> </w:t>
            </w:r>
            <w:r>
              <w:rPr>
                <w:rFonts w:ascii="宋体" w:hAnsi="宋体" w:cs="宋体" w:eastAsia="宋体" w:hint="default"/>
                <w:sz w:val="18"/>
                <w:szCs w:val="18"/>
              </w:rPr>
              <w:t>让所持公司股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份的</w:t>
            </w:r>
            <w:r>
              <w:rPr>
                <w:rFonts w:ascii="宋体" w:hAnsi="宋体" w:cs="宋体" w:eastAsia="宋体" w:hint="default"/>
                <w:spacing w:val="-35"/>
                <w:sz w:val="18"/>
                <w:szCs w:val="18"/>
              </w:rPr>
              <w:t> </w:t>
            </w:r>
            <w:r>
              <w:rPr>
                <w:rFonts w:ascii="Times New Roman" w:hAnsi="Times New Roman" w:cs="Times New Roman" w:eastAsia="Times New Roman" w:hint="default"/>
                <w:spacing w:val="-11"/>
                <w:sz w:val="18"/>
                <w:szCs w:val="18"/>
              </w:rPr>
              <w:t>70%</w:t>
            </w:r>
            <w:r>
              <w:rPr>
                <w:rFonts w:ascii="宋体" w:hAnsi="宋体" w:cs="宋体" w:eastAsia="宋体" w:hint="default"/>
                <w:spacing w:val="-11"/>
                <w:sz w:val="18"/>
                <w:szCs w:val="18"/>
              </w:rPr>
              <w:t>（包括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因未完成考核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期内业绩承诺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p>
        </w:tc>
      </w:tr>
    </w:tbl>
    <w:p>
      <w:pPr>
        <w:spacing w:after="0" w:line="316"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group style="position:absolute;margin-left:125.089996pt;margin-top:543.049988pt;width:42.05pt;height:175.75pt;mso-position-horizontal-relative:page;mso-position-vertical-relative:page;z-index:-1200880" coordorigin="2502,10861" coordsize="841,3515">
            <v:group style="position:absolute;left:2502;top:10861;width:841;height:3515" coordorigin="2502,10861" coordsize="841,3515">
              <v:shape style="position:absolute;left:2502;top:10861;width:841;height:3515" coordorigin="2502,10861" coordsize="841,3515" path="m2502,14376l3342,14376,3342,10861,2502,10861,2502,14376xe" filled="true" fillcolor="#ffffff" stroked="false">
                <v:path arrowok="t"/>
                <v:fill type="solid"/>
              </v:shape>
            </v:group>
            <v:group style="position:absolute;left:2526;top:12268;width:798;height:351" coordorigin="2526,12268" coordsize="798,351">
              <v:shape style="position:absolute;left:2526;top:12268;width:798;height:351" coordorigin="2526,12268" coordsize="798,351" path="m2526,12618l3323,12618,3323,12268,2526,12268,2526,12618xe" filled="true" fillcolor="#ffffff" stroked="false">
                <v:path arrowok="t"/>
                <v:fill type="solid"/>
              </v:shape>
            </v:group>
            <v:group style="position:absolute;left:2526;top:12618;width:798;height:356" coordorigin="2526,12618" coordsize="798,356">
              <v:shape style="position:absolute;left:2526;top:12618;width:798;height:356" coordorigin="2526,12618" coordsize="798,356" path="m2526,12973l3323,12973,3323,12618,2526,12618,2526,12973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3"/>
      </w:tblGrid>
      <w:tr>
        <w:trPr>
          <w:trHeight w:val="9411"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tcBorders>
              <w:top w:val="single" w:sz="4" w:space="0" w:color="000000"/>
              <w:left w:val="single" w:sz="4" w:space="0" w:color="000000"/>
              <w:bottom w:val="single" w:sz="4" w:space="0" w:color="000000"/>
              <w:right w:val="single" w:sz="4" w:space="0" w:color="000000"/>
            </w:tcBorders>
          </w:tcPr>
          <w:p>
            <w:pP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联创智融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年度专项审核意见或《减值测试报告》披露之日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起，若（</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）联创智融完成《盈利补偿协议》约定的利润承诺及</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减值测试承诺，则自联创智融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年度专项审核意见及《减值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测试报告》披露之日起本企业可以转让持有的润和软件剩余全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部股份；（</w:t>
            </w:r>
            <w:r>
              <w:rPr>
                <w:rFonts w:ascii="Times New Roman" w:hAnsi="Times New Roman" w:cs="Times New Roman" w:eastAsia="Times New Roman" w:hint="default"/>
                <w:spacing w:val="-6"/>
                <w:w w:val="101"/>
                <w:sz w:val="18"/>
                <w:szCs w:val="18"/>
              </w:rPr>
              <w:t>2</w:t>
            </w:r>
            <w:r>
              <w:rPr>
                <w:rFonts w:ascii="宋体" w:hAnsi="宋体" w:cs="宋体" w:eastAsia="宋体" w:hint="default"/>
                <w:spacing w:val="-6"/>
                <w:w w:val="101"/>
                <w:sz w:val="18"/>
                <w:szCs w:val="18"/>
              </w:rPr>
              <w:t>）联创智融未能完成《盈利补偿协议》约定的利润</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承诺或减值测试承诺，则自按照《盈利补偿协议》完成补偿之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日起本企业可以转让持有的润和软件剩余全部股份。本次发行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的股份上市后还应当遵守证券监管部门其他关于股份锁定的要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求，包括但不限于若本企业实际控制人周帮建未来成为润和软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件的董事、监事或高级管理人员，则本企业在本次交易中认购</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的润和软件股份还应当按照法律法规及证券监管部门关于上市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公司董事、监事及高级管理人员股份限售的要求进行锁定。本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次发行结束后，本企业因润和软件送股、转增股本而取得的新</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增股份，亦遵守上述锁定日期安排。</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而被润和软件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回购的股份）；</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自联创智融</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年度专项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审核意见或《减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值测试报告》披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露之日起，若</w:t>
            </w:r>
          </w:p>
          <w:p>
            <w:pPr>
              <w:pStyle w:val="TableParagraph"/>
              <w:spacing w:line="314"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）联创智融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完成《盈利补偿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协议》约定的利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润承诺及减值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测试承诺，则自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联创智融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年度专项审核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意见及《减值测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试报告》披露之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日起可以转让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持有的公司剩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余全部股份；</w:t>
            </w:r>
          </w:p>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）联创智融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未能完成《盈利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补偿协议》约定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的利润承诺或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减值测试承诺，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则自按照《盈利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补偿协议》完成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补偿之日起可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以转让持有的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公司剩余全部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34"/>
              <w:jc w:val="both"/>
              <w:rPr>
                <w:rFonts w:ascii="宋体" w:hAnsi="宋体" w:cs="宋体" w:eastAsia="宋体" w:hint="default"/>
                <w:sz w:val="18"/>
                <w:szCs w:val="18"/>
              </w:rPr>
            </w:pP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524"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2"/>
              <w:jc w:val="left"/>
              <w:rPr>
                <w:rFonts w:ascii="宋体" w:hAnsi="宋体" w:cs="宋体" w:eastAsia="宋体" w:hint="default"/>
                <w:sz w:val="18"/>
                <w:szCs w:val="18"/>
              </w:rPr>
            </w:pPr>
            <w:r>
              <w:rPr>
                <w:rFonts w:ascii="宋体" w:hAnsi="宋体" w:cs="宋体" w:eastAsia="宋体" w:hint="default"/>
                <w:sz w:val="18"/>
                <w:szCs w:val="18"/>
              </w:rPr>
              <w:t>南京泰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心（有限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西藏瑞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曹荣、黄</w:t>
            </w:r>
            <w:r>
              <w:rPr>
                <w:rFonts w:ascii="宋体" w:hAnsi="宋体" w:cs="宋体" w:eastAsia="宋体" w:hint="default"/>
                <w:w w:val="101"/>
                <w:sz w:val="18"/>
                <w:szCs w:val="18"/>
              </w:rPr>
              <w:t> </w:t>
            </w:r>
            <w:r>
              <w:rPr>
                <w:rFonts w:ascii="宋体" w:hAnsi="宋体" w:cs="宋体" w:eastAsia="宋体" w:hint="default"/>
                <w:sz w:val="18"/>
                <w:szCs w:val="18"/>
              </w:rPr>
              <w:t>学军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0"/>
              <w:ind w:left="23" w:right="17"/>
              <w:jc w:val="left"/>
              <w:rPr>
                <w:rFonts w:ascii="宋体" w:hAnsi="宋体" w:cs="宋体" w:eastAsia="宋体" w:hint="default"/>
                <w:sz w:val="18"/>
                <w:szCs w:val="18"/>
              </w:rPr>
            </w:pP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本人于润和软件本次非公开发行股份募集配套资金中</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以现金认购所取得的润和软件股份，自该股份上市之日起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w:t>
            </w:r>
            <w:r>
              <w:rPr>
                <w:rFonts w:ascii="宋体" w:hAnsi="宋体" w:cs="宋体" w:eastAsia="宋体" w:hint="default"/>
                <w:spacing w:val="-73"/>
                <w:sz w:val="18"/>
                <w:szCs w:val="18"/>
              </w:rPr>
              <w:t> </w:t>
            </w:r>
            <w:r>
              <w:rPr>
                <w:rFonts w:ascii="宋体" w:hAnsi="宋体" w:cs="宋体" w:eastAsia="宋体" w:hint="default"/>
                <w:spacing w:val="-3"/>
                <w:sz w:val="18"/>
                <w:szCs w:val="18"/>
              </w:rPr>
              <w:t>月内将不以任何方式转让，包括但不限于通过证券市场公开转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让或通过协议方式转让，也不由润和软件回购。由于润和软件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送红股，转增股本原因而增持的股份，亦遵照上述锁定日期进</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w w:val="101"/>
                <w:sz w:val="18"/>
                <w:szCs w:val="18"/>
              </w:rPr>
              <w:t>行锁定。如《中华人民共和国公司法》、《中华人民共和国证券</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8"/>
                <w:w w:val="101"/>
                <w:sz w:val="18"/>
                <w:szCs w:val="18"/>
              </w:rPr>
              <w:t>法》、证券监管部门对本企业持有的股份有其他锁定要求的，本</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本人亦将遵照执行。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9"/>
              <w:jc w:val="left"/>
              <w:rPr>
                <w:rFonts w:ascii="宋体" w:hAnsi="宋体" w:cs="宋体" w:eastAsia="宋体" w:hint="default"/>
                <w:sz w:val="18"/>
                <w:szCs w:val="18"/>
              </w:rPr>
            </w:pPr>
            <w:r>
              <w:rPr>
                <w:rFonts w:ascii="宋体" w:hAnsi="宋体" w:cs="宋体" w:eastAsia="宋体" w:hint="default"/>
                <w:sz w:val="18"/>
                <w:szCs w:val="18"/>
              </w:rPr>
              <w:t>该承诺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完毕，承</w:t>
            </w:r>
            <w:r>
              <w:rPr>
                <w:rFonts w:ascii="宋体" w:hAnsi="宋体" w:cs="宋体" w:eastAsia="宋体" w:hint="default"/>
                <w:w w:val="101"/>
                <w:sz w:val="18"/>
                <w:szCs w:val="18"/>
              </w:rPr>
              <w:t> </w:t>
            </w:r>
            <w:r>
              <w:rPr>
                <w:rFonts w:ascii="宋体" w:hAnsi="宋体" w:cs="宋体" w:eastAsia="宋体" w:hint="default"/>
                <w:sz w:val="18"/>
                <w:szCs w:val="18"/>
              </w:rPr>
              <w:t>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承诺，未</w:t>
            </w:r>
            <w:r>
              <w:rPr>
                <w:rFonts w:ascii="宋体" w:hAnsi="宋体" w:cs="宋体" w:eastAsia="宋体" w:hint="default"/>
                <w:w w:val="101"/>
                <w:sz w:val="18"/>
                <w:szCs w:val="18"/>
              </w:rPr>
              <w:t> </w:t>
            </w:r>
            <w:r>
              <w:rPr>
                <w:rFonts w:ascii="宋体" w:hAnsi="宋体" w:cs="宋体" w:eastAsia="宋体" w:hint="default"/>
                <w:sz w:val="18"/>
                <w:szCs w:val="18"/>
              </w:rPr>
              <w:t>出现违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r>
      <w:tr>
        <w:trPr>
          <w:trHeight w:val="989"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28"/>
              <w:jc w:val="both"/>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89"/>
              <w:jc w:val="left"/>
              <w:rPr>
                <w:rFonts w:ascii="宋体" w:hAnsi="宋体" w:cs="宋体" w:eastAsia="宋体" w:hint="default"/>
                <w:sz w:val="18"/>
                <w:szCs w:val="18"/>
              </w:rPr>
            </w:pPr>
            <w:r>
              <w:rPr>
                <w:rFonts w:ascii="宋体" w:hAnsi="宋体" w:cs="宋体" w:eastAsia="宋体" w:hint="default"/>
                <w:sz w:val="18"/>
                <w:szCs w:val="18"/>
              </w:rPr>
              <w:t>业绩承诺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及补偿安</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、关于利润承诺及补偿：标的公司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sz w:val="18"/>
                <w:szCs w:val="18"/>
              </w:rPr>
              <w:t>和</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2015-2018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考核期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）实现的经上市公司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指定具有证券从业资格会计师事务所审计的扣除非经常性损益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
              <w:jc w:val="both"/>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p>
        </w:tc>
      </w:tr>
    </w:tbl>
    <w:p>
      <w:pPr>
        <w:spacing w:after="0" w:line="316" w:lineRule="auto"/>
        <w:jc w:val="both"/>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76886pt;margin-top:72.499985pt;width:48.1pt;height:314.05pt;mso-position-horizontal-relative:page;mso-position-vertical-relative:page;z-index:-1200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jc w:val="left"/>
                  </w:pPr>
                  <w:r>
                    <w:rPr>
                      <w:w w:val="101"/>
                    </w:rPr>
                    <w:t>》</w:t>
                  </w:r>
                  <w:r>
                    <w:rPr/>
                  </w:r>
                </w:p>
                <w:p>
                  <w:pPr>
                    <w:pStyle w:val="BodyText"/>
                    <w:spacing w:line="240" w:lineRule="auto" w:before="77"/>
                    <w:ind w:left="0" w:right="0"/>
                    <w:jc w:val="left"/>
                  </w:pPr>
                  <w:r>
                    <w:rPr>
                      <w:w w:val="101"/>
                    </w:rPr>
                    <w:t>》</w:t>
                  </w:r>
                  <w:r>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3"/>
      </w:tblGrid>
      <w:tr>
        <w:trPr>
          <w:trHeight w:val="6290"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伙企业</w:t>
            </w:r>
          </w:p>
          <w:p>
            <w:pPr>
              <w:pStyle w:val="TableParagraph"/>
              <w:spacing w:line="321" w:lineRule="auto" w:before="76"/>
              <w:ind w:left="28" w:right="36"/>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周帮建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排</w:t>
            </w:r>
            <w:r>
              <w:rPr>
                <w:rFonts w:ascii="宋体" w:hAnsi="宋体" w:cs="宋体" w:eastAsia="宋体" w:hint="default"/>
                <w:sz w:val="18"/>
                <w:szCs w:val="18"/>
              </w:rPr>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17"/>
              <w:jc w:val="left"/>
              <w:rPr>
                <w:rFonts w:ascii="宋体" w:hAnsi="宋体" w:cs="宋体" w:eastAsia="宋体" w:hint="default"/>
                <w:sz w:val="18"/>
                <w:szCs w:val="18"/>
              </w:rPr>
            </w:pPr>
            <w:r>
              <w:rPr>
                <w:rFonts w:ascii="宋体" w:hAnsi="宋体" w:cs="宋体" w:eastAsia="宋体" w:hint="default"/>
                <w:spacing w:val="-3"/>
                <w:w w:val="101"/>
                <w:sz w:val="18"/>
                <w:szCs w:val="18"/>
              </w:rPr>
              <w:t>后归属于母公司所有者的净利润分别不低于</w:t>
            </w:r>
            <w:r>
              <w:rPr>
                <w:rFonts w:ascii="宋体" w:hAnsi="宋体" w:cs="宋体" w:eastAsia="宋体" w:hint="default"/>
                <w:spacing w:val="-61"/>
                <w:w w:val="101"/>
                <w:sz w:val="18"/>
                <w:szCs w:val="18"/>
              </w:rPr>
              <w:t> </w:t>
            </w:r>
            <w:r>
              <w:rPr>
                <w:rFonts w:ascii="Times New Roman" w:hAnsi="Times New Roman" w:cs="Times New Roman" w:eastAsia="Times New Roman" w:hint="default"/>
                <w:spacing w:val="-2"/>
                <w:w w:val="101"/>
                <w:sz w:val="18"/>
                <w:szCs w:val="18"/>
              </w:rPr>
              <w:t>13,000</w:t>
            </w:r>
            <w:r>
              <w:rPr>
                <w:rFonts w:ascii="Times New Roman" w:hAnsi="Times New Roman" w:cs="Times New Roman" w:eastAsia="Times New Roman" w:hint="default"/>
                <w:spacing w:val="-15"/>
                <w:w w:val="101"/>
                <w:sz w:val="18"/>
                <w:szCs w:val="18"/>
              </w:rPr>
              <w:t> </w:t>
            </w:r>
            <w:r>
              <w:rPr>
                <w:rFonts w:ascii="宋体" w:hAnsi="宋体" w:cs="宋体" w:eastAsia="宋体" w:hint="default"/>
                <w:spacing w:val="-12"/>
                <w:w w:val="101"/>
                <w:sz w:val="18"/>
                <w:szCs w:val="18"/>
              </w:rPr>
              <w:t>万元、</w:t>
            </w:r>
            <w:r>
              <w:rPr>
                <w:rFonts w:ascii="Times New Roman" w:hAnsi="Times New Roman" w:cs="Times New Roman" w:eastAsia="Times New Roman" w:hint="default"/>
                <w:spacing w:val="-12"/>
                <w:w w:val="101"/>
                <w:sz w:val="18"/>
                <w:szCs w:val="18"/>
              </w:rPr>
              <w:t>16,600</w:t>
            </w:r>
            <w:r>
              <w:rPr>
                <w:rFonts w:ascii="Times New Roman" w:hAnsi="Times New Roman" w:cs="Times New Roman" w:eastAsia="Times New Roman" w:hint="default"/>
                <w:spacing w:val="-41"/>
                <w:w w:val="101"/>
                <w:sz w:val="18"/>
                <w:szCs w:val="18"/>
              </w:rPr>
              <w:t> </w:t>
            </w:r>
            <w:r>
              <w:rPr>
                <w:rFonts w:ascii="Times New Roman" w:hAnsi="Times New Roman" w:cs="Times New Roman" w:eastAsia="Times New Roman" w:hint="default"/>
                <w:spacing w:val="-41"/>
                <w:w w:val="101"/>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18,800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22,600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万元，考核期实现的净利润之和不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低于 </w:t>
            </w:r>
            <w:r>
              <w:rPr>
                <w:rFonts w:ascii="Times New Roman" w:hAnsi="Times New Roman" w:cs="Times New Roman" w:eastAsia="Times New Roman" w:hint="default"/>
                <w:sz w:val="18"/>
                <w:szCs w:val="18"/>
              </w:rPr>
              <w:t>71,000 </w:t>
            </w:r>
            <w:r>
              <w:rPr>
                <w:rFonts w:ascii="宋体" w:hAnsi="宋体" w:cs="宋体" w:eastAsia="宋体" w:hint="default"/>
                <w:spacing w:val="-3"/>
                <w:sz w:val="18"/>
                <w:szCs w:val="18"/>
              </w:rPr>
              <w:t>万元。在考核期内每个会计年度结束后，如标的公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司截至当年度实现的实际净利润之和未达到截至当年度的承诺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净利润之和，则宁波宏创将以交易中取得的上市公司股份优先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sz w:val="18"/>
                <w:szCs w:val="18"/>
              </w:rPr>
              <w:t>补偿，不足部分以现金形式补偿。</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、关于应收账款承诺及补偿</w:t>
            </w:r>
            <w:r>
              <w:rPr>
                <w:rFonts w:ascii="宋体" w:hAnsi="宋体" w:cs="宋体" w:eastAsia="宋体" w:hint="default"/>
                <w:sz w:val="18"/>
                <w:szCs w:val="18"/>
              </w:rPr>
              <w:t> </w:t>
            </w:r>
            <w:r>
              <w:rPr>
                <w:rFonts w:ascii="宋体" w:hAnsi="宋体" w:cs="宋体" w:eastAsia="宋体" w:hint="default"/>
                <w:sz w:val="18"/>
                <w:szCs w:val="18"/>
              </w:rPr>
              <w:t>标的公司截至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日经审计的应收账款余额，在</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年应收回不低于</w:t>
            </w:r>
            <w:r>
              <w:rPr>
                <w:rFonts w:ascii="宋体" w:hAnsi="宋体" w:cs="宋体" w:eastAsia="宋体" w:hint="default"/>
                <w:spacing w:val="-7"/>
                <w:sz w:val="18"/>
                <w:szCs w:val="18"/>
              </w:rPr>
              <w:t> </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。应收账款收回情况以有证券从业资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格的会计师事务所的专项审核报告为准。如截至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日，标的公司未完成上述应收账款回收指标，则宁波宏创应</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将差额部分以现金形式补偿给标的公司，在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pacing w:val="-3"/>
                <w:sz w:val="18"/>
                <w:szCs w:val="18"/>
              </w:rPr>
              <w:t>之前一次性支付完毕。</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、关于减值测试及补偿：在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w:t>
            </w:r>
            <w:r>
              <w:rPr>
                <w:rFonts w:ascii="宋体" w:hAnsi="宋体" w:cs="宋体" w:eastAsia="宋体" w:hint="default"/>
                <w:spacing w:val="-59"/>
                <w:sz w:val="18"/>
                <w:szCs w:val="18"/>
              </w:rPr>
              <w:t> </w:t>
            </w:r>
            <w:r>
              <w:rPr>
                <w:rFonts w:ascii="宋体" w:hAnsi="宋体" w:cs="宋体" w:eastAsia="宋体" w:hint="default"/>
                <w:spacing w:val="-3"/>
                <w:sz w:val="18"/>
                <w:szCs w:val="18"/>
              </w:rPr>
              <w:t>届满后，由上市公司指定的具有证券业务资格的会计师事务所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对标的公司依照中国证监会的规则及要求进行减值测试，如标</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的资产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年末减值额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已回购股份总数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本次股票发行价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已补偿现金额，则宁波宏创应当对上市公司另行补偿。</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关于联创智融实际控制人承担连带保证责任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联创智融实际控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sz w:val="18"/>
                <w:szCs w:val="18"/>
              </w:rPr>
              <w:t>制人周帮建承诺，周帮建将督促宁波宏创按照《盈利补偿协议</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5"/>
                <w:sz w:val="18"/>
                <w:szCs w:val="18"/>
              </w:rPr>
              <w:t>的约定进行股份及现金补偿，并对宁波宏创在《盈利补偿协议</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下的所有补偿责任承担连带保证责任。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62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42pt;height:314.05pt;mso-position-horizontal-relative:char;mso-position-vertical-relative:line" coordorigin="0,0" coordsize="840,6281">
                  <v:group style="position:absolute;left:0;top:0;width:840;height:6281" coordorigin="0,0" coordsize="840,6281">
                    <v:shape style="position:absolute;left:0;top:0;width:840;height:6281" coordorigin="0,0" coordsize="840,6281" path="m0,6280l840,6280,840,0,0,0,0,628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7543"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28"/>
              <w:jc w:val="both"/>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316" w:lineRule="auto" w:before="17"/>
              <w:ind w:left="28" w:right="12"/>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江苏高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投成长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宁波道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浙江海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宁嘉慧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日期间，本企业及本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企业直接或间接控制的企业、或直接或间接参与经营管理的企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业不会在中华人民共和国（包括香港、澳门及台湾地区）从事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与润和软件及其下属公司（包括但不限于联创智融）相同或相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似的业务。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、若本企业及本企业直接或间接控制的企业、或直</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接或间接参与经营管理的企业违反上述承诺，本企业及相关企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业将采取包括但不限于停止经营产生竞争的业务、将产生竞争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的业务纳入润和软件或者转让给无关联关系第三方等合法方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式，以避免同业竞争。</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、如违反上述承诺，本企业将在违反竞</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业禁止承诺当年向润和软件或联创智融支付违约金，违约金数</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本次交易中本企业获得的对价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竞业禁止义务未履行年数</w:t>
            </w:r>
          </w:p>
          <w:p>
            <w:pPr>
              <w:pStyle w:val="TableParagraph"/>
              <w:spacing w:line="304" w:lineRule="auto" w:before="3"/>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，其中竞业禁止义务未履行年数指违反竞业禁止义务当年</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4" w:right="19"/>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bl>
    <w:p>
      <w:pPr>
        <w:spacing w:after="0" w:line="319"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830078pt;margin-top:262.155975pt;width:48.05pt;height:503.45pt;mso-position-horizontal-relative:page;mso-position-vertical-relative:page;z-index:-1200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262.155975pt;width:42pt;height:503.45pt;mso-position-horizontal-relative:page;mso-position-vertical-relative:page;z-index:-1200784" coordorigin="8317,5243" coordsize="840,10069">
            <v:group style="position:absolute;left:8317;top:5243;width:840;height:10069" coordorigin="8317,5243" coordsize="840,10069">
              <v:shape style="position:absolute;left:8317;top:5243;width:840;height:10069" coordorigin="8317,5243" coordsize="840,10069" path="m8317,15312l9157,15312,9157,5243,8317,5243,8317,15312xe" filled="true" fillcolor="#ffffff" stroked="false">
                <v:path arrowok="t"/>
                <v:fill type="solid"/>
              </v:shape>
            </v:group>
            <v:group style="position:absolute;left:8341;top:9924;width:792;height:356" coordorigin="8341,9924" coordsize="792,356">
              <v:shape style="position:absolute;left:8341;top:9924;width:792;height:356" coordorigin="8341,9924" coordsize="792,356" path="m8341,10280l9133,10280,9133,9924,8341,9924,8341,10280xe" filled="true" fillcolor="#ffffff" stroked="false">
                <v:path arrowok="t"/>
                <v:fill type="solid"/>
              </v:shape>
            </v:group>
            <v:group style="position:absolute;left:8341;top:10280;width:792;height:351" coordorigin="8341,10280" coordsize="792,351">
              <v:shape style="position:absolute;left:8341;top:10280;width:792;height:351" coordorigin="8341,10280" coordsize="792,351" path="m8341,10631l9133,10631,9133,10280,8341,10280,8341,1063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1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w w:val="101"/>
                <w:sz w:val="18"/>
                <w:szCs w:val="18"/>
              </w:rPr>
              <w:t>合伙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tcPr>
          <w:p>
            <w:pPr/>
          </w:p>
        </w:tc>
        <w:tc>
          <w:tcPr>
            <w:tcW w:w="496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山南置</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立方投</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资管理</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19"/>
                <w:sz w:val="18"/>
                <w:szCs w:val="18"/>
              </w:rPr>
              <w:t>司、苏州</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市富士</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莱技术</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服务发</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展中心</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vMerge/>
            <w:tcBorders>
              <w:left w:val="single" w:sz="4" w:space="0" w:color="000000"/>
              <w:bottom w:val="single" w:sz="4" w:space="0" w:color="000000"/>
              <w:right w:val="single" w:sz="4" w:space="0" w:color="000000"/>
            </w:tcBorders>
          </w:tcPr>
          <w:p>
            <w:pPr/>
          </w:p>
        </w:tc>
        <w:tc>
          <w:tcPr>
            <w:tcW w:w="496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372"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宁波宏</w:t>
            </w: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一、关于减少和规范关联交易的承诺：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、本次交易完成后，本</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创股权</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企业及本企业对外投资的企业（包括但不限于直接持股、间接</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投资合</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或</w:t>
            </w:r>
            <w:r>
              <w:rPr>
                <w:rFonts w:ascii="宋体" w:hAnsi="宋体" w:cs="宋体" w:eastAsia="宋体" w:hint="default"/>
                <w:spacing w:val="-5"/>
                <w:w w:val="101"/>
                <w:sz w:val="18"/>
                <w:szCs w:val="18"/>
              </w:rPr>
              <w:t>委</w:t>
            </w:r>
            <w:r>
              <w:rPr>
                <w:rFonts w:ascii="宋体" w:hAnsi="宋体" w:cs="宋体" w:eastAsia="宋体" w:hint="default"/>
                <w:w w:val="101"/>
                <w:sz w:val="18"/>
                <w:szCs w:val="18"/>
              </w:rPr>
              <w:t>托</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48"/>
                <w:w w:val="101"/>
                <w:sz w:val="18"/>
                <w:szCs w:val="18"/>
              </w:rPr>
              <w:t>、</w:t>
            </w:r>
            <w:r>
              <w:rPr>
                <w:rFonts w:ascii="宋体" w:hAnsi="宋体" w:cs="宋体" w:eastAsia="宋体" w:hint="default"/>
                <w:w w:val="101"/>
                <w:sz w:val="18"/>
                <w:szCs w:val="18"/>
              </w:rPr>
              <w:t>实</w:t>
            </w:r>
            <w:r>
              <w:rPr>
                <w:rFonts w:ascii="宋体" w:hAnsi="宋体" w:cs="宋体" w:eastAsia="宋体" w:hint="default"/>
                <w:spacing w:val="-5"/>
                <w:w w:val="101"/>
                <w:sz w:val="18"/>
                <w:szCs w:val="18"/>
              </w:rPr>
              <w:t>际</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的</w:t>
            </w:r>
            <w:r>
              <w:rPr>
                <w:rFonts w:ascii="宋体" w:hAnsi="宋体" w:cs="宋体" w:eastAsia="宋体" w:hint="default"/>
                <w:spacing w:val="-5"/>
                <w:w w:val="101"/>
                <w:sz w:val="18"/>
                <w:szCs w:val="18"/>
              </w:rPr>
              <w:t>企业</w:t>
            </w:r>
            <w:r>
              <w:rPr>
                <w:rFonts w:ascii="宋体" w:hAnsi="宋体" w:cs="宋体" w:eastAsia="宋体" w:hint="default"/>
                <w:w w:val="101"/>
                <w:sz w:val="18"/>
                <w:szCs w:val="18"/>
              </w:rPr>
              <w:t>将</w:t>
            </w:r>
            <w:r>
              <w:rPr>
                <w:rFonts w:ascii="宋体" w:hAnsi="宋体" w:cs="宋体" w:eastAsia="宋体" w:hint="default"/>
                <w:spacing w:val="-5"/>
                <w:w w:val="101"/>
                <w:sz w:val="18"/>
                <w:szCs w:val="18"/>
              </w:rPr>
              <w:t>尽</w:t>
            </w:r>
            <w:r>
              <w:rPr>
                <w:rFonts w:ascii="宋体" w:hAnsi="宋体" w:cs="宋体" w:eastAsia="宋体" w:hint="default"/>
                <w:w w:val="101"/>
                <w:sz w:val="18"/>
                <w:szCs w:val="18"/>
              </w:rPr>
              <w:t>可</w:t>
            </w:r>
            <w:r>
              <w:rPr>
                <w:rFonts w:ascii="宋体" w:hAnsi="宋体" w:cs="宋体" w:eastAsia="宋体" w:hint="default"/>
                <w:spacing w:val="-5"/>
                <w:w w:val="101"/>
                <w:sz w:val="18"/>
                <w:szCs w:val="18"/>
              </w:rPr>
              <w:t>能</w:t>
            </w:r>
            <w:r>
              <w:rPr>
                <w:rFonts w:ascii="宋体" w:hAnsi="宋体" w:cs="宋体" w:eastAsia="宋体" w:hint="default"/>
                <w:w w:val="101"/>
                <w:sz w:val="18"/>
                <w:szCs w:val="18"/>
              </w:rPr>
              <w:t>减</w:t>
            </w:r>
            <w:r>
              <w:rPr>
                <w:rFonts w:ascii="宋体" w:hAnsi="宋体" w:cs="宋体" w:eastAsia="宋体" w:hint="default"/>
                <w:spacing w:val="-5"/>
                <w:w w:val="101"/>
                <w:sz w:val="18"/>
                <w:szCs w:val="18"/>
              </w:rPr>
              <w:t>少</w:t>
            </w:r>
            <w:r>
              <w:rPr>
                <w:rFonts w:ascii="宋体" w:hAnsi="宋体" w:cs="宋体" w:eastAsia="宋体" w:hint="default"/>
                <w:w w:val="101"/>
                <w:sz w:val="18"/>
                <w:szCs w:val="18"/>
              </w:rPr>
              <w:t>与</w:t>
            </w:r>
            <w:r>
              <w:rPr>
                <w:rFonts w:ascii="宋体" w:hAnsi="宋体" w:cs="宋体" w:eastAsia="宋体" w:hint="default"/>
                <w:spacing w:val="-5"/>
                <w:w w:val="101"/>
                <w:sz w:val="18"/>
                <w:szCs w:val="18"/>
              </w:rPr>
              <w:t>润</w:t>
            </w:r>
            <w:r>
              <w:rPr>
                <w:rFonts w:ascii="宋体" w:hAnsi="宋体" w:cs="宋体" w:eastAsia="宋体" w:hint="default"/>
                <w:w w:val="101"/>
                <w:sz w:val="18"/>
                <w:szCs w:val="18"/>
              </w:rPr>
              <w:t>和</w:t>
            </w:r>
            <w:r>
              <w:rPr>
                <w:rFonts w:ascii="宋体" w:hAnsi="宋体" w:cs="宋体" w:eastAsia="宋体" w:hint="default"/>
                <w:spacing w:val="-5"/>
                <w:w w:val="101"/>
                <w:sz w:val="18"/>
                <w:szCs w:val="18"/>
              </w:rPr>
              <w:t>软</w:t>
            </w:r>
            <w:r>
              <w:rPr>
                <w:rFonts w:ascii="宋体" w:hAnsi="宋体" w:cs="宋体" w:eastAsia="宋体" w:hint="default"/>
                <w:w w:val="101"/>
                <w:sz w:val="18"/>
                <w:szCs w:val="18"/>
              </w:rPr>
              <w:t>件及</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其下属公司（包括但不限于联创智融）的关联交易，不会利用</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自身作为润和软件股东之地位谋求与润和软件及其下属公司</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w w:val="101"/>
                <w:sz w:val="18"/>
                <w:szCs w:val="18"/>
              </w:rPr>
              <w:t>合伙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（包括但不限于联创智融）在业务合作等方面给予优于市场第</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江苏高</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4"/>
                <w:sz w:val="18"/>
                <w:szCs w:val="18"/>
              </w:rPr>
              <w:t>三方的权利或达成交易的优先权利。</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、若发生必要且不可避免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投成长</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的关联交易，本企业及本企业对外投资的企业（包括但不限于</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价值股</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w w:val="101"/>
                <w:sz w:val="18"/>
                <w:szCs w:val="18"/>
              </w:rPr>
              <w:t>直</w:t>
            </w:r>
            <w:r>
              <w:rPr>
                <w:rFonts w:ascii="宋体" w:hAnsi="宋体" w:cs="宋体" w:eastAsia="宋体" w:hint="default"/>
                <w:spacing w:val="-5"/>
                <w:w w:val="101"/>
                <w:sz w:val="18"/>
                <w:szCs w:val="18"/>
              </w:rPr>
              <w:t>接</w:t>
            </w:r>
            <w:r>
              <w:rPr>
                <w:rFonts w:ascii="宋体" w:hAnsi="宋体" w:cs="宋体" w:eastAsia="宋体" w:hint="default"/>
                <w:w w:val="101"/>
                <w:sz w:val="18"/>
                <w:szCs w:val="18"/>
              </w:rPr>
              <w:t>持股</w:t>
            </w:r>
            <w:r>
              <w:rPr>
                <w:rFonts w:ascii="宋体" w:hAnsi="宋体" w:cs="宋体" w:eastAsia="宋体" w:hint="default"/>
                <w:spacing w:val="-29"/>
                <w:w w:val="101"/>
                <w:sz w:val="18"/>
                <w:szCs w:val="18"/>
              </w:rPr>
              <w:t>、</w:t>
            </w:r>
            <w:r>
              <w:rPr>
                <w:rFonts w:ascii="宋体" w:hAnsi="宋体" w:cs="宋体" w:eastAsia="宋体" w:hint="default"/>
                <w:w w:val="101"/>
                <w:sz w:val="18"/>
                <w:szCs w:val="18"/>
              </w:rPr>
              <w:t>间</w:t>
            </w:r>
            <w:r>
              <w:rPr>
                <w:rFonts w:ascii="宋体" w:hAnsi="宋体" w:cs="宋体" w:eastAsia="宋体" w:hint="default"/>
                <w:spacing w:val="-5"/>
                <w:w w:val="101"/>
                <w:sz w:val="18"/>
                <w:szCs w:val="18"/>
              </w:rPr>
              <w:t>接</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或</w:t>
            </w:r>
            <w:r>
              <w:rPr>
                <w:rFonts w:ascii="宋体" w:hAnsi="宋体" w:cs="宋体" w:eastAsia="宋体" w:hint="default"/>
                <w:spacing w:val="-5"/>
                <w:w w:val="101"/>
                <w:sz w:val="18"/>
                <w:szCs w:val="18"/>
              </w:rPr>
              <w:t>委</w:t>
            </w:r>
            <w:r>
              <w:rPr>
                <w:rFonts w:ascii="宋体" w:hAnsi="宋体" w:cs="宋体" w:eastAsia="宋体" w:hint="default"/>
                <w:w w:val="101"/>
                <w:sz w:val="18"/>
                <w:szCs w:val="18"/>
              </w:rPr>
              <w:t>托</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29"/>
                <w:w w:val="101"/>
                <w:sz w:val="18"/>
                <w:szCs w:val="18"/>
              </w:rPr>
              <w:t>、</w:t>
            </w:r>
            <w:r>
              <w:rPr>
                <w:rFonts w:ascii="宋体" w:hAnsi="宋体" w:cs="宋体" w:eastAsia="宋体" w:hint="default"/>
                <w:w w:val="101"/>
                <w:sz w:val="18"/>
                <w:szCs w:val="18"/>
              </w:rPr>
              <w:t>实</w:t>
            </w:r>
            <w:r>
              <w:rPr>
                <w:rFonts w:ascii="宋体" w:hAnsi="宋体" w:cs="宋体" w:eastAsia="宋体" w:hint="default"/>
                <w:spacing w:val="-5"/>
                <w:w w:val="101"/>
                <w:sz w:val="18"/>
                <w:szCs w:val="18"/>
              </w:rPr>
              <w:t>际</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的</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将</w:t>
            </w:r>
            <w:r>
              <w:rPr>
                <w:rFonts w:ascii="宋体" w:hAnsi="宋体" w:cs="宋体" w:eastAsia="宋体" w:hint="default"/>
                <w:w w:val="101"/>
                <w:sz w:val="18"/>
                <w:szCs w:val="18"/>
              </w:rPr>
              <w:t>与</w:t>
            </w:r>
            <w:r>
              <w:rPr>
                <w:rFonts w:ascii="宋体" w:hAnsi="宋体" w:cs="宋体" w:eastAsia="宋体" w:hint="default"/>
                <w:spacing w:val="-5"/>
                <w:w w:val="101"/>
                <w:sz w:val="18"/>
                <w:szCs w:val="18"/>
              </w:rPr>
              <w:t>润</w:t>
            </w:r>
            <w:r>
              <w:rPr>
                <w:rFonts w:ascii="宋体" w:hAnsi="宋体" w:cs="宋体" w:eastAsia="宋体" w:hint="default"/>
                <w:w w:val="101"/>
                <w:sz w:val="18"/>
                <w:szCs w:val="18"/>
              </w:rPr>
              <w:t>和软</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件及其下属公司（包括但不限于联创智融）按照公平、公允、</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等价有偿等原则依法签订协议，履行合法程序，并将按照有关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pacing w:val="-19"/>
                <w:sz w:val="18"/>
                <w:szCs w:val="18"/>
              </w:rPr>
              <w:t>业（有限</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3"/>
                <w:sz w:val="18"/>
                <w:szCs w:val="18"/>
              </w:rPr>
              <w:t>法律法规和《江苏润和软件股份有限公司章程》的规定履行信</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截至本</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w w:val="101"/>
                <w:sz w:val="18"/>
                <w:szCs w:val="18"/>
              </w:rPr>
              <w:t>合伙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息披露义务及相关内部决策程序和回避制度，关联交易价格依</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宁波道</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关于减少</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照与无关联关系的独立第三方进行相同或相似交易时的价格确</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19"/>
                <w:sz w:val="18"/>
                <w:szCs w:val="18"/>
              </w:rPr>
              <w:t>末，承诺</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生一股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和规范关</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定，保证关联交易价格具有公允性，亦不利用该等交易从事任</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人严格</w:t>
            </w:r>
          </w:p>
        </w:tc>
      </w:tr>
      <w:tr>
        <w:trPr>
          <w:trHeight w:val="625"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319" w:lineRule="auto" w:before="21"/>
              <w:ind w:left="28" w:right="128"/>
              <w:jc w:val="left"/>
              <w:rPr>
                <w:rFonts w:ascii="宋体" w:hAnsi="宋体" w:cs="宋体" w:eastAsia="宋体" w:hint="default"/>
                <w:sz w:val="18"/>
                <w:szCs w:val="18"/>
              </w:rPr>
            </w:pP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89"/>
              <w:jc w:val="left"/>
              <w:rPr>
                <w:rFonts w:ascii="宋体" w:hAnsi="宋体" w:cs="宋体" w:eastAsia="宋体" w:hint="default"/>
                <w:sz w:val="18"/>
                <w:szCs w:val="18"/>
              </w:rPr>
            </w:pP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规范资金</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17"/>
              <w:jc w:val="left"/>
              <w:rPr>
                <w:rFonts w:ascii="宋体" w:hAnsi="宋体" w:cs="宋体" w:eastAsia="宋体" w:hint="default"/>
                <w:sz w:val="18"/>
                <w:szCs w:val="18"/>
              </w:rPr>
            </w:pPr>
            <w:r>
              <w:rPr>
                <w:rFonts w:ascii="宋体" w:hAnsi="宋体" w:cs="宋体" w:eastAsia="宋体" w:hint="default"/>
                <w:spacing w:val="-4"/>
                <w:sz w:val="18"/>
                <w:szCs w:val="18"/>
              </w:rPr>
              <w:t>何损害润和软件及润和软件股东的合法权益的行为。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、本企业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保证将依照《江苏润和软件股份有限公司章程》的规定参加股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17"/>
              <w:jc w:val="left"/>
              <w:rPr>
                <w:rFonts w:ascii="宋体" w:hAnsi="宋体" w:cs="宋体" w:eastAsia="宋体" w:hint="default"/>
                <w:sz w:val="18"/>
                <w:szCs w:val="18"/>
              </w:rPr>
            </w:pPr>
            <w:r>
              <w:rPr>
                <w:rFonts w:ascii="宋体" w:hAnsi="宋体" w:cs="宋体" w:eastAsia="宋体" w:hint="default"/>
                <w:spacing w:val="-4"/>
                <w:sz w:val="18"/>
                <w:szCs w:val="18"/>
              </w:rPr>
              <w:t>履行承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9"/>
                <w:sz w:val="18"/>
                <w:szCs w:val="18"/>
              </w:rPr>
              <w:t>诺，未出</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pacing w:val="-19"/>
                <w:sz w:val="18"/>
                <w:szCs w:val="18"/>
              </w:rPr>
              <w:t>业（有限</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占用行为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东大会，平等地行使相应权利，承担相应义务，不利用股东地</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现违反</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w w:val="101"/>
                <w:sz w:val="18"/>
                <w:szCs w:val="18"/>
              </w:rPr>
              <w:t>合伙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位谋取不正当利益，不利用关联交易非法转移润和软件及其下</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上述承</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浙江海</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属子公司（包括但不限于联创智融）的资金、利润，保证不损</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宁嘉慧</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4"/>
                <w:sz w:val="18"/>
                <w:szCs w:val="18"/>
              </w:rPr>
              <w:t>害润和软件及股东的合法权益。</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、若违反上述声明和保证，本</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投资合</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企业将对前述行为给润和软件造成的损失向润和软件进行赔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4"/>
                <w:sz w:val="18"/>
                <w:szCs w:val="18"/>
              </w:rPr>
              <w:t>偿。二、关于规范资金占用行为的承诺：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、截至本承诺出具之</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日，本企业及本企业对外投资（包括直接持股、间接持股或委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w w:val="101"/>
                <w:sz w:val="18"/>
                <w:szCs w:val="18"/>
              </w:rPr>
              <w:t>合伙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w w:val="101"/>
                <w:sz w:val="18"/>
                <w:szCs w:val="18"/>
              </w:rPr>
              <w:t>托</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48"/>
                <w:w w:val="101"/>
                <w:sz w:val="18"/>
                <w:szCs w:val="18"/>
              </w:rPr>
              <w:t>、</w:t>
            </w:r>
            <w:r>
              <w:rPr>
                <w:rFonts w:ascii="宋体" w:hAnsi="宋体" w:cs="宋体" w:eastAsia="宋体" w:hint="default"/>
                <w:w w:val="101"/>
                <w:sz w:val="18"/>
                <w:szCs w:val="18"/>
              </w:rPr>
              <w:t>实</w:t>
            </w:r>
            <w:r>
              <w:rPr>
                <w:rFonts w:ascii="宋体" w:hAnsi="宋体" w:cs="宋体" w:eastAsia="宋体" w:hint="default"/>
                <w:spacing w:val="-5"/>
                <w:w w:val="101"/>
                <w:sz w:val="18"/>
                <w:szCs w:val="18"/>
              </w:rPr>
              <w:t>际</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的</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与</w:t>
            </w:r>
            <w:r>
              <w:rPr>
                <w:rFonts w:ascii="宋体" w:hAnsi="宋体" w:cs="宋体" w:eastAsia="宋体" w:hint="default"/>
                <w:w w:val="101"/>
                <w:sz w:val="18"/>
                <w:szCs w:val="18"/>
              </w:rPr>
              <w:t>联</w:t>
            </w:r>
            <w:r>
              <w:rPr>
                <w:rFonts w:ascii="宋体" w:hAnsi="宋体" w:cs="宋体" w:eastAsia="宋体" w:hint="default"/>
                <w:spacing w:val="-5"/>
                <w:w w:val="101"/>
                <w:sz w:val="18"/>
                <w:szCs w:val="18"/>
              </w:rPr>
              <w:t>创智</w:t>
            </w:r>
            <w:r>
              <w:rPr>
                <w:rFonts w:ascii="宋体" w:hAnsi="宋体" w:cs="宋体" w:eastAsia="宋体" w:hint="default"/>
                <w:w w:val="101"/>
                <w:sz w:val="18"/>
                <w:szCs w:val="18"/>
              </w:rPr>
              <w:t>融</w:t>
            </w:r>
            <w:r>
              <w:rPr>
                <w:rFonts w:ascii="宋体" w:hAnsi="宋体" w:cs="宋体" w:eastAsia="宋体" w:hint="default"/>
                <w:spacing w:val="-5"/>
                <w:w w:val="101"/>
                <w:sz w:val="18"/>
                <w:szCs w:val="18"/>
              </w:rPr>
              <w:t>及</w:t>
            </w:r>
            <w:r>
              <w:rPr>
                <w:rFonts w:ascii="宋体" w:hAnsi="宋体" w:cs="宋体" w:eastAsia="宋体" w:hint="default"/>
                <w:w w:val="101"/>
                <w:sz w:val="18"/>
                <w:szCs w:val="18"/>
              </w:rPr>
              <w:t>其</w:t>
            </w:r>
            <w:r>
              <w:rPr>
                <w:rFonts w:ascii="宋体" w:hAnsi="宋体" w:cs="宋体" w:eastAsia="宋体" w:hint="default"/>
                <w:spacing w:val="-5"/>
                <w:w w:val="101"/>
                <w:sz w:val="18"/>
                <w:szCs w:val="18"/>
              </w:rPr>
              <w:t>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之</w:t>
            </w:r>
            <w:r>
              <w:rPr>
                <w:rFonts w:ascii="宋体" w:hAnsi="宋体" w:cs="宋体" w:eastAsia="宋体" w:hint="default"/>
                <w:spacing w:val="-5"/>
                <w:w w:val="101"/>
                <w:sz w:val="18"/>
                <w:szCs w:val="18"/>
              </w:rPr>
              <w:t>间</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经营</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山南置</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8"/>
                <w:sz w:val="18"/>
                <w:szCs w:val="18"/>
              </w:rPr>
              <w:t>性资金往来已全部清理完毕，不存在纠纷。</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、本承诺出具日后</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立方投</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本企业及本企业对外投资、实际控制的企业不会利用本企业的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资管理</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股东身份或职务便利以借款、代偿债务、代垫款项或者其他方</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4"/>
                <w:sz w:val="18"/>
                <w:szCs w:val="18"/>
              </w:rPr>
              <w:t>式占用联创智融及其子公司之资金。</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、若未来联创智融因本次</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pacing w:val="-19"/>
                <w:sz w:val="18"/>
                <w:szCs w:val="18"/>
              </w:rPr>
              <w:t>司、苏州</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交易完成前的资金占用情形或本企业违反上述承诺而受到有关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市富士</w:t>
            </w: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主管部门处罚的，本企业将对联创智融遭受的全部损失予以赔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莱技术</w:t>
            </w: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偿。</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76886pt;margin-top:453.97998pt;width:48.1pt;height:314.3pt;mso-position-horizontal-relative:page;mso-position-vertical-relative:page;z-index:-1200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453.97998pt;width:42pt;height:314.3pt;mso-position-horizontal-relative:page;mso-position-vertical-relative:page;z-index:-1200736" coordorigin="8317,9080" coordsize="840,6286">
            <v:group style="position:absolute;left:8317;top:9080;width:840;height:6286" coordorigin="8317,9080" coordsize="840,6286">
              <v:shape style="position:absolute;left:8317;top:9080;width:840;height:6286" coordorigin="8317,9080" coordsize="840,6286" path="m8317,15365l9157,15365,9157,9080,8317,9080,8317,15365xe" filled="true" fillcolor="#ffffff" stroked="false">
                <v:path arrowok="t"/>
                <v:fill type="solid"/>
              </v:shape>
            </v:group>
            <v:group style="position:absolute;left:8341;top:11869;width:792;height:351" coordorigin="8341,11869" coordsize="792,351">
              <v:shape style="position:absolute;left:8341;top:11869;width:792;height:351" coordorigin="8341,11869" coordsize="792,351" path="m8341,12220l9133,12220,9133,11869,8341,11869,8341,12220xe" filled="true" fillcolor="#ffffff" stroked="false">
                <v:path arrowok="t"/>
                <v:fill type="solid"/>
              </v:shape>
            </v:group>
            <v:group style="position:absolute;left:8341;top:12220;width:792;height:356" coordorigin="8341,12220" coordsize="792,356">
              <v:shape style="position:absolute;left:8341;top:12220;width:792;height:356" coordorigin="8341,12220" coordsize="792,356" path="m8341,12575l9133,12575,9133,12220,8341,12220,8341,1257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1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99"/>
              <w:jc w:val="center"/>
              <w:rPr>
                <w:rFonts w:ascii="宋体" w:hAnsi="宋体" w:cs="宋体" w:eastAsia="宋体" w:hint="default"/>
                <w:sz w:val="18"/>
                <w:szCs w:val="18"/>
              </w:rPr>
            </w:pPr>
            <w:r>
              <w:rPr>
                <w:rFonts w:ascii="宋体" w:hAnsi="宋体" w:cs="宋体" w:eastAsia="宋体" w:hint="default"/>
                <w:sz w:val="18"/>
                <w:szCs w:val="18"/>
              </w:rPr>
              <w:t>服务发</w:t>
            </w:r>
          </w:p>
        </w:tc>
        <w:tc>
          <w:tcPr>
            <w:tcW w:w="850" w:type="dxa"/>
            <w:vMerge w:val="restart"/>
            <w:tcBorders>
              <w:top w:val="single" w:sz="4" w:space="0" w:color="000000"/>
              <w:left w:val="single" w:sz="4" w:space="0" w:color="000000"/>
              <w:right w:val="single" w:sz="4" w:space="0" w:color="000000"/>
            </w:tcBorders>
          </w:tcPr>
          <w:p>
            <w:pPr/>
          </w:p>
        </w:tc>
        <w:tc>
          <w:tcPr>
            <w:tcW w:w="496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center"/>
              <w:rPr>
                <w:rFonts w:ascii="宋体" w:hAnsi="宋体" w:cs="宋体" w:eastAsia="宋体" w:hint="default"/>
                <w:sz w:val="18"/>
                <w:szCs w:val="18"/>
              </w:rPr>
            </w:pPr>
            <w:r>
              <w:rPr>
                <w:rFonts w:ascii="宋体" w:hAnsi="宋体" w:cs="宋体" w:eastAsia="宋体" w:hint="default"/>
                <w:sz w:val="18"/>
                <w:szCs w:val="18"/>
              </w:rPr>
              <w:t>展中心</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5"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center"/>
              <w:rPr>
                <w:rFonts w:ascii="宋体" w:hAnsi="宋体" w:cs="宋体" w:eastAsia="宋体" w:hint="default"/>
                <w:sz w:val="18"/>
                <w:szCs w:val="18"/>
              </w:rPr>
            </w:pPr>
            <w:r>
              <w:rPr>
                <w:rFonts w:ascii="宋体" w:hAnsi="宋体" w:cs="宋体" w:eastAsia="宋体" w:hint="default"/>
                <w:sz w:val="18"/>
                <w:szCs w:val="18"/>
              </w:rPr>
              <w:t>（有限</w:t>
            </w:r>
          </w:p>
        </w:tc>
        <w:tc>
          <w:tcPr>
            <w:tcW w:w="850" w:type="dxa"/>
            <w:vMerge/>
            <w:tcBorders>
              <w:left w:val="single" w:sz="4" w:space="0" w:color="000000"/>
              <w:right w:val="single" w:sz="4" w:space="0" w:color="000000"/>
            </w:tcBorders>
          </w:tcPr>
          <w:p>
            <w:pPr/>
          </w:p>
        </w:tc>
        <w:tc>
          <w:tcPr>
            <w:tcW w:w="496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99"/>
              <w:jc w:val="center"/>
              <w:rPr>
                <w:rFonts w:ascii="宋体" w:hAnsi="宋体" w:cs="宋体" w:eastAsia="宋体" w:hint="default"/>
                <w:sz w:val="18"/>
                <w:szCs w:val="18"/>
              </w:rPr>
            </w:pPr>
            <w:r>
              <w:rPr>
                <w:rFonts w:ascii="宋体" w:hAnsi="宋体" w:cs="宋体" w:eastAsia="宋体" w:hint="default"/>
                <w:sz w:val="18"/>
                <w:szCs w:val="18"/>
              </w:rPr>
              <w:t>合伙）</w:t>
            </w:r>
          </w:p>
        </w:tc>
        <w:tc>
          <w:tcPr>
            <w:tcW w:w="850" w:type="dxa"/>
            <w:vMerge/>
            <w:tcBorders>
              <w:left w:val="single" w:sz="4" w:space="0" w:color="000000"/>
              <w:bottom w:val="single" w:sz="4" w:space="0" w:color="000000"/>
              <w:right w:val="single" w:sz="4" w:space="0" w:color="000000"/>
            </w:tcBorders>
          </w:tcPr>
          <w:p>
            <w:pPr/>
          </w:p>
        </w:tc>
        <w:tc>
          <w:tcPr>
            <w:tcW w:w="496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364"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日期间，本人及本人</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直接或间接控制的企业、或直接或间接参与经营管理的企业不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会在中华人民共和国（包括香港、澳门及台湾地区）从事与润</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和软件及其下属公司（包括但不限于联创智融）相同或相似的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、若本人及本人直接或间接控制的企业、或直接或间接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参与经营管理的企业违反上述承诺，本人及其相关企业将采取</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截至本</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包括但不限于停止经营产生竞争的业务、将产生竞争的业务纳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入润和软件或者转让给无关联关系第三方等合法方式，以避免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9"/>
                <w:sz w:val="18"/>
                <w:szCs w:val="18"/>
              </w:rPr>
              <w:t>末，承诺</w:t>
            </w:r>
          </w:p>
        </w:tc>
      </w:tr>
      <w:tr>
        <w:trPr>
          <w:trHeight w:val="1249"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周帮建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24"/>
              <w:jc w:val="both"/>
              <w:rPr>
                <w:rFonts w:ascii="宋体" w:hAnsi="宋体" w:cs="宋体" w:eastAsia="宋体" w:hint="default"/>
                <w:sz w:val="18"/>
                <w:szCs w:val="18"/>
              </w:rPr>
            </w:pPr>
            <w:r>
              <w:rPr>
                <w:rFonts w:ascii="宋体" w:hAnsi="宋体" w:cs="宋体" w:eastAsia="宋体" w:hint="default"/>
                <w:spacing w:val="-4"/>
                <w:sz w:val="18"/>
                <w:szCs w:val="18"/>
              </w:rPr>
              <w:t>同业竞争。</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、本人关系密切的家庭成员（包括配偶、父母及配</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偶的父母、兄弟姐妹及其配偶、年满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周岁的子女及其配偶、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配偶的兄弟姐妹和子女配偶的父母等）也遵守以上承诺。</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、上</w:t>
            </w:r>
            <w:r>
              <w:rPr>
                <w:rFonts w:ascii="宋体" w:hAnsi="宋体" w:cs="宋体" w:eastAsia="宋体" w:hint="default"/>
                <w:spacing w:val="-8"/>
                <w:sz w:val="18"/>
                <w:szCs w:val="18"/>
              </w:rPr>
              <w:t> </w:t>
            </w:r>
            <w:r>
              <w:rPr>
                <w:rFonts w:ascii="宋体" w:hAnsi="宋体" w:cs="宋体" w:eastAsia="宋体" w:hint="default"/>
                <w:spacing w:val="-3"/>
                <w:sz w:val="18"/>
                <w:szCs w:val="18"/>
              </w:rPr>
              <w:t>述关于避免同业竞争承诺的约定，是基于本次交易而作出的，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7"/>
              <w:jc w:val="left"/>
              <w:rPr>
                <w:rFonts w:ascii="宋体" w:hAnsi="宋体" w:cs="宋体" w:eastAsia="宋体" w:hint="default"/>
                <w:sz w:val="18"/>
                <w:szCs w:val="18"/>
              </w:rPr>
            </w:pP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而不是基于本人和联创智融的劳动合同关系而作出的。本人不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上述承</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会以本款约定与《中华人民共和国劳动合同法》规定不一致、</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5"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相冲突、未收取离职补偿金等为由，而主张本承诺无效、可撤</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5"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4"/>
                <w:sz w:val="18"/>
                <w:szCs w:val="18"/>
              </w:rPr>
              <w:t>销或者变更。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、如违反上述承诺，本人将在违反竞业禁止承诺</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当年向润和软件或联创智融支付违约金，违约金数额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本次交易</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中宁波宏创股权投资合伙企业（有限合伙）获得的对价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竞业禁</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止义务未履行年数</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，其中竞业禁止义务未履行年数指违反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竞业禁止义务当年至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一、关于减少和规范关联交易的承诺：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、本次交易完成后，本</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人及本人对外投资的企业（包括但不限于直接持股、间接持股</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或</w:t>
            </w:r>
            <w:r>
              <w:rPr>
                <w:rFonts w:ascii="宋体" w:hAnsi="宋体" w:cs="宋体" w:eastAsia="宋体" w:hint="default"/>
                <w:spacing w:val="-5"/>
                <w:w w:val="101"/>
                <w:sz w:val="18"/>
                <w:szCs w:val="18"/>
              </w:rPr>
              <w:t>委</w:t>
            </w:r>
            <w:r>
              <w:rPr>
                <w:rFonts w:ascii="宋体" w:hAnsi="宋体" w:cs="宋体" w:eastAsia="宋体" w:hint="default"/>
                <w:w w:val="101"/>
                <w:sz w:val="18"/>
                <w:szCs w:val="18"/>
              </w:rPr>
              <w:t>托</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控</w:t>
            </w:r>
            <w:r>
              <w:rPr>
                <w:rFonts w:ascii="宋体" w:hAnsi="宋体" w:cs="宋体" w:eastAsia="宋体" w:hint="default"/>
                <w:w w:val="101"/>
                <w:sz w:val="18"/>
                <w:szCs w:val="18"/>
              </w:rPr>
              <w:t>制</w:t>
            </w:r>
            <w:r>
              <w:rPr>
                <w:rFonts w:ascii="宋体" w:hAnsi="宋体" w:cs="宋体" w:eastAsia="宋体" w:hint="default"/>
                <w:spacing w:val="-5"/>
                <w:w w:val="101"/>
                <w:sz w:val="18"/>
                <w:szCs w:val="18"/>
              </w:rPr>
              <w:t>或</w:t>
            </w:r>
            <w:r>
              <w:rPr>
                <w:rFonts w:ascii="宋体" w:hAnsi="宋体" w:cs="宋体" w:eastAsia="宋体" w:hint="default"/>
                <w:w w:val="101"/>
                <w:sz w:val="18"/>
                <w:szCs w:val="18"/>
              </w:rPr>
              <w:t>担</w:t>
            </w:r>
            <w:r>
              <w:rPr>
                <w:rFonts w:ascii="宋体" w:hAnsi="宋体" w:cs="宋体" w:eastAsia="宋体" w:hint="default"/>
                <w:spacing w:val="-5"/>
                <w:w w:val="101"/>
                <w:sz w:val="18"/>
                <w:szCs w:val="18"/>
              </w:rPr>
              <w:t>任</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高</w:t>
            </w:r>
            <w:r>
              <w:rPr>
                <w:rFonts w:ascii="宋体" w:hAnsi="宋体" w:cs="宋体" w:eastAsia="宋体" w:hint="default"/>
                <w:w w:val="101"/>
                <w:sz w:val="18"/>
                <w:szCs w:val="18"/>
              </w:rPr>
              <w:t>级</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人</w:t>
            </w:r>
            <w:r>
              <w:rPr>
                <w:rFonts w:ascii="宋体" w:hAnsi="宋体" w:cs="宋体" w:eastAsia="宋体" w:hint="default"/>
                <w:w w:val="101"/>
                <w:sz w:val="18"/>
                <w:szCs w:val="18"/>
              </w:rPr>
              <w:t>员</w:t>
            </w:r>
            <w:r>
              <w:rPr>
                <w:rFonts w:ascii="宋体" w:hAnsi="宋体" w:cs="宋体" w:eastAsia="宋体" w:hint="default"/>
                <w:spacing w:val="-5"/>
                <w:w w:val="101"/>
                <w:sz w:val="18"/>
                <w:szCs w:val="18"/>
              </w:rPr>
              <w:t>的</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将尽</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可能减少与润和软件及其下属公司（包括但不限于联创智融）</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的关联交易，不会利用本人作为润和软件董事之地位或宁波宏</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创作为润和软件股东之地位谋求与润和软件及其下属公司（包</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3"/>
                <w:sz w:val="18"/>
                <w:szCs w:val="18"/>
              </w:rPr>
              <w:t>括但不限于联创智融）在业务合作等方面给予优于市场第三方</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关于减少</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4"/>
                <w:sz w:val="18"/>
                <w:szCs w:val="18"/>
              </w:rPr>
              <w:t>的权利或达成交易的优先权利。</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、若发生必要且不可避免的关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pacing w:val="-19"/>
                <w:sz w:val="18"/>
                <w:szCs w:val="18"/>
              </w:rPr>
              <w:t>末，承诺</w:t>
            </w: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和规范关</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pacing w:val="-5"/>
                <w:sz w:val="18"/>
                <w:szCs w:val="18"/>
              </w:rPr>
              <w:t>联交易，本人及本人对外投资的企业（包括但不限于直接持股</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人严格</w:t>
            </w:r>
          </w:p>
        </w:tc>
      </w:tr>
      <w:tr>
        <w:trPr>
          <w:trHeight w:val="62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周帮建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规范资金</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16" w:lineRule="auto" w:before="23"/>
              <w:ind w:left="23" w:right="18"/>
              <w:jc w:val="left"/>
              <w:rPr>
                <w:rFonts w:ascii="宋体" w:hAnsi="宋体" w:cs="宋体" w:eastAsia="宋体" w:hint="default"/>
                <w:sz w:val="18"/>
                <w:szCs w:val="18"/>
              </w:rPr>
            </w:pPr>
            <w:r>
              <w:rPr>
                <w:rFonts w:ascii="宋体" w:hAnsi="宋体" w:cs="宋体" w:eastAsia="宋体" w:hint="default"/>
                <w:spacing w:val="-8"/>
                <w:w w:val="101"/>
                <w:sz w:val="18"/>
                <w:szCs w:val="18"/>
              </w:rPr>
              <w:t>间接持股或委托持股）、实际控制或担任董事、高级管理人员的</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宋体" w:hAnsi="宋体" w:cs="宋体" w:eastAsia="宋体" w:hint="default"/>
                <w:spacing w:val="-3"/>
                <w:sz w:val="18"/>
                <w:szCs w:val="18"/>
              </w:rPr>
              <w:t>企业将与润和软件及其下属公司（包括但不限于联创智融）按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占用行为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5"/>
                <w:sz w:val="18"/>
                <w:szCs w:val="18"/>
              </w:rPr>
              <w:t>照公平、公允、等价有偿等原则依法签订协议，履行合法程序</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现违反</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3"/>
                <w:sz w:val="18"/>
                <w:szCs w:val="18"/>
              </w:rPr>
              <w:t>并将按照有关法律法规和《江苏润和软件股份有限公司章程》</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上述承</w:t>
            </w:r>
          </w:p>
        </w:tc>
      </w:tr>
      <w:tr>
        <w:trPr>
          <w:trHeight w:val="31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3"/>
                <w:sz w:val="18"/>
                <w:szCs w:val="18"/>
              </w:rPr>
              <w:t>的规定履行信息披露义务及相关内部决策程序和回避制度，关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2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联交易价格依照与无关联关系的独立第三方进行相同或相似交</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易时的价格确定，保证关联交易价格具有公允性，亦不利用该</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等交易从事任何损害润和软件及润和软件股东的合法权益的行</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、本人保证将依照《江苏润和软件股份有限公司章程》的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规定参加董事会、股东大会，平等地行使相应权利，承担相应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义务，不利用董事或股东地位谋取不正当利益，不利用关联交</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86011pt;margin-top:72.499985pt;width:48.1pt;height:204.8pt;mso-position-horizontal-relative:page;mso-position-vertical-relative:page;z-index:-1200712" type="#_x0000_t202" filled="false" stroked="false">
            <v:textbox inset="0,0,0,0">
              <w:txbxContent>
                <w:p>
                  <w:pPr>
                    <w:pStyle w:val="BodyText"/>
                    <w:spacing w:line="240" w:lineRule="auto" w:before="10"/>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1" w:right="0"/>
                    <w:jc w:val="left"/>
                  </w:pPr>
                  <w:r>
                    <w:rPr>
                      <w:w w:val="101"/>
                    </w:rPr>
                    <w:t>、</w:t>
                  </w:r>
                  <w:r>
                    <w:rPr/>
                  </w:r>
                </w:p>
              </w:txbxContent>
            </v:textbox>
            <w10:wrap type="none"/>
          </v:shape>
        </w:pict>
      </w:r>
      <w:r>
        <w:rPr/>
        <w:pict>
          <v:shape style="position:absolute;margin-left:409.776886pt;margin-top:277.755981pt;width:48.1pt;height:485.9pt;mso-position-horizontal-relative:page;mso-position-vertical-relative:page;z-index:-1200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72.499985pt;width:42pt;height:691.2pt;mso-position-horizontal-relative:page;mso-position-vertical-relative:page;z-index:-1200664" coordorigin="8317,1450" coordsize="840,13824">
            <v:group style="position:absolute;left:8317;top:1450;width:840;height:4096" coordorigin="8317,1450" coordsize="840,4096">
              <v:shape style="position:absolute;left:8317;top:1450;width:840;height:4096" coordorigin="8317,1450" coordsize="840,4096" path="m8317,5545l9157,5545,9157,1450,8317,1450,8317,5545xe" filled="true" fillcolor="#ffffff" stroked="false">
                <v:path arrowok="t"/>
                <v:fill type="solid"/>
              </v:shape>
            </v:group>
            <v:group style="position:absolute;left:8317;top:5555;width:840;height:9718" coordorigin="8317,5555" coordsize="840,9718">
              <v:shape style="position:absolute;left:8317;top:5555;width:840;height:9718" coordorigin="8317,5555" coordsize="840,9718" path="m8317,15273l9157,15273,9157,5555,8317,5555,8317,15273xe" filled="true" fillcolor="#ffffff" stroked="false">
                <v:path arrowok="t"/>
                <v:fill type="solid"/>
              </v:shape>
            </v:group>
            <v:group style="position:absolute;left:8341;top:10064;width:792;height:351" coordorigin="8341,10064" coordsize="792,351">
              <v:shape style="position:absolute;left:8341;top:10064;width:792;height:351" coordorigin="8341,10064" coordsize="792,351" path="m8341,10414l9133,10414,9133,10064,8341,10064,8341,10414xe" filled="true" fillcolor="#ffffff" stroked="false">
                <v:path arrowok="t"/>
                <v:fill type="solid"/>
              </v:shape>
            </v:group>
            <v:group style="position:absolute;left:8341;top:10414;width:792;height:351" coordorigin="8341,10414" coordsize="792,351">
              <v:shape style="position:absolute;left:8341;top:10414;width:792;height:351" coordorigin="8341,10414" coordsize="792,351" path="m8341,10765l9133,10765,9133,10414,8341,10414,8341,1076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1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易非法转移润和软件及其下属子公司（包括但不限于联创智融</w:t>
            </w:r>
          </w:p>
        </w:tc>
        <w:tc>
          <w:tcPr>
            <w:tcW w:w="850" w:type="dxa"/>
            <w:vMerge w:val="restart"/>
            <w:tcBorders>
              <w:top w:val="single" w:sz="4" w:space="0" w:color="000000"/>
              <w:left w:val="single" w:sz="4" w:space="0" w:color="000000"/>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5"/>
                <w:sz w:val="18"/>
                <w:szCs w:val="18"/>
              </w:rPr>
              <w:t>的资金、利润，保证不损害润和软件及股东的合法权益。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、若</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违反上述声明和保证，本人将对前述行为给润和软件造成的损</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失向润和软件进行赔偿。二、关于规范资金占用行为的承诺：</w:t>
            </w:r>
            <w:r>
              <w:rPr>
                <w:rFonts w:ascii="Times New Roman" w:hAnsi="Times New Roman" w:cs="Times New Roman" w:eastAsia="Times New Roman" w:hint="default"/>
                <w:spacing w:val="-8"/>
                <w:sz w:val="18"/>
                <w:szCs w:val="18"/>
              </w:rPr>
              <w:t>1</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截至本承诺出具之日，本人及本人对外投资（包括直接持股、</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5"/>
                <w:w w:val="101"/>
                <w:sz w:val="18"/>
                <w:szCs w:val="18"/>
              </w:rPr>
              <w:t>接</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或</w:t>
            </w:r>
            <w:r>
              <w:rPr>
                <w:rFonts w:ascii="宋体" w:hAnsi="宋体" w:cs="宋体" w:eastAsia="宋体" w:hint="default"/>
                <w:spacing w:val="-5"/>
                <w:w w:val="101"/>
                <w:sz w:val="18"/>
                <w:szCs w:val="18"/>
              </w:rPr>
              <w:t>委</w:t>
            </w:r>
            <w:r>
              <w:rPr>
                <w:rFonts w:ascii="宋体" w:hAnsi="宋体" w:cs="宋体" w:eastAsia="宋体" w:hint="default"/>
                <w:w w:val="101"/>
                <w:sz w:val="18"/>
                <w:szCs w:val="18"/>
              </w:rPr>
              <w:t>托</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48"/>
                <w:w w:val="101"/>
                <w:sz w:val="18"/>
                <w:szCs w:val="18"/>
              </w:rPr>
              <w:t>、</w:t>
            </w:r>
            <w:r>
              <w:rPr>
                <w:rFonts w:ascii="宋体" w:hAnsi="宋体" w:cs="宋体" w:eastAsia="宋体" w:hint="default"/>
                <w:w w:val="101"/>
                <w:sz w:val="18"/>
                <w:szCs w:val="18"/>
              </w:rPr>
              <w:t>实</w:t>
            </w:r>
            <w:r>
              <w:rPr>
                <w:rFonts w:ascii="宋体" w:hAnsi="宋体" w:cs="宋体" w:eastAsia="宋体" w:hint="default"/>
                <w:spacing w:val="-5"/>
                <w:w w:val="101"/>
                <w:sz w:val="18"/>
                <w:szCs w:val="18"/>
              </w:rPr>
              <w:t>际</w:t>
            </w:r>
            <w:r>
              <w:rPr>
                <w:rFonts w:ascii="宋体" w:hAnsi="宋体" w:cs="宋体" w:eastAsia="宋体" w:hint="default"/>
                <w:w w:val="101"/>
                <w:sz w:val="18"/>
                <w:szCs w:val="18"/>
              </w:rPr>
              <w:t>控</w:t>
            </w:r>
            <w:r>
              <w:rPr>
                <w:rFonts w:ascii="宋体" w:hAnsi="宋体" w:cs="宋体" w:eastAsia="宋体" w:hint="default"/>
                <w:spacing w:val="-5"/>
                <w:w w:val="101"/>
                <w:sz w:val="18"/>
                <w:szCs w:val="18"/>
              </w:rPr>
              <w:t>制的</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与</w:t>
            </w:r>
            <w:r>
              <w:rPr>
                <w:rFonts w:ascii="宋体" w:hAnsi="宋体" w:cs="宋体" w:eastAsia="宋体" w:hint="default"/>
                <w:spacing w:val="-5"/>
                <w:w w:val="101"/>
                <w:sz w:val="18"/>
                <w:szCs w:val="18"/>
              </w:rPr>
              <w:t>联</w:t>
            </w:r>
            <w:r>
              <w:rPr>
                <w:rFonts w:ascii="宋体" w:hAnsi="宋体" w:cs="宋体" w:eastAsia="宋体" w:hint="default"/>
                <w:w w:val="101"/>
                <w:sz w:val="18"/>
                <w:szCs w:val="18"/>
              </w:rPr>
              <w:t>创</w:t>
            </w:r>
            <w:r>
              <w:rPr>
                <w:rFonts w:ascii="宋体" w:hAnsi="宋体" w:cs="宋体" w:eastAsia="宋体" w:hint="default"/>
                <w:spacing w:val="-5"/>
                <w:w w:val="101"/>
                <w:sz w:val="18"/>
                <w:szCs w:val="18"/>
              </w:rPr>
              <w:t>智</w:t>
            </w:r>
            <w:r>
              <w:rPr>
                <w:rFonts w:ascii="宋体" w:hAnsi="宋体" w:cs="宋体" w:eastAsia="宋体" w:hint="default"/>
                <w:w w:val="101"/>
                <w:sz w:val="18"/>
                <w:szCs w:val="18"/>
              </w:rPr>
              <w:t>融</w:t>
            </w:r>
            <w:r>
              <w:rPr>
                <w:rFonts w:ascii="宋体" w:hAnsi="宋体" w:cs="宋体" w:eastAsia="宋体" w:hint="default"/>
                <w:spacing w:val="-5"/>
                <w:w w:val="101"/>
                <w:sz w:val="18"/>
                <w:szCs w:val="18"/>
              </w:rPr>
              <w:t>及</w:t>
            </w:r>
            <w:r>
              <w:rPr>
                <w:rFonts w:ascii="宋体" w:hAnsi="宋体" w:cs="宋体" w:eastAsia="宋体" w:hint="default"/>
                <w:w w:val="101"/>
                <w:sz w:val="18"/>
                <w:szCs w:val="18"/>
              </w:rPr>
              <w:t>其</w:t>
            </w:r>
            <w:r>
              <w:rPr>
                <w:rFonts w:ascii="宋体" w:hAnsi="宋体" w:cs="宋体" w:eastAsia="宋体" w:hint="default"/>
                <w:spacing w:val="-5"/>
                <w:w w:val="101"/>
                <w:sz w:val="18"/>
                <w:szCs w:val="18"/>
              </w:rPr>
              <w:t>子</w:t>
            </w:r>
            <w:r>
              <w:rPr>
                <w:rFonts w:ascii="宋体" w:hAnsi="宋体" w:cs="宋体" w:eastAsia="宋体" w:hint="default"/>
                <w:w w:val="101"/>
                <w:sz w:val="18"/>
                <w:szCs w:val="18"/>
              </w:rPr>
              <w:t>公司</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5"/>
                <w:sz w:val="18"/>
                <w:szCs w:val="18"/>
              </w:rPr>
              <w:t>之间的非经营性资金往来已全部清理完毕，不存在纠纷。</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承诺出具日后，本人及本人对外投资、实际控制的企业不会利</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用本人的股东身份或职务便利以借款、代偿债务、代垫款项或</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者其他方式占用联创智融及其子公司之资金。</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、若未来联创智</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融因本次交易完成前的资金占用情形或本人违反上述承诺而受</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4"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到有关主管部门处罚的，本人将对联创智融遭受的全部损失予</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4"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以赔偿。</w:t>
            </w:r>
          </w:p>
        </w:tc>
        <w:tc>
          <w:tcPr>
            <w:tcW w:w="850"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360"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一、保证润和软件及其下属公司、联创智融及其下属公司的人</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员独立：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．保证本次交易完成后润和软件及其下属公司、联创</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智融及其下属公司的劳动、人事及薪酬管理与本企业及本企业</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控制的其他公司或者其他经济组织等关联方之间完全独立。</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．保证本次交易完成后润和软件及其下属公司、联创智融及其</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下属公司的高级管理人员均专职在润和软件及其下属公司、联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创智融及其下属公司任职并领取薪酬，不在本企业及本企业控</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制的其他公司、企业或者其他经济组织等关联方担任董事以外</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的职务。</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．保证本次交易完成后不干预润和软件及其下属公司</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联创智融及其下属公司股东（大）会、董事会行使职权进行人</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433"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8" w:right="128"/>
              <w:jc w:val="both"/>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321" w:lineRule="auto" w:before="19"/>
              <w:ind w:left="28" w:right="128"/>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3" w:right="17"/>
              <w:jc w:val="left"/>
              <w:rPr>
                <w:rFonts w:ascii="宋体" w:hAnsi="宋体" w:cs="宋体" w:eastAsia="宋体" w:hint="default"/>
                <w:sz w:val="18"/>
                <w:szCs w:val="18"/>
              </w:rPr>
            </w:pPr>
            <w:r>
              <w:rPr>
                <w:rFonts w:ascii="宋体" w:hAnsi="宋体" w:cs="宋体" w:eastAsia="宋体" w:hint="default"/>
                <w:spacing w:val="-3"/>
                <w:sz w:val="18"/>
                <w:szCs w:val="18"/>
              </w:rPr>
              <w:t>事任免。二、保证润和软件及其下属公司、联创智融及其下属</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公司的机构独立：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．保证本次交易完成后润和软件及其下属公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司、联创智融及其下属公司构建健全的公司法人治理结构，拥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有独立、完整的组织机构。</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．保证本次交易完成后润和软件及</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5"/>
                <w:sz w:val="18"/>
                <w:szCs w:val="18"/>
              </w:rPr>
              <w:t>其下属公司、联创智融及其下属公司的股东（大）会、董事会</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监事会等依照法律、法规及润和软件及其下属公司、联创智融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及其下属公司公司章程的规定独立行使职权。三、保证润和软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件及其下属公司、联创智融及其下属公司的资产独立、完整：</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．保证本次交易完成后润和软件及其下属公司、联创智融及其</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下属公司拥有与生产经营有关的独立、完整的资产。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次交易完成后润和软件及其下属公司、联创智融及其下属公司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6" w:lineRule="auto" w:before="150"/>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履行承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的经营场所独立于本企业及本企业控制的其他公司、企业或者</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其他经济组织等关联方。</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．除正常经营性往来外，保证本次交</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易完成后润和软件及其下属公司、联创智融及其下属公司不存</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在资金、资产被本企业及本企业控制的其他公司、企业或者其</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他经济组织等关联方占用的情形。四、保证润和软件及其下属</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公司、联创智融及其下属公司的业务独立：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成后润和软件及其下属公司、联创智融及其下属公司拥有独立</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开展经营活动的相关资质，具有面向市场的独立、自主、持续</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的经营能力。</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．保证本次交易完成后本企业及本企业控制的其</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他公司、企业或者其他经济组织等关联方避免从事与润和软件</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86011pt;margin-top:72.499985pt;width:48.1pt;height:329.65pt;mso-position-horizontal-relative:page;mso-position-vertical-relative:page;z-index:-1200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w w:val="101"/>
                    </w:rPr>
                    <w:t>；</w:t>
                  </w:r>
                  <w:r>
                    <w:rPr/>
                  </w:r>
                </w:p>
              </w:txbxContent>
            </v:textbox>
            <w10:wrap type="none"/>
          </v:shape>
        </w:pict>
      </w:r>
      <w:r>
        <w:rPr/>
        <w:pict>
          <v:shape style="position:absolute;margin-left:409.776886pt;margin-top:402.595978pt;width:48.1pt;height:363pt;mso-position-horizontal-relative:page;mso-position-vertical-relative:page;z-index:-1200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72.499985pt;width:42pt;height:693.1pt;mso-position-horizontal-relative:page;mso-position-vertical-relative:page;z-index:-1200592" coordorigin="8317,1450" coordsize="840,13862">
            <v:group style="position:absolute;left:8317;top:1450;width:840;height:6593" coordorigin="8317,1450" coordsize="840,6593">
              <v:shape style="position:absolute;left:8317;top:1450;width:840;height:6593" coordorigin="8317,1450" coordsize="840,6593" path="m8317,8042l9157,8042,9157,1450,8317,1450,8317,8042xe" filled="true" fillcolor="#ffffff" stroked="false">
                <v:path arrowok="t"/>
                <v:fill type="solid"/>
              </v:shape>
            </v:group>
            <v:group style="position:absolute;left:8317;top:8052;width:840;height:7260" coordorigin="8317,8052" coordsize="840,7260">
              <v:shape style="position:absolute;left:8317;top:8052;width:840;height:7260" coordorigin="8317,8052" coordsize="840,7260" path="m8317,15312l9157,15312,9157,8052,8317,8052,8317,15312xe" filled="true" fillcolor="#ffffff" stroked="false">
                <v:path arrowok="t"/>
                <v:fill type="solid"/>
              </v:shape>
            </v:group>
            <v:group style="position:absolute;left:8341;top:11331;width:792;height:351" coordorigin="8341,11331" coordsize="792,351">
              <v:shape style="position:absolute;left:8341;top:11331;width:792;height:351" coordorigin="8341,11331" coordsize="792,351" path="m8341,11682l9133,11682,9133,11331,8341,11331,8341,11682xe" filled="true" fillcolor="#ffffff" stroked="false">
                <v:path arrowok="t"/>
                <v:fill type="solid"/>
              </v:shape>
            </v:group>
            <v:group style="position:absolute;left:8341;top:11682;width:792;height:356" coordorigin="8341,11682" coordsize="792,356">
              <v:shape style="position:absolute;left:8341;top:11682;width:792;height:356" coordorigin="8341,11682" coordsize="792,356" path="m8341,12037l9133,12037,9133,11682,8341,11682,8341,12037xe" filled="true" fillcolor="#ffffff" stroked="false">
                <v:path arrowok="t"/>
                <v:fill type="solid"/>
              </v:shape>
            </v:group>
            <w10:wrap type="none"/>
          </v:group>
        </w:pict>
      </w:r>
      <w:r>
        <w:rPr/>
        <w:pict>
          <v:group style="position:absolute;margin-left:125.089996pt;margin-top:402.595978pt;width:42.05pt;height:363pt;mso-position-horizontal-relative:page;mso-position-vertical-relative:page;z-index:-1200568" coordorigin="2502,8052" coordsize="841,7260">
            <v:group style="position:absolute;left:2502;top:8052;width:841;height:7260" coordorigin="2502,8052" coordsize="841,7260">
              <v:shape style="position:absolute;left:2502;top:8052;width:841;height:7260" coordorigin="2502,8052" coordsize="841,7260" path="m2502,15312l3342,15312,3342,8052,2502,8052,2502,15312xe" filled="true" fillcolor="#ffffff" stroked="false">
                <v:path arrowok="t"/>
                <v:fill type="solid"/>
              </v:shape>
            </v:group>
            <v:group style="position:absolute;left:2526;top:10707;width:798;height:351" coordorigin="2526,10707" coordsize="798,351">
              <v:shape style="position:absolute;left:2526;top:10707;width:798;height:351" coordorigin="2526,10707" coordsize="798,351" path="m2526,11058l3323,11058,3323,10707,2526,10707,2526,11058xe" filled="true" fillcolor="#ffffff" stroked="false">
                <v:path arrowok="t"/>
                <v:fill type="solid"/>
              </v:shape>
            </v:group>
            <v:group style="position:absolute;left:2526;top:11058;width:798;height:312" coordorigin="2526,11058" coordsize="798,312">
              <v:shape style="position:absolute;left:2526;top:11058;width:798;height:312" coordorigin="2526,11058" coordsize="798,312" path="m2526,11370l3323,11370,3323,11058,2526,11058,2526,11370xe" filled="true" fillcolor="#ffffff" stroked="false">
                <v:path arrowok="t"/>
                <v:fill type="solid"/>
              </v:shape>
            </v:group>
            <v:group style="position:absolute;left:2526;top:11370;width:798;height:312" coordorigin="2526,11370" coordsize="798,312">
              <v:shape style="position:absolute;left:2526;top:11370;width:798;height:312" coordorigin="2526,11370" coordsize="798,312" path="m2526,11682l3323,11682,3323,11370,2526,11370,2526,11682xe" filled="true" fillcolor="#ffffff" stroked="false">
                <v:path arrowok="t"/>
                <v:fill type="solid"/>
              </v:shape>
            </v:group>
            <v:group style="position:absolute;left:2526;top:11682;width:798;height:312" coordorigin="2526,11682" coordsize="798,312">
              <v:shape style="position:absolute;left:2526;top:11682;width:798;height:312" coordorigin="2526,11682" coordsize="798,312" path="m2526,11994l3323,11994,3323,11682,2526,11682,2526,11994xe" filled="true" fillcolor="#ffffff" stroked="false">
                <v:path arrowok="t"/>
                <v:fill type="solid"/>
              </v:shape>
            </v:group>
            <v:group style="position:absolute;left:2526;top:11994;width:798;height:313" coordorigin="2526,11994" coordsize="798,313">
              <v:shape style="position:absolute;left:2526;top:11994;width:798;height:313" coordorigin="2526,11994" coordsize="798,313" path="m2526,12306l3323,12306,3323,11994,2526,11994,2526,12306xe" filled="true" fillcolor="#ffffff" stroked="false">
                <v:path arrowok="t"/>
                <v:fill type="solid"/>
              </v:shape>
            </v:group>
            <v:group style="position:absolute;left:2526;top:12306;width:798;height:356" coordorigin="2526,12306" coordsize="798,356">
              <v:shape style="position:absolute;left:2526;top:12306;width:798;height:356" coordorigin="2526,12306" coordsize="798,356" path="m2526,12661l3323,12661,3323,12306,2526,12306,2526,1266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1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及其下属公司、联创智融及其下属公司及其控制的其他公司、</w:t>
            </w:r>
          </w:p>
        </w:tc>
        <w:tc>
          <w:tcPr>
            <w:tcW w:w="850" w:type="dxa"/>
            <w:vMerge w:val="restart"/>
            <w:tcBorders>
              <w:top w:val="single" w:sz="4" w:space="0" w:color="000000"/>
              <w:left w:val="single" w:sz="4" w:space="0" w:color="000000"/>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企业或者其他经济组织具有竞争关系的业务。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．保证本次交易</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完成后本企业及本企业控制的其他公司、企业或者其他经济组</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织等关联方减少与润和软件及其下属公司、联创智融及其下属</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公司及其控制的其他公司、企业或者其他经济组织的关联交易</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对于确有必要且无法避免的关联交易，保证按市场原则和公允</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价格进行公平操作，并按相关法律、法规及规范性文件的规定</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履行相关审批程序及信息披露义务。五、保证润和软件及其下</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属公司、联创智融及其下属公司的财务独立：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．保证润和软件</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及其下属公司、联创智融及其下属公司本次交易完成后分别具</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备独立的财务部门以及独立的财务核算体系，具有规范、独立</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的财务会计制度。</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．保证润和软件及其下属公司、联创智融及</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其下属公司本次交易完成后独立在银行开户，不与本企业及本</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企业控制的其他公司、企业或者其他经济组织等关联方共用银</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行账户。</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．保证本次交易完成后润和软件及其下属公司、联创</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智融及其下属公司的财务人员不在本企业及本企业控制的其他</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公司、企业或者其他经济组织等关联方兼职。</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．保证本次交易</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完成后润和软件及其下属公司、联创智融及其下属公司能够独</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立做出财务决策，本企业不干预润和软件及其下属公司、联创</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19"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智融及其下属公司的资金使用。</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．保证本次交易完成后润和软</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49"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件及其下属公司、联创智融及其下属公司依法独立纳税。</w:t>
            </w:r>
          </w:p>
        </w:tc>
        <w:tc>
          <w:tcPr>
            <w:tcW w:w="850"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364" w:hRule="exact"/>
        </w:trPr>
        <w:tc>
          <w:tcPr>
            <w:tcW w:w="1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避免同业竞争：</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、作为公司的实际控制人，周红卫和姚宁</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及周红卫和姚宁控股和实际控制下的其他企业目前未从事与公</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司相竞争的业务。周红卫和姚宁将对其他控股、实际控制的企</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5"/>
                <w:sz w:val="18"/>
                <w:szCs w:val="18"/>
              </w:rPr>
              <w:t>业按本协议进行监督，并行使必要的权力，促使其遵守本协议</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周红卫和姚宁保证周红卫和姚宁及其控股和实际控制的其他企</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业不会以任何形式直接或间接地从事与公司相同或相似的业</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433"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1" w:right="89"/>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8" w:right="128"/>
              <w:jc w:val="left"/>
              <w:rPr>
                <w:rFonts w:ascii="宋体" w:hAnsi="宋体" w:cs="宋体" w:eastAsia="宋体" w:hint="default"/>
                <w:sz w:val="18"/>
                <w:szCs w:val="18"/>
              </w:rPr>
            </w:pPr>
            <w:r>
              <w:rPr>
                <w:rFonts w:ascii="宋体" w:hAnsi="宋体" w:cs="宋体" w:eastAsia="宋体" w:hint="default"/>
                <w:sz w:val="18"/>
                <w:szCs w:val="18"/>
              </w:rPr>
              <w:t>周红卫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姚宁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2" w:lineRule="auto"/>
              <w:ind w:left="24" w:right="89"/>
              <w:jc w:val="left"/>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w:t>
            </w:r>
          </w:p>
          <w:p>
            <w:pPr>
              <w:pStyle w:val="TableParagraph"/>
              <w:spacing w:line="319" w:lineRule="auto" w:before="27"/>
              <w:ind w:left="24" w:right="89" w:hanging="164"/>
              <w:jc w:val="both"/>
              <w:rPr>
                <w:rFonts w:ascii="宋体" w:hAnsi="宋体" w:cs="宋体" w:eastAsia="宋体" w:hint="default"/>
                <w:sz w:val="18"/>
                <w:szCs w:val="18"/>
              </w:rPr>
            </w:pPr>
            <w:r>
              <w:rPr>
                <w:rFonts w:ascii="宋体" w:hAnsi="宋体" w:cs="宋体" w:eastAsia="宋体" w:hint="default"/>
                <w:spacing w:val="-5"/>
                <w:sz w:val="18"/>
                <w:szCs w:val="18"/>
              </w:rPr>
              <w:t>、争、避免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和减少关</w:t>
            </w:r>
            <w:r>
              <w:rPr>
                <w:rFonts w:ascii="宋体" w:hAnsi="宋体" w:cs="宋体" w:eastAsia="宋体" w:hint="default"/>
                <w:w w:val="101"/>
                <w:sz w:val="18"/>
                <w:szCs w:val="18"/>
              </w:rPr>
              <w:t> </w:t>
            </w:r>
            <w:r>
              <w:rPr>
                <w:rFonts w:ascii="宋体" w:hAnsi="宋体" w:cs="宋体" w:eastAsia="宋体" w:hint="default"/>
                <w:sz w:val="18"/>
                <w:szCs w:val="18"/>
              </w:rPr>
              <w:t>联交易的</w:t>
            </w:r>
            <w:r>
              <w:rPr>
                <w:rFonts w:ascii="宋体" w:hAnsi="宋体" w:cs="宋体" w:eastAsia="宋体" w:hint="default"/>
                <w:w w:val="101"/>
                <w:sz w:val="18"/>
                <w:szCs w:val="18"/>
              </w:rPr>
              <w:t> </w:t>
            </w:r>
            <w:r>
              <w:rPr>
                <w:rFonts w:ascii="宋体" w:hAnsi="宋体" w:cs="宋体" w:eastAsia="宋体" w:hint="default"/>
                <w:sz w:val="18"/>
                <w:szCs w:val="18"/>
              </w:rPr>
              <w:t>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7"/>
              <w:jc w:val="left"/>
              <w:rPr>
                <w:rFonts w:ascii="宋体" w:hAnsi="宋体" w:cs="宋体" w:eastAsia="宋体" w:hint="default"/>
                <w:sz w:val="18"/>
                <w:szCs w:val="18"/>
              </w:rPr>
            </w:pPr>
            <w:r>
              <w:rPr>
                <w:rFonts w:ascii="宋体" w:hAnsi="宋体" w:cs="宋体" w:eastAsia="宋体" w:hint="default"/>
                <w:spacing w:val="-4"/>
                <w:sz w:val="18"/>
                <w:szCs w:val="18"/>
              </w:rPr>
              <w:t>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、在公司审议是否与周红卫和姚宁存在同业竞争的董事会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或股东大会上，周红卫和姚宁将按规定进行回避，不参与表决</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如公司认定周红卫和姚宁或其控股、实际控制的其他企业正在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或将要从事的业务与公司存在同业竞争，则周红卫和姚宁将在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公司提出异议后自行或要求相关企业及时转让或终止上述业务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或以获得周红卫和姚宁及证券监管部门共同认可的其他方式对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上述业务进行处理；如公司进一步提出受让请求，则周红卫和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姚宁应无条件按有证券从业资格的中介机构审计或评估后的公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允价格将上述业务和资产优先转让给公司。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、周红卫和姚宁保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证严格遵守中国证监会、证券交易所有关规章及公司《公司章</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程》的规定，与其他股东一样平等的行使股东权利、履行股东</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义务，不利用大股东的地位谋取不当利益，不损害公司和其他</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的</w:t>
            </w:r>
            <w:r>
              <w:rPr>
                <w:rFonts w:ascii="宋体" w:hAnsi="宋体" w:cs="宋体" w:eastAsia="宋体" w:hint="default"/>
                <w:spacing w:val="-5"/>
                <w:w w:val="101"/>
                <w:sz w:val="18"/>
                <w:szCs w:val="18"/>
              </w:rPr>
              <w:t>合</w:t>
            </w:r>
            <w:r>
              <w:rPr>
                <w:rFonts w:ascii="宋体" w:hAnsi="宋体" w:cs="宋体" w:eastAsia="宋体" w:hint="default"/>
                <w:w w:val="101"/>
                <w:sz w:val="18"/>
                <w:szCs w:val="18"/>
              </w:rPr>
              <w:t>法</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二</w:t>
            </w:r>
            <w:r>
              <w:rPr>
                <w:rFonts w:ascii="宋体" w:hAnsi="宋体" w:cs="宋体" w:eastAsia="宋体" w:hint="default"/>
                <w:spacing w:val="-20"/>
                <w:w w:val="101"/>
                <w:sz w:val="18"/>
                <w:szCs w:val="18"/>
              </w:rPr>
              <w:t>）</w:t>
            </w:r>
            <w:r>
              <w:rPr>
                <w:rFonts w:ascii="宋体" w:hAnsi="宋体" w:cs="宋体" w:eastAsia="宋体" w:hint="default"/>
                <w:w w:val="101"/>
                <w:sz w:val="18"/>
                <w:szCs w:val="18"/>
              </w:rPr>
              <w:t>避</w:t>
            </w:r>
            <w:r>
              <w:rPr>
                <w:rFonts w:ascii="宋体" w:hAnsi="宋体" w:cs="宋体" w:eastAsia="宋体" w:hint="default"/>
                <w:spacing w:val="-5"/>
                <w:w w:val="101"/>
                <w:sz w:val="18"/>
                <w:szCs w:val="18"/>
              </w:rPr>
              <w:t>免</w:t>
            </w:r>
            <w:r>
              <w:rPr>
                <w:rFonts w:ascii="宋体" w:hAnsi="宋体" w:cs="宋体" w:eastAsia="宋体" w:hint="default"/>
                <w:w w:val="101"/>
                <w:sz w:val="18"/>
                <w:szCs w:val="18"/>
              </w:rPr>
              <w:t>和</w:t>
            </w:r>
            <w:r>
              <w:rPr>
                <w:rFonts w:ascii="宋体" w:hAnsi="宋体" w:cs="宋体" w:eastAsia="宋体" w:hint="default"/>
                <w:spacing w:val="-5"/>
                <w:w w:val="101"/>
                <w:sz w:val="18"/>
                <w:szCs w:val="18"/>
              </w:rPr>
              <w:t>减</w:t>
            </w:r>
            <w:r>
              <w:rPr>
                <w:rFonts w:ascii="宋体" w:hAnsi="宋体" w:cs="宋体" w:eastAsia="宋体" w:hint="default"/>
                <w:w w:val="101"/>
                <w:sz w:val="18"/>
                <w:szCs w:val="18"/>
              </w:rPr>
              <w:t>少</w:t>
            </w:r>
            <w:r>
              <w:rPr>
                <w:rFonts w:ascii="宋体" w:hAnsi="宋体" w:cs="宋体" w:eastAsia="宋体" w:hint="default"/>
                <w:spacing w:val="-5"/>
                <w:w w:val="101"/>
                <w:sz w:val="18"/>
                <w:szCs w:val="18"/>
              </w:rPr>
              <w:t>关</w:t>
            </w:r>
            <w:r>
              <w:rPr>
                <w:rFonts w:ascii="宋体" w:hAnsi="宋体" w:cs="宋体" w:eastAsia="宋体" w:hint="default"/>
                <w:w w:val="101"/>
                <w:sz w:val="18"/>
                <w:szCs w:val="18"/>
              </w:rPr>
              <w:t>联</w:t>
            </w:r>
            <w:r>
              <w:rPr>
                <w:rFonts w:ascii="宋体" w:hAnsi="宋体" w:cs="宋体" w:eastAsia="宋体" w:hint="default"/>
                <w:spacing w:val="-5"/>
                <w:w w:val="101"/>
                <w:sz w:val="18"/>
                <w:szCs w:val="18"/>
              </w:rPr>
              <w:t>交易</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控</w:t>
            </w:r>
            <w:r>
              <w:rPr>
                <w:rFonts w:ascii="宋体" w:hAnsi="宋体" w:cs="宋体" w:eastAsia="宋体" w:hint="default"/>
                <w:w w:val="101"/>
                <w:sz w:val="18"/>
                <w:szCs w:val="18"/>
              </w:rPr>
              <w:t>制人</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周</w:t>
            </w:r>
            <w:r>
              <w:rPr>
                <w:rFonts w:ascii="宋体" w:hAnsi="宋体" w:cs="宋体" w:eastAsia="宋体" w:hint="default"/>
                <w:spacing w:val="-5"/>
                <w:w w:val="101"/>
                <w:sz w:val="18"/>
                <w:szCs w:val="18"/>
              </w:rPr>
              <w:t>红</w:t>
            </w:r>
            <w:r>
              <w:rPr>
                <w:rFonts w:ascii="宋体" w:hAnsi="宋体" w:cs="宋体" w:eastAsia="宋体" w:hint="default"/>
                <w:w w:val="101"/>
                <w:sz w:val="18"/>
                <w:szCs w:val="18"/>
              </w:rPr>
              <w:t>卫</w:t>
            </w:r>
            <w:r>
              <w:rPr>
                <w:rFonts w:ascii="宋体" w:hAnsi="宋体" w:cs="宋体" w:eastAsia="宋体" w:hint="default"/>
                <w:spacing w:val="-5"/>
                <w:w w:val="101"/>
                <w:sz w:val="18"/>
                <w:szCs w:val="18"/>
              </w:rPr>
              <w:t>和</w:t>
            </w:r>
            <w:r>
              <w:rPr>
                <w:rFonts w:ascii="宋体" w:hAnsi="宋体" w:cs="宋体" w:eastAsia="宋体" w:hint="default"/>
                <w:w w:val="101"/>
                <w:sz w:val="18"/>
                <w:szCs w:val="18"/>
              </w:rPr>
              <w:t>姚</w:t>
            </w:r>
            <w:r>
              <w:rPr>
                <w:rFonts w:ascii="宋体" w:hAnsi="宋体" w:cs="宋体" w:eastAsia="宋体" w:hint="default"/>
                <w:spacing w:val="-5"/>
                <w:w w:val="101"/>
                <w:sz w:val="18"/>
                <w:szCs w:val="18"/>
              </w:rPr>
              <w:t>宁</w:t>
            </w:r>
            <w:r>
              <w:rPr>
                <w:rFonts w:ascii="宋体" w:hAnsi="宋体" w:cs="宋体" w:eastAsia="宋体" w:hint="default"/>
                <w:w w:val="101"/>
                <w:sz w:val="18"/>
                <w:szCs w:val="18"/>
              </w:rPr>
              <w:t>出</w:t>
            </w:r>
            <w:r>
              <w:rPr>
                <w:rFonts w:ascii="宋体" w:hAnsi="宋体" w:cs="宋体" w:eastAsia="宋体" w:hint="default"/>
                <w:spacing w:val="-5"/>
                <w:w w:val="101"/>
                <w:sz w:val="18"/>
                <w:szCs w:val="18"/>
              </w:rPr>
              <w:t>具</w:t>
            </w:r>
            <w:r>
              <w:rPr>
                <w:rFonts w:ascii="宋体" w:hAnsi="宋体" w:cs="宋体" w:eastAsia="宋体" w:hint="default"/>
                <w:spacing w:val="-2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避</w:t>
            </w:r>
            <w:r>
              <w:rPr>
                <w:rFonts w:ascii="宋体" w:hAnsi="宋体" w:cs="宋体" w:eastAsia="宋体" w:hint="default"/>
                <w:w w:val="101"/>
                <w:sz w:val="18"/>
                <w:szCs w:val="18"/>
              </w:rPr>
              <w:t>免</w:t>
            </w:r>
            <w:r>
              <w:rPr>
                <w:rFonts w:ascii="宋体" w:hAnsi="宋体" w:cs="宋体" w:eastAsia="宋体" w:hint="default"/>
                <w:spacing w:val="-5"/>
                <w:w w:val="101"/>
                <w:sz w:val="18"/>
                <w:szCs w:val="18"/>
              </w:rPr>
              <w:t>和</w:t>
            </w:r>
            <w:r>
              <w:rPr>
                <w:rFonts w:ascii="宋体" w:hAnsi="宋体" w:cs="宋体" w:eastAsia="宋体" w:hint="default"/>
                <w:w w:val="101"/>
                <w:sz w:val="18"/>
                <w:szCs w:val="18"/>
              </w:rPr>
              <w:t>减</w:t>
            </w:r>
            <w:r>
              <w:rPr>
                <w:rFonts w:ascii="宋体" w:hAnsi="宋体" w:cs="宋体" w:eastAsia="宋体" w:hint="default"/>
                <w:spacing w:val="-5"/>
                <w:w w:val="101"/>
                <w:sz w:val="18"/>
                <w:szCs w:val="18"/>
              </w:rPr>
              <w:t>少</w:t>
            </w:r>
            <w:r>
              <w:rPr>
                <w:rFonts w:ascii="宋体" w:hAnsi="宋体" w:cs="宋体" w:eastAsia="宋体" w:hint="default"/>
                <w:w w:val="101"/>
                <w:sz w:val="18"/>
                <w:szCs w:val="18"/>
              </w:rPr>
              <w:t>关</w:t>
            </w:r>
            <w:r>
              <w:rPr>
                <w:rFonts w:ascii="宋体" w:hAnsi="宋体" w:cs="宋体" w:eastAsia="宋体" w:hint="default"/>
                <w:spacing w:val="-5"/>
                <w:w w:val="101"/>
                <w:sz w:val="18"/>
                <w:szCs w:val="18"/>
              </w:rPr>
              <w:t>联</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的</w:t>
            </w:r>
            <w:r>
              <w:rPr>
                <w:rFonts w:ascii="宋体" w:hAnsi="宋体" w:cs="宋体" w:eastAsia="宋体" w:hint="default"/>
                <w:spacing w:val="-5"/>
                <w:w w:val="101"/>
                <w:sz w:val="18"/>
                <w:szCs w:val="18"/>
              </w:rPr>
              <w:t>承</w:t>
            </w:r>
            <w:r>
              <w:rPr>
                <w:rFonts w:ascii="宋体" w:hAnsi="宋体" w:cs="宋体" w:eastAsia="宋体" w:hint="default"/>
                <w:w w:val="101"/>
                <w:sz w:val="18"/>
                <w:szCs w:val="18"/>
              </w:rPr>
              <w:t>诺书</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w w:val="101"/>
                <w:sz w:val="18"/>
                <w:szCs w:val="18"/>
              </w:rPr>
              <w:t>承</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诺将尽可能避免和减少与公司之间的关联交易。若有关的关联</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25" w:type="dxa"/>
            <w:tcBorders>
              <w:top w:val="nil" w:sz="6" w:space="0" w:color="auto"/>
              <w:left w:val="single" w:sz="4" w:space="0" w:color="000000"/>
              <w:bottom w:val="nil" w:sz="6" w:space="0" w:color="auto"/>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交易为公司日常经营所必须或者无法避免，承诺方保证该等关</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联交易所列之交易条件公允，不损害公司及股东利益。</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6957"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8" w:right="128"/>
              <w:jc w:val="left"/>
              <w:rPr>
                <w:rFonts w:ascii="宋体" w:hAnsi="宋体" w:cs="宋体" w:eastAsia="宋体" w:hint="default"/>
                <w:sz w:val="18"/>
                <w:szCs w:val="18"/>
              </w:rPr>
            </w:pPr>
            <w:r>
              <w:rPr>
                <w:rFonts w:ascii="宋体" w:hAnsi="宋体" w:cs="宋体" w:eastAsia="宋体" w:hint="default"/>
                <w:sz w:val="18"/>
                <w:szCs w:val="18"/>
              </w:rPr>
              <w:t>润和投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4" w:right="89"/>
              <w:jc w:val="left"/>
              <w:rPr>
                <w:rFonts w:ascii="宋体" w:hAnsi="宋体" w:cs="宋体" w:eastAsia="宋体" w:hint="default"/>
                <w:sz w:val="18"/>
                <w:szCs w:val="18"/>
              </w:rPr>
            </w:pPr>
            <w:r>
              <w:rPr>
                <w:rFonts w:ascii="宋体" w:hAnsi="宋体" w:cs="宋体" w:eastAsia="宋体" w:hint="default"/>
                <w:sz w:val="18"/>
                <w:szCs w:val="18"/>
              </w:rPr>
              <w:t>关于避免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争、避免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（一）避免同业竞争：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、作为公司的控股股东，润和投资及控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股实</w:t>
            </w:r>
            <w:r>
              <w:rPr>
                <w:rFonts w:ascii="宋体" w:hAnsi="宋体" w:cs="宋体" w:eastAsia="宋体" w:hint="default"/>
                <w:spacing w:val="66"/>
                <w:sz w:val="18"/>
                <w:szCs w:val="18"/>
              </w:rPr>
              <w:t> </w:t>
            </w:r>
            <w:r>
              <w:rPr>
                <w:rFonts w:ascii="宋体" w:hAnsi="宋体" w:cs="宋体" w:eastAsia="宋体" w:hint="default"/>
                <w:spacing w:val="-5"/>
                <w:sz w:val="18"/>
                <w:szCs w:val="18"/>
              </w:rPr>
              <w:t>际控制下的其他企业目前未从事与公司相竞争的业务。润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和投资将对其他控股、实际控制的企业按本协议进行监督，并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行使必要的权力促使其遵守本协议。润和投资保证润和投资及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其控股和实际控制的其他企业不会以任何形式直接或间接地从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事与公司相同或相似的业务。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、在公司审议是否与润和投资存</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在同业竞争的董事会或股东大会上，润和投资将按规定进行回</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避，不参与表决。如公司认定润和投资或其控股、实际控制的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其他企业正在或将要从事的业务与公司存在同业竞争，则润和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投资将在公司提出异议后自行或要求相关企业及时转让或终止</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上述业务或以获得润和投资及证券监管部门共同认可的其他方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式对上述业务进行处理；如公司进一步提出受让请求，则润和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投资应无条件按有证券从业资格的中介机构审计或评估后的公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允价格将上述业务和资产优先转让给公司。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、润和投资保证严</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格遵守中国证监会、证券交易所有关规章及《公司章程》的规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定，与其他股东一样平等的行使股东权利、履行股东义务，不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利用大股东的地位谋取不当利益，不损害公司和其他股东的合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法权益。（二）避免和减少关联交易：润和投资出具了《关于避</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8"/>
                <w:w w:val="101"/>
                <w:sz w:val="18"/>
                <w:szCs w:val="18"/>
              </w:rPr>
              <w:t>免和减少关联交易的承诺书》，承诺将尽可能避免和减少与公司</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3"/>
                <w:sz w:val="18"/>
                <w:szCs w:val="18"/>
              </w:rPr>
              <w:t>之间的关联交易。若有关的关联交易为公司日常经营所必须或</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者无法避免，承诺方保证该等关联交易所列之交易条件公允，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不损害公司及股东利益。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207"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8" w:right="128"/>
              <w:jc w:val="left"/>
              <w:rPr>
                <w:rFonts w:ascii="宋体" w:hAnsi="宋体" w:cs="宋体" w:eastAsia="宋体" w:hint="default"/>
                <w:sz w:val="18"/>
                <w:szCs w:val="18"/>
              </w:rPr>
            </w:pPr>
            <w:r>
              <w:rPr>
                <w:rFonts w:ascii="宋体" w:hAnsi="宋体" w:cs="宋体" w:eastAsia="宋体" w:hint="default"/>
                <w:sz w:val="18"/>
                <w:szCs w:val="18"/>
              </w:rPr>
              <w:t>润和投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pacing w:val="-3"/>
                <w:sz w:val="18"/>
                <w:szCs w:val="18"/>
              </w:rPr>
              <w:t>若公司在执行社会保障法律法规及缴纳住房公积金方面，经有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关主管部门认定需为员工补缴保险金或住房公积金，或受到主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管部门处罚，或任何利益相关方以任何方式提出权利要求且该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等要求获有关主管部门支持，润和投资将无条件全额承担相关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补缴、处罚款项、利益相关方提出的赔偿或补偿，以及发行人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因此所支付的相关费用。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212"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8" w:right="12"/>
              <w:jc w:val="left"/>
              <w:rPr>
                <w:rFonts w:ascii="宋体" w:hAnsi="宋体" w:cs="宋体" w:eastAsia="宋体" w:hint="default"/>
                <w:sz w:val="18"/>
                <w:szCs w:val="18"/>
              </w:rPr>
            </w:pPr>
            <w:r>
              <w:rPr>
                <w:rFonts w:ascii="宋体" w:hAnsi="宋体" w:cs="宋体" w:eastAsia="宋体" w:hint="default"/>
                <w:sz w:val="18"/>
                <w:szCs w:val="18"/>
              </w:rPr>
              <w:t>润和投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资、周红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9"/>
                <w:sz w:val="18"/>
                <w:szCs w:val="18"/>
              </w:rPr>
              <w:t>卫、姚宁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66"/>
              <w:jc w:val="both"/>
              <w:rPr>
                <w:rFonts w:ascii="宋体" w:hAnsi="宋体" w:cs="宋体" w:eastAsia="宋体" w:hint="default"/>
                <w:sz w:val="18"/>
                <w:szCs w:val="18"/>
              </w:rPr>
            </w:pPr>
            <w:r>
              <w:rPr>
                <w:rFonts w:ascii="宋体" w:hAnsi="宋体" w:cs="宋体" w:eastAsia="宋体" w:hint="default"/>
                <w:spacing w:val="-3"/>
                <w:sz w:val="18"/>
                <w:szCs w:val="18"/>
              </w:rPr>
              <w:t>为保障公司填补回报措施能够得到切实履行，公司实际控制人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及控股股东承诺：不越权干预公司经营管理活动，不侵占公司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利益。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65"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润和软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5"/>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本次非公开发行募集资金拟投资项目不涉及向金融行业客户提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截至本</w:t>
            </w:r>
          </w:p>
        </w:tc>
      </w:tr>
    </w:tbl>
    <w:p>
      <w:pPr>
        <w:spacing w:after="0" w:line="240"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group style="position:absolute;margin-left:125.089996pt;margin-top:246.549988pt;width:42.05pt;height:238.15pt;mso-position-horizontal-relative:page;mso-position-vertical-relative:page;z-index:-1200544" coordorigin="2502,4931" coordsize="841,4763">
            <v:group style="position:absolute;left:2502;top:4931;width:841;height:4763" coordorigin="2502,4931" coordsize="841,4763">
              <v:shape style="position:absolute;left:2502;top:4931;width:841;height:4763" coordorigin="2502,4931" coordsize="841,4763" path="m2502,9694l3342,9694,3342,4931,2502,4931,2502,9694xe" filled="true" fillcolor="#ffffff" stroked="false">
                <v:path arrowok="t"/>
                <v:fill type="solid"/>
              </v:shape>
            </v:group>
            <v:group style="position:absolute;left:2526;top:6962;width:798;height:351" coordorigin="2526,6962" coordsize="798,351">
              <v:shape style="position:absolute;left:2526;top:6962;width:798;height:351" coordorigin="2526,6962" coordsize="798,351" path="m2526,7313l3323,7313,3323,6962,2526,6962,2526,7313xe" filled="true" fillcolor="#ffffff" stroked="false">
                <v:path arrowok="t"/>
                <v:fill type="solid"/>
              </v:shape>
            </v:group>
            <v:group style="position:absolute;left:2526;top:7313;width:798;height:356" coordorigin="2526,7313" coordsize="798,356">
              <v:shape style="position:absolute;left:2526;top:7313;width:798;height:356" coordorigin="2526,7313" coordsize="798,356" path="m2526,7668l3323,7668,3323,7313,2526,7313,2526,766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481"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件</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5"/>
              <w:jc w:val="center"/>
              <w:rPr>
                <w:rFonts w:ascii="宋体" w:hAnsi="宋体" w:cs="宋体" w:eastAsia="宋体" w:hint="default"/>
                <w:sz w:val="18"/>
                <w:szCs w:val="18"/>
              </w:rPr>
            </w:pPr>
            <w:r>
              <w:rPr>
                <w:rFonts w:ascii="宋体" w:hAnsi="宋体" w:cs="宋体" w:eastAsia="宋体" w:hint="default"/>
                <w:sz w:val="18"/>
                <w:szCs w:val="18"/>
              </w:rPr>
              <w:t>使用承诺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供硬件设施租赁服务或机房托管业务，公司同时承诺：（一）公</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司承诺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金融云服务平台建设项目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仅以软件产品销售或租赁的</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形式交付给金融机构使用，软件产品的使用权、运营权，以及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运营过程中产生的数据完全归属于使用机构，公司不参与金融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机构后续软件系统的运营，并将严格采取安全措施避免利用便</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利条件获取客户数据情形；公司将严格遵守有关法律法规和金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融行业监管规则，严格遵循只为持牌金融机构开展持牌金融业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务提供 </w:t>
            </w:r>
            <w:r>
              <w:rPr>
                <w:rFonts w:ascii="Times New Roman" w:hAnsi="Times New Roman" w:cs="Times New Roman" w:eastAsia="Times New Roman" w:hint="default"/>
                <w:spacing w:val="-4"/>
                <w:sz w:val="18"/>
                <w:szCs w:val="18"/>
              </w:rPr>
              <w:t>IT </w:t>
            </w:r>
            <w:r>
              <w:rPr>
                <w:rFonts w:ascii="宋体" w:hAnsi="宋体" w:cs="宋体" w:eastAsia="宋体" w:hint="default"/>
                <w:spacing w:val="-4"/>
                <w:sz w:val="18"/>
                <w:szCs w:val="18"/>
              </w:rPr>
              <w:t>服务的基本原则，并严格遵循润和软件只参与自身持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w w:val="101"/>
                <w:sz w:val="18"/>
                <w:szCs w:val="18"/>
              </w:rPr>
              <w:t>牌业务的基本原则。（二）自本次募集资金到账之日起</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5"/>
                <w:w w:val="101"/>
                <w:sz w:val="18"/>
                <w:szCs w:val="18"/>
              </w:rPr>
              <w:t>个月 </w:t>
            </w:r>
            <w:r>
              <w:rPr>
                <w:rFonts w:ascii="宋体" w:hAnsi="宋体" w:cs="宋体" w:eastAsia="宋体" w:hint="default"/>
                <w:spacing w:val="-3"/>
                <w:sz w:val="18"/>
                <w:szCs w:val="18"/>
              </w:rPr>
              <w:t>内，公司不向金融行业客户提供硬件设施租赁服务或机房托管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7"/>
                <w:w w:val="101"/>
                <w:sz w:val="18"/>
                <w:szCs w:val="18"/>
              </w:rPr>
              <w:t>业务。（三）上述承诺一经作出即不可变更或撤销。</w:t>
            </w:r>
            <w:r>
              <w:rPr>
                <w:rFonts w:ascii="宋体" w:hAnsi="宋体" w:cs="宋体" w:eastAsia="宋体" w:hint="default"/>
                <w:spacing w:val="-7"/>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4773"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2"/>
              <w:jc w:val="left"/>
              <w:rPr>
                <w:rFonts w:ascii="宋体" w:hAnsi="宋体" w:cs="宋体" w:eastAsia="宋体" w:hint="default"/>
                <w:sz w:val="18"/>
                <w:szCs w:val="18"/>
              </w:rPr>
            </w:pPr>
            <w:r>
              <w:rPr>
                <w:rFonts w:ascii="宋体" w:hAnsi="宋体" w:cs="宋体" w:eastAsia="宋体" w:hint="default"/>
                <w:sz w:val="18"/>
                <w:szCs w:val="18"/>
              </w:rPr>
              <w:t>泰达宏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商产融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财通基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司、申万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宏源证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6"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4"/>
              <w:ind w:left="23" w:right="17"/>
              <w:jc w:val="both"/>
              <w:rPr>
                <w:rFonts w:ascii="宋体" w:hAnsi="宋体" w:cs="宋体" w:eastAsia="宋体" w:hint="default"/>
                <w:sz w:val="18"/>
                <w:szCs w:val="18"/>
              </w:rPr>
            </w:pPr>
            <w:r>
              <w:rPr>
                <w:rFonts w:ascii="宋体" w:hAnsi="宋体" w:cs="宋体" w:eastAsia="宋体" w:hint="default"/>
                <w:spacing w:val="-3"/>
                <w:sz w:val="18"/>
                <w:szCs w:val="18"/>
              </w:rPr>
              <w:t>发行对象本次发行认购的股份，自上市之日起十二个月内不得</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转让，限售时间为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w w:val="101"/>
                <w:sz w:val="18"/>
                <w:szCs w:val="18"/>
              </w:rPr>
              <w:t>述股份锁定期届满后减持还需遵守《公司法》、《证券法》、《上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8"/>
                <w:w w:val="101"/>
                <w:sz w:val="18"/>
                <w:szCs w:val="18"/>
              </w:rPr>
              <w:t>市公司股东、董监高减持股份的若干规定》（证监会公告</w:t>
            </w:r>
            <w:r>
              <w:rPr>
                <w:rFonts w:ascii="Times New Roman" w:hAnsi="Times New Roman" w:cs="Times New Roman" w:eastAsia="Times New Roman" w:hint="default"/>
                <w:spacing w:val="-8"/>
                <w:w w:val="101"/>
                <w:sz w:val="18"/>
                <w:szCs w:val="18"/>
              </w:rPr>
              <w:t>[2017]9</w:t>
            </w:r>
            <w:r>
              <w:rPr>
                <w:rFonts w:ascii="Times New Roman" w:hAnsi="Times New Roman" w:cs="Times New Roman" w:eastAsia="Times New Roman" w:hint="default"/>
                <w:spacing w:val="-22"/>
                <w:w w:val="101"/>
                <w:sz w:val="18"/>
                <w:szCs w:val="18"/>
              </w:rPr>
              <w:t> </w:t>
            </w:r>
            <w:r>
              <w:rPr>
                <w:rFonts w:ascii="Times New Roman" w:hAnsi="Times New Roman" w:cs="Times New Roman" w:eastAsia="Times New Roman" w:hint="default"/>
                <w:spacing w:val="-22"/>
                <w:w w:val="101"/>
                <w:sz w:val="18"/>
                <w:szCs w:val="18"/>
              </w:rPr>
            </w:r>
            <w:r>
              <w:rPr>
                <w:rFonts w:ascii="宋体" w:hAnsi="宋体" w:cs="宋体" w:eastAsia="宋体" w:hint="default"/>
                <w:spacing w:val="-9"/>
                <w:w w:val="101"/>
                <w:sz w:val="18"/>
                <w:szCs w:val="18"/>
              </w:rPr>
              <w:t>号）、《深圳证券交易所创业板股票上市规则》及《深圳证券交</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易所上市公司股东及董事、监事、高级管理人员减持股份实施</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细则》等法律、法规、规章、规范性文件以及《公司章程》的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212"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1" w:right="89"/>
              <w:jc w:val="left"/>
              <w:rPr>
                <w:rFonts w:ascii="宋体" w:hAnsi="宋体" w:cs="宋体" w:eastAsia="宋体" w:hint="default"/>
                <w:sz w:val="18"/>
                <w:szCs w:val="18"/>
              </w:rPr>
            </w:pPr>
            <w:r>
              <w:rPr>
                <w:rFonts w:ascii="宋体" w:hAnsi="宋体" w:cs="宋体" w:eastAsia="宋体" w:hint="default"/>
                <w:spacing w:val="-2"/>
                <w:sz w:val="18"/>
                <w:szCs w:val="18"/>
              </w:rPr>
              <w:t>股权激励承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8" w:right="128"/>
              <w:jc w:val="left"/>
              <w:rPr>
                <w:rFonts w:ascii="宋体" w:hAnsi="宋体" w:cs="宋体" w:eastAsia="宋体" w:hint="default"/>
                <w:sz w:val="18"/>
                <w:szCs w:val="18"/>
              </w:rPr>
            </w:pPr>
            <w:r>
              <w:rPr>
                <w:rFonts w:ascii="宋体" w:hAnsi="宋体" w:cs="宋体" w:eastAsia="宋体" w:hint="default"/>
                <w:sz w:val="18"/>
                <w:szCs w:val="18"/>
              </w:rPr>
              <w:t>润和软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4"/>
              <w:ind w:left="23" w:right="18"/>
              <w:jc w:val="both"/>
              <w:rPr>
                <w:rFonts w:ascii="宋体" w:hAnsi="宋体" w:cs="宋体" w:eastAsia="宋体" w:hint="default"/>
                <w:sz w:val="18"/>
                <w:szCs w:val="18"/>
              </w:rPr>
            </w:pPr>
            <w:r>
              <w:rPr>
                <w:rFonts w:ascii="宋体" w:hAnsi="宋体" w:cs="宋体" w:eastAsia="宋体" w:hint="default"/>
                <w:sz w:val="18"/>
                <w:szCs w:val="18"/>
              </w:rPr>
              <w:t>公司承诺不为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年限制性股票激励计划的激励对象获取有关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权益工具提供贷款以及其他任何形式的财务资助，包括为其贷</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款提供担保。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该承诺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已经履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严格履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的情况。</w:t>
            </w:r>
          </w:p>
        </w:tc>
      </w:tr>
      <w:tr>
        <w:trPr>
          <w:trHeight w:val="2233"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1" w:right="89"/>
              <w:jc w:val="both"/>
              <w:rPr>
                <w:rFonts w:ascii="宋体" w:hAnsi="宋体" w:cs="宋体" w:eastAsia="宋体" w:hint="default"/>
                <w:sz w:val="18"/>
                <w:szCs w:val="18"/>
              </w:rPr>
            </w:pPr>
            <w:r>
              <w:rPr>
                <w:rFonts w:ascii="宋体" w:hAnsi="宋体" w:cs="宋体" w:eastAsia="宋体" w:hint="default"/>
                <w:spacing w:val="-2"/>
                <w:sz w:val="18"/>
                <w:szCs w:val="18"/>
              </w:rPr>
              <w:t>其他对公司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中小股东所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21" w:lineRule="auto"/>
              <w:ind w:left="28" w:right="128"/>
              <w:jc w:val="left"/>
              <w:rPr>
                <w:rFonts w:ascii="宋体" w:hAnsi="宋体" w:cs="宋体" w:eastAsia="宋体" w:hint="default"/>
                <w:sz w:val="18"/>
                <w:szCs w:val="18"/>
              </w:rPr>
            </w:pPr>
            <w:r>
              <w:rPr>
                <w:rFonts w:ascii="宋体" w:hAnsi="宋体" w:cs="宋体" w:eastAsia="宋体" w:hint="default"/>
                <w:sz w:val="18"/>
                <w:szCs w:val="18"/>
              </w:rPr>
              <w:t>润和软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65"/>
              <w:jc w:val="center"/>
              <w:rPr>
                <w:rFonts w:ascii="宋体" w:hAnsi="宋体" w:cs="宋体" w:eastAsia="宋体" w:hint="default"/>
                <w:sz w:val="18"/>
                <w:szCs w:val="18"/>
              </w:rPr>
            </w:pPr>
            <w:r>
              <w:rPr>
                <w:rFonts w:ascii="宋体" w:hAnsi="宋体" w:cs="宋体" w:eastAsia="宋体" w:hint="default"/>
                <w:sz w:val="18"/>
                <w:szCs w:val="18"/>
              </w:rPr>
              <w:t>分红承诺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51"/>
              <w:jc w:val="both"/>
              <w:rPr>
                <w:rFonts w:ascii="宋体" w:hAnsi="宋体" w:cs="宋体" w:eastAsia="宋体" w:hint="default"/>
                <w:sz w:val="18"/>
                <w:szCs w:val="18"/>
              </w:rPr>
            </w:pPr>
            <w:r>
              <w:rPr>
                <w:rFonts w:ascii="宋体" w:hAnsi="宋体" w:cs="宋体" w:eastAsia="宋体" w:hint="default"/>
                <w:spacing w:val="-3"/>
                <w:sz w:val="18"/>
                <w:szCs w:val="18"/>
              </w:rPr>
              <w:t>利润分配承诺：公司每年以现金方式分配的利润不少于当年实</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现的可分配利润的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；对于公司当年的利润分配计划，公司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董事会应当在定期报告中披露当年未分配利润的使用计划、安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排或原则。公司董事会未做出年度现金利润分配预案或年度现</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金利润分配比例不足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的，应当在定期报告中披露原因、公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司留存资金的使用计划和安排，该等年度现金利润分配方案须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经董事会审议、监事会审核后提交股东大会审议；股东大会审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p>
        </w:tc>
      </w:tr>
    </w:tbl>
    <w:p>
      <w:pPr>
        <w:spacing w:after="0" w:line="316"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r>
        <w:rPr/>
        <w:pict>
          <v:shape style="position:absolute;margin-left:409.776886pt;margin-top:121.72998pt;width:48.1pt;height:550.25pt;mso-position-horizontal-relative:page;mso-position-vertical-relative:page;z-index:-1200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0" w:right="0"/>
                    <w:jc w:val="left"/>
                  </w:pPr>
                  <w:r>
                    <w:rPr>
                      <w:w w:val="101"/>
                    </w:rPr>
                    <w:t>，</w:t>
                  </w:r>
                  <w:r>
                    <w:rPr/>
                  </w:r>
                </w:p>
              </w:txbxContent>
            </v:textbox>
            <w10:wrap type="none"/>
          </v:shape>
        </w:pict>
      </w:r>
      <w:r>
        <w:rPr/>
        <w:pict>
          <v:shape style="position:absolute;margin-left:409.799194pt;margin-top:672.432007pt;width:48.05pt;height:95.85pt;mso-position-horizontal-relative:page;mso-position-vertical-relative:page;z-index:-1200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pStyle w:val="BodyText"/>
                    <w:spacing w:line="240" w:lineRule="auto"/>
                    <w:ind w:left="0" w:right="0"/>
                    <w:jc w:val="left"/>
                  </w:pPr>
                  <w:r>
                    <w:rPr>
                      <w:w w:val="101"/>
                    </w:rPr>
                    <w:t>，</w:t>
                  </w:r>
                  <w:r>
                    <w:rPr/>
                  </w:r>
                </w:p>
              </w:txbxContent>
            </v:textbox>
            <w10:wrap type="none"/>
          </v:shape>
        </w:pict>
      </w:r>
      <w:r>
        <w:rPr/>
        <w:pict>
          <v:group style="position:absolute;margin-left:125.089996pt;margin-top:121.72998pt;width:42.05pt;height:550.25pt;mso-position-horizontal-relative:page;mso-position-vertical-relative:page;z-index:-1200472" coordorigin="2502,2435" coordsize="841,11005">
            <v:group style="position:absolute;left:2502;top:2435;width:841;height:11005" coordorigin="2502,2435" coordsize="841,11005">
              <v:shape style="position:absolute;left:2502;top:2435;width:841;height:11005" coordorigin="2502,2435" coordsize="841,11005" path="m2502,13439l3342,13439,3342,2435,2502,2435,2502,13439xe" filled="true" fillcolor="#ffffff" stroked="false">
                <v:path arrowok="t"/>
                <v:fill type="solid"/>
              </v:shape>
            </v:group>
            <v:group style="position:absolute;left:2526;top:7586;width:798;height:351" coordorigin="2526,7586" coordsize="798,351">
              <v:shape style="position:absolute;left:2526;top:7586;width:798;height:351" coordorigin="2526,7586" coordsize="798,351" path="m2526,7937l3323,7937,3323,7586,2526,7586,2526,7937xe" filled="true" fillcolor="#ffffff" stroked="false">
                <v:path arrowok="t"/>
                <v:fill type="solid"/>
              </v:shape>
            </v:group>
            <v:group style="position:absolute;left:2526;top:7937;width:798;height:356" coordorigin="2526,7937" coordsize="798,356">
              <v:shape style="position:absolute;left:2526;top:7937;width:798;height:356" coordorigin="2526,7937" coordsize="798,356" path="m2526,8292l3323,8292,3323,7937,2526,7937,2526,8292xe" filled="true" fillcolor="#ffffff" stroked="false">
                <v:path arrowok="t"/>
                <v:fill type="solid"/>
              </v:shape>
            </v:group>
            <w10:wrap type="none"/>
          </v:group>
        </w:pict>
      </w:r>
      <w:r>
        <w:rPr/>
        <w:pict>
          <v:group style="position:absolute;margin-left:415.850006pt;margin-top:121.72998pt;width:42pt;height:646.550pt;mso-position-horizontal-relative:page;mso-position-vertical-relative:page;z-index:-1200448" coordorigin="8317,2435" coordsize="840,12931">
            <v:group style="position:absolute;left:8317;top:2435;width:840;height:11005" coordorigin="8317,2435" coordsize="840,11005">
              <v:shape style="position:absolute;left:8317;top:2435;width:840;height:11005" coordorigin="8317,2435" coordsize="840,11005" path="m8317,13439l9157,13439,9157,2435,8317,2435,8317,13439xe" filled="true" fillcolor="#ffffff" stroked="false">
                <v:path arrowok="t"/>
                <v:fill type="solid"/>
              </v:shape>
            </v:group>
            <v:group style="position:absolute;left:8341;top:7586;width:792;height:351" coordorigin="8341,7586" coordsize="792,351">
              <v:shape style="position:absolute;left:8341;top:7586;width:792;height:351" coordorigin="8341,7586" coordsize="792,351" path="m8341,7937l9133,7937,9133,7586,8341,7586,8341,7937xe" filled="true" fillcolor="#ffffff" stroked="false">
                <v:path arrowok="t"/>
                <v:fill type="solid"/>
              </v:shape>
            </v:group>
            <v:group style="position:absolute;left:8341;top:7937;width:792;height:356" coordorigin="8341,7937" coordsize="792,356">
              <v:shape style="position:absolute;left:8341;top:7937;width:792;height:356" coordorigin="8341,7937" coordsize="792,356" path="m8341,8292l9133,8292,9133,7937,8341,7937,8341,8292xe" filled="true" fillcolor="#ffffff" stroked="false">
                <v:path arrowok="t"/>
                <v:fill type="solid"/>
              </v:shape>
            </v:group>
            <v:group style="position:absolute;left:8317;top:13449;width:840;height:1917" coordorigin="8317,13449" coordsize="840,1917">
              <v:shape style="position:absolute;left:8317;top:13449;width:840;height:1917" coordorigin="8317,13449" coordsize="840,1917" path="m8317,15365l9157,15365,9157,13449,8317,13449,8317,15365xe" filled="true" fillcolor="#ffffff" stroked="false">
                <v:path arrowok="t"/>
                <v:fill type="solid"/>
              </v:shape>
            </v:group>
            <v:group style="position:absolute;left:8341;top:14054;width:792;height:351" coordorigin="8341,14054" coordsize="792,351">
              <v:shape style="position:absolute;left:8341;top:14054;width:792;height:351" coordorigin="8341,14054" coordsize="792,351" path="m8341,14404l9133,14404,9133,14054,8341,14054,8341,14404xe" filled="true" fillcolor="#ffffff" stroked="false">
                <v:path arrowok="t"/>
                <v:fill type="solid"/>
              </v:shape>
            </v:group>
            <v:group style="position:absolute;left:8341;top:14404;width:792;height:356" coordorigin="8341,14404" coordsize="792,356">
              <v:shape style="position:absolute;left:8341;top:14404;width:792;height:356" coordorigin="8341,14404" coordsize="792,356" path="m8341,14760l9133,14760,9133,14404,8341,14404,8341,14760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25"/>
        <w:gridCol w:w="711"/>
        <w:gridCol w:w="850"/>
        <w:gridCol w:w="4965"/>
        <w:gridCol w:w="850"/>
        <w:gridCol w:w="1278"/>
        <w:gridCol w:w="710"/>
      </w:tblGrid>
      <w:tr>
        <w:trPr>
          <w:trHeight w:val="31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议该等年度现金利润分配方案时，公司应当提供网络投票表决</w:t>
            </w:r>
          </w:p>
        </w:tc>
        <w:tc>
          <w:tcPr>
            <w:tcW w:w="850" w:type="dxa"/>
            <w:vMerge w:val="restart"/>
            <w:tcBorders>
              <w:top w:val="single" w:sz="4" w:space="0" w:color="000000"/>
              <w:left w:val="single" w:sz="4" w:space="0" w:color="000000"/>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w:t>
            </w:r>
          </w:p>
        </w:tc>
      </w:tr>
      <w:tr>
        <w:trPr>
          <w:trHeight w:val="314"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方式为社会公众股东参加股东大会提供便利；对于该等年度现</w:t>
            </w:r>
          </w:p>
        </w:tc>
        <w:tc>
          <w:tcPr>
            <w:tcW w:w="850"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54" w:hRule="exact"/>
        </w:trPr>
        <w:tc>
          <w:tcPr>
            <w:tcW w:w="10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金利润分配方案，独立董事应当发表独立意见。</w:t>
            </w:r>
          </w:p>
        </w:tc>
        <w:tc>
          <w:tcPr>
            <w:tcW w:w="850"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64" w:hRule="exact"/>
        </w:trPr>
        <w:tc>
          <w:tcPr>
            <w:tcW w:w="1025" w:type="dxa"/>
            <w:vMerge/>
            <w:tcBorders>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日，周红卫先生、姚宁先生续签了《一致行动人</w:t>
            </w: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协议</w:t>
            </w:r>
            <w:r>
              <w:rPr>
                <w:rFonts w:ascii="宋体" w:hAnsi="宋体" w:cs="宋体" w:eastAsia="宋体" w:hint="default"/>
                <w:spacing w:val="-92"/>
                <w:w w:val="101"/>
                <w:sz w:val="18"/>
                <w:szCs w:val="18"/>
              </w:rPr>
              <w:t>》</w:t>
            </w:r>
            <w:r>
              <w:rPr>
                <w:rFonts w:ascii="宋体" w:hAnsi="宋体" w:cs="宋体" w:eastAsia="宋体" w:hint="default"/>
                <w:spacing w:val="-29"/>
                <w:w w:val="101"/>
                <w:sz w:val="18"/>
                <w:szCs w:val="18"/>
              </w:rPr>
              <w:t>，</w:t>
            </w:r>
            <w:r>
              <w:rPr>
                <w:rFonts w:ascii="宋体" w:hAnsi="宋体" w:cs="宋体" w:eastAsia="宋体" w:hint="default"/>
                <w:w w:val="101"/>
                <w:sz w:val="18"/>
                <w:szCs w:val="18"/>
              </w:rPr>
              <w:t>就</w:t>
            </w:r>
            <w:r>
              <w:rPr>
                <w:rFonts w:ascii="宋体" w:hAnsi="宋体" w:cs="宋体" w:eastAsia="宋体" w:hint="default"/>
                <w:spacing w:val="-5"/>
                <w:w w:val="101"/>
                <w:sz w:val="18"/>
                <w:szCs w:val="18"/>
              </w:rPr>
              <w:t>今</w:t>
            </w:r>
            <w:r>
              <w:rPr>
                <w:rFonts w:ascii="宋体" w:hAnsi="宋体" w:cs="宋体" w:eastAsia="宋体" w:hint="default"/>
                <w:w w:val="101"/>
                <w:sz w:val="18"/>
                <w:szCs w:val="18"/>
              </w:rPr>
              <w:t>后</w:t>
            </w:r>
            <w:r>
              <w:rPr>
                <w:rFonts w:ascii="宋体" w:hAnsi="宋体" w:cs="宋体" w:eastAsia="宋体" w:hint="default"/>
                <w:spacing w:val="-5"/>
                <w:w w:val="101"/>
                <w:sz w:val="18"/>
                <w:szCs w:val="18"/>
              </w:rPr>
              <w:t>在</w:t>
            </w:r>
            <w:r>
              <w:rPr>
                <w:rFonts w:ascii="宋体" w:hAnsi="宋体" w:cs="宋体" w:eastAsia="宋体" w:hint="default"/>
                <w:w w:val="101"/>
                <w:sz w:val="18"/>
                <w:szCs w:val="18"/>
              </w:rPr>
              <w:t>润</w:t>
            </w:r>
            <w:r>
              <w:rPr>
                <w:rFonts w:ascii="宋体" w:hAnsi="宋体" w:cs="宋体" w:eastAsia="宋体" w:hint="default"/>
                <w:spacing w:val="-5"/>
                <w:w w:val="101"/>
                <w:sz w:val="18"/>
                <w:szCs w:val="18"/>
              </w:rPr>
              <w:t>和</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会</w:t>
            </w:r>
            <w:r>
              <w:rPr>
                <w:rFonts w:ascii="宋体" w:hAnsi="宋体" w:cs="宋体" w:eastAsia="宋体" w:hint="default"/>
                <w:spacing w:val="-5"/>
                <w:w w:val="101"/>
                <w:sz w:val="18"/>
                <w:szCs w:val="18"/>
              </w:rPr>
              <w:t>及</w:t>
            </w:r>
            <w:r>
              <w:rPr>
                <w:rFonts w:ascii="宋体" w:hAnsi="宋体" w:cs="宋体" w:eastAsia="宋体" w:hint="default"/>
                <w:w w:val="101"/>
                <w:sz w:val="18"/>
                <w:szCs w:val="18"/>
              </w:rPr>
              <w:t>润</w:t>
            </w:r>
            <w:r>
              <w:rPr>
                <w:rFonts w:ascii="宋体" w:hAnsi="宋体" w:cs="宋体" w:eastAsia="宋体" w:hint="default"/>
                <w:spacing w:val="-5"/>
                <w:w w:val="101"/>
                <w:sz w:val="18"/>
                <w:szCs w:val="18"/>
              </w:rPr>
              <w:t>和</w:t>
            </w:r>
            <w:r>
              <w:rPr>
                <w:rFonts w:ascii="宋体" w:hAnsi="宋体" w:cs="宋体" w:eastAsia="宋体" w:hint="default"/>
                <w:w w:val="101"/>
                <w:sz w:val="18"/>
                <w:szCs w:val="18"/>
              </w:rPr>
              <w:t>软</w:t>
            </w:r>
            <w:r>
              <w:rPr>
                <w:rFonts w:ascii="宋体" w:hAnsi="宋体" w:cs="宋体" w:eastAsia="宋体" w:hint="default"/>
                <w:spacing w:val="-5"/>
                <w:w w:val="101"/>
                <w:sz w:val="18"/>
                <w:szCs w:val="18"/>
              </w:rPr>
              <w:t>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董</w:t>
            </w:r>
            <w:r>
              <w:rPr>
                <w:rFonts w:ascii="宋体" w:hAnsi="宋体" w:cs="宋体" w:eastAsia="宋体" w:hint="default"/>
                <w:w w:val="101"/>
                <w:sz w:val="18"/>
                <w:szCs w:val="18"/>
              </w:rPr>
              <w:t>事会</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的一致表决及维持对润和投资及润和软件的共同控制达成一</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致，协议主要内容如下：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、本协议一方拟向润和投资股东会和</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或润和软件董事会、股东大会提出应由股东会和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或董事会和</w:t>
            </w:r>
            <w:r>
              <w:rPr>
                <w:rFonts w:ascii="Times New Roman" w:hAnsi="Times New Roman" w:cs="Times New Roman" w:eastAsia="Times New Roman" w:hint="default"/>
                <w:spacing w:val="-3"/>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或股东大会审议的议案时，应当事先就该议案内容与另一方进</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行充分的沟通和交流，如果另一方对议案内容有异议，在不违</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反法律法规、监管机构的规定和润和投资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润和软件公司章程规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定的前提下，双方均应当做出适当让步，对议案内容进行修改</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直至双方共同认可议案的内容后，以其中一方的名义或双方的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名义向润和投资股东会和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或润和软件董事会、股东大会提出相</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关议案，并对议案做出相同的表决意见。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、对于非由本协议的</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433"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8" w:right="128"/>
              <w:jc w:val="left"/>
              <w:rPr>
                <w:rFonts w:ascii="宋体" w:hAnsi="宋体" w:cs="宋体" w:eastAsia="宋体" w:hint="default"/>
                <w:sz w:val="18"/>
                <w:szCs w:val="18"/>
              </w:rPr>
            </w:pPr>
            <w:r>
              <w:rPr>
                <w:rFonts w:ascii="宋体" w:hAnsi="宋体" w:cs="宋体" w:eastAsia="宋体" w:hint="default"/>
                <w:sz w:val="18"/>
                <w:szCs w:val="18"/>
              </w:rPr>
              <w:t>周红卫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姚宁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4" w:right="89" w:hanging="164"/>
              <w:jc w:val="left"/>
              <w:rPr>
                <w:rFonts w:ascii="宋体" w:hAnsi="宋体" w:cs="宋体" w:eastAsia="宋体" w:hint="default"/>
                <w:sz w:val="18"/>
                <w:szCs w:val="18"/>
              </w:rPr>
            </w:pPr>
            <w:r>
              <w:rPr>
                <w:rFonts w:ascii="宋体" w:hAnsi="宋体" w:cs="宋体" w:eastAsia="宋体" w:hint="default"/>
                <w:spacing w:val="-5"/>
                <w:sz w:val="18"/>
                <w:szCs w:val="18"/>
              </w:rPr>
              <w:t>、股东一致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行动承诺</w:t>
            </w: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23" w:right="17"/>
              <w:jc w:val="left"/>
              <w:rPr>
                <w:rFonts w:ascii="宋体" w:hAnsi="宋体" w:cs="宋体" w:eastAsia="宋体" w:hint="default"/>
                <w:sz w:val="18"/>
                <w:szCs w:val="18"/>
              </w:rPr>
            </w:pPr>
            <w:r>
              <w:rPr>
                <w:rFonts w:ascii="宋体" w:hAnsi="宋体" w:cs="宋体" w:eastAsia="宋体" w:hint="default"/>
                <w:spacing w:val="-3"/>
                <w:sz w:val="18"/>
                <w:szCs w:val="18"/>
              </w:rPr>
              <w:t>一方或双方提出的议案，在润和投资股东会和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或润和软件董事</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会和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或股东大会召开前，双方应当就待审议的议案进行充分的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沟通和交流，尽快达成一致意见，并以自身的名义或一方授权</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另一方按照形成的一致意见在润和投资和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或润和软件董事会</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或股东大会会议上做出相同的表决意见。如果难以达成一致</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意见，以多数持股原则处理，即如对某一议案出现一方拟投同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意票，一方拟投反对或弃权票的情况，在议案内容符合法律法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规、监管机构的规定和润和投资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润和软件公司章程规定的前提</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下，则双方均应按在公司持股多的一方的意见投票。</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、若一方</w:t>
            </w:r>
          </w:p>
          <w:p>
            <w:pPr>
              <w:pStyle w:val="TableParagraph"/>
              <w:spacing w:line="300" w:lineRule="auto" w:before="7"/>
              <w:ind w:left="23" w:right="17"/>
              <w:jc w:val="left"/>
              <w:rPr>
                <w:rFonts w:ascii="宋体" w:hAnsi="宋体" w:cs="宋体" w:eastAsia="宋体" w:hint="default"/>
                <w:sz w:val="18"/>
                <w:szCs w:val="18"/>
              </w:rPr>
            </w:pP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出让方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）欲转让其持有润和投资和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或润和软件的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7"/>
                <w:w w:val="101"/>
                <w:sz w:val="18"/>
                <w:szCs w:val="18"/>
              </w:rPr>
              <w:t>全部或部分股权（以下简称</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标的股权</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），除非另一方也将同时</w:t>
            </w:r>
            <w:r>
              <w:rPr>
                <w:rFonts w:ascii="宋体" w:hAnsi="宋体" w:cs="宋体" w:eastAsia="宋体" w:hint="default"/>
                <w:spacing w:val="-7"/>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转让其全部或部分股权，则另一方拥有优先受让权，即在符合</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法律法规、监管机构的规定和公司章程规定和价格同等的前提</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下，出让方应将标的股权转让给本协议另一方。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、本协议签订</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后，各方应积极履行有关义务，任何违反本协议规定及保证条</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款的行为均构成违约，违约方应赔偿守约方因之造成的全部损</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失。损失的赔偿不影响违约方按照本规定的约定继续履行本协</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议。</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、甲方、乙方共同承诺：甲方、乙方作为润和投资股东及</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或</w:t>
            </w:r>
            <w:r>
              <w:rPr>
                <w:rFonts w:ascii="宋体" w:hAnsi="宋体" w:cs="宋体" w:eastAsia="宋体" w:hint="default"/>
                <w:spacing w:val="-5"/>
                <w:w w:val="101"/>
                <w:sz w:val="18"/>
                <w:szCs w:val="18"/>
              </w:rPr>
              <w:t>润</w:t>
            </w:r>
            <w:r>
              <w:rPr>
                <w:rFonts w:ascii="宋体" w:hAnsi="宋体" w:cs="宋体" w:eastAsia="宋体" w:hint="default"/>
                <w:w w:val="101"/>
                <w:sz w:val="18"/>
                <w:szCs w:val="18"/>
              </w:rPr>
              <w:t>和</w:t>
            </w:r>
            <w:r>
              <w:rPr>
                <w:rFonts w:ascii="宋体" w:hAnsi="宋体" w:cs="宋体" w:eastAsia="宋体" w:hint="default"/>
                <w:spacing w:val="-5"/>
                <w:w w:val="101"/>
                <w:sz w:val="18"/>
                <w:szCs w:val="18"/>
              </w:rPr>
              <w:t>软</w:t>
            </w:r>
            <w:r>
              <w:rPr>
                <w:rFonts w:ascii="宋体" w:hAnsi="宋体" w:cs="宋体" w:eastAsia="宋体" w:hint="default"/>
                <w:w w:val="101"/>
                <w:sz w:val="18"/>
                <w:szCs w:val="18"/>
              </w:rPr>
              <w:t>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或</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行</w:t>
            </w:r>
            <w:r>
              <w:rPr>
                <w:rFonts w:ascii="宋体" w:hAnsi="宋体" w:cs="宋体" w:eastAsia="宋体" w:hint="default"/>
                <w:spacing w:val="-5"/>
                <w:w w:val="101"/>
                <w:sz w:val="18"/>
                <w:szCs w:val="18"/>
              </w:rPr>
              <w:t>使</w:t>
            </w:r>
            <w:r>
              <w:rPr>
                <w:rFonts w:ascii="宋体" w:hAnsi="宋体" w:cs="宋体" w:eastAsia="宋体" w:hint="default"/>
                <w:w w:val="101"/>
                <w:sz w:val="18"/>
                <w:szCs w:val="18"/>
              </w:rPr>
              <w:t>表</w:t>
            </w:r>
            <w:r>
              <w:rPr>
                <w:rFonts w:ascii="宋体" w:hAnsi="宋体" w:cs="宋体" w:eastAsia="宋体" w:hint="default"/>
                <w:spacing w:val="-5"/>
                <w:w w:val="101"/>
                <w:sz w:val="18"/>
                <w:szCs w:val="18"/>
              </w:rPr>
              <w:t>决</w:t>
            </w:r>
            <w:r>
              <w:rPr>
                <w:rFonts w:ascii="宋体" w:hAnsi="宋体" w:cs="宋体" w:eastAsia="宋体" w:hint="default"/>
                <w:w w:val="101"/>
                <w:sz w:val="18"/>
                <w:szCs w:val="18"/>
              </w:rPr>
              <w:t>权</w:t>
            </w:r>
            <w:r>
              <w:rPr>
                <w:rFonts w:ascii="宋体" w:hAnsi="宋体" w:cs="宋体" w:eastAsia="宋体" w:hint="default"/>
                <w:spacing w:val="-5"/>
                <w:w w:val="101"/>
                <w:sz w:val="18"/>
                <w:szCs w:val="18"/>
              </w:rPr>
              <w:t>时</w:t>
            </w:r>
            <w:r>
              <w:rPr>
                <w:rFonts w:ascii="宋体" w:hAnsi="宋体" w:cs="宋体" w:eastAsia="宋体" w:hint="default"/>
                <w:w w:val="101"/>
                <w:sz w:val="18"/>
                <w:szCs w:val="18"/>
              </w:rPr>
              <w:t>将</w:t>
            </w:r>
            <w:r>
              <w:rPr>
                <w:rFonts w:ascii="宋体" w:hAnsi="宋体" w:cs="宋体" w:eastAsia="宋体" w:hint="default"/>
                <w:spacing w:val="-5"/>
                <w:w w:val="101"/>
                <w:sz w:val="18"/>
                <w:szCs w:val="18"/>
              </w:rPr>
              <w:t>严</w:t>
            </w:r>
            <w:r>
              <w:rPr>
                <w:rFonts w:ascii="宋体" w:hAnsi="宋体" w:cs="宋体" w:eastAsia="宋体" w:hint="default"/>
                <w:w w:val="101"/>
                <w:sz w:val="18"/>
                <w:szCs w:val="18"/>
              </w:rPr>
              <w:t>格</w:t>
            </w:r>
            <w:r>
              <w:rPr>
                <w:rFonts w:ascii="宋体" w:hAnsi="宋体" w:cs="宋体" w:eastAsia="宋体" w:hint="default"/>
                <w:spacing w:val="-5"/>
                <w:w w:val="101"/>
                <w:sz w:val="18"/>
                <w:szCs w:val="18"/>
              </w:rPr>
              <w:t>遵</w:t>
            </w:r>
            <w:r>
              <w:rPr>
                <w:rFonts w:ascii="宋体" w:hAnsi="宋体" w:cs="宋体" w:eastAsia="宋体" w:hint="default"/>
                <w:spacing w:val="-68"/>
                <w:w w:val="101"/>
                <w:sz w:val="18"/>
                <w:szCs w:val="18"/>
              </w:rPr>
              <w:t>守</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164"/>
                <w:w w:val="101"/>
                <w:sz w:val="18"/>
                <w:szCs w:val="18"/>
              </w:rPr>
              <w:t>、</w:t>
            </w:r>
            <w:r>
              <w:rPr>
                <w:rFonts w:ascii="宋体" w:hAnsi="宋体" w:cs="宋体" w:eastAsia="宋体" w:hint="default"/>
                <w:w w:val="101"/>
                <w:sz w:val="18"/>
                <w:szCs w:val="18"/>
              </w:rPr>
              <w:t>《证</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券法》等相关法律法规及公司章程的规定，不损害润和投资及</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25"/>
              <w:jc w:val="left"/>
              <w:rPr>
                <w:rFonts w:ascii="宋体" w:hAnsi="宋体" w:cs="宋体" w:eastAsia="宋体" w:hint="default"/>
                <w:sz w:val="18"/>
                <w:szCs w:val="18"/>
              </w:rPr>
            </w:pPr>
            <w:r>
              <w:rPr>
                <w:rFonts w:ascii="宋体" w:hAnsi="宋体" w:cs="宋体" w:eastAsia="宋体" w:hint="default"/>
                <w:spacing w:val="-3"/>
                <w:sz w:val="18"/>
                <w:szCs w:val="18"/>
              </w:rPr>
              <w:t>或润和软件中小股东和润和投资及或润和软件的合法利益。</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本协议自甲方、乙方签字之日起生效，有效期为自本协议签订</w:t>
            </w: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25"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1926"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8" w:right="128"/>
              <w:jc w:val="both"/>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240" w:lineRule="auto" w:before="18"/>
              <w:ind w:left="28" w:right="0"/>
              <w:jc w:val="both"/>
              <w:rPr>
                <w:rFonts w:ascii="宋体" w:hAnsi="宋体" w:cs="宋体" w:eastAsia="宋体" w:hint="default"/>
                <w:sz w:val="18"/>
                <w:szCs w:val="18"/>
              </w:rPr>
            </w:pPr>
            <w:r>
              <w:rPr>
                <w:rFonts w:ascii="宋体" w:hAnsi="宋体" w:cs="宋体" w:eastAsia="宋体" w:hint="default"/>
                <w:sz w:val="18"/>
                <w:szCs w:val="18"/>
              </w:rPr>
              <w:t>（有限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自宁波宏创持有的 </w:t>
            </w:r>
            <w:r>
              <w:rPr>
                <w:rFonts w:ascii="Times New Roman" w:hAnsi="Times New Roman" w:cs="Times New Roman" w:eastAsia="Times New Roman" w:hint="default"/>
                <w:sz w:val="18"/>
                <w:szCs w:val="18"/>
              </w:rPr>
              <w:t>96,249,396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股润和软件首发后限售股首次上</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市流通之日起十二个月内（即自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p>
          <w:p>
            <w:pPr>
              <w:pStyle w:val="TableParagraph"/>
              <w:spacing w:line="309" w:lineRule="auto" w:before="63"/>
              <w:ind w:left="23" w:right="66"/>
              <w:jc w:val="both"/>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6"/>
                <w:w w:val="101"/>
                <w:sz w:val="18"/>
                <w:szCs w:val="18"/>
              </w:rPr>
              <w:t>日），宁波宏创不通过集中竞价交易方式在二级市场减持</w:t>
            </w:r>
            <w:r>
              <w:rPr>
                <w:rFonts w:ascii="宋体" w:hAnsi="宋体" w:cs="宋体" w:eastAsia="宋体" w:hint="default"/>
                <w:w w:val="101"/>
                <w:sz w:val="18"/>
                <w:szCs w:val="18"/>
              </w:rPr>
              <w:t> </w:t>
            </w:r>
            <w:r>
              <w:rPr>
                <w:rFonts w:ascii="宋体" w:hAnsi="宋体" w:cs="宋体" w:eastAsia="宋体" w:hint="default"/>
                <w:spacing w:val="-3"/>
                <w:sz w:val="18"/>
                <w:szCs w:val="18"/>
              </w:rPr>
              <w:t>该部分股份，包括承诺期间如因送股、公积金转增股本等权益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分派产生的新增股份。在承诺期内，若宁波宏创违反上述承诺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z w:val="18"/>
                <w:szCs w:val="18"/>
              </w:rPr>
              <w:t>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末，承诺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诺，未出</w:t>
            </w:r>
          </w:p>
        </w:tc>
      </w:tr>
    </w:tbl>
    <w:p>
      <w:pPr>
        <w:spacing w:after="0" w:line="316" w:lineRule="auto"/>
        <w:jc w:val="left"/>
        <w:rPr>
          <w:rFonts w:ascii="宋体" w:hAnsi="宋体" w:cs="宋体" w:eastAsia="宋体" w:hint="default"/>
          <w:sz w:val="18"/>
          <w:szCs w:val="18"/>
        </w:rPr>
        <w:sectPr>
          <w:pgSz w:w="11910" w:h="16840"/>
          <w:pgMar w:header="741" w:footer="979" w:top="1060" w:bottom="116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027"/>
        <w:gridCol w:w="711"/>
        <w:gridCol w:w="850"/>
        <w:gridCol w:w="4965"/>
        <w:gridCol w:w="850"/>
        <w:gridCol w:w="1278"/>
        <w:gridCol w:w="710"/>
      </w:tblGrid>
      <w:tr>
        <w:trPr>
          <w:trHeight w:val="1297" w:hRule="exact"/>
        </w:trPr>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tcBorders>
              <w:top w:val="single" w:sz="4" w:space="0" w:color="000000"/>
              <w:left w:val="single" w:sz="4" w:space="0" w:color="000000"/>
              <w:bottom w:val="single" w:sz="4" w:space="0" w:color="000000"/>
              <w:right w:val="single" w:sz="4" w:space="0" w:color="000000"/>
            </w:tcBorders>
          </w:tcPr>
          <w:p>
            <w:pP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则自愿将其减持股份的全部所得上缴润和软件。</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32"/>
              <w:jc w:val="both"/>
              <w:rPr>
                <w:rFonts w:ascii="宋体" w:hAnsi="宋体" w:cs="宋体" w:eastAsia="宋体" w:hint="default"/>
                <w:sz w:val="18"/>
                <w:szCs w:val="18"/>
              </w:rPr>
            </w:pPr>
            <w:r>
              <w:rPr>
                <w:rFonts w:ascii="宋体" w:hAnsi="宋体" w:cs="宋体" w:eastAsia="宋体" w:hint="default"/>
                <w:sz w:val="18"/>
                <w:szCs w:val="18"/>
              </w:rPr>
              <w:t>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r>
      <w:tr>
        <w:trPr>
          <w:trHeight w:val="163" w:hRule="exact"/>
        </w:trPr>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2"/>
                <w:sz w:val="18"/>
                <w:szCs w:val="18"/>
              </w:rPr>
              <w:t>承诺是否按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时履行</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4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78"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
        </w:tc>
      </w:tr>
      <w:tr>
        <w:trPr>
          <w:trHeight w:val="394" w:hRule="exact"/>
        </w:trPr>
        <w:tc>
          <w:tcPr>
            <w:tcW w:w="1027"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shd w:val="clear" w:color="auto" w:fill="D2D2D2"/>
          </w:tcPr>
          <w:p>
            <w:pPr/>
          </w:p>
        </w:tc>
        <w:tc>
          <w:tcPr>
            <w:tcW w:w="4965"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58" w:hRule="exact"/>
        </w:trPr>
        <w:tc>
          <w:tcPr>
            <w:tcW w:w="1027"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2588" w:hRule="exact"/>
        </w:trPr>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both"/>
              <w:rPr>
                <w:rFonts w:ascii="宋体" w:hAnsi="宋体" w:cs="宋体" w:eastAsia="宋体" w:hint="default"/>
                <w:sz w:val="18"/>
                <w:szCs w:val="18"/>
              </w:rPr>
            </w:pPr>
            <w:r>
              <w:rPr>
                <w:rFonts w:ascii="宋体" w:hAnsi="宋体" w:cs="宋体" w:eastAsia="宋体" w:hint="default"/>
                <w:spacing w:val="-2"/>
                <w:sz w:val="18"/>
                <w:szCs w:val="18"/>
              </w:rPr>
              <w:t>如承诺超期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未履行完毕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的，应当详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细说明未完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成履行的具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体原因及下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一步的工作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计划</w:t>
            </w:r>
          </w:p>
        </w:tc>
        <w:tc>
          <w:tcPr>
            <w:tcW w:w="93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312" w:lineRule="exact" w:before="32"/>
        <w:ind w:left="493"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
        <w:rPr>
          <w:rFonts w:ascii="Microsoft JhengHei" w:hAnsi="Microsoft JhengHei" w:cs="Microsoft JhengHei" w:eastAsia="Microsoft JhengHei" w:hint="default"/>
          <w:b/>
          <w:bCs/>
          <w:sz w:val="19"/>
          <w:szCs w:val="19"/>
        </w:rPr>
      </w:pPr>
    </w:p>
    <w:p>
      <w:pPr>
        <w:pStyle w:val="BodyText"/>
        <w:spacing w:line="240" w:lineRule="auto"/>
        <w:ind w:left="4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left="493" w:right="0"/>
        <w:jc w:val="left"/>
        <w:rPr>
          <w:b w:val="0"/>
          <w:bCs w:val="0"/>
        </w:rPr>
      </w:pPr>
      <w:r>
        <w:rPr/>
        <w:t>三、控股股东及其关联方对上市公司的非经营性占用资金情况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left="49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6"/>
        <w:rPr>
          <w:rFonts w:ascii="宋体" w:hAnsi="宋体" w:cs="宋体" w:eastAsia="宋体" w:hint="default"/>
          <w:sz w:val="12"/>
          <w:szCs w:val="12"/>
        </w:rPr>
      </w:pPr>
    </w:p>
    <w:p>
      <w:pPr>
        <w:pStyle w:val="Heading2"/>
        <w:spacing w:line="240" w:lineRule="auto"/>
        <w:ind w:left="493"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left="493"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left="493" w:right="0"/>
        <w:jc w:val="left"/>
        <w:rPr>
          <w:b w:val="0"/>
          <w:bCs w:val="0"/>
        </w:rPr>
      </w:pPr>
      <w:r>
        <w:rPr/>
        <w:t>六、董事会关于报告期会计政策、会计估计变更或重大会计差错更正的说明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3" w:lineRule="auto"/>
        <w:ind w:left="493" w:right="19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具体情况详见第十一节、五</w:t>
      </w:r>
      <w:r>
        <w:rPr>
          <w:rFonts w:ascii="Times New Roman" w:hAnsi="Times New Roman" w:cs="Times New Roman" w:eastAsia="Times New Roman" w:hint="default"/>
          <w:spacing w:val="-3"/>
        </w:rPr>
        <w:t>“</w:t>
      </w:r>
      <w:r>
        <w:rPr>
          <w:spacing w:val="-3"/>
        </w:rPr>
        <w:t>重要会计政策及会计估计</w:t>
      </w:r>
      <w:r>
        <w:rPr>
          <w:rFonts w:ascii="Times New Roman" w:hAnsi="Times New Roman" w:cs="Times New Roman" w:eastAsia="Times New Roman" w:hint="default"/>
          <w:spacing w:val="-3"/>
        </w:rPr>
        <w:t>”</w:t>
      </w:r>
      <w:r>
        <w:rPr>
          <w:spacing w:val="-3"/>
        </w:rPr>
        <w:t>之第</w:t>
      </w:r>
      <w:r>
        <w:rPr>
          <w:rFonts w:ascii="Times New Roman" w:hAnsi="Times New Roman" w:cs="Times New Roman" w:eastAsia="Times New Roman" w:hint="default"/>
          <w:spacing w:val="-3"/>
        </w:rPr>
        <w:t>33</w:t>
      </w:r>
      <w:r>
        <w:rPr>
          <w:spacing w:val="-3"/>
        </w:rPr>
        <w:t>项</w:t>
      </w:r>
      <w:r>
        <w:rPr>
          <w:rFonts w:ascii="Times New Roman" w:hAnsi="Times New Roman" w:cs="Times New Roman" w:eastAsia="Times New Roman" w:hint="default"/>
          <w:spacing w:val="-3"/>
        </w:rPr>
        <w:t>“</w:t>
      </w:r>
      <w:r>
        <w:rPr>
          <w:spacing w:val="-3"/>
        </w:rPr>
        <w:t>重要会计政策和会计估计变更</w:t>
      </w:r>
      <w:r>
        <w:rPr>
          <w:rFonts w:ascii="Times New Roman" w:hAnsi="Times New Roman" w:cs="Times New Roman" w:eastAsia="Times New Roman" w:hint="default"/>
          <w:spacing w:val="-3"/>
        </w:rPr>
        <w:t>”</w:t>
      </w:r>
      <w:r>
        <w:rPr>
          <w:spacing w:val="-3"/>
        </w:rPr>
        <w:t>。</w:t>
      </w:r>
    </w:p>
    <w:p>
      <w:pPr>
        <w:pStyle w:val="Heading2"/>
        <w:spacing w:line="240" w:lineRule="auto" w:before="156"/>
        <w:ind w:left="493" w:right="0"/>
        <w:jc w:val="left"/>
        <w:rPr>
          <w:b w:val="0"/>
          <w:bCs w:val="0"/>
        </w:rPr>
      </w:pPr>
      <w:r>
        <w:rPr/>
        <w:t>七、与上年度财务报告相比，合并报表范围发生变化的情况说明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38" w:lineRule="auto"/>
        <w:ind w:left="493" w:right="564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具体情况详见第十一节、八、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after="0" w:line="338" w:lineRule="auto"/>
        <w:jc w:val="left"/>
        <w:sectPr>
          <w:pgSz w:w="11910" w:h="16840"/>
          <w:pgMar w:header="741" w:footer="979" w:top="1060" w:bottom="1160" w:left="640" w:right="0"/>
        </w:sect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八、聘任、解聘会计师事务所情况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华普天健会计师事务所（特殊普通合伙）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120</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240" w:lineRule="auto" w:before="53"/>
        <w:ind w:right="0"/>
        <w:jc w:val="left"/>
      </w:pPr>
      <w:r>
        <w:rPr/>
        <w:t>是否改聘会计师事务所</w:t>
      </w:r>
    </w:p>
    <w:p>
      <w:pPr>
        <w:pStyle w:val="BodyText"/>
        <w:spacing w:line="338" w:lineRule="auto" w:before="119"/>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十、破产重整相关事项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r>
        <w:rPr/>
        <w:t>十一、重大诉讼、仲裁事项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3"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pStyle w:val="Heading2"/>
        <w:spacing w:line="240" w:lineRule="auto" w:before="160"/>
        <w:ind w:right="0"/>
        <w:jc w:val="left"/>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right="0"/>
        <w:jc w:val="left"/>
      </w:pPr>
      <w:r>
        <w:rPr>
          <w:spacing w:val="-3"/>
        </w:rPr>
        <w:t>（一）限制性股票激励计划</w:t>
      </w:r>
    </w:p>
    <w:p>
      <w:pPr>
        <w:pStyle w:val="BodyText"/>
        <w:spacing w:line="240" w:lineRule="auto" w:before="76"/>
        <w:ind w:left="230" w:right="0"/>
        <w:jc w:val="left"/>
      </w:pPr>
      <w:r>
        <w:rPr>
          <w:rFonts w:ascii="Times New Roman" w:hAnsi="Times New Roman" w:cs="Times New Roman" w:eastAsia="Times New Roman" w:hint="default"/>
          <w:spacing w:val="-3"/>
        </w:rPr>
        <w:t>1</w:t>
      </w:r>
      <w:r>
        <w:rPr>
          <w:spacing w:val="-3"/>
        </w:rPr>
        <w:t>、已履行的相关审批程序及总体情况</w:t>
      </w:r>
    </w:p>
    <w:p>
      <w:pPr>
        <w:pStyle w:val="BodyText"/>
        <w:spacing w:line="240" w:lineRule="auto" w:before="62"/>
        <w:ind w:right="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日，公司召开第四届董事会第十九次会议，审议并通过了《关于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3"/>
        </w:rPr>
        <w:t>性股票激励计划（草案）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年限制性股票激励计划考核管理办</w:t>
      </w:r>
      <w:r>
        <w:rPr>
          <w:spacing w:val="75"/>
        </w:rPr>
        <w:t> </w:t>
      </w:r>
      <w:r>
        <w:rPr>
          <w:spacing w:val="75"/>
        </w:rPr>
      </w:r>
      <w:r>
        <w:rPr>
          <w:spacing w:val="-3"/>
        </w:rPr>
        <w:t>法</w:t>
      </w:r>
      <w:r>
        <w:rPr>
          <w:rFonts w:ascii="Times New Roman" w:hAnsi="Times New Roman" w:cs="Times New Roman" w:eastAsia="Times New Roman" w:hint="default"/>
          <w:spacing w:val="-3"/>
        </w:rPr>
        <w:t>&gt;</w:t>
      </w:r>
      <w:r>
        <w:rPr>
          <w:spacing w:val="-3"/>
        </w:rPr>
        <w:t>的议案》、《关于提请股东大会授权董事会办理公司</w:t>
      </w:r>
      <w:r>
        <w:rPr>
          <w:rFonts w:ascii="Times New Roman" w:hAnsi="Times New Roman" w:cs="Times New Roman" w:eastAsia="Times New Roman" w:hint="default"/>
          <w:spacing w:val="-3"/>
        </w:rPr>
        <w:t>2014</w:t>
      </w:r>
      <w:r>
        <w:rPr>
          <w:spacing w:val="-3"/>
        </w:rPr>
        <w:t>年限制性股票激励计划相关事宜的议案》等本次激励计划相关</w:t>
      </w:r>
      <w:r>
        <w:rPr>
          <w:spacing w:val="69"/>
        </w:rPr>
        <w:t> </w:t>
      </w:r>
      <w:r>
        <w:rPr>
          <w:spacing w:val="69"/>
        </w:rPr>
      </w:r>
      <w:r>
        <w:rPr>
          <w:spacing w:val="-3"/>
        </w:rPr>
        <w:t>议案；同日，公司召开第四届监事会第十五次会议，审议并通过了《关于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w:t>
      </w:r>
      <w:r>
        <w:rPr>
          <w:spacing w:val="74"/>
        </w:rPr>
        <w:t> </w:t>
      </w:r>
      <w:r>
        <w:rPr>
          <w:spacing w:val="74"/>
        </w:rPr>
      </w:r>
      <w:r>
        <w:rPr>
          <w:spacing w:val="-3"/>
        </w:rPr>
        <w:t>励计划（草案）</w:t>
      </w:r>
      <w:r>
        <w:rPr>
          <w:rFonts w:ascii="Times New Roman" w:hAnsi="Times New Roman" w:cs="Times New Roman" w:eastAsia="Times New Roman" w:hint="default"/>
          <w:spacing w:val="-3"/>
        </w:rPr>
        <w:t>&gt;</w:t>
      </w:r>
      <w:r>
        <w:rPr>
          <w:spacing w:val="-3"/>
        </w:rPr>
        <w:t>及其摘要的议案》、《关于核实</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年限制性股票激励计划激励对象名单</w:t>
      </w:r>
      <w:r>
        <w:rPr>
          <w:rFonts w:ascii="Times New Roman" w:hAnsi="Times New Roman" w:cs="Times New Roman" w:eastAsia="Times New Roman" w:hint="default"/>
          <w:spacing w:val="-3"/>
        </w:rPr>
        <w:t>&gt;</w:t>
      </w:r>
      <w:r>
        <w:rPr>
          <w:spacing w:val="-3"/>
        </w:rPr>
        <w:t>的</w:t>
      </w:r>
      <w:r>
        <w:rPr>
          <w:spacing w:val="50"/>
        </w:rPr>
        <w:t> </w:t>
      </w:r>
      <w:r>
        <w:rPr>
          <w:spacing w:val="-3"/>
        </w:rPr>
        <w:t>议案》和《关于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年限制性股票激励计划考核管理办法</w:t>
      </w:r>
      <w:r>
        <w:rPr>
          <w:rFonts w:ascii="Times New Roman" w:hAnsi="Times New Roman" w:cs="Times New Roman" w:eastAsia="Times New Roman" w:hint="default"/>
          <w:spacing w:val="-3"/>
        </w:rPr>
        <w:t>&gt;</w:t>
      </w:r>
      <w:r>
        <w:rPr>
          <w:spacing w:val="-3"/>
        </w:rPr>
        <w:t>的议案》。公司独立董事对上述事</w:t>
      </w:r>
      <w:r>
        <w:rPr>
          <w:spacing w:val="75"/>
        </w:rPr>
        <w:t> </w:t>
      </w:r>
      <w:r>
        <w:rPr>
          <w:spacing w:val="75"/>
        </w:rPr>
      </w:r>
      <w:r>
        <w:rPr>
          <w:spacing w:val="-3"/>
        </w:rPr>
        <w:t>项发表了一致同意的独立意见。</w:t>
      </w:r>
    </w:p>
    <w:p>
      <w:pPr>
        <w:pStyle w:val="BodyText"/>
        <w:spacing w:line="300" w:lineRule="auto" w:before="31"/>
        <w:ind w:right="1026"/>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24</w:t>
      </w:r>
      <w:r>
        <w:rPr>
          <w:spacing w:val="-3"/>
        </w:rPr>
        <w:t>日，公司召开第四届董事会第二十次会议，审议并通过了《关于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w:t>
      </w:r>
      <w:r>
        <w:rPr>
          <w:spacing w:val="-2"/>
        </w:rPr>
        <w:t> </w:t>
      </w:r>
      <w:r>
        <w:rPr>
          <w:spacing w:val="-2"/>
        </w:rPr>
      </w:r>
      <w:r>
        <w:rPr>
          <w:spacing w:val="-3"/>
        </w:rPr>
        <w:t>性股票激励计划（草案修订稿）</w:t>
      </w:r>
      <w:r>
        <w:rPr>
          <w:rFonts w:ascii="Times New Roman" w:hAnsi="Times New Roman" w:cs="Times New Roman" w:eastAsia="Times New Roman" w:hint="default"/>
          <w:spacing w:val="-3"/>
        </w:rPr>
        <w:t>&gt;</w:t>
      </w:r>
      <w:r>
        <w:rPr>
          <w:spacing w:val="-3"/>
        </w:rPr>
        <w:t>及其摘要的议案》；同日，公司召开第四届监事会第十六次会议，审议并通过了《关于</w:t>
      </w:r>
      <w:r>
        <w:rPr>
          <w:rFonts w:ascii="Times New Roman" w:hAnsi="Times New Roman" w:cs="Times New Roman" w:eastAsia="Times New Roman" w:hint="default"/>
          <w:spacing w:val="-3"/>
        </w:rPr>
        <w:t>&lt;</w:t>
      </w:r>
      <w:r>
        <w:rPr>
          <w:rFonts w:ascii="Times New Roman" w:hAnsi="Times New Roman" w:cs="Times New Roman" w:eastAsia="Times New Roman" w:hint="default"/>
          <w:spacing w:val="33"/>
        </w:rPr>
        <w:t> </w:t>
      </w:r>
      <w:r>
        <w:rPr>
          <w:spacing w:val="-3"/>
        </w:rPr>
        <w:t>江苏润和软件股份有限公司</w:t>
      </w:r>
      <w:r>
        <w:rPr>
          <w:rFonts w:ascii="Times New Roman" w:hAnsi="Times New Roman" w:cs="Times New Roman" w:eastAsia="Times New Roman" w:hint="default"/>
          <w:spacing w:val="-3"/>
        </w:rPr>
        <w:t>2014</w:t>
      </w:r>
      <w:r>
        <w:rPr>
          <w:spacing w:val="-3"/>
        </w:rPr>
        <w:t>年限制性股票激励计划（草案修订稿）</w:t>
      </w:r>
      <w:r>
        <w:rPr>
          <w:rFonts w:ascii="Times New Roman" w:hAnsi="Times New Roman" w:cs="Times New Roman" w:eastAsia="Times New Roman" w:hint="default"/>
          <w:spacing w:val="-3"/>
        </w:rPr>
        <w:t>&gt;</w:t>
      </w:r>
      <w:r>
        <w:rPr>
          <w:spacing w:val="-3"/>
        </w:rPr>
        <w:t>及其摘要的议案》和《关于核实</w:t>
      </w:r>
      <w:r>
        <w:rPr>
          <w:rFonts w:ascii="Times New Roman" w:hAnsi="Times New Roman" w:cs="Times New Roman" w:eastAsia="Times New Roman" w:hint="default"/>
          <w:spacing w:val="-3"/>
        </w:rPr>
        <w:t>&lt;</w:t>
      </w:r>
      <w:r>
        <w:rPr>
          <w:spacing w:val="-3"/>
        </w:rPr>
        <w:t>江苏润和软件股</w:t>
      </w:r>
      <w:r>
        <w:rPr>
          <w:spacing w:val="74"/>
        </w:rPr>
        <w:t> </w:t>
      </w:r>
      <w:r>
        <w:rPr>
          <w:spacing w:val="74"/>
        </w:rPr>
      </w:r>
      <w:r>
        <w:rPr>
          <w:spacing w:val="-3"/>
        </w:rPr>
        <w:t>份有限公司</w:t>
      </w:r>
      <w:r>
        <w:rPr>
          <w:rFonts w:ascii="Times New Roman" w:hAnsi="Times New Roman" w:cs="Times New Roman" w:eastAsia="Times New Roman" w:hint="default"/>
          <w:spacing w:val="-3"/>
        </w:rPr>
        <w:t>2014</w:t>
      </w:r>
      <w:r>
        <w:rPr>
          <w:spacing w:val="-3"/>
        </w:rPr>
        <w:t>年限制性股票激励计划激励对象名单（调整后）</w:t>
      </w:r>
      <w:r>
        <w:rPr>
          <w:rFonts w:ascii="Times New Roman" w:hAnsi="Times New Roman" w:cs="Times New Roman" w:eastAsia="Times New Roman" w:hint="default"/>
          <w:spacing w:val="-3"/>
        </w:rPr>
        <w:t>&gt;</w:t>
      </w:r>
      <w:r>
        <w:rPr>
          <w:spacing w:val="-3"/>
        </w:rPr>
        <w:t>的议案》。公司独立董事对上述事项发表了一致同意的独</w:t>
      </w:r>
      <w:r>
        <w:rPr>
          <w:spacing w:val="67"/>
        </w:rPr>
        <w:t> </w:t>
      </w:r>
      <w:r>
        <w:rPr>
          <w:spacing w:val="67"/>
        </w:rPr>
      </w:r>
      <w:r>
        <w:rPr/>
        <w:t>立意见。</w:t>
      </w:r>
    </w:p>
    <w:p>
      <w:pPr>
        <w:pStyle w:val="BodyText"/>
        <w:spacing w:line="300" w:lineRule="auto" w:before="31"/>
        <w:ind w:right="1122"/>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9</w:t>
      </w:r>
      <w:r>
        <w:rPr>
          <w:spacing w:val="-3"/>
        </w:rPr>
        <w:t>日，公司向中国证监会报送《关于限制性股票激励计划备案申请文件》，并于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5</w:t>
      </w:r>
      <w:r>
        <w:rPr>
          <w:spacing w:val="-3"/>
        </w:rPr>
        <w:t>日获悉中国证</w:t>
      </w:r>
      <w:r>
        <w:rPr>
          <w:spacing w:val="4"/>
        </w:rPr>
        <w:t> </w:t>
      </w:r>
      <w:r>
        <w:rPr>
          <w:spacing w:val="4"/>
        </w:rPr>
      </w:r>
      <w:r>
        <w:rPr>
          <w:spacing w:val="-4"/>
        </w:rPr>
        <w:t>监会对限制性股票激励计划确认无异议并进行了备案，同日公司对外披露了《关于</w:t>
      </w:r>
      <w:r>
        <w:rPr>
          <w:rFonts w:ascii="Times New Roman" w:hAnsi="Times New Roman" w:cs="Times New Roman" w:eastAsia="Times New Roman" w:hint="default"/>
          <w:spacing w:val="-4"/>
        </w:rPr>
        <w:t>2014</w:t>
      </w:r>
      <w:r>
        <w:rPr>
          <w:spacing w:val="-4"/>
        </w:rPr>
        <w:t>年限制性股票激励计划获得中国证监</w:t>
      </w:r>
      <w:r>
        <w:rPr>
          <w:spacing w:val="51"/>
        </w:rPr>
        <w:t> </w:t>
      </w:r>
      <w:r>
        <w:rPr>
          <w:spacing w:val="51"/>
        </w:rPr>
      </w:r>
      <w:r>
        <w:rPr/>
        <w:t>会备案无异议公告》。</w:t>
      </w:r>
    </w:p>
    <w:p>
      <w:pPr>
        <w:pStyle w:val="BodyText"/>
        <w:spacing w:line="300" w:lineRule="auto" w:before="31"/>
        <w:ind w:right="1026"/>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日，公司召开</w:t>
      </w:r>
      <w:r>
        <w:rPr>
          <w:rFonts w:ascii="Times New Roman" w:hAnsi="Times New Roman" w:cs="Times New Roman" w:eastAsia="Times New Roman" w:hint="default"/>
          <w:spacing w:val="-3"/>
        </w:rPr>
        <w:t>2014</w:t>
      </w:r>
      <w:r>
        <w:rPr>
          <w:spacing w:val="-3"/>
        </w:rPr>
        <w:t>年第五次临时股东大会，审议并通过了《关于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w:t>
      </w:r>
      <w:r>
        <w:rPr>
          <w:spacing w:val="8"/>
        </w:rPr>
        <w:t> </w:t>
      </w:r>
      <w:r>
        <w:rPr>
          <w:spacing w:val="-3"/>
        </w:rPr>
        <w:t>制性股票激励计划（草案修订稿）</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年限制性股票激励计划考</w:t>
      </w:r>
      <w:r>
        <w:rPr>
          <w:spacing w:val="74"/>
        </w:rPr>
        <w:t> </w:t>
      </w:r>
      <w:r>
        <w:rPr>
          <w:spacing w:val="74"/>
        </w:rPr>
      </w:r>
      <w:r>
        <w:rPr>
          <w:spacing w:val="-3"/>
        </w:rPr>
        <w:t>核管理办法</w:t>
      </w:r>
      <w:r>
        <w:rPr>
          <w:rFonts w:ascii="Times New Roman" w:hAnsi="Times New Roman" w:cs="Times New Roman" w:eastAsia="Times New Roman" w:hint="default"/>
          <w:spacing w:val="-3"/>
        </w:rPr>
        <w:t>&gt;</w:t>
      </w:r>
      <w:r>
        <w:rPr>
          <w:spacing w:val="-3"/>
        </w:rPr>
        <w:t>的议案》、《关于提请股东大会授权董事会办理公司</w:t>
      </w:r>
      <w:r>
        <w:rPr>
          <w:rFonts w:ascii="Times New Roman" w:hAnsi="Times New Roman" w:cs="Times New Roman" w:eastAsia="Times New Roman" w:hint="default"/>
          <w:spacing w:val="-3"/>
        </w:rPr>
        <w:t>2014</w:t>
      </w:r>
      <w:r>
        <w:rPr>
          <w:spacing w:val="-3"/>
        </w:rPr>
        <w:t>年限制性股票激励计划相关事宜的议案》等本次激励</w:t>
      </w:r>
      <w:r>
        <w:rPr>
          <w:spacing w:val="68"/>
        </w:rPr>
        <w:t> </w:t>
      </w:r>
      <w:r>
        <w:rPr>
          <w:spacing w:val="68"/>
        </w:rPr>
      </w:r>
      <w:r>
        <w:rPr>
          <w:spacing w:val="-3"/>
        </w:rPr>
        <w:t>计划相关议案。</w:t>
      </w:r>
    </w:p>
    <w:p>
      <w:pPr>
        <w:pStyle w:val="BodyText"/>
        <w:spacing w:line="307" w:lineRule="auto" w:before="32"/>
        <w:ind w:right="1122"/>
        <w:jc w:val="both"/>
      </w:pPr>
      <w:r>
        <w:rPr>
          <w:spacing w:val="-4"/>
        </w:rPr>
        <w:t>（</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9</w:t>
      </w:r>
      <w:r>
        <w:rPr>
          <w:spacing w:val="-4"/>
        </w:rPr>
        <w:t>日，公司召开第四届董事会第二十三次会议，审议并通过了《关于调整公司</w:t>
      </w:r>
      <w:r>
        <w:rPr>
          <w:rFonts w:ascii="Times New Roman" w:hAnsi="Times New Roman" w:cs="Times New Roman" w:eastAsia="Times New Roman" w:hint="default"/>
          <w:spacing w:val="-4"/>
        </w:rPr>
        <w:t>2014</w:t>
      </w:r>
      <w:r>
        <w:rPr>
          <w:spacing w:val="-4"/>
        </w:rPr>
        <w:t>年限制性股票激励计划授</w:t>
      </w:r>
      <w:r>
        <w:rPr>
          <w:spacing w:val="64"/>
        </w:rPr>
        <w:t> </w:t>
      </w:r>
      <w:r>
        <w:rPr>
          <w:spacing w:val="64"/>
        </w:rPr>
      </w:r>
      <w:r>
        <w:rPr>
          <w:spacing w:val="-4"/>
        </w:rPr>
        <w:t>予对象和授予数量的议案》和《关于向激励对象授予限制性股票的议案》；同日，公司召开第四届监事会第十九次会议，审</w:t>
      </w:r>
      <w:r>
        <w:rPr>
          <w:spacing w:val="40"/>
        </w:rPr>
        <w:t> </w:t>
      </w:r>
      <w:r>
        <w:rPr>
          <w:spacing w:val="40"/>
        </w:rPr>
      </w:r>
      <w:r>
        <w:rPr>
          <w:spacing w:val="-4"/>
        </w:rPr>
        <w:t>议并通过了《关于调整公司</w:t>
      </w:r>
      <w:r>
        <w:rPr>
          <w:rFonts w:ascii="Times New Roman" w:hAnsi="Times New Roman" w:cs="Times New Roman" w:eastAsia="Times New Roman" w:hint="default"/>
          <w:spacing w:val="-4"/>
        </w:rPr>
        <w:t>2014</w:t>
      </w:r>
      <w:r>
        <w:rPr>
          <w:spacing w:val="-4"/>
        </w:rPr>
        <w:t>年限制性股票激励计划授予对象和授予数量的议案》。公司独立董事对上述事项发表了一致</w:t>
      </w:r>
      <w:r>
        <w:rPr>
          <w:spacing w:val="50"/>
        </w:rPr>
        <w:t> </w:t>
      </w:r>
      <w:r>
        <w:rPr>
          <w:spacing w:val="50"/>
        </w:rPr>
      </w:r>
      <w:r>
        <w:rPr/>
        <w:t>同意的独立意见。</w:t>
      </w:r>
    </w:p>
    <w:p>
      <w:pPr>
        <w:pStyle w:val="BodyText"/>
        <w:spacing w:line="300" w:lineRule="auto" w:before="26"/>
        <w:ind w:right="1122"/>
        <w:jc w:val="both"/>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日，公司召开第四届董事会第二十四次会议，审议并通过了《关于调整公司</w:t>
      </w:r>
      <w:r>
        <w:rPr>
          <w:rFonts w:ascii="Times New Roman" w:hAnsi="Times New Roman" w:cs="Times New Roman" w:eastAsia="Times New Roman" w:hint="default"/>
          <w:spacing w:val="-3"/>
        </w:rPr>
        <w:t>2014</w:t>
      </w:r>
      <w:r>
        <w:rPr>
          <w:spacing w:val="-3"/>
        </w:rPr>
        <w:t>年限制性股票激励计划</w:t>
      </w:r>
      <w:r>
        <w:rPr>
          <w:spacing w:val="1"/>
        </w:rPr>
        <w:t> </w:t>
      </w:r>
      <w:r>
        <w:rPr>
          <w:spacing w:val="1"/>
        </w:rPr>
      </w:r>
      <w:r>
        <w:rPr>
          <w:spacing w:val="-4"/>
        </w:rPr>
        <w:t>授予对象和授予数量的议案》；同日，公司召开第四届监事会第二十次会议，审议并通过了《关于调整公司</w:t>
      </w:r>
      <w:r>
        <w:rPr>
          <w:rFonts w:ascii="Times New Roman" w:hAnsi="Times New Roman" w:cs="Times New Roman" w:eastAsia="Times New Roman" w:hint="default"/>
          <w:spacing w:val="-4"/>
        </w:rPr>
        <w:t>2014</w:t>
      </w:r>
      <w:r>
        <w:rPr>
          <w:spacing w:val="-4"/>
        </w:rPr>
        <w:t>年限制性股</w:t>
      </w:r>
      <w:r>
        <w:rPr>
          <w:spacing w:val="48"/>
        </w:rPr>
        <w:t> </w:t>
      </w:r>
      <w:r>
        <w:rPr>
          <w:spacing w:val="48"/>
        </w:rPr>
      </w:r>
      <w:r>
        <w:rPr>
          <w:spacing w:val="-3"/>
        </w:rPr>
        <w:t>票激励计划授予对象和授予数量的议案》。公司独立董事对上述事项发表了一致同意的独立意见。</w:t>
      </w:r>
    </w:p>
    <w:p>
      <w:pPr>
        <w:pStyle w:val="BodyText"/>
        <w:spacing w:line="300" w:lineRule="auto" w:before="31"/>
        <w:ind w:right="1122"/>
        <w:jc w:val="both"/>
      </w:pPr>
      <w:r>
        <w:rPr>
          <w:spacing w:val="-4"/>
        </w:rPr>
        <w:t>（</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日，公司完成了</w:t>
      </w:r>
      <w:r>
        <w:rPr>
          <w:rFonts w:ascii="Times New Roman" w:hAnsi="Times New Roman" w:cs="Times New Roman" w:eastAsia="Times New Roman" w:hint="default"/>
          <w:spacing w:val="-4"/>
        </w:rPr>
        <w:t>2014</w:t>
      </w:r>
      <w:r>
        <w:rPr>
          <w:spacing w:val="-4"/>
        </w:rPr>
        <w:t>年限制性股票的首次授予登记工作。首次授予股票</w:t>
      </w:r>
      <w:r>
        <w:rPr>
          <w:rFonts w:ascii="Times New Roman" w:hAnsi="Times New Roman" w:cs="Times New Roman" w:eastAsia="Times New Roman" w:hint="default"/>
          <w:spacing w:val="-4"/>
        </w:rPr>
        <w:t>1,095.00</w:t>
      </w:r>
      <w:r>
        <w:rPr>
          <w:spacing w:val="-4"/>
        </w:rPr>
        <w:t>万股，占激励计划草案摘</w:t>
      </w:r>
      <w:r>
        <w:rPr>
          <w:spacing w:val="-1"/>
        </w:rPr>
        <w:t> </w:t>
      </w:r>
      <w:r>
        <w:rPr>
          <w:spacing w:val="-1"/>
        </w:rPr>
      </w:r>
      <w:r>
        <w:rPr>
          <w:spacing w:val="-3"/>
        </w:rPr>
        <w:t>要公告日公司股本总数的</w:t>
      </w:r>
      <w:r>
        <w:rPr>
          <w:rFonts w:ascii="Times New Roman" w:hAnsi="Times New Roman" w:cs="Times New Roman" w:eastAsia="Times New Roman" w:hint="default"/>
          <w:spacing w:val="-3"/>
        </w:rPr>
        <w:t>4.00%</w:t>
      </w:r>
      <w:r>
        <w:rPr>
          <w:spacing w:val="-3"/>
        </w:rPr>
        <w:t>，首次授予的激励对象共计</w:t>
      </w:r>
      <w:r>
        <w:rPr>
          <w:rFonts w:ascii="Times New Roman" w:hAnsi="Times New Roman" w:cs="Times New Roman" w:eastAsia="Times New Roman" w:hint="default"/>
          <w:spacing w:val="-3"/>
        </w:rPr>
        <w:t>300</w:t>
      </w:r>
      <w:r>
        <w:rPr>
          <w:spacing w:val="-3"/>
        </w:rPr>
        <w:t>人，授予价格</w:t>
      </w:r>
      <w:r>
        <w:rPr>
          <w:rFonts w:ascii="Times New Roman" w:hAnsi="Times New Roman" w:cs="Times New Roman" w:eastAsia="Times New Roman" w:hint="default"/>
          <w:spacing w:val="-3"/>
        </w:rPr>
        <w:t>9.99</w:t>
      </w:r>
      <w:r>
        <w:rPr>
          <w:spacing w:val="-3"/>
        </w:rPr>
        <w:t>元</w:t>
      </w:r>
      <w:r>
        <w:rPr>
          <w:rFonts w:ascii="Times New Roman" w:hAnsi="Times New Roman" w:cs="Times New Roman" w:eastAsia="Times New Roman" w:hint="default"/>
          <w:spacing w:val="-3"/>
        </w:rPr>
        <w:t>/</w:t>
      </w:r>
      <w:r>
        <w:rPr>
          <w:spacing w:val="-3"/>
        </w:rPr>
        <w:t>股，授予日为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日，首次授予</w:t>
      </w:r>
      <w:r>
        <w:rPr>
          <w:spacing w:val="-1"/>
        </w:rPr>
        <w:t> </w:t>
      </w:r>
      <w:r>
        <w:rPr>
          <w:spacing w:val="-1"/>
        </w:rPr>
      </w:r>
      <w:r>
        <w:rPr/>
        <w:t>股份的上市日期为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04" w:lineRule="auto" w:before="13"/>
        <w:ind w:right="0"/>
        <w:jc w:val="left"/>
      </w:pPr>
      <w:r>
        <w:rPr>
          <w:spacing w:val="-4"/>
        </w:rPr>
        <w:t>（</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17</w:t>
      </w:r>
      <w:r>
        <w:rPr>
          <w:spacing w:val="-4"/>
        </w:rPr>
        <w:t>日，公司召开第四届董事会第三十二次会议，审议并通过了《关于回购注销</w:t>
      </w:r>
      <w:r>
        <w:rPr>
          <w:rFonts w:ascii="Times New Roman" w:hAnsi="Times New Roman" w:cs="Times New Roman" w:eastAsia="Times New Roman" w:hint="default"/>
          <w:spacing w:val="-4"/>
        </w:rPr>
        <w:t>2014</w:t>
      </w:r>
      <w:r>
        <w:rPr>
          <w:spacing w:val="-4"/>
        </w:rPr>
        <w:t>年限制性股票激励计划部</w:t>
      </w:r>
      <w:r>
        <w:rPr>
          <w:spacing w:val="64"/>
        </w:rPr>
        <w:t> </w:t>
      </w:r>
      <w:r>
        <w:rPr>
          <w:spacing w:val="64"/>
        </w:rPr>
      </w:r>
      <w:r>
        <w:rPr>
          <w:spacing w:val="-4"/>
        </w:rPr>
        <w:t>分已获授但尚未解锁的限制性股票的议案》。鉴于公司《激励计划（草案修订稿）》原激励对象张传位、范蕾、孙明志、王</w:t>
      </w:r>
      <w:r>
        <w:rPr>
          <w:spacing w:val="40"/>
        </w:rPr>
        <w:t> </w:t>
      </w:r>
      <w:r>
        <w:rPr>
          <w:spacing w:val="40"/>
        </w:rPr>
      </w:r>
      <w:r>
        <w:rPr>
          <w:spacing w:val="-4"/>
        </w:rPr>
        <w:t>继伟、王莹、顾进峰、蒋新星、吴茵、戴岱、涂庆红、陈立菲共计</w:t>
      </w:r>
      <w:r>
        <w:rPr>
          <w:rFonts w:ascii="Times New Roman" w:hAnsi="Times New Roman" w:cs="Times New Roman" w:eastAsia="Times New Roman" w:hint="default"/>
          <w:spacing w:val="-4"/>
        </w:rPr>
        <w:t>11</w:t>
      </w:r>
      <w:r>
        <w:rPr>
          <w:spacing w:val="-4"/>
        </w:rPr>
        <w:t>人已离职，根据《激励计划（草案修订稿）》的规定和</w:t>
      </w:r>
      <w:r>
        <w:rPr>
          <w:spacing w:val="39"/>
        </w:rPr>
        <w:t> </w:t>
      </w:r>
      <w:r>
        <w:rPr>
          <w:spacing w:val="39"/>
        </w:rPr>
      </w:r>
      <w:r>
        <w:rPr>
          <w:spacing w:val="-3"/>
        </w:rPr>
        <w:t>股东大会的授权，公司董事会同意取消上述</w:t>
      </w:r>
      <w:r>
        <w:rPr>
          <w:rFonts w:ascii="Times New Roman" w:hAnsi="Times New Roman" w:cs="Times New Roman" w:eastAsia="Times New Roman" w:hint="default"/>
          <w:spacing w:val="-3"/>
        </w:rPr>
        <w:t>11</w:t>
      </w:r>
      <w:r>
        <w:rPr>
          <w:spacing w:val="-3"/>
        </w:rPr>
        <w:t>人的激励对象资格并回购注销其已获授权但尚未解锁的全部限制性股票共计</w:t>
      </w:r>
      <w:r>
        <w:rPr>
          <w:spacing w:val="70"/>
        </w:rPr>
        <w:t> </w:t>
      </w:r>
      <w:r>
        <w:rPr>
          <w:spacing w:val="70"/>
        </w:rPr>
      </w:r>
      <w:r>
        <w:rPr>
          <w:rFonts w:ascii="Times New Roman" w:hAnsi="Times New Roman" w:cs="Times New Roman" w:eastAsia="Times New Roman" w:hint="default"/>
          <w:spacing w:val="-3"/>
        </w:rPr>
        <w:t>185,000</w:t>
      </w:r>
      <w:r>
        <w:rPr>
          <w:spacing w:val="-3"/>
        </w:rPr>
        <w:t>股。监事会对已不符合公司限制性股票激励计划规定的激励对象及回购注销的限制性股票数量、价格进行了审核，</w:t>
      </w:r>
      <w:r>
        <w:rPr>
          <w:spacing w:val="80"/>
        </w:rPr>
        <w:t> </w:t>
      </w:r>
      <w:r>
        <w:rPr>
          <w:spacing w:val="80"/>
        </w:rPr>
      </w:r>
      <w:r>
        <w:rPr>
          <w:spacing w:val="-3"/>
        </w:rPr>
        <w:t>同意回购注销</w:t>
      </w:r>
      <w:r>
        <w:rPr>
          <w:rFonts w:ascii="Times New Roman" w:hAnsi="Times New Roman" w:cs="Times New Roman" w:eastAsia="Times New Roman" w:hint="default"/>
          <w:spacing w:val="-3"/>
        </w:rPr>
        <w:t>185,000</w:t>
      </w:r>
      <w:r>
        <w:rPr>
          <w:spacing w:val="-3"/>
        </w:rPr>
        <w:t>股限制性股票。公司独立董事对此发表了独立意见，律师出具了法律意见书。</w:t>
      </w:r>
    </w:p>
    <w:p>
      <w:pPr>
        <w:pStyle w:val="BodyText"/>
        <w:spacing w:line="300" w:lineRule="auto" w:before="9"/>
        <w:ind w:right="1016"/>
        <w:jc w:val="left"/>
      </w:pPr>
      <w:r>
        <w:rPr>
          <w:spacing w:val="-8"/>
          <w:w w:val="101"/>
        </w:rPr>
        <w:t>（</w:t>
      </w:r>
      <w:r>
        <w:rPr>
          <w:rFonts w:ascii="Times New Roman" w:hAnsi="Times New Roman" w:cs="Times New Roman" w:eastAsia="Times New Roman" w:hint="default"/>
          <w:spacing w:val="-8"/>
          <w:w w:val="101"/>
        </w:rPr>
        <w:t>9</w:t>
      </w:r>
      <w:r>
        <w:rPr>
          <w:spacing w:val="-8"/>
          <w:w w:val="101"/>
        </w:rPr>
        <w:t>）</w:t>
      </w:r>
      <w:r>
        <w:rPr>
          <w:rFonts w:ascii="Times New Roman" w:hAnsi="Times New Roman" w:cs="Times New Roman" w:eastAsia="Times New Roman" w:hint="default"/>
          <w:spacing w:val="-8"/>
          <w:w w:val="101"/>
        </w:rPr>
        <w:t>2015</w:t>
      </w:r>
      <w:r>
        <w:rPr>
          <w:spacing w:val="-8"/>
          <w:w w:val="101"/>
        </w:rPr>
        <w:t>年</w:t>
      </w:r>
      <w:r>
        <w:rPr>
          <w:rFonts w:ascii="Times New Roman" w:hAnsi="Times New Roman" w:cs="Times New Roman" w:eastAsia="Times New Roman" w:hint="default"/>
          <w:spacing w:val="-8"/>
          <w:w w:val="101"/>
        </w:rPr>
        <w:t>11</w:t>
      </w:r>
      <w:r>
        <w:rPr>
          <w:spacing w:val="-8"/>
          <w:w w:val="101"/>
        </w:rPr>
        <w:t>月</w:t>
      </w:r>
      <w:r>
        <w:rPr>
          <w:rFonts w:ascii="Times New Roman" w:hAnsi="Times New Roman" w:cs="Times New Roman" w:eastAsia="Times New Roman" w:hint="default"/>
          <w:spacing w:val="-8"/>
          <w:w w:val="101"/>
        </w:rPr>
        <w:t>9</w:t>
      </w:r>
      <w:r>
        <w:rPr>
          <w:spacing w:val="-8"/>
          <w:w w:val="101"/>
        </w:rPr>
        <w:t>日，公司召开第四届董事会第三十七次会议，审议并通过了《关于向激励对象授予预留限制性股票的议案》；</w:t>
      </w:r>
      <w:r>
        <w:rPr>
          <w:w w:val="101"/>
        </w:rPr>
        <w:t> </w:t>
      </w:r>
      <w:r>
        <w:rPr>
          <w:spacing w:val="-3"/>
        </w:rPr>
        <w:t>同日，公司召开第四届监事会第二十六次会议，审议并通过了《关于核实</w:t>
      </w:r>
      <w:r>
        <w:rPr>
          <w:rFonts w:ascii="Times New Roman" w:hAnsi="Times New Roman" w:cs="Times New Roman" w:eastAsia="Times New Roman" w:hint="default"/>
          <w:spacing w:val="-3"/>
        </w:rPr>
        <w:t>&lt;</w:t>
      </w:r>
      <w:r>
        <w:rPr>
          <w:spacing w:val="-3"/>
        </w:rPr>
        <w:t>江苏润和软件股份有限公司</w:t>
      </w:r>
      <w:r>
        <w:rPr>
          <w:rFonts w:ascii="Times New Roman" w:hAnsi="Times New Roman" w:cs="Times New Roman" w:eastAsia="Times New Roman" w:hint="default"/>
          <w:spacing w:val="-3"/>
        </w:rPr>
        <w:t>2014</w:t>
      </w:r>
      <w:r>
        <w:rPr>
          <w:spacing w:val="-3"/>
        </w:rPr>
        <w:t>年限制性股票激</w:t>
      </w:r>
      <w:r>
        <w:rPr>
          <w:spacing w:val="73"/>
        </w:rPr>
        <w:t> </w:t>
      </w:r>
      <w:r>
        <w:rPr>
          <w:spacing w:val="73"/>
        </w:rPr>
      </w:r>
      <w:r>
        <w:rPr>
          <w:spacing w:val="-3"/>
        </w:rPr>
        <w:t>励计划预留股票激励对象名单</w:t>
      </w:r>
      <w:r>
        <w:rPr>
          <w:rFonts w:ascii="Times New Roman" w:hAnsi="Times New Roman" w:cs="Times New Roman" w:eastAsia="Times New Roman" w:hint="default"/>
          <w:spacing w:val="-3"/>
        </w:rPr>
        <w:t>&gt;</w:t>
      </w:r>
      <w:r>
        <w:rPr>
          <w:spacing w:val="-3"/>
        </w:rPr>
        <w:t>的议案》。公司独立董事对上述事项发表了一致同意的独立意见。</w:t>
      </w:r>
    </w:p>
    <w:p>
      <w:pPr>
        <w:pStyle w:val="BodyText"/>
        <w:spacing w:line="300" w:lineRule="auto" w:before="13"/>
        <w:ind w:right="0"/>
        <w:jc w:val="left"/>
      </w:pPr>
      <w:r>
        <w:rPr>
          <w:spacing w:val="-4"/>
        </w:rPr>
        <w:t>（</w:t>
      </w: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15</w:t>
      </w:r>
      <w:r>
        <w:rPr>
          <w:spacing w:val="-4"/>
        </w:rPr>
        <w:t>日，公司召开第四届董事会第三十九次会议，审议并通过了《关于回购注销</w:t>
      </w:r>
      <w:r>
        <w:rPr>
          <w:rFonts w:ascii="Times New Roman" w:hAnsi="Times New Roman" w:cs="Times New Roman" w:eastAsia="Times New Roman" w:hint="default"/>
          <w:spacing w:val="-4"/>
        </w:rPr>
        <w:t>2014</w:t>
      </w:r>
      <w:r>
        <w:rPr>
          <w:spacing w:val="-4"/>
        </w:rPr>
        <w:t>年限制性股票激励计划</w:t>
      </w:r>
      <w:r>
        <w:rPr>
          <w:spacing w:val="69"/>
        </w:rPr>
        <w:t> </w:t>
      </w:r>
      <w:r>
        <w:rPr>
          <w:spacing w:val="69"/>
        </w:rPr>
      </w:r>
      <w:r>
        <w:rPr>
          <w:spacing w:val="-3"/>
        </w:rPr>
        <w:t>部分已获授但尚未解锁的限制性股票的议案》和《关于</w:t>
      </w:r>
      <w:r>
        <w:rPr>
          <w:rFonts w:ascii="Times New Roman" w:hAnsi="Times New Roman" w:cs="Times New Roman" w:eastAsia="Times New Roman" w:hint="default"/>
          <w:spacing w:val="-3"/>
        </w:rPr>
        <w:t>2014</w:t>
      </w:r>
      <w:r>
        <w:rPr>
          <w:spacing w:val="-3"/>
        </w:rPr>
        <w:t>年限制性股票激励计划第一个解锁期条件成就可解锁的议案》。</w:t>
      </w:r>
      <w:r>
        <w:rPr>
          <w:spacing w:val="72"/>
        </w:rPr>
        <w:t> </w:t>
      </w:r>
      <w:r>
        <w:rPr>
          <w:spacing w:val="72"/>
        </w:rPr>
      </w:r>
      <w:r>
        <w:rPr>
          <w:spacing w:val="-3"/>
        </w:rPr>
        <w:t>鉴于公司《激励计划（草案修订稿）》原激励对象杨凡、张峥、韩孝阳、邓一波共计</w:t>
      </w:r>
      <w:r>
        <w:rPr>
          <w:rFonts w:ascii="Times New Roman" w:hAnsi="Times New Roman" w:cs="Times New Roman" w:eastAsia="Times New Roman" w:hint="default"/>
          <w:spacing w:val="-3"/>
        </w:rPr>
        <w:t>4</w:t>
      </w:r>
      <w:r>
        <w:rPr>
          <w:spacing w:val="-3"/>
        </w:rPr>
        <w:t>人因个人原因已离职，原激励对象杨</w:t>
      </w:r>
      <w:r>
        <w:rPr>
          <w:spacing w:val="72"/>
        </w:rPr>
        <w:t> </w:t>
      </w:r>
      <w:r>
        <w:rPr>
          <w:spacing w:val="72"/>
        </w:rPr>
      </w:r>
      <w:r>
        <w:rPr>
          <w:spacing w:val="-3"/>
        </w:rPr>
        <w:t>斌与公司协商解除劳动合同，激励对象强征因在第一个解锁期的个人绩效考核结果为</w:t>
      </w:r>
      <w:r>
        <w:rPr>
          <w:rFonts w:ascii="Times New Roman" w:hAnsi="Times New Roman" w:cs="Times New Roman" w:eastAsia="Times New Roman" w:hint="default"/>
          <w:spacing w:val="-3"/>
        </w:rPr>
        <w:t>E</w:t>
      </w:r>
      <w:r>
        <w:rPr>
          <w:spacing w:val="-3"/>
        </w:rPr>
        <w:t>，根据《激励计划（草案修订稿）》</w:t>
      </w:r>
      <w:r>
        <w:rPr>
          <w:spacing w:val="65"/>
        </w:rPr>
        <w:t> </w:t>
      </w:r>
      <w:r>
        <w:rPr>
          <w:spacing w:val="65"/>
        </w:rPr>
      </w:r>
      <w:r>
        <w:rPr>
          <w:spacing w:val="-4"/>
        </w:rPr>
        <w:t>的规定和股东大会的授权，公司董事会同意：（</w:t>
      </w:r>
      <w:r>
        <w:rPr>
          <w:rFonts w:ascii="Times New Roman" w:hAnsi="Times New Roman" w:cs="Times New Roman" w:eastAsia="Times New Roman" w:hint="default"/>
          <w:spacing w:val="-4"/>
        </w:rPr>
        <w:t>1</w:t>
      </w:r>
      <w:r>
        <w:rPr>
          <w:spacing w:val="-4"/>
        </w:rPr>
        <w:t>）取消杨凡、张峥、韩孝阳、邓一波</w:t>
      </w:r>
      <w:r>
        <w:rPr>
          <w:rFonts w:ascii="Times New Roman" w:hAnsi="Times New Roman" w:cs="Times New Roman" w:eastAsia="Times New Roman" w:hint="default"/>
          <w:spacing w:val="-4"/>
        </w:rPr>
        <w:t>4</w:t>
      </w:r>
      <w:r>
        <w:rPr>
          <w:spacing w:val="-4"/>
        </w:rPr>
        <w:t>人的激励对象资格并回购注销其已获</w:t>
      </w:r>
      <w:r>
        <w:rPr>
          <w:spacing w:val="45"/>
        </w:rPr>
        <w:t> </w:t>
      </w:r>
      <w:r>
        <w:rPr>
          <w:spacing w:val="45"/>
        </w:rPr>
      </w:r>
      <w:r>
        <w:rPr>
          <w:spacing w:val="-3"/>
        </w:rPr>
        <w:t>授权但尚未解锁的全部限制性股票共计</w:t>
      </w:r>
      <w:r>
        <w:rPr>
          <w:rFonts w:ascii="Times New Roman" w:hAnsi="Times New Roman" w:cs="Times New Roman" w:eastAsia="Times New Roman" w:hint="default"/>
          <w:spacing w:val="-3"/>
        </w:rPr>
        <w:t>60,000</w:t>
      </w:r>
      <w:r>
        <w:rPr>
          <w:spacing w:val="-3"/>
        </w:rPr>
        <w:t>股；（</w:t>
      </w:r>
      <w:r>
        <w:rPr>
          <w:rFonts w:ascii="Times New Roman" w:hAnsi="Times New Roman" w:cs="Times New Roman" w:eastAsia="Times New Roman" w:hint="default"/>
          <w:spacing w:val="-3"/>
        </w:rPr>
        <w:t>2</w:t>
      </w:r>
      <w:r>
        <w:rPr>
          <w:spacing w:val="-3"/>
        </w:rPr>
        <w:t>）将激励对象杨斌已满足解锁条件的</w:t>
      </w:r>
      <w:r>
        <w:rPr>
          <w:rFonts w:ascii="Times New Roman" w:hAnsi="Times New Roman" w:cs="Times New Roman" w:eastAsia="Times New Roman" w:hint="default"/>
          <w:spacing w:val="-3"/>
        </w:rPr>
        <w:t>3,000</w:t>
      </w:r>
      <w:r>
        <w:rPr>
          <w:spacing w:val="-3"/>
        </w:rPr>
        <w:t>股限制性股票根据考核结果</w:t>
      </w:r>
      <w:r>
        <w:rPr/>
        <w:t> </w:t>
      </w:r>
      <w:r>
        <w:rPr/>
      </w:r>
      <w:r>
        <w:rPr>
          <w:spacing w:val="-3"/>
        </w:rPr>
        <w:t>解锁，并将其剩余</w:t>
      </w:r>
      <w:r>
        <w:rPr>
          <w:rFonts w:ascii="Times New Roman" w:hAnsi="Times New Roman" w:cs="Times New Roman" w:eastAsia="Times New Roman" w:hint="default"/>
          <w:spacing w:val="-3"/>
        </w:rPr>
        <w:t>7,000</w:t>
      </w:r>
      <w:r>
        <w:rPr>
          <w:spacing w:val="-3"/>
        </w:rPr>
        <w:t>股已获授权但尚未解锁的限制性股票由公司回购后予以注销；（</w:t>
      </w:r>
      <w:r>
        <w:rPr>
          <w:rFonts w:ascii="Times New Roman" w:hAnsi="Times New Roman" w:cs="Times New Roman" w:eastAsia="Times New Roman" w:hint="default"/>
          <w:spacing w:val="-3"/>
        </w:rPr>
        <w:t>3</w:t>
      </w:r>
      <w:r>
        <w:rPr>
          <w:spacing w:val="-3"/>
        </w:rPr>
        <w:t>）将激励对象强征已获授但尚未解</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32"/>
        <w:jc w:val="both"/>
      </w:pPr>
      <w:r>
        <w:rPr>
          <w:spacing w:val="-3"/>
        </w:rPr>
        <w:t>锁的</w:t>
      </w:r>
      <w:r>
        <w:rPr>
          <w:rFonts w:ascii="Times New Roman" w:hAnsi="Times New Roman" w:cs="Times New Roman" w:eastAsia="Times New Roman" w:hint="default"/>
          <w:spacing w:val="-3"/>
        </w:rPr>
        <w:t>2014</w:t>
      </w:r>
      <w:r>
        <w:rPr>
          <w:spacing w:val="-3"/>
        </w:rPr>
        <w:t>年限制性股票</w:t>
      </w:r>
      <w:r>
        <w:rPr>
          <w:rFonts w:ascii="Times New Roman" w:hAnsi="Times New Roman" w:cs="Times New Roman" w:eastAsia="Times New Roman" w:hint="default"/>
          <w:spacing w:val="-3"/>
        </w:rPr>
        <w:t>7,500</w:t>
      </w:r>
      <w:r>
        <w:rPr>
          <w:spacing w:val="-3"/>
        </w:rPr>
        <w:t>股进行回购注销；（</w:t>
      </w:r>
      <w:r>
        <w:rPr>
          <w:rFonts w:ascii="Times New Roman" w:hAnsi="Times New Roman" w:cs="Times New Roman" w:eastAsia="Times New Roman" w:hint="default"/>
          <w:spacing w:val="-3"/>
        </w:rPr>
        <w:t>4</w:t>
      </w:r>
      <w:r>
        <w:rPr>
          <w:spacing w:val="-3"/>
        </w:rPr>
        <w:t>）其余</w:t>
      </w:r>
      <w:r>
        <w:rPr>
          <w:rFonts w:ascii="Times New Roman" w:hAnsi="Times New Roman" w:cs="Times New Roman" w:eastAsia="Times New Roman" w:hint="default"/>
          <w:spacing w:val="-3"/>
        </w:rPr>
        <w:t>284</w:t>
      </w:r>
      <w:r>
        <w:rPr>
          <w:spacing w:val="-3"/>
        </w:rPr>
        <w:t>名激励对象在第一个解锁期的个人绩效考核结果均达到完全解</w:t>
      </w:r>
      <w:r>
        <w:rPr/>
        <w:t> </w:t>
      </w:r>
      <w:r>
        <w:rPr/>
      </w:r>
      <w:r>
        <w:rPr>
          <w:spacing w:val="-3"/>
        </w:rPr>
        <w:t>锁条件，可解锁激励对象的主体资格合法、有效，同意公司对</w:t>
      </w:r>
      <w:r>
        <w:rPr>
          <w:rFonts w:ascii="Times New Roman" w:hAnsi="Times New Roman" w:cs="Times New Roman" w:eastAsia="Times New Roman" w:hint="default"/>
          <w:spacing w:val="-3"/>
        </w:rPr>
        <w:t>284</w:t>
      </w:r>
      <w:r>
        <w:rPr>
          <w:spacing w:val="-3"/>
        </w:rPr>
        <w:t>名激励对象在《激励计划（草案修订稿）》规定的第一个</w:t>
      </w:r>
      <w:r>
        <w:rPr>
          <w:spacing w:val="74"/>
        </w:rPr>
        <w:t> </w:t>
      </w:r>
      <w:r>
        <w:rPr>
          <w:spacing w:val="74"/>
        </w:rPr>
      </w:r>
      <w:r>
        <w:rPr>
          <w:spacing w:val="-3"/>
        </w:rPr>
        <w:t>解锁期内解锁。监事会对上述事项进行了核查，独立董事对此发表了独立意见，律师出具了法律意见书。</w:t>
      </w:r>
    </w:p>
    <w:p>
      <w:pPr>
        <w:pStyle w:val="BodyText"/>
        <w:spacing w:line="304" w:lineRule="auto" w:before="32"/>
        <w:ind w:right="0"/>
        <w:jc w:val="left"/>
      </w:pPr>
      <w:r>
        <w:rPr>
          <w:spacing w:val="-3"/>
        </w:rPr>
        <w:t>（</w:t>
      </w: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日，公司召开第五届董事会第四次会议，审议并通过了《关于回购注销</w:t>
      </w:r>
      <w:r>
        <w:rPr>
          <w:rFonts w:ascii="Times New Roman" w:hAnsi="Times New Roman" w:cs="Times New Roman" w:eastAsia="Times New Roman" w:hint="default"/>
          <w:spacing w:val="-3"/>
        </w:rPr>
        <w:t>2014</w:t>
      </w:r>
      <w:r>
        <w:rPr>
          <w:spacing w:val="-3"/>
        </w:rPr>
        <w:t>年限制性股票激励计划部分</w:t>
      </w:r>
      <w:r>
        <w:rPr>
          <w:spacing w:val="1"/>
        </w:rPr>
        <w:t> </w:t>
      </w:r>
      <w:r>
        <w:rPr>
          <w:spacing w:val="1"/>
        </w:rPr>
      </w:r>
      <w:r>
        <w:rPr>
          <w:spacing w:val="-4"/>
        </w:rPr>
        <w:t>已获授但尚未解锁的限制性股票的议案》。公司董事会同意：根据《激励计划（草案修订稿）》的规定和</w:t>
      </w:r>
      <w:r>
        <w:rPr>
          <w:rFonts w:ascii="Times New Roman" w:hAnsi="Times New Roman" w:cs="Times New Roman" w:eastAsia="Times New Roman" w:hint="default"/>
          <w:spacing w:val="-4"/>
        </w:rPr>
        <w:t>2014</w:t>
      </w:r>
      <w:r>
        <w:rPr>
          <w:spacing w:val="-4"/>
        </w:rPr>
        <w:t>年第五次临时</w:t>
      </w:r>
      <w:r>
        <w:rPr>
          <w:spacing w:val="50"/>
        </w:rPr>
        <w:t> </w:t>
      </w:r>
      <w:r>
        <w:rPr>
          <w:spacing w:val="50"/>
        </w:rPr>
      </w:r>
      <w:r>
        <w:rPr>
          <w:spacing w:val="-3"/>
        </w:rPr>
        <w:t>股东大会的授权，取消孙国卿、孙剑锋、钱罡、仇释、顾凯、徐远、陈磊、张凯、查维强、甘明春、李华、翁存中、田勇、</w:t>
      </w:r>
      <w:r>
        <w:rPr>
          <w:spacing w:val="66"/>
        </w:rPr>
        <w:t> </w:t>
      </w:r>
      <w:r>
        <w:rPr>
          <w:spacing w:val="66"/>
        </w:rPr>
      </w:r>
      <w:r>
        <w:rPr>
          <w:spacing w:val="-4"/>
        </w:rPr>
        <w:t>孙月军、秦智超、徐仙仙、陈守章、韩静、强征共</w:t>
      </w:r>
      <w:r>
        <w:rPr>
          <w:rFonts w:ascii="Times New Roman" w:hAnsi="Times New Roman" w:cs="Times New Roman" w:eastAsia="Times New Roman" w:hint="default"/>
          <w:spacing w:val="-4"/>
        </w:rPr>
        <w:t>19</w:t>
      </w:r>
      <w:r>
        <w:rPr>
          <w:spacing w:val="-4"/>
        </w:rPr>
        <w:t>人的激励对象资格并回购注销上述人员已获授权但尚未解锁的限制性股</w:t>
      </w:r>
      <w:r>
        <w:rPr>
          <w:spacing w:val="39"/>
        </w:rPr>
        <w:t> </w:t>
      </w:r>
      <w:r>
        <w:rPr>
          <w:spacing w:val="39"/>
        </w:rPr>
      </w:r>
      <w:r>
        <w:rPr>
          <w:spacing w:val="-3"/>
        </w:rPr>
        <w:t>票共计</w:t>
      </w:r>
      <w:r>
        <w:rPr>
          <w:rFonts w:ascii="Times New Roman" w:hAnsi="Times New Roman" w:cs="Times New Roman" w:eastAsia="Times New Roman" w:hint="default"/>
          <w:spacing w:val="-3"/>
        </w:rPr>
        <w:t>249,500</w:t>
      </w:r>
      <w:r>
        <w:rPr>
          <w:spacing w:val="-3"/>
        </w:rPr>
        <w:t>股，同时对回购价格进行调整。监事会对上述事项进行了核查。公司独立董事对此发表了独立意见，律师出</w:t>
      </w:r>
      <w:r>
        <w:rPr>
          <w:spacing w:val="79"/>
        </w:rPr>
        <w:t> </w:t>
      </w:r>
      <w:r>
        <w:rPr>
          <w:spacing w:val="79"/>
        </w:rPr>
      </w:r>
      <w:r>
        <w:rPr/>
        <w:t>具了法律意见书。</w:t>
      </w:r>
    </w:p>
    <w:p>
      <w:pPr>
        <w:pStyle w:val="BodyText"/>
        <w:spacing w:line="304" w:lineRule="auto" w:before="28"/>
        <w:ind w:right="0"/>
        <w:jc w:val="left"/>
      </w:pPr>
      <w:r>
        <w:rPr>
          <w:spacing w:val="-4"/>
        </w:rPr>
        <w:t>（</w:t>
      </w:r>
      <w:r>
        <w:rPr>
          <w:rFonts w:ascii="Times New Roman" w:hAnsi="Times New Roman" w:cs="Times New Roman" w:eastAsia="Times New Roman" w:hint="default"/>
          <w:spacing w:val="-4"/>
        </w:rPr>
        <w:t>12</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日，公司召开第五届董事会第十三次会议，审议并通过了《关于回购注销</w:t>
      </w:r>
      <w:r>
        <w:rPr>
          <w:rFonts w:ascii="Times New Roman" w:hAnsi="Times New Roman" w:cs="Times New Roman" w:eastAsia="Times New Roman" w:hint="default"/>
          <w:spacing w:val="-4"/>
        </w:rPr>
        <w:t>2014</w:t>
      </w:r>
      <w:r>
        <w:rPr>
          <w:spacing w:val="-4"/>
        </w:rPr>
        <w:t>年限制性股票激励计划部</w:t>
      </w:r>
      <w:r>
        <w:rPr>
          <w:spacing w:val="68"/>
        </w:rPr>
        <w:t> </w:t>
      </w:r>
      <w:r>
        <w:rPr>
          <w:spacing w:val="68"/>
        </w:rPr>
      </w:r>
      <w:r>
        <w:rPr>
          <w:spacing w:val="-4"/>
        </w:rPr>
        <w:t>分已获授但尚未解锁的限制性股票的议案》和《关于</w:t>
      </w:r>
      <w:r>
        <w:rPr>
          <w:rFonts w:ascii="Times New Roman" w:hAnsi="Times New Roman" w:cs="Times New Roman" w:eastAsia="Times New Roman" w:hint="default"/>
          <w:spacing w:val="-4"/>
        </w:rPr>
        <w:t>2014</w:t>
      </w:r>
      <w:r>
        <w:rPr>
          <w:spacing w:val="-4"/>
        </w:rPr>
        <w:t>年限制性股票激励计划首次授予的限制性股票第二个解锁期及预留</w:t>
      </w:r>
      <w:r>
        <w:rPr>
          <w:spacing w:val="47"/>
        </w:rPr>
        <w:t> </w:t>
      </w:r>
      <w:r>
        <w:rPr>
          <w:spacing w:val="47"/>
        </w:rPr>
      </w:r>
      <w:r>
        <w:rPr>
          <w:spacing w:val="-8"/>
        </w:rPr>
        <w:t>授予的限制性股票第一个解锁期条件成就可解锁的议案》。经董事会审议，认为：（</w:t>
      </w:r>
      <w:r>
        <w:rPr>
          <w:rFonts w:ascii="Times New Roman" w:hAnsi="Times New Roman" w:cs="Times New Roman" w:eastAsia="Times New Roman" w:hint="default"/>
          <w:spacing w:val="-8"/>
        </w:rPr>
        <w:t>1</w:t>
      </w:r>
      <w:r>
        <w:rPr>
          <w:spacing w:val="-8"/>
        </w:rPr>
        <w:t>）鉴于公司《激励计划（草案修订稿）》</w:t>
      </w:r>
      <w:r>
        <w:rPr>
          <w:spacing w:val="9"/>
        </w:rPr>
        <w:t> </w:t>
      </w:r>
      <w:r>
        <w:rPr>
          <w:spacing w:val="9"/>
        </w:rPr>
      </w:r>
      <w:r>
        <w:rPr>
          <w:spacing w:val="-6"/>
        </w:rPr>
        <w:t>首次授予的激励对象顾辰飞、胡良民、李玎、李剑、薛瑞、赵瑶彬、王慧以及预留授予的激励对象钱忠斌、陈业新、吴胜周、</w:t>
      </w:r>
      <w:r>
        <w:rPr>
          <w:spacing w:val="61"/>
        </w:rPr>
        <w:t> </w:t>
      </w:r>
      <w:r>
        <w:rPr>
          <w:spacing w:val="61"/>
        </w:rPr>
      </w:r>
      <w:r>
        <w:rPr>
          <w:spacing w:val="-3"/>
        </w:rPr>
        <w:t>戴安宁，共计</w:t>
      </w:r>
      <w:r>
        <w:rPr>
          <w:rFonts w:ascii="Times New Roman" w:hAnsi="Times New Roman" w:cs="Times New Roman" w:eastAsia="Times New Roman" w:hint="default"/>
          <w:spacing w:val="-3"/>
        </w:rPr>
        <w:t>11</w:t>
      </w:r>
      <w:r>
        <w:rPr>
          <w:spacing w:val="-3"/>
        </w:rPr>
        <w:t>人因个人原因已离职，根据《激励计划（草案修订稿）》的规定和公司</w:t>
      </w:r>
      <w:r>
        <w:rPr>
          <w:rFonts w:ascii="Times New Roman" w:hAnsi="Times New Roman" w:cs="Times New Roman" w:eastAsia="Times New Roman" w:hint="default"/>
          <w:spacing w:val="-3"/>
        </w:rPr>
        <w:t>2014</w:t>
      </w:r>
      <w:r>
        <w:rPr>
          <w:spacing w:val="-3"/>
        </w:rPr>
        <w:t>年第五次临时股东大会的授权，</w:t>
      </w:r>
      <w:r>
        <w:rPr>
          <w:spacing w:val="75"/>
        </w:rPr>
        <w:t> </w:t>
      </w:r>
      <w:r>
        <w:rPr>
          <w:spacing w:val="75"/>
        </w:rPr>
      </w:r>
      <w:r>
        <w:rPr>
          <w:spacing w:val="-3"/>
        </w:rPr>
        <w:t>公司董事会同意取消上述</w:t>
      </w:r>
      <w:r>
        <w:rPr>
          <w:rFonts w:ascii="Times New Roman" w:hAnsi="Times New Roman" w:cs="Times New Roman" w:eastAsia="Times New Roman" w:hint="default"/>
          <w:spacing w:val="-3"/>
        </w:rPr>
        <w:t>11</w:t>
      </w:r>
      <w:r>
        <w:rPr>
          <w:spacing w:val="-3"/>
        </w:rPr>
        <w:t>人的激励对象资格并回购注销上述人员已获授权但尚未解锁的全部限制性股票共计</w:t>
      </w:r>
      <w:r>
        <w:rPr>
          <w:rFonts w:ascii="Times New Roman" w:hAnsi="Times New Roman" w:cs="Times New Roman" w:eastAsia="Times New Roman" w:hint="default"/>
          <w:spacing w:val="-3"/>
        </w:rPr>
        <w:t>11.85</w:t>
      </w:r>
      <w:r>
        <w:rPr>
          <w:spacing w:val="-3"/>
        </w:rPr>
        <w:t>万股，</w:t>
      </w:r>
      <w:r>
        <w:rPr>
          <w:spacing w:val="76"/>
        </w:rPr>
        <w:t> </w:t>
      </w:r>
      <w:r>
        <w:rPr>
          <w:spacing w:val="76"/>
        </w:rPr>
      </w:r>
      <w:r>
        <w:rPr>
          <w:spacing w:val="-3"/>
        </w:rPr>
        <w:t>并对回购价格进行调整；（</w:t>
      </w: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2014</w:t>
      </w:r>
      <w:r>
        <w:rPr>
          <w:spacing w:val="-3"/>
        </w:rPr>
        <w:t>年限制性股票激励计划首次授予的限制性股票第二个解锁期及预留授予的限制性股</w:t>
      </w:r>
      <w:r>
        <w:rPr>
          <w:spacing w:val="75"/>
        </w:rPr>
        <w:t> </w:t>
      </w:r>
      <w:r>
        <w:rPr>
          <w:spacing w:val="75"/>
        </w:rPr>
      </w:r>
      <w:r>
        <w:rPr>
          <w:spacing w:val="-3"/>
        </w:rPr>
        <w:t>票第一个解锁期已经届满，共计</w:t>
      </w:r>
      <w:r>
        <w:rPr>
          <w:rFonts w:ascii="Times New Roman" w:hAnsi="Times New Roman" w:cs="Times New Roman" w:eastAsia="Times New Roman" w:hint="default"/>
          <w:spacing w:val="-3"/>
        </w:rPr>
        <w:t>345</w:t>
      </w:r>
      <w:r>
        <w:rPr>
          <w:spacing w:val="-3"/>
        </w:rPr>
        <w:t>名激励对象均达到完全解锁条件，董事会同意按照《激励计划（草案修订稿）》的相关</w:t>
      </w:r>
      <w:r>
        <w:rPr>
          <w:spacing w:val="72"/>
        </w:rPr>
        <w:t> </w:t>
      </w:r>
      <w:r>
        <w:rPr>
          <w:spacing w:val="72"/>
        </w:rPr>
      </w:r>
      <w:r>
        <w:rPr>
          <w:spacing w:val="-4"/>
          <w:w w:val="101"/>
        </w:rPr>
        <w:t>规定办理首次授予的限制性股票第二个解锁期以及预留授予的第一个解锁期股票的解锁相关事宜。监事会对上述事项进行了</w:t>
      </w:r>
      <w:r>
        <w:rPr>
          <w:w w:val="101"/>
        </w:rPr>
        <w:t> </w:t>
      </w:r>
      <w:r>
        <w:rPr>
          <w:spacing w:val="-3"/>
        </w:rPr>
        <w:t>核查，独立董事对此发表了独立意见，律师出具了法律意见书。</w:t>
      </w:r>
    </w:p>
    <w:p>
      <w:pPr>
        <w:pStyle w:val="BodyText"/>
        <w:spacing w:line="300" w:lineRule="auto" w:before="28"/>
        <w:ind w:right="0"/>
        <w:jc w:val="left"/>
      </w:pPr>
      <w:r>
        <w:rPr>
          <w:spacing w:val="-4"/>
        </w:rPr>
        <w:t>（</w:t>
      </w: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w:t>
      </w:r>
      <w:r>
        <w:rPr>
          <w:spacing w:val="-4"/>
        </w:rPr>
        <w:t>日，润和软件实施了</w:t>
      </w:r>
      <w:r>
        <w:rPr>
          <w:rFonts w:ascii="Times New Roman" w:hAnsi="Times New Roman" w:cs="Times New Roman" w:eastAsia="Times New Roman" w:hint="default"/>
          <w:spacing w:val="-4"/>
        </w:rPr>
        <w:t>2016</w:t>
      </w:r>
      <w:r>
        <w:rPr>
          <w:spacing w:val="-4"/>
        </w:rPr>
        <w:t>年度权益分派方案，以现有总股本</w:t>
      </w:r>
      <w:r>
        <w:rPr>
          <w:rFonts w:ascii="Times New Roman" w:hAnsi="Times New Roman" w:cs="Times New Roman" w:eastAsia="Times New Roman" w:hint="default"/>
          <w:spacing w:val="-4"/>
        </w:rPr>
        <w:t>357,733,350</w:t>
      </w:r>
      <w:r>
        <w:rPr>
          <w:spacing w:val="-4"/>
        </w:rPr>
        <w:t>股为基数，向全体股东每</w:t>
      </w:r>
      <w:r>
        <w:rPr>
          <w:rFonts w:ascii="Times New Roman" w:hAnsi="Times New Roman" w:cs="Times New Roman" w:eastAsia="Times New Roman" w:hint="default"/>
          <w:spacing w:val="-4"/>
        </w:rPr>
        <w:t>10</w:t>
      </w:r>
      <w:r>
        <w:rPr>
          <w:spacing w:val="-4"/>
        </w:rPr>
        <w:t>股派现</w:t>
      </w:r>
      <w:r>
        <w:rPr>
          <w:spacing w:val="6"/>
        </w:rPr>
        <w:t> </w:t>
      </w:r>
      <w:r>
        <w:rPr>
          <w:spacing w:val="6"/>
        </w:rPr>
      </w:r>
      <w:r>
        <w:rPr>
          <w:spacing w:val="-3"/>
        </w:rPr>
        <w:t>金</w:t>
      </w:r>
      <w:r>
        <w:rPr>
          <w:rFonts w:ascii="Times New Roman" w:hAnsi="Times New Roman" w:cs="Times New Roman" w:eastAsia="Times New Roman" w:hint="default"/>
          <w:spacing w:val="-3"/>
        </w:rPr>
        <w:t>2.00</w:t>
      </w:r>
      <w:r>
        <w:rPr>
          <w:spacing w:val="-3"/>
        </w:rPr>
        <w:t>元，同时以资本公积金向全体股东每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股。由此，公司激励对象所持股票数量相应增加。</w:t>
      </w:r>
    </w:p>
    <w:p>
      <w:pPr>
        <w:pStyle w:val="BodyText"/>
        <w:spacing w:line="304" w:lineRule="auto" w:before="13"/>
        <w:ind w:right="0"/>
        <w:jc w:val="left"/>
      </w:pPr>
      <w:r>
        <w:rPr>
          <w:spacing w:val="-4"/>
        </w:rPr>
        <w:t>（</w:t>
      </w: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日，公司召开第五届董事会第二十八次会议，审议并通过了《关于回购注销</w:t>
      </w:r>
      <w:r>
        <w:rPr>
          <w:rFonts w:ascii="Times New Roman" w:hAnsi="Times New Roman" w:cs="Times New Roman" w:eastAsia="Times New Roman" w:hint="default"/>
          <w:spacing w:val="-4"/>
        </w:rPr>
        <w:t>2014</w:t>
      </w:r>
      <w:r>
        <w:rPr>
          <w:spacing w:val="-4"/>
        </w:rPr>
        <w:t>年限制性股票激励计划</w:t>
      </w:r>
      <w:r>
        <w:rPr>
          <w:spacing w:val="69"/>
        </w:rPr>
        <w:t> </w:t>
      </w:r>
      <w:r>
        <w:rPr>
          <w:spacing w:val="69"/>
        </w:rPr>
      </w:r>
      <w:r>
        <w:rPr>
          <w:spacing w:val="-4"/>
        </w:rPr>
        <w:t>部分已获授但尚未解锁的限制性股票的议案》和《关于</w:t>
      </w:r>
      <w:r>
        <w:rPr>
          <w:rFonts w:ascii="Times New Roman" w:hAnsi="Times New Roman" w:cs="Times New Roman" w:eastAsia="Times New Roman" w:hint="default"/>
          <w:spacing w:val="-4"/>
        </w:rPr>
        <w:t>2014</w:t>
      </w:r>
      <w:r>
        <w:rPr>
          <w:spacing w:val="-4"/>
        </w:rPr>
        <w:t>年限制性股票激励计划首次授予的限制性股票第三个解锁期及预</w:t>
      </w:r>
      <w:r>
        <w:rPr>
          <w:spacing w:val="46"/>
        </w:rPr>
        <w:t> </w:t>
      </w:r>
      <w:r>
        <w:rPr>
          <w:spacing w:val="46"/>
        </w:rPr>
      </w:r>
      <w:r>
        <w:rPr>
          <w:spacing w:val="-3"/>
        </w:rPr>
        <w:t>留授予的限制性股票第二个解锁期条件成就可解锁的议案》。经董事会审议，认为：（</w:t>
      </w:r>
      <w:r>
        <w:rPr>
          <w:rFonts w:ascii="Times New Roman" w:hAnsi="Times New Roman" w:cs="Times New Roman" w:eastAsia="Times New Roman" w:hint="default"/>
          <w:spacing w:val="-3"/>
        </w:rPr>
        <w:t>1</w:t>
      </w:r>
      <w:r>
        <w:rPr>
          <w:spacing w:val="-3"/>
        </w:rPr>
        <w:t>）鉴于公司《激励计划（草案修订</w:t>
      </w:r>
      <w:r>
        <w:rPr>
          <w:spacing w:val="71"/>
        </w:rPr>
        <w:t> </w:t>
      </w:r>
      <w:r>
        <w:rPr>
          <w:spacing w:val="71"/>
        </w:rPr>
      </w:r>
      <w:r>
        <w:rPr>
          <w:spacing w:val="-6"/>
        </w:rPr>
        <w:t>稿）》首次授予的激励对象莫华军、沈欣慧等</w:t>
      </w:r>
      <w:r>
        <w:rPr>
          <w:rFonts w:ascii="Times New Roman" w:hAnsi="Times New Roman" w:cs="Times New Roman" w:eastAsia="Times New Roman" w:hint="default"/>
          <w:spacing w:val="-6"/>
        </w:rPr>
        <w:t>19</w:t>
      </w:r>
      <w:r>
        <w:rPr>
          <w:spacing w:val="-6"/>
        </w:rPr>
        <w:t>人及预留授予的激励对象魏榕祠、蒋昕等</w:t>
      </w:r>
      <w:r>
        <w:rPr>
          <w:rFonts w:ascii="Times New Roman" w:hAnsi="Times New Roman" w:cs="Times New Roman" w:eastAsia="Times New Roman" w:hint="default"/>
          <w:spacing w:val="-6"/>
        </w:rPr>
        <w:t>10</w:t>
      </w:r>
      <w:r>
        <w:rPr>
          <w:spacing w:val="-6"/>
        </w:rPr>
        <w:t>人，共计</w:t>
      </w:r>
      <w:r>
        <w:rPr>
          <w:rFonts w:ascii="Times New Roman" w:hAnsi="Times New Roman" w:cs="Times New Roman" w:eastAsia="Times New Roman" w:hint="default"/>
          <w:spacing w:val="-6"/>
        </w:rPr>
        <w:t>29</w:t>
      </w:r>
      <w:r>
        <w:rPr>
          <w:spacing w:val="-6"/>
        </w:rPr>
        <w:t>人因个人原因已离职，</w:t>
      </w:r>
      <w:r>
        <w:rPr>
          <w:spacing w:val="1"/>
        </w:rPr>
        <w:t> </w:t>
      </w:r>
      <w:r>
        <w:rPr>
          <w:spacing w:val="1"/>
        </w:rPr>
      </w:r>
      <w:r>
        <w:rPr>
          <w:spacing w:val="-4"/>
        </w:rPr>
        <w:t>根据《激励计划（草案修订稿）》的规定和公司</w:t>
      </w:r>
      <w:r>
        <w:rPr>
          <w:rFonts w:ascii="Times New Roman" w:hAnsi="Times New Roman" w:cs="Times New Roman" w:eastAsia="Times New Roman" w:hint="default"/>
          <w:spacing w:val="-4"/>
        </w:rPr>
        <w:t>2014</w:t>
      </w:r>
      <w:r>
        <w:rPr>
          <w:spacing w:val="-4"/>
        </w:rPr>
        <w:t>年第五次临时股东大会的授权，公司董事会同意取消上述共计</w:t>
      </w:r>
      <w:r>
        <w:rPr>
          <w:rFonts w:ascii="Times New Roman" w:hAnsi="Times New Roman" w:cs="Times New Roman" w:eastAsia="Times New Roman" w:hint="default"/>
          <w:spacing w:val="-4"/>
        </w:rPr>
        <w:t>29</w:t>
      </w:r>
      <w:r>
        <w:rPr>
          <w:spacing w:val="-4"/>
        </w:rPr>
        <w:t>人的激</w:t>
      </w:r>
      <w:r>
        <w:rPr>
          <w:spacing w:val="54"/>
        </w:rPr>
        <w:t> </w:t>
      </w:r>
      <w:r>
        <w:rPr>
          <w:spacing w:val="54"/>
        </w:rPr>
      </w:r>
      <w:r>
        <w:rPr>
          <w:spacing w:val="-4"/>
        </w:rPr>
        <w:t>励对象资格并回购注销上述人员已获授权但尚未解锁的全部限制性股票共计</w:t>
      </w:r>
      <w:r>
        <w:rPr>
          <w:rFonts w:ascii="Times New Roman" w:hAnsi="Times New Roman" w:cs="Times New Roman" w:eastAsia="Times New Roman" w:hint="default"/>
          <w:spacing w:val="-4"/>
        </w:rPr>
        <w:t>38.20</w:t>
      </w:r>
      <w:r>
        <w:rPr>
          <w:spacing w:val="-4"/>
        </w:rPr>
        <w:t>万股，并对回购价格进行调整；（</w:t>
      </w:r>
      <w:r>
        <w:rPr>
          <w:rFonts w:ascii="Times New Roman" w:hAnsi="Times New Roman" w:cs="Times New Roman" w:eastAsia="Times New Roman" w:hint="default"/>
          <w:spacing w:val="-4"/>
        </w:rPr>
        <w:t>2</w:t>
      </w:r>
      <w:r>
        <w:rPr>
          <w:spacing w:val="-4"/>
        </w:rPr>
        <w:t>）公司</w:t>
      </w:r>
      <w:r>
        <w:rPr>
          <w:spacing w:val="8"/>
        </w:rPr>
        <w:t> </w:t>
      </w:r>
      <w:r>
        <w:rPr>
          <w:spacing w:val="8"/>
        </w:rPr>
      </w:r>
      <w:r>
        <w:rPr>
          <w:rFonts w:ascii="Times New Roman" w:hAnsi="Times New Roman" w:cs="Times New Roman" w:eastAsia="Times New Roman" w:hint="default"/>
          <w:spacing w:val="-3"/>
        </w:rPr>
        <w:t>2014</w:t>
      </w:r>
      <w:r>
        <w:rPr>
          <w:spacing w:val="-3"/>
        </w:rPr>
        <w:t>年限制性股票激励计划首次授予的限制性股票第三个解锁期及预留授予的限制性股票第二个解锁期已经届满，共计</w:t>
      </w:r>
      <w:r>
        <w:rPr>
          <w:rFonts w:ascii="Times New Roman" w:hAnsi="Times New Roman" w:cs="Times New Roman" w:eastAsia="Times New Roman" w:hint="default"/>
          <w:spacing w:val="-3"/>
        </w:rPr>
        <w:t>316</w:t>
      </w:r>
      <w:r>
        <w:rPr>
          <w:rFonts w:ascii="Times New Roman" w:hAnsi="Times New Roman" w:cs="Times New Roman" w:eastAsia="Times New Roman" w:hint="default"/>
        </w:rPr>
        <w:t> </w:t>
      </w:r>
      <w:r>
        <w:rPr>
          <w:spacing w:val="-4"/>
        </w:rPr>
        <w:t>名激励对象均达到完全解锁条件，董事会同意按照《激励计划（草案修订稿）》的相关规定办理首次授予的限制性股票第三</w:t>
      </w:r>
      <w:r>
        <w:rPr>
          <w:spacing w:val="40"/>
        </w:rPr>
        <w:t> </w:t>
      </w:r>
      <w:r>
        <w:rPr>
          <w:spacing w:val="40"/>
        </w:rPr>
      </w:r>
      <w:r>
        <w:rPr>
          <w:spacing w:val="-6"/>
          <w:w w:val="101"/>
        </w:rPr>
        <w:t>个解锁期以及预留授予的第二个解锁期股票的解锁相关事宜。监事会对上述事项进行了核查，独立董事对此发表了独立意见，</w:t>
      </w:r>
      <w:r>
        <w:rPr>
          <w:spacing w:val="-71"/>
          <w:w w:val="101"/>
        </w:rPr>
        <w:t> </w:t>
      </w:r>
      <w:r>
        <w:rPr>
          <w:spacing w:val="-71"/>
          <w:w w:val="101"/>
        </w:rPr>
      </w:r>
      <w:r>
        <w:rPr>
          <w:spacing w:val="-3"/>
        </w:rPr>
        <w:t>律师出具了法律意见书。</w:t>
      </w:r>
      <w:r>
        <w:rPr>
          <w:spacing w:val="-56"/>
        </w:rPr>
        <w:t> </w:t>
      </w:r>
      <w:r>
        <w:rPr>
          <w:spacing w:val="-56"/>
        </w:rPr>
      </w: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rFonts w:ascii="Times New Roman" w:hAnsi="Times New Roman" w:cs="Times New Roman" w:eastAsia="Times New Roman" w:hint="default"/>
          <w:w w:val="101"/>
        </w:rPr>
        <w:t> </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1"/>
        </w:rPr>
        <w:t> </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2016</w:t>
      </w:r>
      <w:r>
        <w:rPr>
          <w:spacing w:val="-2"/>
        </w:rPr>
        <w:t>年</w:t>
      </w:r>
      <w:r>
        <w:rPr>
          <w:spacing w:val="63"/>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日在中国证监会指定的创业板</w:t>
      </w:r>
      <w:r>
        <w:rPr>
          <w:spacing w:val="52"/>
        </w:rPr>
        <w:t> </w:t>
      </w:r>
      <w:r>
        <w:rPr>
          <w:spacing w:val="52"/>
        </w:rPr>
      </w:r>
      <w:r>
        <w:rPr>
          <w:spacing w:val="-3"/>
        </w:rPr>
        <w:t>信息披露网站公告。</w:t>
      </w:r>
    </w:p>
    <w:p>
      <w:pPr>
        <w:pStyle w:val="BodyText"/>
        <w:spacing w:line="300" w:lineRule="auto" w:before="28"/>
        <w:ind w:right="0"/>
        <w:jc w:val="left"/>
      </w:pPr>
      <w:r>
        <w:rPr>
          <w:rFonts w:ascii="Times New Roman" w:hAnsi="Times New Roman" w:cs="Times New Roman" w:eastAsia="Times New Roman" w:hint="default"/>
          <w:spacing w:val="-3"/>
        </w:rPr>
        <w:t>2</w:t>
      </w:r>
      <w:r>
        <w:rPr>
          <w:spacing w:val="-3"/>
        </w:rPr>
        <w:t>、对公司经营业绩的影响</w:t>
      </w:r>
      <w:r>
        <w:rPr>
          <w:spacing w:val="-52"/>
        </w:rPr>
        <w:t> </w:t>
      </w:r>
      <w:r>
        <w:rPr>
          <w:spacing w:val="-52"/>
        </w:rPr>
      </w:r>
      <w:r>
        <w:rPr>
          <w:spacing w:val="-4"/>
        </w:rPr>
        <w:t>按照《企业会计准则第</w:t>
      </w:r>
      <w:r>
        <w:rPr>
          <w:rFonts w:ascii="Times New Roman" w:hAnsi="Times New Roman" w:cs="Times New Roman" w:eastAsia="Times New Roman" w:hint="default"/>
          <w:spacing w:val="-4"/>
        </w:rPr>
        <w:t>11</w:t>
      </w:r>
      <w:r>
        <w:rPr>
          <w:spacing w:val="-4"/>
        </w:rPr>
        <w:t>号</w:t>
      </w:r>
      <w:r>
        <w:rPr>
          <w:rFonts w:ascii="Times New Roman" w:hAnsi="Times New Roman" w:cs="Times New Roman" w:eastAsia="Times New Roman" w:hint="default"/>
          <w:spacing w:val="-4"/>
        </w:rPr>
        <w:t>——</w:t>
      </w:r>
      <w:r>
        <w:rPr>
          <w:spacing w:val="-4"/>
        </w:rPr>
        <w:t>股份支付》的规定，公司限制性股票的授予对公司相关年度的财务状况和经营成果将产生一</w:t>
      </w:r>
      <w:r>
        <w:rPr>
          <w:spacing w:val="42"/>
        </w:rPr>
        <w:t> </w:t>
      </w:r>
      <w:r>
        <w:rPr>
          <w:spacing w:val="42"/>
        </w:rPr>
      </w:r>
      <w:r>
        <w:rPr>
          <w:spacing w:val="-5"/>
        </w:rPr>
        <w:t>定的影响。经测算，公司</w:t>
      </w:r>
      <w:r>
        <w:rPr>
          <w:rFonts w:ascii="Times New Roman" w:hAnsi="Times New Roman" w:cs="Times New Roman" w:eastAsia="Times New Roman" w:hint="default"/>
          <w:spacing w:val="-5"/>
        </w:rPr>
        <w:t>2014</w:t>
      </w:r>
      <w:r>
        <w:rPr>
          <w:spacing w:val="-5"/>
        </w:rPr>
        <w:t>年限制性股票激励计划首次授予的总成本为</w:t>
      </w:r>
      <w:r>
        <w:rPr>
          <w:rFonts w:ascii="Times New Roman" w:hAnsi="Times New Roman" w:cs="Times New Roman" w:eastAsia="Times New Roman" w:hint="default"/>
          <w:spacing w:val="-5"/>
        </w:rPr>
        <w:t>4635.36</w:t>
      </w:r>
      <w:r>
        <w:rPr>
          <w:spacing w:val="-5"/>
        </w:rPr>
        <w:t>万元，其中</w:t>
      </w:r>
      <w:r>
        <w:rPr>
          <w:rFonts w:ascii="Times New Roman" w:hAnsi="Times New Roman" w:cs="Times New Roman" w:eastAsia="Times New Roman" w:hint="default"/>
          <w:spacing w:val="-5"/>
        </w:rPr>
        <w:t>2014</w:t>
      </w:r>
      <w:r>
        <w:rPr>
          <w:spacing w:val="-5"/>
        </w:rPr>
        <w:t>年成本摊销费用</w:t>
      </w:r>
      <w:r>
        <w:rPr>
          <w:rFonts w:ascii="Times New Roman" w:hAnsi="Times New Roman" w:cs="Times New Roman" w:eastAsia="Times New Roman" w:hint="default"/>
          <w:spacing w:val="-5"/>
        </w:rPr>
        <w:t>183.77</w:t>
      </w:r>
      <w:r>
        <w:rPr>
          <w:spacing w:val="-5"/>
        </w:rPr>
        <w:t>万元，</w:t>
      </w:r>
      <w:r>
        <w:rPr>
          <w:spacing w:val="62"/>
        </w:rPr>
        <w:t> </w:t>
      </w:r>
      <w:r>
        <w:rPr>
          <w:spacing w:val="62"/>
        </w:rPr>
      </w:r>
      <w:r>
        <w:rPr>
          <w:rFonts w:ascii="Times New Roman" w:hAnsi="Times New Roman" w:cs="Times New Roman" w:eastAsia="Times New Roman" w:hint="default"/>
          <w:spacing w:val="-3"/>
        </w:rPr>
        <w:t>2015</w:t>
      </w:r>
      <w:r>
        <w:rPr>
          <w:spacing w:val="-3"/>
        </w:rPr>
        <w:t>年成本摊销费用</w:t>
      </w:r>
      <w:r>
        <w:rPr>
          <w:rFonts w:ascii="Times New Roman" w:hAnsi="Times New Roman" w:cs="Times New Roman" w:eastAsia="Times New Roman" w:hint="default"/>
          <w:spacing w:val="-3"/>
        </w:rPr>
        <w:t>3,180.29</w:t>
      </w:r>
      <w:r>
        <w:rPr>
          <w:spacing w:val="-3"/>
        </w:rPr>
        <w:t>万元，</w:t>
      </w:r>
      <w:r>
        <w:rPr>
          <w:rFonts w:ascii="Times New Roman" w:hAnsi="Times New Roman" w:cs="Times New Roman" w:eastAsia="Times New Roman" w:hint="default"/>
          <w:spacing w:val="-3"/>
        </w:rPr>
        <w:t>2016</w:t>
      </w:r>
      <w:r>
        <w:rPr>
          <w:spacing w:val="-3"/>
        </w:rPr>
        <w:t>年成本摊销费用</w:t>
      </w:r>
      <w:r>
        <w:rPr>
          <w:rFonts w:ascii="Times New Roman" w:hAnsi="Times New Roman" w:cs="Times New Roman" w:eastAsia="Times New Roman" w:hint="default"/>
          <w:spacing w:val="-3"/>
        </w:rPr>
        <w:t>973.10</w:t>
      </w:r>
      <w:r>
        <w:rPr>
          <w:spacing w:val="-3"/>
        </w:rPr>
        <w:t>万元，</w:t>
      </w:r>
      <w:r>
        <w:rPr>
          <w:rFonts w:ascii="Times New Roman" w:hAnsi="Times New Roman" w:cs="Times New Roman" w:eastAsia="Times New Roman" w:hint="default"/>
          <w:spacing w:val="-3"/>
        </w:rPr>
        <w:t>2017</w:t>
      </w:r>
      <w:r>
        <w:rPr>
          <w:spacing w:val="-3"/>
        </w:rPr>
        <w:t>年成本摊销费用</w:t>
      </w:r>
      <w:r>
        <w:rPr>
          <w:rFonts w:ascii="Times New Roman" w:hAnsi="Times New Roman" w:cs="Times New Roman" w:eastAsia="Times New Roman" w:hint="default"/>
          <w:spacing w:val="-3"/>
        </w:rPr>
        <w:t>298.20</w:t>
      </w:r>
      <w:r>
        <w:rPr>
          <w:spacing w:val="-3"/>
        </w:rPr>
        <w:t>万元。公司</w:t>
      </w:r>
      <w:r>
        <w:rPr>
          <w:rFonts w:ascii="Times New Roman" w:hAnsi="Times New Roman" w:cs="Times New Roman" w:eastAsia="Times New Roman" w:hint="default"/>
          <w:spacing w:val="-3"/>
        </w:rPr>
        <w:t>2014</w:t>
      </w:r>
      <w:r>
        <w:rPr>
          <w:spacing w:val="-3"/>
        </w:rPr>
        <w:t>年限制性股</w:t>
      </w:r>
      <w:r>
        <w:rPr>
          <w:spacing w:val="42"/>
        </w:rPr>
        <w:t> </w:t>
      </w:r>
      <w:r>
        <w:rPr>
          <w:spacing w:val="42"/>
        </w:rPr>
      </w:r>
      <w:r>
        <w:rPr>
          <w:spacing w:val="-3"/>
        </w:rPr>
        <w:t>票激励计划预留授予的总成本为</w:t>
      </w:r>
      <w:r>
        <w:rPr>
          <w:rFonts w:ascii="Times New Roman" w:hAnsi="Times New Roman" w:cs="Times New Roman" w:eastAsia="Times New Roman" w:hint="default"/>
          <w:spacing w:val="-3"/>
        </w:rPr>
        <w:t>415.17</w:t>
      </w:r>
      <w:r>
        <w:rPr>
          <w:spacing w:val="-3"/>
        </w:rPr>
        <w:t>万元，其中</w:t>
      </w:r>
      <w:r>
        <w:rPr>
          <w:rFonts w:ascii="Times New Roman" w:hAnsi="Times New Roman" w:cs="Times New Roman" w:eastAsia="Times New Roman" w:hint="default"/>
          <w:spacing w:val="-3"/>
        </w:rPr>
        <w:t>2015</w:t>
      </w:r>
      <w:r>
        <w:rPr>
          <w:spacing w:val="-3"/>
        </w:rPr>
        <w:t>年成本摊销费用</w:t>
      </w:r>
      <w:r>
        <w:rPr>
          <w:rFonts w:ascii="Times New Roman" w:hAnsi="Times New Roman" w:cs="Times New Roman" w:eastAsia="Times New Roman" w:hint="default"/>
          <w:spacing w:val="-3"/>
        </w:rPr>
        <w:t>56.08</w:t>
      </w:r>
      <w:r>
        <w:rPr>
          <w:spacing w:val="-3"/>
        </w:rPr>
        <w:t>万元，</w:t>
      </w:r>
      <w:r>
        <w:rPr>
          <w:rFonts w:ascii="Times New Roman" w:hAnsi="Times New Roman" w:cs="Times New Roman" w:eastAsia="Times New Roman" w:hint="default"/>
          <w:spacing w:val="-3"/>
        </w:rPr>
        <w:t>2016</w:t>
      </w:r>
      <w:r>
        <w:rPr>
          <w:spacing w:val="-3"/>
        </w:rPr>
        <w:t>年成本摊销费用</w:t>
      </w:r>
      <w:r>
        <w:rPr>
          <w:rFonts w:ascii="Times New Roman" w:hAnsi="Times New Roman" w:cs="Times New Roman" w:eastAsia="Times New Roman" w:hint="default"/>
          <w:spacing w:val="-3"/>
        </w:rPr>
        <w:t>349.29</w:t>
      </w:r>
      <w:r>
        <w:rPr>
          <w:spacing w:val="-3"/>
        </w:rPr>
        <w:t>万元，</w:t>
      </w:r>
      <w:r>
        <w:rPr>
          <w:rFonts w:ascii="Times New Roman" w:hAnsi="Times New Roman" w:cs="Times New Roman" w:eastAsia="Times New Roman" w:hint="default"/>
          <w:spacing w:val="-3"/>
        </w:rPr>
        <w:t>2017</w:t>
      </w:r>
      <w:r>
        <w:rPr>
          <w:spacing w:val="-3"/>
        </w:rPr>
        <w:t>年</w:t>
      </w:r>
      <w:r>
        <w:rPr>
          <w:spacing w:val="71"/>
        </w:rPr>
        <w:t> </w:t>
      </w:r>
      <w:r>
        <w:rPr>
          <w:spacing w:val="-4"/>
        </w:rPr>
        <w:t>成本摊销费用</w:t>
      </w:r>
      <w:r>
        <w:rPr>
          <w:rFonts w:ascii="Times New Roman" w:hAnsi="Times New Roman" w:cs="Times New Roman" w:eastAsia="Times New Roman" w:hint="default"/>
          <w:spacing w:val="-4"/>
        </w:rPr>
        <w:t>9.80</w:t>
      </w:r>
      <w:r>
        <w:rPr>
          <w:spacing w:val="-4"/>
        </w:rPr>
        <w:t>万元。上述授予限制性股票激励计划的成本将在经常性损益中列支，对公司财务状况和经营成果的影响最</w:t>
      </w:r>
      <w:r>
        <w:rPr>
          <w:spacing w:val="3"/>
        </w:rPr>
        <w:t> </w:t>
      </w:r>
      <w:r>
        <w:rPr>
          <w:spacing w:val="3"/>
        </w:rPr>
      </w:r>
      <w:r>
        <w:rPr>
          <w:spacing w:val="-4"/>
          <w:w w:val="101"/>
        </w:rPr>
        <w:t>终结果以会计师事务所出具的年度审计报告为准。以上具体内容请分别详见</w:t>
      </w:r>
      <w:r>
        <w:rPr>
          <w:rFonts w:ascii="Times New Roman" w:hAnsi="Times New Roman" w:cs="Times New Roman" w:eastAsia="Times New Roman" w:hint="default"/>
          <w:spacing w:val="-4"/>
          <w:w w:val="101"/>
        </w:rPr>
        <w:t>2014</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9</w:t>
      </w:r>
      <w:r>
        <w:rPr>
          <w:spacing w:val="-4"/>
          <w:w w:val="101"/>
        </w:rPr>
        <w:t>日和</w:t>
      </w:r>
      <w:r>
        <w:rPr>
          <w:rFonts w:ascii="Times New Roman" w:hAnsi="Times New Roman" w:cs="Times New Roman" w:eastAsia="Times New Roman" w:hint="default"/>
          <w:spacing w:val="-4"/>
          <w:w w:val="101"/>
        </w:rPr>
        <w:t>2015</w:t>
      </w:r>
      <w:r>
        <w:rPr>
          <w:spacing w:val="-4"/>
          <w:w w:val="101"/>
        </w:rPr>
        <w:t>年</w:t>
      </w:r>
      <w:r>
        <w:rPr>
          <w:rFonts w:ascii="Times New Roman" w:hAnsi="Times New Roman" w:cs="Times New Roman" w:eastAsia="Times New Roman" w:hint="default"/>
          <w:spacing w:val="-4"/>
          <w:w w:val="101"/>
        </w:rPr>
        <w:t>11</w:t>
      </w:r>
      <w:r>
        <w:rPr>
          <w:spacing w:val="-4"/>
          <w:w w:val="101"/>
        </w:rPr>
        <w:t>月</w:t>
      </w:r>
      <w:r>
        <w:rPr>
          <w:rFonts w:ascii="Times New Roman" w:hAnsi="Times New Roman" w:cs="Times New Roman" w:eastAsia="Times New Roman" w:hint="default"/>
          <w:spacing w:val="-4"/>
          <w:w w:val="101"/>
        </w:rPr>
        <w:t>9</w:t>
      </w:r>
      <w:r>
        <w:rPr>
          <w:spacing w:val="-4"/>
          <w:w w:val="101"/>
        </w:rPr>
        <w:t>日在中国证监会指</w:t>
      </w:r>
      <w:r>
        <w:rPr>
          <w:spacing w:val="-66"/>
          <w:w w:val="101"/>
        </w:rPr>
        <w:t> </w:t>
      </w:r>
      <w:r>
        <w:rPr>
          <w:spacing w:val="-66"/>
          <w:w w:val="101"/>
        </w:rPr>
      </w:r>
      <w:r>
        <w:rPr>
          <w:spacing w:val="-3"/>
        </w:rPr>
        <w:t>定的创业板信息披露网站公告。</w:t>
      </w:r>
    </w:p>
    <w:p>
      <w:pPr>
        <w:spacing w:after="0" w:line="30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6"/>
        <w:ind w:right="0"/>
        <w:jc w:val="left"/>
      </w:pPr>
      <w:r>
        <w:rPr>
          <w:spacing w:val="-3"/>
        </w:rPr>
        <w:t>（二）员工持股计划</w:t>
      </w:r>
    </w:p>
    <w:p>
      <w:pPr>
        <w:pStyle w:val="BodyText"/>
        <w:spacing w:line="240" w:lineRule="auto" w:before="76"/>
        <w:ind w:right="0"/>
        <w:jc w:val="left"/>
      </w:pPr>
      <w:r>
        <w:rPr>
          <w:rFonts w:ascii="Times New Roman" w:hAnsi="Times New Roman" w:cs="Times New Roman" w:eastAsia="Times New Roman" w:hint="default"/>
          <w:spacing w:val="-3"/>
        </w:rPr>
        <w:t>1</w:t>
      </w:r>
      <w:r>
        <w:rPr>
          <w:spacing w:val="-3"/>
        </w:rPr>
        <w:t>、已履行的相关审批程序及总体情况：</w:t>
      </w:r>
    </w:p>
    <w:p>
      <w:pPr>
        <w:pStyle w:val="BodyText"/>
        <w:spacing w:line="240" w:lineRule="auto" w:before="63"/>
        <w:ind w:right="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7</w:t>
      </w:r>
      <w:r>
        <w:rPr>
          <w:spacing w:val="-3"/>
        </w:rPr>
        <w:t>日，公司披露了关于筹划员工持股计划的提示性公告。</w:t>
      </w:r>
    </w:p>
    <w:p>
      <w:pPr>
        <w:pStyle w:val="BodyText"/>
        <w:spacing w:line="304" w:lineRule="auto" w:before="63"/>
        <w:ind w:right="1118"/>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w:t>
      </w:r>
      <w:r>
        <w:rPr>
          <w:spacing w:val="-3"/>
        </w:rPr>
        <w:t>日，公司召开第五届董事会第十二次会议，审议并通过了《关于</w:t>
      </w:r>
      <w:r>
        <w:rPr>
          <w:rFonts w:ascii="Times New Roman" w:hAnsi="Times New Roman" w:cs="Times New Roman" w:eastAsia="Times New Roman" w:hint="default"/>
          <w:spacing w:val="-3"/>
        </w:rPr>
        <w:t>&lt;</w:t>
      </w:r>
      <w:r>
        <w:rPr>
          <w:spacing w:val="-3"/>
        </w:rPr>
        <w:t>江苏润和软件股份有限公司第一期员工</w:t>
      </w:r>
      <w:r>
        <w:rPr>
          <w:spacing w:val="80"/>
        </w:rPr>
        <w:t> </w:t>
      </w:r>
      <w:r>
        <w:rPr>
          <w:spacing w:val="80"/>
        </w:rPr>
      </w:r>
      <w:r>
        <w:rPr>
          <w:spacing w:val="-3"/>
        </w:rPr>
        <w:t>持股计划（草案）</w:t>
      </w:r>
      <w:r>
        <w:rPr>
          <w:rFonts w:ascii="Times New Roman" w:hAnsi="Times New Roman" w:cs="Times New Roman" w:eastAsia="Times New Roman" w:hint="default"/>
          <w:spacing w:val="-3"/>
        </w:rPr>
        <w:t>&gt;</w:t>
      </w:r>
      <w:r>
        <w:rPr>
          <w:spacing w:val="-3"/>
        </w:rPr>
        <w:t>及其摘要的议案》、《关于提请股东大会授权董事会办理江苏润和软件股份有限公司第一期员工持股计</w:t>
      </w:r>
      <w:r>
        <w:rPr>
          <w:spacing w:val="63"/>
        </w:rPr>
        <w:t> </w:t>
      </w:r>
      <w:r>
        <w:rPr>
          <w:spacing w:val="63"/>
        </w:rPr>
      </w:r>
      <w:r>
        <w:rPr>
          <w:spacing w:val="-4"/>
        </w:rPr>
        <w:t>划相关事宜的议案》、《江苏润和软件股份有限公司第一期员工持股计划管理办法》三项议案，公司独立董事对上述事项发</w:t>
      </w:r>
      <w:r>
        <w:rPr>
          <w:spacing w:val="41"/>
        </w:rPr>
        <w:t> </w:t>
      </w:r>
      <w:r>
        <w:rPr>
          <w:spacing w:val="41"/>
        </w:rPr>
      </w:r>
      <w:r>
        <w:rPr>
          <w:spacing w:val="-3"/>
        </w:rPr>
        <w:t>表了一致同意的独立意见；同日，公司召开第五届监事会第九次会议，审议并通过了《关于</w:t>
      </w:r>
      <w:r>
        <w:rPr>
          <w:rFonts w:ascii="Times New Roman" w:hAnsi="Times New Roman" w:cs="Times New Roman" w:eastAsia="Times New Roman" w:hint="default"/>
          <w:spacing w:val="-3"/>
        </w:rPr>
        <w:t>&lt;</w:t>
      </w:r>
      <w:r>
        <w:rPr>
          <w:spacing w:val="-3"/>
        </w:rPr>
        <w:t>江苏润和软件股份有限公司第</w:t>
      </w:r>
      <w:r>
        <w:rPr>
          <w:spacing w:val="68"/>
        </w:rPr>
        <w:t> </w:t>
      </w:r>
      <w:r>
        <w:rPr>
          <w:spacing w:val="68"/>
        </w:rPr>
      </w:r>
      <w:r>
        <w:rPr>
          <w:spacing w:val="-3"/>
        </w:rPr>
        <w:t>一期员工持股计划（草案）</w:t>
      </w:r>
      <w:r>
        <w:rPr>
          <w:rFonts w:ascii="Times New Roman" w:hAnsi="Times New Roman" w:cs="Times New Roman" w:eastAsia="Times New Roman" w:hint="default"/>
          <w:spacing w:val="-3"/>
        </w:rPr>
        <w:t>&gt;</w:t>
      </w:r>
      <w:r>
        <w:rPr>
          <w:spacing w:val="-3"/>
        </w:rPr>
        <w:t>及其摘要的议案》和《关于核查公司第一期员工持股计划持有人名单及其份额分配的议案》。</w:t>
      </w:r>
    </w:p>
    <w:p>
      <w:pPr>
        <w:pStyle w:val="BodyText"/>
        <w:spacing w:line="300" w:lineRule="auto" w:before="9"/>
        <w:ind w:right="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日，公司召开</w:t>
      </w:r>
      <w:r>
        <w:rPr>
          <w:rFonts w:ascii="Times New Roman" w:hAnsi="Times New Roman" w:cs="Times New Roman" w:eastAsia="Times New Roman" w:hint="default"/>
          <w:spacing w:val="-3"/>
        </w:rPr>
        <w:t>2016</w:t>
      </w:r>
      <w:r>
        <w:rPr>
          <w:spacing w:val="-3"/>
        </w:rPr>
        <w:t>年第五次临时股东大会，审议通过了《关于</w:t>
      </w:r>
      <w:r>
        <w:rPr>
          <w:rFonts w:ascii="Times New Roman" w:hAnsi="Times New Roman" w:cs="Times New Roman" w:eastAsia="Times New Roman" w:hint="default"/>
          <w:spacing w:val="-3"/>
        </w:rPr>
        <w:t>&lt;</w:t>
      </w:r>
      <w:r>
        <w:rPr>
          <w:spacing w:val="-3"/>
        </w:rPr>
        <w:t>江苏润和软件股份有限公司第一期员工</w:t>
      </w:r>
      <w:r>
        <w:rPr>
          <w:spacing w:val="2"/>
        </w:rPr>
        <w:t> </w:t>
      </w:r>
      <w:r>
        <w:rPr>
          <w:spacing w:val="2"/>
        </w:rPr>
      </w:r>
      <w:r>
        <w:rPr>
          <w:spacing w:val="-3"/>
        </w:rPr>
        <w:t>持股计划（草案）</w:t>
      </w:r>
      <w:r>
        <w:rPr>
          <w:rFonts w:ascii="Times New Roman" w:hAnsi="Times New Roman" w:cs="Times New Roman" w:eastAsia="Times New Roman" w:hint="default"/>
          <w:spacing w:val="-3"/>
        </w:rPr>
        <w:t>&gt;</w:t>
      </w:r>
      <w:r>
        <w:rPr>
          <w:spacing w:val="-3"/>
        </w:rPr>
        <w:t>及其摘要的议案》、《关于提请股东大会授权董事会办理江苏润和软件股份有限公司第一期员工持股计</w:t>
      </w:r>
      <w:r>
        <w:rPr>
          <w:spacing w:val="63"/>
        </w:rPr>
        <w:t> </w:t>
      </w:r>
      <w:r>
        <w:rPr>
          <w:spacing w:val="63"/>
        </w:rPr>
      </w:r>
      <w:r>
        <w:rPr>
          <w:spacing w:val="-3"/>
        </w:rPr>
        <w:t>划相关事宜的议案》、《江苏润和软件股份有限公司第一期员工持股计划管理办法》等议案。</w:t>
      </w:r>
    </w:p>
    <w:p>
      <w:pPr>
        <w:pStyle w:val="BodyText"/>
        <w:spacing w:line="312" w:lineRule="auto" w:before="31"/>
        <w:ind w:right="1123"/>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日，公司召开第一期员工持股计划首次持有人会议，审议通过了《关于设立公司第一期员工持股计划管</w:t>
      </w:r>
      <w:r>
        <w:rPr>
          <w:spacing w:val="82"/>
        </w:rPr>
        <w:t> </w:t>
      </w:r>
      <w:r>
        <w:rPr>
          <w:spacing w:val="82"/>
        </w:rPr>
      </w:r>
      <w:r>
        <w:rPr>
          <w:spacing w:val="-4"/>
        </w:rPr>
        <w:t>理委员会的议案》、《关于选举公司第一期员工持股计划管理委员会委员的议案》和《关于员工持股计划持有人会议授权员</w:t>
      </w:r>
      <w:r>
        <w:rPr>
          <w:spacing w:val="41"/>
        </w:rPr>
        <w:t> </w:t>
      </w:r>
      <w:r>
        <w:rPr>
          <w:spacing w:val="41"/>
        </w:rPr>
      </w:r>
      <w:r>
        <w:rPr>
          <w:spacing w:val="-4"/>
        </w:rPr>
        <w:t>工持股计划管理委员会办理公司第一期员工持股计划相关事宜的议案》；同日，公司召开了第一期员工持股计划管理委员会</w:t>
      </w:r>
      <w:r>
        <w:rPr>
          <w:spacing w:val="38"/>
        </w:rPr>
        <w:t> </w:t>
      </w:r>
      <w:r>
        <w:rPr>
          <w:spacing w:val="38"/>
        </w:rPr>
      </w:r>
      <w:r>
        <w:rPr>
          <w:spacing w:val="-3"/>
        </w:rPr>
        <w:t>首次会议，审议并通过了《关于选举第一期员工持股计划管理委员会主任的议案》。</w:t>
      </w:r>
    </w:p>
    <w:p>
      <w:pPr>
        <w:pStyle w:val="BodyText"/>
        <w:spacing w:line="300" w:lineRule="auto" w:before="22"/>
        <w:ind w:right="0"/>
        <w:jc w:val="left"/>
      </w:pPr>
      <w:r>
        <w:rPr>
          <w:spacing w:val="-7"/>
        </w:rPr>
        <w:t>（</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3</w:t>
      </w:r>
      <w:r>
        <w:rPr>
          <w:spacing w:val="-7"/>
        </w:rPr>
        <w:t>日，公司披露了《兴业国际信托有限公司兴业信托</w:t>
      </w:r>
      <w:r>
        <w:rPr>
          <w:rFonts w:ascii="Times New Roman" w:hAnsi="Times New Roman" w:cs="Times New Roman" w:eastAsia="Times New Roman" w:hint="default"/>
          <w:spacing w:val="-7"/>
        </w:rPr>
        <w:t>-</w:t>
      </w:r>
      <w:r>
        <w:rPr>
          <w:spacing w:val="-7"/>
        </w:rPr>
        <w:t>润和软件</w:t>
      </w:r>
      <w:r>
        <w:rPr>
          <w:rFonts w:ascii="Times New Roman" w:hAnsi="Times New Roman" w:cs="Times New Roman" w:eastAsia="Times New Roman" w:hint="default"/>
          <w:spacing w:val="-7"/>
        </w:rPr>
        <w:t>1</w:t>
      </w:r>
      <w:r>
        <w:rPr>
          <w:spacing w:val="-7"/>
        </w:rPr>
        <w:t>号员工持股集合资金信托计划资金信托合同》。</w:t>
      </w:r>
      <w:r>
        <w:rPr>
          <w:spacing w:val="13"/>
        </w:rPr>
        <w:t> </w:t>
      </w:r>
      <w:r>
        <w:rPr>
          <w:spacing w:val="13"/>
        </w:rPr>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18</w:t>
      </w:r>
      <w:r>
        <w:rPr>
          <w:spacing w:val="-4"/>
        </w:rPr>
        <w:t>日，公司披露了第一期员工持股计划实施进展公告。</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16</w:t>
      </w:r>
      <w:r>
        <w:rPr>
          <w:spacing w:val="-4"/>
        </w:rPr>
        <w:t>日，公司披露了第一期员工持股计划完成股票</w:t>
      </w:r>
      <w:r>
        <w:rPr>
          <w:spacing w:val="71"/>
        </w:rPr>
        <w:t> </w:t>
      </w:r>
      <w:r>
        <w:rPr>
          <w:spacing w:val="71"/>
        </w:rPr>
      </w:r>
      <w:r>
        <w:rPr>
          <w:spacing w:val="-4"/>
        </w:rPr>
        <w:t>购买的公告，截至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日，兴业信托</w:t>
      </w:r>
      <w:r>
        <w:rPr>
          <w:rFonts w:ascii="Times New Roman" w:hAnsi="Times New Roman" w:cs="Times New Roman" w:eastAsia="Times New Roman" w:hint="default"/>
          <w:spacing w:val="-4"/>
        </w:rPr>
        <w:t>—</w:t>
      </w:r>
      <w:r>
        <w:rPr>
          <w:spacing w:val="-4"/>
        </w:rPr>
        <w:t>润和软件</w:t>
      </w:r>
      <w:r>
        <w:rPr>
          <w:rFonts w:ascii="Times New Roman" w:hAnsi="Times New Roman" w:cs="Times New Roman" w:eastAsia="Times New Roman" w:hint="default"/>
          <w:spacing w:val="-4"/>
        </w:rPr>
        <w:t>1</w:t>
      </w:r>
      <w:r>
        <w:rPr>
          <w:spacing w:val="-4"/>
        </w:rPr>
        <w:t>号员工持股集合资金信托计划已通过深圳证券交易所交易系统累计</w:t>
      </w:r>
      <w:r>
        <w:rPr>
          <w:spacing w:val="52"/>
        </w:rPr>
        <w:t> </w:t>
      </w:r>
      <w:r>
        <w:rPr>
          <w:spacing w:val="52"/>
        </w:rPr>
      </w:r>
      <w:r>
        <w:rPr/>
        <w:t>购买公司股票</w:t>
      </w:r>
      <w:r>
        <w:rPr>
          <w:rFonts w:ascii="Times New Roman" w:hAnsi="Times New Roman" w:cs="Times New Roman" w:eastAsia="Times New Roman" w:hint="default"/>
        </w:rPr>
        <w:t>10,548,038</w:t>
      </w:r>
      <w:r>
        <w:rPr/>
        <w:t>股，占公司总股本比例约为</w:t>
      </w:r>
      <w:r>
        <w:rPr>
          <w:rFonts w:ascii="Times New Roman" w:hAnsi="Times New Roman" w:cs="Times New Roman" w:eastAsia="Times New Roman" w:hint="default"/>
        </w:rPr>
        <w:t>2.95%</w:t>
      </w:r>
      <w:r>
        <w:rPr/>
        <w:t>，成交均价约为人民币</w:t>
      </w:r>
      <w:r>
        <w:rPr>
          <w:rFonts w:ascii="Times New Roman" w:hAnsi="Times New Roman" w:cs="Times New Roman" w:eastAsia="Times New Roman" w:hint="default"/>
        </w:rPr>
        <w:t>30.90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325,992,095.58</w:t>
      </w:r>
      <w:r>
        <w:rPr>
          <w:rFonts w:ascii="Times New Roman" w:hAnsi="Times New Roman" w:cs="Times New Roman" w:eastAsia="Times New Roman" w:hint="default"/>
          <w:w w:val="101"/>
        </w:rPr>
        <w:t> </w:t>
      </w:r>
      <w:r>
        <w:rPr>
          <w:spacing w:val="-3"/>
        </w:rPr>
        <w:t>元，剩余资金留作备付资金。公司第一期员工持股计划已完成股票购买，该计划所购买的股票锁定期为</w:t>
      </w:r>
      <w:r>
        <w:rPr>
          <w:rFonts w:ascii="Times New Roman" w:hAnsi="Times New Roman" w:cs="Times New Roman" w:eastAsia="Times New Roman" w:hint="default"/>
          <w:spacing w:val="-3"/>
        </w:rPr>
        <w:t>12</w:t>
      </w:r>
      <w:r>
        <w:rPr>
          <w:spacing w:val="-3"/>
        </w:rPr>
        <w:t>个月。</w:t>
      </w:r>
    </w:p>
    <w:p>
      <w:pPr>
        <w:pStyle w:val="BodyText"/>
        <w:spacing w:line="304" w:lineRule="auto" w:before="13"/>
        <w:ind w:right="0"/>
        <w:jc w:val="left"/>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28</w:t>
      </w:r>
      <w:r>
        <w:rPr>
          <w:spacing w:val="-3"/>
        </w:rPr>
        <w:t>日，经出席持有人会议的持有人所持</w:t>
      </w:r>
      <w:r>
        <w:rPr>
          <w:rFonts w:ascii="Times New Roman" w:hAnsi="Times New Roman" w:cs="Times New Roman" w:eastAsia="Times New Roman" w:hint="default"/>
          <w:spacing w:val="-3"/>
        </w:rPr>
        <w:t>2/3</w:t>
      </w:r>
      <w:r>
        <w:rPr>
          <w:spacing w:val="-3"/>
        </w:rPr>
        <w:t>以上份额同意，审议通过了《关于第一期员工持股计划延期的议</w:t>
      </w:r>
      <w:r>
        <w:rPr>
          <w:spacing w:val="-2"/>
        </w:rPr>
        <w:t> </w:t>
      </w:r>
      <w:r>
        <w:rPr>
          <w:spacing w:val="-2"/>
        </w:rPr>
      </w:r>
      <w:r>
        <w:rPr>
          <w:spacing w:val="-3"/>
        </w:rPr>
        <w:t>案》。公司于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日召开第五届董事会第三十六次会议，审议通过了《关于第一期员工持股计划延期的议案》，董</w:t>
      </w:r>
      <w:r>
        <w:rPr>
          <w:spacing w:val="79"/>
        </w:rPr>
        <w:t> </w:t>
      </w:r>
      <w:r>
        <w:rPr>
          <w:spacing w:val="79"/>
        </w:rPr>
      </w:r>
      <w:r>
        <w:rPr>
          <w:spacing w:val="-4"/>
        </w:rPr>
        <w:t>事会同意根据持有人会议表决结果，将公司第一期员工持股计划存续期延长一年，即公司第一期员工持股计划存续期延长至</w:t>
      </w:r>
      <w:r>
        <w:rPr>
          <w:spacing w:val="43"/>
        </w:rPr>
        <w:t> </w:t>
      </w:r>
      <w:r>
        <w:rPr>
          <w:spacing w:val="4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spacing w:val="-86"/>
        </w:rPr>
        <w:t> </w:t>
      </w:r>
      <w:r>
        <w:rPr>
          <w:spacing w:val="-2"/>
        </w:rPr>
        <w:t>以上具体内容请详见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w:t>
      </w:r>
      <w:r>
        <w:rPr>
          <w:spacing w:val="53"/>
        </w:rPr>
        <w:t> </w:t>
      </w:r>
      <w:r>
        <w:rPr>
          <w:spacing w:val="53"/>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日在中国证监会指定的创业板信息披露网站公告。</w:t>
      </w:r>
    </w:p>
    <w:p>
      <w:pPr>
        <w:pStyle w:val="BodyText"/>
        <w:spacing w:line="338" w:lineRule="auto" w:before="52"/>
        <w:ind w:right="1842"/>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t>无</w:t>
      </w:r>
    </w:p>
    <w:p>
      <w:pPr>
        <w:spacing w:line="240" w:lineRule="auto" w:before="3"/>
        <w:rPr>
          <w:rFonts w:ascii="宋体" w:hAnsi="宋体" w:cs="宋体" w:eastAsia="宋体" w:hint="default"/>
          <w:sz w:val="13"/>
          <w:szCs w:val="13"/>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after="0" w:line="34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1"/>
        <w:rPr>
          <w:rFonts w:ascii="宋体" w:hAnsi="宋体" w:cs="宋体" w:eastAsia="宋体" w:hint="default"/>
          <w:sz w:val="12"/>
          <w:szCs w:val="12"/>
        </w:rPr>
      </w:pPr>
    </w:p>
    <w:p>
      <w:pPr>
        <w:pStyle w:val="Heading2"/>
        <w:spacing w:line="240" w:lineRule="auto"/>
        <w:ind w:right="0"/>
        <w:jc w:val="left"/>
        <w:rPr>
          <w:b w:val="0"/>
          <w:bCs w:val="0"/>
        </w:rPr>
      </w:pPr>
      <w:r>
        <w:rPr/>
        <w:t>十六、重大合同及其履行情况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单位：万元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3"/>
        <w:gridCol w:w="1299"/>
        <w:gridCol w:w="1062"/>
        <w:gridCol w:w="1044"/>
        <w:gridCol w:w="1046"/>
        <w:gridCol w:w="790"/>
        <w:gridCol w:w="781"/>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8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43"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7"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5" w:right="88"/>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3"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7"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9,000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北京联创智融信息科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8,000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江苏润和南京外包园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投资有限公司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6,000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20,000</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0"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50,000</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1" w:right="9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433"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20,000</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0" w:right="8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17,000</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50,000</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406"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4.97%</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1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w:t>
            </w:r>
          </w:p>
        </w:tc>
      </w:tr>
      <w:tr>
        <w:trPr>
          <w:trHeight w:val="403"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w:t>
            </w:r>
          </w:p>
        </w:tc>
      </w:tr>
    </w:tbl>
    <w:p>
      <w:pPr>
        <w:pStyle w:val="BodyText"/>
        <w:spacing w:line="240" w:lineRule="auto" w:before="53"/>
        <w:ind w:right="0"/>
        <w:jc w:val="left"/>
      </w:pPr>
      <w:r>
        <w:rPr>
          <w:spacing w:val="-3"/>
        </w:rPr>
        <w:t>采用复合方式担保的具体情况说明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9"/>
      </w:tblGrid>
      <w:tr>
        <w:trPr>
          <w:trHeight w:val="399"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3"/>
        <w:ind w:right="0"/>
        <w:jc w:val="left"/>
      </w:pPr>
      <w:r>
        <w:rPr>
          <w:spacing w:val="-3"/>
        </w:rPr>
        <w:t>单项金额重大或安全性较低、流动性较差、不保本的高风险委托理财具体情况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5" w:space="2469"/>
            <w:col w:w="218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276"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95"/>
              <w:jc w:val="both"/>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pacing w:val="-86"/>
                <w:sz w:val="18"/>
                <w:szCs w:val="18"/>
              </w:rPr>
              <w:t> </w:t>
            </w:r>
            <w:r>
              <w:rPr>
                <w:rFonts w:ascii="宋体" w:hAnsi="宋体" w:cs="宋体" w:eastAsia="宋体" w:hint="default"/>
                <w:sz w:val="18"/>
                <w:szCs w:val="18"/>
              </w:rPr>
              <w:t>机构</w:t>
            </w:r>
            <w:r>
              <w:rPr>
                <w:rFonts w:ascii="宋体" w:hAnsi="宋体" w:cs="宋体" w:eastAsia="宋体" w:hint="default"/>
                <w:spacing w:val="-86"/>
                <w:sz w:val="18"/>
                <w:szCs w:val="18"/>
              </w:rPr>
              <w:t> </w:t>
            </w:r>
            <w:r>
              <w:rPr>
                <w:rFonts w:ascii="宋体" w:hAnsi="宋体" w:cs="宋体" w:eastAsia="宋体" w:hint="default"/>
                <w:sz w:val="18"/>
                <w:szCs w:val="18"/>
              </w:rPr>
              <w:t>名称</w:t>
            </w:r>
          </w:p>
          <w:p>
            <w:pPr>
              <w:pStyle w:val="TableParagraph"/>
              <w:spacing w:line="319" w:lineRule="auto" w:before="19"/>
              <w:ind w:left="100" w:right="95"/>
              <w:jc w:val="both"/>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86"/>
                <w:sz w:val="18"/>
                <w:szCs w:val="18"/>
              </w:rPr>
              <w:t> </w:t>
            </w:r>
            <w:r>
              <w:rPr>
                <w:rFonts w:ascii="宋体" w:hAnsi="宋体" w:cs="宋体" w:eastAsia="宋体" w:hint="default"/>
                <w:sz w:val="18"/>
                <w:szCs w:val="18"/>
              </w:rPr>
              <w:t>受托</w:t>
            </w:r>
            <w:r>
              <w:rPr>
                <w:rFonts w:ascii="宋体" w:hAnsi="宋体" w:cs="宋体" w:eastAsia="宋体" w:hint="default"/>
                <w:spacing w:val="-86"/>
                <w:sz w:val="18"/>
                <w:szCs w:val="18"/>
              </w:rPr>
              <w:t> </w:t>
            </w:r>
            <w:r>
              <w:rPr>
                <w:rFonts w:ascii="宋体" w:hAnsi="宋体" w:cs="宋体" w:eastAsia="宋体" w:hint="default"/>
                <w:sz w:val="18"/>
                <w:szCs w:val="18"/>
              </w:rPr>
              <w:t>人姓</w:t>
            </w:r>
            <w:r>
              <w:rPr>
                <w:rFonts w:ascii="宋体" w:hAnsi="宋体" w:cs="宋体" w:eastAsia="宋体" w:hint="default"/>
                <w:spacing w:val="-86"/>
                <w:sz w:val="18"/>
                <w:szCs w:val="18"/>
              </w:rPr>
              <w:t> </w:t>
            </w:r>
            <w:r>
              <w:rPr>
                <w:rFonts w:ascii="宋体" w:hAnsi="宋体" w:cs="宋体" w:eastAsia="宋体" w:hint="default"/>
                <w:sz w:val="18"/>
                <w:szCs w:val="18"/>
              </w:rPr>
              <w:t>名）</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110" w:right="104"/>
              <w:jc w:val="center"/>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z w:val="18"/>
                <w:szCs w:val="18"/>
              </w:rPr>
              <w:t>机构</w:t>
            </w:r>
          </w:p>
          <w:p>
            <w:pPr>
              <w:pStyle w:val="TableParagraph"/>
              <w:spacing w:line="319" w:lineRule="auto" w:before="22"/>
              <w:ind w:left="24" w:right="17"/>
              <w:jc w:val="center"/>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w w:val="101"/>
                <w:sz w:val="18"/>
                <w:szCs w:val="18"/>
              </w:rPr>
              <w:t> </w:t>
            </w: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pacing w:val="-4"/>
                <w:sz w:val="18"/>
                <w:szCs w:val="18"/>
              </w:rPr>
              <w:t>人）类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11" w:right="2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95" w:right="89"/>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95" w:right="89"/>
              <w:jc w:val="left"/>
              <w:rPr>
                <w:rFonts w:ascii="宋体" w:hAnsi="宋体" w:cs="宋体" w:eastAsia="宋体" w:hint="default"/>
                <w:sz w:val="18"/>
                <w:szCs w:val="18"/>
              </w:rPr>
            </w:pPr>
            <w:r>
              <w:rPr>
                <w:rFonts w:ascii="宋体" w:hAnsi="宋体" w:cs="宋体" w:eastAsia="宋体" w:hint="default"/>
                <w:sz w:val="18"/>
                <w:szCs w:val="18"/>
              </w:rPr>
              <w:t>起始</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96" w:right="89"/>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95" w:right="84"/>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95" w:right="89"/>
              <w:jc w:val="both"/>
              <w:rPr>
                <w:rFonts w:ascii="宋体" w:hAnsi="宋体" w:cs="宋体" w:eastAsia="宋体" w:hint="default"/>
                <w:sz w:val="18"/>
                <w:szCs w:val="18"/>
              </w:rPr>
            </w:pPr>
            <w:r>
              <w:rPr>
                <w:rFonts w:ascii="宋体" w:hAnsi="宋体" w:cs="宋体" w:eastAsia="宋体" w:hint="default"/>
                <w:sz w:val="18"/>
                <w:szCs w:val="18"/>
              </w:rPr>
              <w:t>报酬</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参考</w:t>
            </w:r>
            <w:r>
              <w:rPr>
                <w:rFonts w:ascii="宋体" w:hAnsi="宋体" w:cs="宋体" w:eastAsia="宋体" w:hint="default"/>
                <w:spacing w:val="-86"/>
                <w:sz w:val="18"/>
                <w:szCs w:val="18"/>
              </w:rPr>
              <w:t> </w:t>
            </w:r>
            <w:r>
              <w:rPr>
                <w:rFonts w:ascii="宋体" w:hAnsi="宋体" w:cs="宋体" w:eastAsia="宋体" w:hint="default"/>
                <w:sz w:val="18"/>
                <w:szCs w:val="18"/>
              </w:rPr>
              <w:t>年化</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95" w:right="89"/>
              <w:jc w:val="left"/>
              <w:rPr>
                <w:rFonts w:ascii="宋体" w:hAnsi="宋体" w:cs="宋体" w:eastAsia="宋体" w:hint="default"/>
                <w:sz w:val="18"/>
                <w:szCs w:val="18"/>
              </w:rPr>
            </w:pPr>
            <w:r>
              <w:rPr>
                <w:rFonts w:ascii="宋体" w:hAnsi="宋体" w:cs="宋体" w:eastAsia="宋体" w:hint="default"/>
                <w:sz w:val="18"/>
                <w:szCs w:val="18"/>
              </w:rPr>
              <w:t>预期</w:t>
            </w:r>
            <w:r>
              <w:rPr>
                <w:rFonts w:ascii="宋体" w:hAnsi="宋体" w:cs="宋体" w:eastAsia="宋体" w:hint="default"/>
                <w:spacing w:val="-86"/>
                <w:sz w:val="18"/>
                <w:szCs w:val="18"/>
              </w:rPr>
              <w:t> </w:t>
            </w:r>
            <w:r>
              <w:rPr>
                <w:rFonts w:ascii="宋体" w:hAnsi="宋体" w:cs="宋体" w:eastAsia="宋体" w:hint="default"/>
                <w:sz w:val="18"/>
                <w:szCs w:val="18"/>
              </w:rPr>
              <w:t>收益</w:t>
            </w:r>
          </w:p>
          <w:p>
            <w:pPr>
              <w:pStyle w:val="TableParagraph"/>
              <w:spacing w:line="321" w:lineRule="auto" w:before="23"/>
              <w:ind w:left="187" w:right="89" w:hanging="9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6"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期实</w:t>
            </w:r>
            <w:r>
              <w:rPr>
                <w:rFonts w:ascii="宋体" w:hAnsi="宋体" w:cs="宋体" w:eastAsia="宋体" w:hint="default"/>
                <w:spacing w:val="-86"/>
                <w:sz w:val="18"/>
                <w:szCs w:val="18"/>
              </w:rPr>
              <w:t> </w:t>
            </w:r>
            <w:r>
              <w:rPr>
                <w:rFonts w:ascii="宋体" w:hAnsi="宋体" w:cs="宋体" w:eastAsia="宋体" w:hint="default"/>
                <w:sz w:val="18"/>
                <w:szCs w:val="18"/>
              </w:rPr>
              <w:t>际损</w:t>
            </w:r>
            <w:r>
              <w:rPr>
                <w:rFonts w:ascii="宋体" w:hAnsi="宋体" w:cs="宋体" w:eastAsia="宋体" w:hint="default"/>
                <w:spacing w:val="-86"/>
                <w:sz w:val="18"/>
                <w:szCs w:val="18"/>
              </w:rPr>
              <w:t> </w:t>
            </w:r>
            <w:r>
              <w:rPr>
                <w:rFonts w:ascii="宋体" w:hAnsi="宋体" w:cs="宋体" w:eastAsia="宋体" w:hint="default"/>
                <w:sz w:val="18"/>
                <w:szCs w:val="18"/>
              </w:rPr>
              <w:t>益金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期损</w:t>
            </w:r>
            <w:r>
              <w:rPr>
                <w:rFonts w:ascii="宋体" w:hAnsi="宋体" w:cs="宋体" w:eastAsia="宋体" w:hint="default"/>
                <w:spacing w:val="-86"/>
                <w:sz w:val="18"/>
                <w:szCs w:val="18"/>
              </w:rPr>
              <w:t> </w:t>
            </w:r>
            <w:r>
              <w:rPr>
                <w:rFonts w:ascii="宋体" w:hAnsi="宋体" w:cs="宋体" w:eastAsia="宋体" w:hint="default"/>
                <w:sz w:val="18"/>
                <w:szCs w:val="18"/>
              </w:rPr>
              <w:t>益实</w:t>
            </w:r>
            <w:r>
              <w:rPr>
                <w:rFonts w:ascii="宋体" w:hAnsi="宋体" w:cs="宋体" w:eastAsia="宋体" w:hint="default"/>
                <w:spacing w:val="-86"/>
                <w:sz w:val="18"/>
                <w:szCs w:val="18"/>
              </w:rPr>
              <w:t> </w:t>
            </w:r>
            <w:r>
              <w:rPr>
                <w:rFonts w:ascii="宋体" w:hAnsi="宋体" w:cs="宋体" w:eastAsia="宋体" w:hint="default"/>
                <w:sz w:val="18"/>
                <w:szCs w:val="18"/>
              </w:rPr>
              <w:t>际收</w:t>
            </w:r>
            <w:r>
              <w:rPr>
                <w:rFonts w:ascii="宋体" w:hAnsi="宋体" w:cs="宋体" w:eastAsia="宋体" w:hint="default"/>
                <w:spacing w:val="-86"/>
                <w:sz w:val="18"/>
                <w:szCs w:val="18"/>
              </w:rPr>
              <w:t> </w:t>
            </w:r>
            <w:r>
              <w:rPr>
                <w:rFonts w:ascii="宋体" w:hAnsi="宋体" w:cs="宋体" w:eastAsia="宋体" w:hint="default"/>
                <w:sz w:val="18"/>
                <w:szCs w:val="18"/>
              </w:rPr>
              <w:t>回情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79"/>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1" w:lineRule="auto" w:before="19"/>
              <w:ind w:left="91" w:right="79"/>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经过</w:t>
            </w:r>
            <w:r>
              <w:rPr>
                <w:rFonts w:ascii="宋体" w:hAnsi="宋体" w:cs="宋体" w:eastAsia="宋体" w:hint="default"/>
                <w:spacing w:val="-86"/>
                <w:sz w:val="18"/>
                <w:szCs w:val="18"/>
              </w:rPr>
              <w:t> </w:t>
            </w:r>
            <w:r>
              <w:rPr>
                <w:rFonts w:ascii="宋体" w:hAnsi="宋体" w:cs="宋体" w:eastAsia="宋体" w:hint="default"/>
                <w:sz w:val="18"/>
                <w:szCs w:val="18"/>
              </w:rPr>
              <w:t>法定</w:t>
            </w:r>
            <w:r>
              <w:rPr>
                <w:rFonts w:ascii="宋体" w:hAnsi="宋体" w:cs="宋体" w:eastAsia="宋体" w:hint="default"/>
                <w:spacing w:val="-86"/>
                <w:sz w:val="18"/>
                <w:szCs w:val="18"/>
              </w:rPr>
              <w:t> </w:t>
            </w:r>
            <w:r>
              <w:rPr>
                <w:rFonts w:ascii="宋体" w:hAnsi="宋体" w:cs="宋体" w:eastAsia="宋体" w:hint="default"/>
                <w:sz w:val="18"/>
                <w:szCs w:val="18"/>
              </w:rPr>
              <w:t>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86"/>
                <w:sz w:val="18"/>
                <w:szCs w:val="18"/>
              </w:rPr>
              <w:t> </w:t>
            </w: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还有</w:t>
            </w:r>
            <w:r>
              <w:rPr>
                <w:rFonts w:ascii="宋体" w:hAnsi="宋体" w:cs="宋体" w:eastAsia="宋体" w:hint="default"/>
                <w:spacing w:val="-86"/>
                <w:sz w:val="18"/>
                <w:szCs w:val="18"/>
              </w:rPr>
              <w:t> </w:t>
            </w:r>
            <w:r>
              <w:rPr>
                <w:rFonts w:ascii="宋体" w:hAnsi="宋体" w:cs="宋体" w:eastAsia="宋体" w:hint="default"/>
                <w:sz w:val="18"/>
                <w:szCs w:val="18"/>
              </w:rPr>
              <w:t>委托</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7" w:hanging="5"/>
              <w:jc w:val="center"/>
              <w:rPr>
                <w:rFonts w:ascii="宋体" w:hAnsi="宋体" w:cs="宋体" w:eastAsia="宋体" w:hint="default"/>
                <w:sz w:val="18"/>
                <w:szCs w:val="18"/>
              </w:rPr>
            </w:pPr>
            <w:r>
              <w:rPr>
                <w:rFonts w:ascii="宋体" w:hAnsi="宋体" w:cs="宋体" w:eastAsia="宋体" w:hint="default"/>
                <w:sz w:val="18"/>
                <w:szCs w:val="18"/>
              </w:rPr>
              <w:t>事项</w:t>
            </w:r>
            <w:r>
              <w:rPr>
                <w:rFonts w:ascii="宋体" w:hAnsi="宋体" w:cs="宋体" w:eastAsia="宋体" w:hint="default"/>
                <w:w w:val="101"/>
                <w:sz w:val="18"/>
                <w:szCs w:val="18"/>
              </w:rPr>
              <w:t> </w:t>
            </w:r>
            <w:r>
              <w:rPr>
                <w:rFonts w:ascii="宋体" w:hAnsi="宋体" w:cs="宋体" w:eastAsia="宋体" w:hint="default"/>
                <w:sz w:val="18"/>
                <w:szCs w:val="18"/>
              </w:rPr>
              <w:t>概述</w:t>
            </w:r>
            <w:r>
              <w:rPr>
                <w:rFonts w:ascii="宋体" w:hAnsi="宋体" w:cs="宋体" w:eastAsia="宋体" w:hint="default"/>
                <w:w w:val="101"/>
                <w:sz w:val="18"/>
                <w:szCs w:val="18"/>
              </w:rPr>
              <w:t> </w:t>
            </w:r>
            <w:r>
              <w:rPr>
                <w:rFonts w:ascii="宋体" w:hAnsi="宋体" w:cs="宋体" w:eastAsia="宋体" w:hint="default"/>
                <w:sz w:val="18"/>
                <w:szCs w:val="18"/>
              </w:rPr>
              <w:t>及相</w:t>
            </w:r>
            <w:r>
              <w:rPr>
                <w:rFonts w:ascii="宋体" w:hAnsi="宋体" w:cs="宋体" w:eastAsia="宋体" w:hint="default"/>
                <w:w w:val="101"/>
                <w:sz w:val="18"/>
                <w:szCs w:val="18"/>
              </w:rPr>
              <w:t> </w:t>
            </w:r>
            <w:r>
              <w:rPr>
                <w:rFonts w:ascii="宋体" w:hAnsi="宋体" w:cs="宋体" w:eastAsia="宋体" w:hint="default"/>
                <w:sz w:val="18"/>
                <w:szCs w:val="18"/>
              </w:rPr>
              <w:t>关查</w:t>
            </w:r>
            <w:r>
              <w:rPr>
                <w:rFonts w:ascii="宋体" w:hAnsi="宋体" w:cs="宋体" w:eastAsia="宋体" w:hint="default"/>
                <w:w w:val="101"/>
                <w:sz w:val="18"/>
                <w:szCs w:val="18"/>
              </w:rPr>
              <w:t> </w:t>
            </w:r>
            <w:r>
              <w:rPr>
                <w:rFonts w:ascii="宋体" w:hAnsi="宋体" w:cs="宋体" w:eastAsia="宋体" w:hint="default"/>
                <w:sz w:val="18"/>
                <w:szCs w:val="18"/>
              </w:rPr>
              <w:t>询索</w:t>
            </w:r>
            <w:r>
              <w:rPr>
                <w:rFonts w:ascii="宋体" w:hAnsi="宋体" w:cs="宋体" w:eastAsia="宋体" w:hint="default"/>
                <w:w w:val="101"/>
                <w:sz w:val="18"/>
                <w:szCs w:val="18"/>
              </w:rPr>
              <w:t> </w:t>
            </w:r>
            <w:r>
              <w:rPr>
                <w:rFonts w:ascii="宋体" w:hAnsi="宋体" w:cs="宋体" w:eastAsia="宋体" w:hint="default"/>
                <w:spacing w:val="-21"/>
                <w:sz w:val="18"/>
                <w:szCs w:val="18"/>
              </w:rPr>
              <w:t>引（如</w:t>
            </w:r>
            <w:r>
              <w:rPr>
                <w:rFonts w:ascii="宋体" w:hAnsi="宋体" w:cs="宋体" w:eastAsia="宋体" w:hint="default"/>
                <w:w w:val="101"/>
                <w:sz w:val="18"/>
                <w:szCs w:val="18"/>
              </w:rPr>
              <w:t> </w:t>
            </w:r>
            <w:r>
              <w:rPr>
                <w:rFonts w:ascii="宋体" w:hAnsi="宋体" w:cs="宋体" w:eastAsia="宋体" w:hint="default"/>
                <w:sz w:val="18"/>
                <w:szCs w:val="18"/>
              </w:rPr>
              <w:t>有）</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广发</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三元</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币理</w:t>
            </w:r>
            <w:r>
              <w:rPr>
                <w:rFonts w:ascii="宋体" w:hAnsi="宋体" w:cs="宋体" w:eastAsia="宋体" w:hint="default"/>
                <w:spacing w:val="-86"/>
                <w:sz w:val="18"/>
                <w:szCs w:val="18"/>
              </w:rPr>
              <w:t> </w:t>
            </w:r>
            <w:r>
              <w:rPr>
                <w:rFonts w:ascii="宋体" w:hAnsi="宋体" w:cs="宋体" w:eastAsia="宋体" w:hint="default"/>
                <w:sz w:val="18"/>
                <w:szCs w:val="18"/>
              </w:rPr>
              <w:t>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12.49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12.49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061</w:t>
            </w:r>
          </w:p>
        </w:tc>
      </w:tr>
      <w:tr>
        <w:trPr>
          <w:trHeight w:val="289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26"/>
              <w:jc w:val="both"/>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2"/>
              <w:ind w:left="23" w:right="2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23.73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23.02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102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7"/>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7"/>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23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0"/>
              <w:jc w:val="both"/>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204"/>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2018-</w:t>
            </w:r>
          </w:p>
          <w:p>
            <w:pPr>
              <w:pStyle w:val="TableParagraph"/>
              <w:spacing w:line="23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广发</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三元</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061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华夏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大行</w:t>
            </w:r>
            <w:r>
              <w:rPr>
                <w:rFonts w:ascii="宋体" w:hAnsi="宋体" w:cs="宋体" w:eastAsia="宋体" w:hint="default"/>
                <w:spacing w:val="-86"/>
                <w:sz w:val="18"/>
                <w:szCs w:val="18"/>
              </w:rPr>
              <w:t> </w:t>
            </w:r>
            <w:r>
              <w:rPr>
                <w:rFonts w:ascii="宋体" w:hAnsi="宋体" w:cs="宋体" w:eastAsia="宋体" w:hint="default"/>
                <w:sz w:val="18"/>
                <w:szCs w:val="18"/>
              </w:rPr>
              <w:t>宫支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89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3"/>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079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新街</w:t>
            </w:r>
            <w:r>
              <w:rPr>
                <w:rFonts w:ascii="宋体" w:hAnsi="宋体" w:cs="宋体" w:eastAsia="宋体" w:hint="default"/>
                <w:spacing w:val="-86"/>
                <w:sz w:val="18"/>
                <w:szCs w:val="18"/>
              </w:rPr>
              <w:t> </w:t>
            </w:r>
            <w:r>
              <w:rPr>
                <w:rFonts w:ascii="宋体" w:hAnsi="宋体" w:cs="宋体" w:eastAsia="宋体" w:hint="default"/>
                <w:sz w:val="18"/>
                <w:szCs w:val="18"/>
              </w:rPr>
              <w:t>口支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0"/>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非固定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89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广发</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三元</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26"/>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22"/>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14.18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14.21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079</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093</w:t>
            </w:r>
          </w:p>
        </w:tc>
      </w:tr>
      <w:tr>
        <w:trPr>
          <w:trHeight w:val="223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9"/>
              <w:ind w:left="23" w:right="26"/>
              <w:jc w:val="both"/>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21"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6"/>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42"/>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67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101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1"/>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2"/>
              <w:ind w:left="23" w:right="26"/>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非固定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52.5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101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9" w:right="0"/>
              <w:jc w:val="center"/>
              <w:rPr>
                <w:rFonts w:ascii="Times New Roman" w:hAnsi="Times New Roman" w:cs="Times New Roman" w:eastAsia="Times New Roman" w:hint="default"/>
                <w:sz w:val="18"/>
                <w:szCs w:val="18"/>
              </w:rPr>
            </w:pPr>
            <w:r>
              <w:rPr>
                <w:rFonts w:ascii="Times New Roman"/>
                <w:sz w:val="18"/>
              </w:rPr>
              <w:t>210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101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27.96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093</w:t>
            </w:r>
          </w:p>
        </w:tc>
      </w:tr>
      <w:tr>
        <w:trPr>
          <w:trHeight w:val="320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17"/>
              <w:ind w:left="23" w:right="26"/>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32.27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101</w:t>
            </w: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170"/>
              <w:jc w:val="both"/>
              <w:rPr>
                <w:rFonts w:ascii="宋体" w:hAnsi="宋体" w:cs="宋体" w:eastAsia="宋体" w:hint="default"/>
                <w:sz w:val="18"/>
                <w:szCs w:val="18"/>
              </w:rPr>
            </w:pPr>
            <w:r>
              <w:rPr>
                <w:rFonts w:ascii="宋体" w:hAnsi="宋体" w:cs="宋体" w:eastAsia="宋体" w:hint="default"/>
                <w:sz w:val="18"/>
                <w:szCs w:val="18"/>
              </w:rPr>
              <w:t>华夏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6" w:lineRule="auto" w:before="22"/>
              <w:ind w:left="23" w:right="26"/>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10" w:right="0"/>
              <w:jc w:val="center"/>
              <w:rPr>
                <w:rFonts w:ascii="Times New Roman" w:hAnsi="Times New Roman" w:cs="Times New Roman" w:eastAsia="Times New Roman" w:hint="default"/>
                <w:sz w:val="18"/>
                <w:szCs w:val="18"/>
              </w:rPr>
            </w:pPr>
            <w:r>
              <w:rPr>
                <w:rFonts w:ascii="Times New Roman"/>
                <w:sz w:val="18"/>
              </w:rPr>
              <w:t>51.11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2"/>
                <w:sz w:val="18"/>
              </w:rPr>
              <w:t>51.11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160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大行</w:t>
            </w:r>
            <w:r>
              <w:rPr>
                <w:rFonts w:ascii="宋体" w:hAnsi="宋体" w:cs="宋体" w:eastAsia="宋体" w:hint="default"/>
                <w:spacing w:val="-86"/>
                <w:sz w:val="18"/>
                <w:szCs w:val="18"/>
              </w:rPr>
              <w:t> </w:t>
            </w:r>
            <w:r>
              <w:rPr>
                <w:rFonts w:ascii="宋体" w:hAnsi="宋体" w:cs="宋体" w:eastAsia="宋体" w:hint="default"/>
                <w:sz w:val="18"/>
                <w:szCs w:val="18"/>
              </w:rPr>
              <w:t>宫支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113</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17"/>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52.69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113</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招商</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奥体</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62"/>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62"/>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212.88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04" w:lineRule="auto" w:before="63"/>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收回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093</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015</w:t>
            </w:r>
          </w:p>
        </w:tc>
      </w:tr>
      <w:tr>
        <w:trPr>
          <w:trHeight w:val="321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0"/>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紫金</w:t>
            </w:r>
            <w:r>
              <w:rPr>
                <w:rFonts w:ascii="宋体" w:hAnsi="宋体" w:cs="宋体" w:eastAsia="宋体" w:hint="default"/>
                <w:spacing w:val="-86"/>
                <w:sz w:val="18"/>
                <w:szCs w:val="18"/>
              </w:rPr>
              <w:t> </w:t>
            </w:r>
            <w:r>
              <w:rPr>
                <w:rFonts w:ascii="宋体" w:hAnsi="宋体" w:cs="宋体" w:eastAsia="宋体" w:hint="default"/>
                <w:sz w:val="18"/>
                <w:szCs w:val="18"/>
              </w:rPr>
              <w:t>农村</w:t>
            </w:r>
            <w:r>
              <w:rPr>
                <w:rFonts w:ascii="宋体" w:hAnsi="宋体" w:cs="宋体" w:eastAsia="宋体" w:hint="default"/>
                <w:spacing w:val="-86"/>
                <w:sz w:val="18"/>
                <w:szCs w:val="18"/>
              </w:rPr>
              <w:t> </w:t>
            </w:r>
            <w:r>
              <w:rPr>
                <w:rFonts w:ascii="宋体" w:hAnsi="宋体" w:cs="宋体" w:eastAsia="宋体" w:hint="default"/>
                <w:sz w:val="18"/>
                <w:szCs w:val="18"/>
              </w:rPr>
              <w:t>商业</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江宁</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40.93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096</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131</w:t>
            </w:r>
          </w:p>
        </w:tc>
      </w:tr>
      <w:tr>
        <w:trPr>
          <w:trHeight w:val="320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10.06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124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26"/>
              <w:jc w:val="both"/>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124</w:t>
            </w:r>
          </w:p>
        </w:tc>
      </w:tr>
      <w:tr>
        <w:trPr>
          <w:trHeight w:val="289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非固定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131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22"/>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137.67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131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华夏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大行</w:t>
            </w:r>
            <w:r>
              <w:rPr>
                <w:rFonts w:ascii="宋体" w:hAnsi="宋体" w:cs="宋体" w:eastAsia="宋体" w:hint="default"/>
                <w:spacing w:val="-86"/>
                <w:sz w:val="18"/>
                <w:szCs w:val="18"/>
              </w:rPr>
              <w:t> </w:t>
            </w:r>
            <w:r>
              <w:rPr>
                <w:rFonts w:ascii="宋体" w:hAnsi="宋体" w:cs="宋体" w:eastAsia="宋体" w:hint="default"/>
                <w:sz w:val="18"/>
                <w:szCs w:val="18"/>
              </w:rPr>
              <w:t>宫支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04" w:lineRule="auto" w:before="63"/>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收回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113</w:t>
            </w:r>
            <w:r>
              <w:rPr>
                <w:rFonts w:ascii="宋体" w:hAnsi="宋体" w:cs="宋体" w:eastAsia="宋体" w:hint="default"/>
                <w:spacing w:val="-3"/>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012</w:t>
            </w:r>
          </w:p>
        </w:tc>
      </w:tr>
      <w:tr>
        <w:trPr>
          <w:trHeight w:val="227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挂钩</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113</w:t>
            </w:r>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672"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131</w:t>
            </w:r>
          </w:p>
        </w:tc>
      </w:tr>
      <w:tr>
        <w:trPr>
          <w:trHeight w:val="29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浮动收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20.42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04" w:lineRule="auto" w:before="63"/>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收回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015</w:t>
            </w:r>
          </w:p>
        </w:tc>
      </w:tr>
      <w:tr>
        <w:trPr>
          <w:trHeight w:val="321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21" w:lineRule="auto" w:before="22"/>
              <w:ind w:left="23" w:right="26"/>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29.3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04" w:lineRule="auto" w:before="63"/>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收回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015</w:t>
            </w: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城西</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3" w:right="26"/>
              <w:jc w:val="left"/>
              <w:rPr>
                <w:rFonts w:ascii="宋体" w:hAnsi="宋体" w:cs="宋体" w:eastAsia="宋体" w:hint="default"/>
                <w:sz w:val="18"/>
                <w:szCs w:val="18"/>
              </w:rPr>
            </w:pPr>
            <w:r>
              <w:rPr>
                <w:rFonts w:ascii="宋体" w:hAnsi="宋体" w:cs="宋体" w:eastAsia="宋体" w:hint="default"/>
                <w:sz w:val="18"/>
                <w:szCs w:val="18"/>
              </w:rPr>
              <w:t>结构性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存款</w:t>
            </w:r>
          </w:p>
          <w:p>
            <w:pPr>
              <w:pStyle w:val="TableParagraph"/>
              <w:spacing w:line="319"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非固定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结构</w:t>
            </w:r>
            <w:r>
              <w:rPr>
                <w:rFonts w:ascii="宋体" w:hAnsi="宋体" w:cs="宋体" w:eastAsia="宋体" w:hint="default"/>
                <w:spacing w:val="-86"/>
                <w:sz w:val="18"/>
                <w:szCs w:val="18"/>
              </w:rPr>
              <w:t> </w:t>
            </w:r>
            <w:r>
              <w:rPr>
                <w:rFonts w:ascii="宋体" w:hAnsi="宋体" w:cs="宋体" w:eastAsia="宋体" w:hint="default"/>
                <w:sz w:val="18"/>
                <w:szCs w:val="18"/>
              </w:rPr>
              <w:t>性存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40" w:right="0"/>
              <w:jc w:val="center"/>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center"/>
              <w:rPr>
                <w:rFonts w:ascii="Times New Roman" w:hAnsi="Times New Roman" w:cs="Times New Roman" w:eastAsia="Times New Roman" w:hint="default"/>
                <w:sz w:val="18"/>
                <w:szCs w:val="18"/>
              </w:rPr>
            </w:pPr>
            <w:r>
              <w:rPr>
                <w:rFonts w:ascii="Times New Roman"/>
                <w:sz w:val="18"/>
              </w:rPr>
              <w:t>56.11</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04" w:lineRule="auto" w:before="63"/>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w:t>
            </w:r>
            <w:r>
              <w:rPr>
                <w:rFonts w:ascii="宋体" w:hAnsi="宋体" w:cs="宋体" w:eastAsia="宋体" w:hint="default"/>
                <w:w w:val="101"/>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pacing w:val="-21"/>
                <w:sz w:val="18"/>
                <w:szCs w:val="18"/>
              </w:rPr>
              <w:t>网，公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124</w:t>
            </w:r>
          </w:p>
        </w:tc>
      </w:tr>
      <w:tr>
        <w:trPr>
          <w:trHeight w:val="710" w:hRule="exact"/>
        </w:trPr>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1,548.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1,181.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委托理财出现预期无法收回本金或存在其他可能导致减值的情形</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after="0" w:line="338"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367" w:lineRule="exact"/>
        <w:ind w:right="0"/>
        <w:jc w:val="left"/>
        <w:rPr>
          <w:b w:val="0"/>
          <w:bCs w:val="0"/>
        </w:rPr>
      </w:pPr>
      <w:r>
        <w:rPr/>
        <w:t>十七、社会责任情况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4" w:lineRule="auto"/>
        <w:ind w:right="1026"/>
        <w:jc w:val="left"/>
      </w:pPr>
      <w:r>
        <w:rPr>
          <w:spacing w:val="-3"/>
        </w:rPr>
        <w:t>公司积极履行企业社会责任，在不断努力创造经济效益的同时</w:t>
      </w:r>
      <w:r>
        <w:rPr>
          <w:rFonts w:ascii="Times New Roman" w:hAnsi="Times New Roman" w:cs="Times New Roman" w:eastAsia="Times New Roman" w:hint="default"/>
          <w:spacing w:val="-3"/>
        </w:rPr>
        <w:t>,</w:t>
      </w:r>
      <w:r>
        <w:rPr>
          <w:spacing w:val="-3"/>
        </w:rPr>
        <w:t>也积极承担对员工、客户、社会等方面的责任，注重企业经</w:t>
      </w:r>
      <w:r>
        <w:rPr>
          <w:spacing w:val="72"/>
        </w:rPr>
        <w:t> </w:t>
      </w:r>
      <w:r>
        <w:rPr>
          <w:spacing w:val="72"/>
        </w:rPr>
      </w:r>
      <w:r>
        <w:rPr>
          <w:spacing w:val="-3"/>
        </w:rPr>
        <w:t>济效益与社会效益的同步共赢。</w:t>
      </w:r>
      <w:r>
        <w:rPr>
          <w:spacing w:val="-45"/>
        </w:rPr>
        <w:t> </w:t>
      </w:r>
      <w:r>
        <w:rPr>
          <w:spacing w:val="-45"/>
        </w:rPr>
      </w:r>
      <w:r>
        <w:rPr>
          <w:spacing w:val="-4"/>
        </w:rPr>
        <w:t>公司建立健全公司内部管理和控制制度，组织协调各职能部门工作，持续深入开展公司治理活动，促进了公司规范运作，提</w:t>
      </w:r>
      <w:r>
        <w:rPr>
          <w:spacing w:val="40"/>
        </w:rPr>
        <w:t> </w:t>
      </w:r>
      <w:r>
        <w:rPr>
          <w:spacing w:val="40"/>
        </w:rPr>
      </w:r>
      <w:r>
        <w:rPr>
          <w:spacing w:val="-4"/>
        </w:rPr>
        <w:t>高了公司治理水平。公司严格按照《公司章程》的规定和要求，规范股东大会的召集、召开及表决程序，通过现场、网络等</w:t>
      </w:r>
      <w:r>
        <w:rPr>
          <w:spacing w:val="40"/>
        </w:rPr>
        <w:t> </w:t>
      </w:r>
      <w:r>
        <w:rPr>
          <w:spacing w:val="40"/>
        </w:rPr>
      </w:r>
      <w:r>
        <w:rPr>
          <w:spacing w:val="-3"/>
        </w:rPr>
        <w:t>合法有效的方式，让更多的股东特别是中小股东能够参加股东大会，确保股东对公司重大事项的知情权、参与权和表决权</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7"/>
        </w:rPr>
        <w:t> </w:t>
      </w:r>
      <w:r>
        <w:rPr>
          <w:spacing w:val="-3"/>
        </w:rPr>
        <w:t>公司认真履行信息披露义务，秉持公平、公正、公开的原则对待全体投资者，维护广大投资者的利益。</w:t>
      </w:r>
      <w:r>
        <w:rPr>
          <w:spacing w:val="44"/>
        </w:rPr>
        <w:t> </w:t>
      </w:r>
      <w:r>
        <w:rPr>
          <w:spacing w:val="44"/>
        </w:rPr>
      </w:r>
      <w:r>
        <w:rPr>
          <w:spacing w:val="-5"/>
        </w:rPr>
        <w:t>公司长期以来一直坚持以人为本的人才理念，严格遵守《劳动法》、《劳动合同法》等相关法律法规，尊重和维护员工的个</w:t>
      </w:r>
      <w:r>
        <w:rPr>
          <w:spacing w:val="4"/>
        </w:rPr>
        <w:t> </w:t>
      </w:r>
      <w:r>
        <w:rPr>
          <w:spacing w:val="4"/>
        </w:rPr>
      </w:r>
      <w:r>
        <w:rPr>
          <w:spacing w:val="-4"/>
        </w:rPr>
        <w:t>人权益，切实关注切实关注员工健康、安全和满意度，依据</w:t>
      </w:r>
      <w:r>
        <w:rPr>
          <w:rFonts w:ascii="Times New Roman" w:hAnsi="Times New Roman" w:cs="Times New Roman" w:eastAsia="Times New Roman" w:hint="default"/>
          <w:spacing w:val="-4"/>
        </w:rPr>
        <w:t>ISO14001</w:t>
      </w:r>
      <w:r>
        <w:rPr>
          <w:spacing w:val="-4"/>
        </w:rPr>
        <w:t>、</w:t>
      </w:r>
      <w:r>
        <w:rPr>
          <w:rFonts w:ascii="Times New Roman" w:hAnsi="Times New Roman" w:cs="Times New Roman" w:eastAsia="Times New Roman" w:hint="default"/>
          <w:spacing w:val="-4"/>
        </w:rPr>
        <w:t>OHSAS18001</w:t>
      </w:r>
      <w:r>
        <w:rPr>
          <w:spacing w:val="-4"/>
        </w:rPr>
        <w:t>等国际先进标准，制定了人力资源管理</w:t>
      </w:r>
      <w:r>
        <w:rPr>
          <w:spacing w:val="1"/>
        </w:rPr>
        <w:t> </w:t>
      </w:r>
      <w:r>
        <w:rPr>
          <w:spacing w:val="1"/>
        </w:rPr>
      </w:r>
      <w:r>
        <w:rPr>
          <w:spacing w:val="-4"/>
        </w:rPr>
        <w:t>制度及环境和职业健康安全管理体系，对人员录用、员工培训、工资薪酬、福利保障、工作环境、职业健康等进行了详细规</w:t>
      </w:r>
      <w:r>
        <w:rPr>
          <w:spacing w:val="40"/>
        </w:rPr>
        <w:t> </w:t>
      </w:r>
      <w:r>
        <w:rPr>
          <w:spacing w:val="40"/>
        </w:rPr>
      </w:r>
      <w:r>
        <w:rPr>
          <w:spacing w:val="-4"/>
        </w:rPr>
        <w:t>定，建立了较为完善的绩效考核体系，为员工提供了良好的劳动环境，重视人才培养，通过多种方式为员工提供平等的发展</w:t>
      </w:r>
      <w:r>
        <w:rPr>
          <w:spacing w:val="40"/>
        </w:rPr>
        <w:t> </w:t>
      </w:r>
      <w:r>
        <w:rPr>
          <w:spacing w:val="40"/>
        </w:rPr>
      </w:r>
      <w:r>
        <w:rPr>
          <w:spacing w:val="-4"/>
        </w:rPr>
        <w:t>机会，实现员工与企业的共同成长。公司严格遵守《工会法》，按照有关规定建立工会组织，支持工会依法开展工作，保障</w:t>
      </w:r>
      <w:r>
        <w:rPr>
          <w:spacing w:val="40"/>
        </w:rPr>
        <w:t> </w:t>
      </w:r>
      <w:r>
        <w:rPr>
          <w:spacing w:val="40"/>
        </w:rPr>
      </w:r>
      <w:r>
        <w:rPr>
          <w:spacing w:val="-3"/>
        </w:rPr>
        <w:t>员工依法行使民主管理的权利。</w:t>
      </w:r>
      <w:r>
        <w:rPr>
          <w:spacing w:val="-45"/>
        </w:rPr>
        <w:t> </w:t>
      </w:r>
      <w:r>
        <w:rPr>
          <w:spacing w:val="-45"/>
        </w:rPr>
      </w:r>
      <w:r>
        <w:rPr>
          <w:spacing w:val="-3"/>
        </w:rPr>
        <w:t>公司长期以来一直践行社会公益责任，</w:t>
      </w:r>
      <w:r>
        <w:rPr>
          <w:rFonts w:ascii="Times New Roman" w:hAnsi="Times New Roman" w:cs="Times New Roman" w:eastAsia="Times New Roman" w:hint="default"/>
          <w:spacing w:val="-3"/>
        </w:rPr>
        <w:t>2018</w:t>
      </w:r>
      <w:r>
        <w:rPr>
          <w:spacing w:val="-3"/>
        </w:rPr>
        <w:t>年度向南京市光彩事业促进会捐赠人民币</w:t>
      </w:r>
      <w:r>
        <w:rPr>
          <w:rFonts w:ascii="Times New Roman" w:hAnsi="Times New Roman" w:cs="Times New Roman" w:eastAsia="Times New Roman" w:hint="default"/>
          <w:spacing w:val="-3"/>
        </w:rPr>
        <w:t>140</w:t>
      </w:r>
      <w:r>
        <w:rPr>
          <w:spacing w:val="-3"/>
        </w:rPr>
        <w:t>万元。</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公司报告年度暂未展开精准扶贫工作，也暂无后续精准扶贫规划。</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57" w:lineRule="auto"/>
        <w:ind w:right="5503"/>
        <w:jc w:val="left"/>
      </w:pPr>
      <w:r>
        <w:rPr>
          <w:spacing w:val="-3"/>
        </w:rPr>
        <w:t>上市公司及其子公司是否属于环境保护部门公布的重点排污单位</w:t>
      </w:r>
      <w:r>
        <w:rPr>
          <w:spacing w:val="-9"/>
        </w:rPr>
        <w:t> </w:t>
      </w:r>
      <w:r>
        <w:rPr>
          <w:spacing w:val="-9"/>
        </w:rPr>
      </w:r>
      <w:r>
        <w:rPr/>
        <w:t>不适用</w:t>
      </w:r>
    </w:p>
    <w:p>
      <w:pPr>
        <w:pStyle w:val="BodyText"/>
        <w:spacing w:line="240" w:lineRule="auto" w:before="26"/>
        <w:ind w:right="0"/>
        <w:jc w:val="left"/>
      </w:pPr>
      <w:r>
        <w:rPr>
          <w:w w:val="101"/>
        </w:rPr>
        <w:t>无</w:t>
      </w:r>
      <w:r>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十八、其他重大事项的说明</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316" w:lineRule="auto"/>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17</w:t>
      </w:r>
      <w:r>
        <w:rPr>
          <w:spacing w:val="-3"/>
        </w:rPr>
        <w:t>日收到中国证券监督管理委员会出具的《关于核准江苏润和软件股份有限公司非公开发行股票的批</w:t>
      </w:r>
      <w:r>
        <w:rPr>
          <w:spacing w:val="82"/>
        </w:rPr>
        <w:t> </w:t>
      </w:r>
      <w:r>
        <w:rPr>
          <w:spacing w:val="82"/>
        </w:rPr>
      </w:r>
      <w:r>
        <w:rPr>
          <w:spacing w:val="-3"/>
        </w:rPr>
        <w:t>复》（证监许可</w:t>
      </w:r>
      <w:r>
        <w:rPr>
          <w:rFonts w:ascii="Times New Roman" w:hAnsi="Times New Roman" w:cs="Times New Roman" w:eastAsia="Times New Roman" w:hint="default"/>
          <w:spacing w:val="-3"/>
        </w:rPr>
        <w:t>[2017]1213</w:t>
      </w:r>
      <w:r>
        <w:rPr>
          <w:spacing w:val="-3"/>
        </w:rPr>
        <w:t>号），核准公司非公开发行不超过</w:t>
      </w:r>
      <w:r>
        <w:rPr>
          <w:rFonts w:ascii="Times New Roman" w:hAnsi="Times New Roman" w:cs="Times New Roman" w:eastAsia="Times New Roman" w:hint="default"/>
          <w:spacing w:val="-3"/>
        </w:rPr>
        <w:t>1</w:t>
      </w:r>
      <w:r>
        <w:rPr>
          <w:spacing w:val="-3"/>
        </w:rPr>
        <w:t>亿股新股，批复自核准发行之日起</w:t>
      </w:r>
      <w:r>
        <w:rPr>
          <w:rFonts w:ascii="Times New Roman" w:hAnsi="Times New Roman" w:cs="Times New Roman" w:eastAsia="Times New Roman" w:hint="default"/>
          <w:spacing w:val="-3"/>
        </w:rPr>
        <w:t>6</w:t>
      </w:r>
      <w:r>
        <w:rPr>
          <w:spacing w:val="-3"/>
        </w:rPr>
        <w:t>个月内有效。公司最终发</w:t>
      </w:r>
    </w:p>
    <w:p>
      <w:pPr>
        <w:pStyle w:val="BodyText"/>
        <w:spacing w:line="300" w:lineRule="auto"/>
        <w:ind w:right="1121"/>
        <w:jc w:val="both"/>
      </w:pPr>
      <w:r>
        <w:rPr>
          <w:spacing w:val="-5"/>
        </w:rPr>
        <w:t>行股票数量为</w:t>
      </w:r>
      <w:r>
        <w:rPr>
          <w:rFonts w:ascii="Times New Roman" w:hAnsi="Times New Roman" w:cs="Times New Roman" w:eastAsia="Times New Roman" w:hint="default"/>
          <w:spacing w:val="-5"/>
        </w:rPr>
        <w:t>81,326,141</w:t>
      </w:r>
      <w:r>
        <w:rPr>
          <w:spacing w:val="-5"/>
        </w:rPr>
        <w:t>股，其中，泰达宏利基金管理有限公司认购</w:t>
      </w:r>
      <w:r>
        <w:rPr>
          <w:rFonts w:ascii="Times New Roman" w:hAnsi="Times New Roman" w:cs="Times New Roman" w:eastAsia="Times New Roman" w:hint="default"/>
          <w:spacing w:val="-5"/>
        </w:rPr>
        <w:t>36,363,636</w:t>
      </w:r>
      <w:r>
        <w:rPr>
          <w:spacing w:val="-5"/>
        </w:rPr>
        <w:t>股，浙江浙商产融控股有限公司认购</w:t>
      </w:r>
      <w:r>
        <w:rPr>
          <w:rFonts w:ascii="Times New Roman" w:hAnsi="Times New Roman" w:cs="Times New Roman" w:eastAsia="Times New Roman" w:hint="default"/>
          <w:spacing w:val="-5"/>
        </w:rPr>
        <w:t>15,151,515</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6"/>
          <w:w w:val="101"/>
        </w:rPr>
        <w:t>股，财通基金管理有限公司认购</w:t>
      </w:r>
      <w:r>
        <w:rPr>
          <w:rFonts w:ascii="Times New Roman" w:hAnsi="Times New Roman" w:cs="Times New Roman" w:eastAsia="Times New Roman" w:hint="default"/>
          <w:spacing w:val="-6"/>
          <w:w w:val="101"/>
        </w:rPr>
        <w:t>15,252,525</w:t>
      </w:r>
      <w:r>
        <w:rPr>
          <w:spacing w:val="-6"/>
          <w:w w:val="101"/>
        </w:rPr>
        <w:t>股，申万宏源证券有限公司认购</w:t>
      </w:r>
      <w:r>
        <w:rPr>
          <w:rFonts w:ascii="Times New Roman" w:hAnsi="Times New Roman" w:cs="Times New Roman" w:eastAsia="Times New Roman" w:hint="default"/>
          <w:spacing w:val="-6"/>
          <w:w w:val="101"/>
        </w:rPr>
        <w:t>14,558,465</w:t>
      </w:r>
      <w:r>
        <w:rPr>
          <w:spacing w:val="-6"/>
          <w:w w:val="101"/>
        </w:rPr>
        <w:t>股。上述本次非公开发行新增股份于</w:t>
      </w:r>
      <w:r>
        <w:rPr>
          <w:rFonts w:ascii="Times New Roman" w:hAnsi="Times New Roman" w:cs="Times New Roman" w:eastAsia="Times New Roman" w:hint="default"/>
          <w:spacing w:val="-6"/>
          <w:w w:val="101"/>
        </w:rPr>
        <w:t>2018</w:t>
      </w:r>
      <w:r>
        <w:rPr>
          <w:rFonts w:ascii="Times New Roman" w:hAnsi="Times New Roman" w:cs="Times New Roman" w:eastAsia="Times New Roman" w:hint="default"/>
          <w:spacing w:val="-35"/>
          <w:w w:val="101"/>
        </w:rPr>
        <w:t> </w:t>
      </w:r>
      <w:r>
        <w:rPr>
          <w:rFonts w:ascii="Times New Roman" w:hAnsi="Times New Roman" w:cs="Times New Roman" w:eastAsia="Times New Roman" w:hint="default"/>
          <w:spacing w:val="-35"/>
          <w:w w:val="101"/>
        </w:rPr>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日在深圳证券交易所上市。发行对象认购的股份自上市之日起十二个月内不得上市交易，预计上市流通时间为</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28</w:t>
      </w:r>
      <w:r>
        <w:rPr>
          <w:spacing w:val="-3"/>
        </w:rPr>
        <w:t>日。</w:t>
      </w:r>
      <w:r>
        <w:rPr/>
      </w:r>
    </w:p>
    <w:p>
      <w:pPr>
        <w:pStyle w:val="BodyText"/>
        <w:spacing w:line="240" w:lineRule="auto" w:before="13"/>
        <w:ind w:left="446"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28</w:t>
      </w:r>
      <w:r>
        <w:rPr>
          <w:spacing w:val="-3"/>
        </w:rPr>
        <w:t>日因上述股份限售期满，公司依据股东的锁定承诺将上述</w:t>
      </w:r>
      <w:r>
        <w:rPr>
          <w:rFonts w:ascii="Times New Roman" w:hAnsi="Times New Roman" w:cs="Times New Roman" w:eastAsia="Times New Roman" w:hint="default"/>
          <w:spacing w:val="-3"/>
        </w:rPr>
        <w:t>81,326,141</w:t>
      </w:r>
      <w:r>
        <w:rPr>
          <w:spacing w:val="-3"/>
        </w:rPr>
        <w:t>股解除限售，上市流通日为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p>
    <w:p>
      <w:pPr>
        <w:pStyle w:val="BodyText"/>
        <w:spacing w:line="240" w:lineRule="auto" w:before="63"/>
        <w:ind w:right="0"/>
        <w:jc w:val="left"/>
      </w:pPr>
      <w:r>
        <w:rPr>
          <w:rFonts w:ascii="Times New Roman" w:hAnsi="Times New Roman" w:cs="Times New Roman" w:eastAsia="Times New Roman" w:hint="default"/>
          <w:spacing w:val="-3"/>
        </w:rPr>
        <w:t>28</w:t>
      </w:r>
      <w:r>
        <w:rPr>
          <w:spacing w:val="-3"/>
        </w:rPr>
        <w:t>日。</w:t>
      </w:r>
      <w:r>
        <w:rPr/>
      </w:r>
    </w:p>
    <w:p>
      <w:pPr>
        <w:pStyle w:val="BodyText"/>
        <w:spacing w:line="300" w:lineRule="auto" w:before="63"/>
        <w:ind w:right="1122" w:firstLine="292"/>
        <w:jc w:val="both"/>
      </w:pPr>
      <w:r>
        <w:rPr>
          <w:spacing w:val="-4"/>
        </w:rPr>
        <w:t>公司已于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6</w:t>
      </w:r>
      <w:r>
        <w:rPr>
          <w:spacing w:val="-4"/>
        </w:rPr>
        <w:t>月与华泰联合证券有限责任公司（以下简称</w:t>
      </w:r>
      <w:r>
        <w:rPr>
          <w:rFonts w:ascii="Times New Roman" w:hAnsi="Times New Roman" w:cs="Times New Roman" w:eastAsia="Times New Roman" w:hint="default"/>
          <w:spacing w:val="-4"/>
        </w:rPr>
        <w:t>“</w:t>
      </w:r>
      <w:r>
        <w:rPr>
          <w:spacing w:val="-4"/>
        </w:rPr>
        <w:t>华泰联合</w:t>
      </w:r>
      <w:r>
        <w:rPr>
          <w:rFonts w:ascii="Times New Roman" w:hAnsi="Times New Roman" w:cs="Times New Roman" w:eastAsia="Times New Roman" w:hint="default"/>
          <w:spacing w:val="-4"/>
        </w:rPr>
        <w:t>”</w:t>
      </w:r>
      <w:r>
        <w:rPr>
          <w:spacing w:val="-4"/>
        </w:rPr>
        <w:t>）签署《华泰联合证券有限责任公司与江苏润和</w:t>
      </w:r>
      <w:r>
        <w:rPr>
          <w:w w:val="101"/>
        </w:rPr>
        <w:t> </w:t>
      </w:r>
      <w:r>
        <w:rPr>
          <w:spacing w:val="-4"/>
        </w:rPr>
        <w:t>软件股份有限公司关于</w:t>
      </w:r>
      <w:r>
        <w:rPr>
          <w:rFonts w:ascii="Times New Roman" w:hAnsi="Times New Roman" w:cs="Times New Roman" w:eastAsia="Times New Roman" w:hint="default"/>
          <w:spacing w:val="-4"/>
        </w:rPr>
        <w:t>2016</w:t>
      </w:r>
      <w:r>
        <w:rPr>
          <w:spacing w:val="-4"/>
        </w:rPr>
        <w:t>年度非公开发行项目保荐协议》，聘请其担任公司本次非公开发行股票的保荐机构。华泰联合指</w:t>
      </w:r>
      <w:r>
        <w:rPr>
          <w:spacing w:val="51"/>
        </w:rPr>
        <w:t> </w:t>
      </w:r>
      <w:r>
        <w:rPr>
          <w:spacing w:val="51"/>
        </w:rPr>
      </w:r>
      <w:r>
        <w:rPr>
          <w:spacing w:val="-3"/>
        </w:rPr>
        <w:t>派李琦女士、王平先生担任本次发行的保荐代表人，履行对公司的保荐职责，持续督导期限至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p>
    <w:p>
      <w:pPr>
        <w:pStyle w:val="BodyText"/>
        <w:spacing w:line="300" w:lineRule="auto" w:before="13"/>
        <w:ind w:right="1123" w:firstLine="292"/>
        <w:jc w:val="both"/>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日召开第五届董事会第四十五次会议、第五届监事会第二十五次会议，于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8</w:t>
      </w:r>
      <w:r>
        <w:rPr>
          <w:spacing w:val="-3"/>
        </w:rPr>
        <w:t>日召开</w:t>
      </w:r>
      <w:r>
        <w:rPr>
          <w:rFonts w:ascii="Times New Roman" w:hAnsi="Times New Roman" w:cs="Times New Roman" w:eastAsia="Times New Roman" w:hint="default"/>
          <w:spacing w:val="-3"/>
        </w:rPr>
        <w:t>2019</w:t>
      </w:r>
      <w:r>
        <w:rPr>
          <w:spacing w:val="-3"/>
        </w:rPr>
        <w:t>年</w:t>
      </w:r>
      <w:r>
        <w:rPr>
          <w:w w:val="101"/>
        </w:rPr>
        <w:t> </w:t>
      </w:r>
      <w:r>
        <w:rPr>
          <w:spacing w:val="-4"/>
        </w:rPr>
        <w:t>第二次临时股东大会，审议通过了《关于调整部分非公开发行募集资金投资项目实施方式的议案》，经公司审慎考虑，在不</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3"/>
        <w:jc w:val="both"/>
      </w:pPr>
      <w:r>
        <w:rPr>
          <w:spacing w:val="-4"/>
        </w:rPr>
        <w:t>改变募集资金投资项目整体方向的前提下，为提高公司募集资金使用效率，拟调整非公开发行募集资金投资项目金融云服务</w:t>
      </w:r>
      <w:r>
        <w:rPr>
          <w:spacing w:val="43"/>
        </w:rPr>
        <w:t> </w:t>
      </w:r>
      <w:r>
        <w:rPr>
          <w:spacing w:val="43"/>
        </w:rPr>
      </w:r>
      <w:r>
        <w:rPr>
          <w:spacing w:val="-4"/>
        </w:rPr>
        <w:t>平台建设项目、能源信息化平台建设项目的实施方式，主要内容包括募投项目建设内容、商业模式、建设周期的变更，以及</w:t>
      </w:r>
      <w:r>
        <w:rPr>
          <w:spacing w:val="40"/>
        </w:rPr>
        <w:t> </w:t>
      </w:r>
      <w:r>
        <w:rPr>
          <w:spacing w:val="40"/>
        </w:rPr>
      </w:r>
      <w:r>
        <w:rPr>
          <w:spacing w:val="-3"/>
        </w:rPr>
        <w:t>因项目商业模式变更引起的项目投资规模、投资明细的变更。</w:t>
      </w:r>
    </w:p>
    <w:p>
      <w:pPr>
        <w:pStyle w:val="BodyText"/>
        <w:spacing w:line="304" w:lineRule="auto" w:before="19"/>
        <w:ind w:right="0" w:firstLine="292"/>
        <w:jc w:val="left"/>
      </w:pPr>
      <w:r>
        <w:rPr>
          <w:spacing w:val="-2"/>
        </w:rPr>
        <w:t>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rFonts w:ascii="Times New Roman" w:hAnsi="Times New Roman" w:cs="Times New Roman" w:eastAsia="Times New Roman" w:hint="default"/>
          <w:w w:val="101"/>
        </w:rPr>
        <w:t> </w:t>
      </w:r>
      <w:r>
        <w:rPr>
          <w:spacing w:val="-3"/>
        </w:rPr>
        <w:t>日在中国证监会指定的创业板信息披露网站公告。</w:t>
      </w:r>
      <w:r>
        <w:rPr>
          <w:spacing w:val="-22"/>
        </w:rPr>
        <w:t> </w:t>
      </w:r>
      <w:r>
        <w:rPr>
          <w:spacing w:val="-22"/>
        </w:rPr>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日，公司召开第五届董事会第二十八次会议，审议通过了《关于</w:t>
      </w:r>
      <w:r>
        <w:rPr>
          <w:rFonts w:ascii="Times New Roman" w:hAnsi="Times New Roman" w:cs="Times New Roman" w:eastAsia="Times New Roman" w:hint="default"/>
          <w:spacing w:val="-3"/>
        </w:rPr>
        <w:t>2014</w:t>
      </w:r>
      <w:r>
        <w:rPr>
          <w:spacing w:val="-3"/>
        </w:rPr>
        <w:t>年限制性股票激励计划首次授予的限</w:t>
      </w:r>
      <w:r>
        <w:rPr/>
        <w:t> </w:t>
      </w:r>
      <w:r>
        <w:rPr/>
      </w:r>
      <w:r>
        <w:rPr>
          <w:spacing w:val="-3"/>
        </w:rPr>
        <w:t>制性股票第三个解锁期及预留授予的限制性股票第二个解锁期条件成就可解锁的议案》，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日，公司</w:t>
      </w:r>
      <w:r>
        <w:rPr>
          <w:rFonts w:ascii="Times New Roman" w:hAnsi="Times New Roman" w:cs="Times New Roman" w:eastAsia="Times New Roman" w:hint="default"/>
          <w:spacing w:val="-3"/>
        </w:rPr>
        <w:t>2014</w:t>
      </w:r>
      <w:r>
        <w:rPr>
          <w:spacing w:val="-3"/>
        </w:rPr>
        <w:t>年限制</w:t>
      </w:r>
      <w:r>
        <w:rPr>
          <w:spacing w:val="-2"/>
        </w:rPr>
        <w:t> </w:t>
      </w:r>
      <w:r>
        <w:rPr>
          <w:spacing w:val="-2"/>
        </w:rPr>
      </w:r>
      <w:r>
        <w:rPr>
          <w:spacing w:val="-3"/>
        </w:rPr>
        <w:t>性股票激励计划首次授予第三期及预留授予第二期解锁股份上市流通。</w:t>
      </w:r>
    </w:p>
    <w:p>
      <w:pPr>
        <w:pStyle w:val="BodyText"/>
        <w:spacing w:line="300" w:lineRule="auto" w:before="28"/>
        <w:ind w:right="1122" w:firstLine="292"/>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日，公司召开第五届董事会第二十八次会议，审议并通过了《关于回购注销</w:t>
      </w:r>
      <w:r>
        <w:rPr>
          <w:rFonts w:ascii="Times New Roman" w:hAnsi="Times New Roman" w:cs="Times New Roman" w:eastAsia="Times New Roman" w:hint="default"/>
          <w:spacing w:val="-3"/>
        </w:rPr>
        <w:t>2014</w:t>
      </w:r>
      <w:r>
        <w:rPr>
          <w:spacing w:val="-3"/>
        </w:rPr>
        <w:t>年限制性股票激励计划部</w:t>
      </w:r>
      <w:r>
        <w:rPr>
          <w:w w:val="101"/>
        </w:rPr>
        <w:t> </w:t>
      </w:r>
      <w:r>
        <w:rPr>
          <w:spacing w:val="-3"/>
        </w:rPr>
        <w:t>分已获授但尚未解锁的限制性股票的议案》</w:t>
      </w:r>
      <w:r>
        <w:rPr>
          <w:rFonts w:ascii="Times New Roman" w:hAnsi="Times New Roman" w:cs="Times New Roman" w:eastAsia="Times New Roman" w:hint="default"/>
          <w:spacing w:val="-3"/>
        </w:rPr>
        <w:t>,</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日完成了</w:t>
      </w:r>
      <w:r>
        <w:rPr>
          <w:rFonts w:ascii="Times New Roman" w:hAnsi="Times New Roman" w:cs="Times New Roman" w:eastAsia="Times New Roman" w:hint="default"/>
          <w:spacing w:val="-3"/>
        </w:rPr>
        <w:t>38.20</w:t>
      </w:r>
      <w:r>
        <w:rPr>
          <w:spacing w:val="-3"/>
        </w:rPr>
        <w:t>万股限制性股票的回购注销，本次限制性股票</w:t>
      </w:r>
      <w:r>
        <w:rPr>
          <w:spacing w:val="-1"/>
        </w:rPr>
        <w:t> </w:t>
      </w:r>
      <w:r>
        <w:rPr>
          <w:spacing w:val="-1"/>
        </w:rPr>
      </w:r>
      <w:r>
        <w:rPr/>
        <w:t>回购注销完成后，公司股份总数由</w:t>
      </w:r>
      <w:r>
        <w:rPr>
          <w:rFonts w:ascii="Times New Roman" w:hAnsi="Times New Roman" w:cs="Times New Roman" w:eastAsia="Times New Roman" w:hint="default"/>
        </w:rPr>
        <w:t>79,679.2841</w:t>
      </w:r>
      <w:r>
        <w:rPr/>
        <w:t>万股变更为</w:t>
      </w:r>
      <w:r>
        <w:rPr>
          <w:rFonts w:ascii="Times New Roman" w:hAnsi="Times New Roman" w:cs="Times New Roman" w:eastAsia="Times New Roman" w:hint="default"/>
        </w:rPr>
        <w:t>79,641.0841</w:t>
      </w:r>
      <w:r>
        <w:rPr/>
        <w:t>万股。</w:t>
      </w:r>
    </w:p>
    <w:p>
      <w:pPr>
        <w:pStyle w:val="BodyText"/>
        <w:spacing w:line="300" w:lineRule="auto" w:before="13"/>
        <w:ind w:right="1032" w:firstLine="292"/>
        <w:jc w:val="both"/>
      </w:pP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日召开第五届董事会第三十三次会议、于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w:t>
      </w:r>
      <w:r>
        <w:rPr>
          <w:rFonts w:ascii="Times New Roman" w:hAnsi="Times New Roman" w:cs="Times New Roman" w:eastAsia="Times New Roman" w:hint="default"/>
          <w:spacing w:val="-3"/>
        </w:rPr>
        <w:t>2017</w:t>
      </w:r>
      <w:r>
        <w:rPr>
          <w:spacing w:val="-3"/>
        </w:rPr>
        <w:t>年年度股东大会，审议通过了《关</w:t>
      </w:r>
      <w:r>
        <w:rPr>
          <w:w w:val="101"/>
        </w:rPr>
        <w:t> </w:t>
      </w:r>
      <w:r>
        <w:rPr>
          <w:spacing w:val="-4"/>
        </w:rPr>
        <w:t>于变更公司注册资本并修改</w:t>
      </w:r>
      <w:r>
        <w:rPr>
          <w:rFonts w:ascii="Times New Roman" w:hAnsi="Times New Roman" w:cs="Times New Roman" w:eastAsia="Times New Roman" w:hint="default"/>
          <w:spacing w:val="-4"/>
        </w:rPr>
        <w:t>&lt;</w:t>
      </w:r>
      <w:r>
        <w:rPr>
          <w:spacing w:val="-4"/>
        </w:rPr>
        <w:t>公司章程</w:t>
      </w:r>
      <w:r>
        <w:rPr>
          <w:rFonts w:ascii="Times New Roman" w:hAnsi="Times New Roman" w:cs="Times New Roman" w:eastAsia="Times New Roman" w:hint="default"/>
          <w:spacing w:val="-4"/>
        </w:rPr>
        <w:t>&gt;</w:t>
      </w:r>
      <w:r>
        <w:rPr>
          <w:spacing w:val="-4"/>
        </w:rPr>
        <w:t>的议案》。</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w:t>
      </w:r>
      <w:r>
        <w:rPr>
          <w:spacing w:val="-4"/>
        </w:rPr>
        <w:t>日，公司根据限制性股票回购注销情况以及非公开发行</w:t>
      </w:r>
      <w:r>
        <w:rPr>
          <w:rFonts w:ascii="Times New Roman" w:hAnsi="Times New Roman" w:cs="Times New Roman" w:eastAsia="Times New Roman" w:hint="default"/>
          <w:spacing w:val="-4"/>
        </w:rPr>
        <w:t>A</w:t>
      </w:r>
      <w:r>
        <w:rPr>
          <w:spacing w:val="-4"/>
        </w:rPr>
        <w:t>股股</w:t>
      </w:r>
      <w:r>
        <w:rPr>
          <w:spacing w:val="77"/>
        </w:rPr>
        <w:t> </w:t>
      </w:r>
      <w:r>
        <w:rPr>
          <w:spacing w:val="-9"/>
          <w:w w:val="101"/>
        </w:rPr>
        <w:t>票发行结果完成了修改公司章程、公司注册资本工商变更登记等手续，并取得了南京市工商行政管理局新颁发的《营业执照》。</w:t>
      </w:r>
      <w:r>
        <w:rPr>
          <w:spacing w:val="-9"/>
        </w:rPr>
      </w:r>
    </w:p>
    <w:p>
      <w:pPr>
        <w:pStyle w:val="BodyText"/>
        <w:spacing w:line="304" w:lineRule="auto" w:before="31"/>
        <w:ind w:right="0" w:firstLine="292"/>
        <w:jc w:val="left"/>
      </w:pPr>
      <w:r>
        <w:rPr>
          <w:spacing w:val="-2"/>
        </w:rPr>
        <w:t>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rFonts w:ascii="Times New Roman" w:hAnsi="Times New Roman" w:cs="Times New Roman" w:eastAsia="Times New Roman" w:hint="default"/>
          <w:w w:val="101"/>
        </w:rPr>
        <w:t> </w:t>
      </w:r>
      <w:r>
        <w:rPr>
          <w:spacing w:val="-3"/>
        </w:rPr>
        <w:t>日在中国证监会指定的创业板信息披露网站公告。</w:t>
      </w:r>
      <w:r>
        <w:rPr>
          <w:spacing w:val="-22"/>
        </w:rPr>
        <w:t> </w:t>
      </w:r>
      <w:r>
        <w:rPr>
          <w:spacing w:val="-22"/>
        </w:rPr>
      </w:r>
      <w:r>
        <w:rPr>
          <w:rFonts w:ascii="Times New Roman" w:hAnsi="Times New Roman" w:cs="Times New Roman" w:eastAsia="Times New Roman" w:hint="default"/>
          <w:spacing w:val="-3"/>
        </w:rPr>
        <w:t>3</w:t>
      </w:r>
      <w:r>
        <w:rPr>
          <w:spacing w:val="-3"/>
        </w:rPr>
        <w:t>、鉴于捷科智诚应收账款承诺已经实现，公司于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日召开第五届董事会第二十九次会议，同意将王杰等</w:t>
      </w:r>
      <w:r>
        <w:rPr>
          <w:rFonts w:ascii="Times New Roman" w:hAnsi="Times New Roman" w:cs="Times New Roman" w:eastAsia="Times New Roman" w:hint="default"/>
          <w:spacing w:val="-3"/>
        </w:rPr>
        <w:t>6</w:t>
      </w:r>
      <w:r>
        <w:rPr>
          <w:spacing w:val="-3"/>
        </w:rPr>
        <w:t>名交易</w:t>
      </w:r>
      <w:r>
        <w:rPr>
          <w:spacing w:val="82"/>
        </w:rPr>
        <w:t> </w:t>
      </w:r>
      <w:r>
        <w:rPr>
          <w:spacing w:val="82"/>
        </w:rPr>
      </w:r>
      <w:r>
        <w:rPr>
          <w:spacing w:val="-3"/>
        </w:rPr>
        <w:t>对方剩余质押给润和科技的股份全部解除质押（其中：王杰</w:t>
      </w:r>
      <w:r>
        <w:rPr>
          <w:rFonts w:ascii="Times New Roman" w:hAnsi="Times New Roman" w:cs="Times New Roman" w:eastAsia="Times New Roman" w:hint="default"/>
          <w:spacing w:val="-3"/>
        </w:rPr>
        <w:t>3,924,692</w:t>
      </w:r>
      <w:r>
        <w:rPr>
          <w:spacing w:val="-3"/>
        </w:rPr>
        <w:t>股，王拥军</w:t>
      </w:r>
      <w:r>
        <w:rPr>
          <w:rFonts w:ascii="Times New Roman" w:hAnsi="Times New Roman" w:cs="Times New Roman" w:eastAsia="Times New Roman" w:hint="default"/>
          <w:spacing w:val="-3"/>
        </w:rPr>
        <w:t>4,105,720</w:t>
      </w:r>
      <w:r>
        <w:rPr>
          <w:spacing w:val="-3"/>
        </w:rPr>
        <w:t>股、吴向东</w:t>
      </w:r>
      <w:r>
        <w:rPr>
          <w:rFonts w:ascii="Times New Roman" w:hAnsi="Times New Roman" w:cs="Times New Roman" w:eastAsia="Times New Roman" w:hint="default"/>
          <w:spacing w:val="-3"/>
        </w:rPr>
        <w:t>2,932,656</w:t>
      </w:r>
      <w:r>
        <w:rPr>
          <w:spacing w:val="-3"/>
        </w:rPr>
        <w:t>股、郭小宇</w:t>
      </w:r>
      <w:r>
        <w:rPr>
          <w:spacing w:val="21"/>
        </w:rPr>
        <w:t> </w:t>
      </w:r>
      <w:r>
        <w:rPr>
          <w:spacing w:val="21"/>
        </w:rPr>
      </w:r>
      <w:r>
        <w:rPr>
          <w:rFonts w:ascii="Times New Roman" w:hAnsi="Times New Roman" w:cs="Times New Roman" w:eastAsia="Times New Roman" w:hint="default"/>
          <w:spacing w:val="-2"/>
        </w:rPr>
        <w:t>391,020</w:t>
      </w:r>
      <w:r>
        <w:rPr>
          <w:spacing w:val="-2"/>
        </w:rPr>
        <w:t>股、吴天波</w:t>
      </w:r>
      <w:r>
        <w:rPr>
          <w:rFonts w:ascii="Times New Roman" w:hAnsi="Times New Roman" w:cs="Times New Roman" w:eastAsia="Times New Roman" w:hint="default"/>
          <w:spacing w:val="-2"/>
        </w:rPr>
        <w:t>391,020</w:t>
      </w:r>
      <w:r>
        <w:rPr>
          <w:spacing w:val="-2"/>
        </w:rPr>
        <w:t>股、许峰</w:t>
      </w:r>
      <w:r>
        <w:rPr>
          <w:rFonts w:ascii="Times New Roman" w:hAnsi="Times New Roman" w:cs="Times New Roman" w:eastAsia="Times New Roman" w:hint="default"/>
          <w:spacing w:val="-2"/>
        </w:rPr>
        <w:t>391,020</w:t>
      </w:r>
      <w:r>
        <w:rPr>
          <w:spacing w:val="-2"/>
        </w:rPr>
        <w:t>股），同时解除润和科技在上述解质押股票范围内为王杰等</w:t>
      </w:r>
      <w:r>
        <w:rPr>
          <w:rFonts w:ascii="Times New Roman" w:hAnsi="Times New Roman" w:cs="Times New Roman" w:eastAsia="Times New Roman" w:hint="default"/>
          <w:spacing w:val="-2"/>
        </w:rPr>
        <w:t>6</w:t>
      </w:r>
      <w:r>
        <w:rPr>
          <w:spacing w:val="-2"/>
        </w:rPr>
        <w:t>名交易对方的盈利</w:t>
      </w:r>
      <w:r>
        <w:rPr>
          <w:spacing w:val="38"/>
        </w:rPr>
        <w:t> </w:t>
      </w:r>
      <w:r>
        <w:rPr>
          <w:spacing w:val="38"/>
        </w:rPr>
      </w:r>
      <w:r>
        <w:rPr>
          <w:spacing w:val="-3"/>
        </w:rPr>
        <w:t>补偿义务所相应承担的担保责任。以上具体内容请详见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日在中国证监会指定的创业板信息披露网站公告。</w:t>
      </w:r>
      <w:r>
        <w:rPr>
          <w:spacing w:val="73"/>
        </w:rPr>
        <w:t> </w:t>
      </w:r>
      <w:r>
        <w:rPr>
          <w:spacing w:val="73"/>
        </w:rPr>
      </w:r>
      <w:r>
        <w:rPr>
          <w:rFonts w:ascii="Times New Roman" w:hAnsi="Times New Roman" w:cs="Times New Roman" w:eastAsia="Times New Roman" w:hint="default"/>
          <w:spacing w:val="-4"/>
        </w:rPr>
        <w:t>4</w:t>
      </w:r>
      <w:r>
        <w:rPr>
          <w:spacing w:val="-4"/>
        </w:rPr>
        <w:t>、鉴于公司总裁周红卫先生向公司董事会提交书面辞职报告申请辞去公司总裁职务，公司于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18</w:t>
      </w:r>
      <w:r>
        <w:rPr>
          <w:spacing w:val="-4"/>
        </w:rPr>
        <w:t>日召开第五届董事</w:t>
      </w:r>
      <w:r>
        <w:rPr>
          <w:spacing w:val="59"/>
        </w:rPr>
        <w:t> </w:t>
      </w:r>
      <w:r>
        <w:rPr>
          <w:spacing w:val="59"/>
        </w:rPr>
      </w:r>
      <w:r>
        <w:rPr>
          <w:spacing w:val="-4"/>
        </w:rPr>
        <w:t>会第二十九次会议，审议通过了《关于聘任陈斌先生为公司总裁同时免去其高级副总裁职务的议案》，同意聘任陈斌先生担</w:t>
      </w:r>
      <w:r>
        <w:rPr>
          <w:spacing w:val="40"/>
        </w:rPr>
        <w:t> </w:t>
      </w:r>
      <w:r>
        <w:rPr>
          <w:spacing w:val="40"/>
        </w:rPr>
      </w:r>
      <w:r>
        <w:rPr>
          <w:spacing w:val="-6"/>
          <w:w w:val="101"/>
        </w:rPr>
        <w:t>任公司总裁，任期自第五届董事会第二十九次会议审议通过之日起至第五届董事会届满之日止，同时免去其高级副总裁职务。</w:t>
      </w:r>
      <w:r>
        <w:rPr>
          <w:spacing w:val="-71"/>
          <w:w w:val="101"/>
        </w:rPr>
        <w:t> </w:t>
      </w:r>
      <w:r>
        <w:rPr>
          <w:spacing w:val="-71"/>
          <w:w w:val="101"/>
        </w:rPr>
      </w:r>
      <w:r>
        <w:rPr>
          <w:spacing w:val="-3"/>
        </w:rPr>
        <w:t>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日在中国证监会指定的创业板信息披露网站公告。</w:t>
      </w:r>
      <w:r>
        <w:rPr>
          <w:spacing w:val="32"/>
        </w:rPr>
        <w:t> </w:t>
      </w:r>
      <w:r>
        <w:rPr>
          <w:spacing w:val="32"/>
        </w:rPr>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26</w:t>
      </w:r>
      <w:r>
        <w:rPr>
          <w:spacing w:val="-4"/>
        </w:rPr>
        <w:t>日，为应对互联网金融和金融科技产业迅猛发展带来的机遇和挑战，进一步深化金融科技业务的布局，共同</w:t>
      </w:r>
      <w:r>
        <w:rPr>
          <w:spacing w:val="56"/>
        </w:rPr>
        <w:t> </w:t>
      </w:r>
      <w:r>
        <w:rPr>
          <w:spacing w:val="56"/>
        </w:rPr>
      </w:r>
      <w:r>
        <w:rPr>
          <w:spacing w:val="-4"/>
        </w:rPr>
        <w:t>发掘、培育金融科技及互联网金融市场，整体提升中国金融行业的金融科技水平，为目标客户提供更先进的金融科技产品和</w:t>
      </w:r>
      <w:r>
        <w:rPr>
          <w:spacing w:val="45"/>
        </w:rPr>
        <w:t> </w:t>
      </w:r>
      <w:r>
        <w:rPr>
          <w:spacing w:val="45"/>
        </w:rPr>
      </w:r>
      <w:r>
        <w:rPr>
          <w:spacing w:val="-4"/>
        </w:rPr>
        <w:t>服务、更丰富的互联网金融增值服务，公司与北京蚂蚁云金融信息服务有限公司（以下简称</w:t>
      </w:r>
      <w:r>
        <w:rPr>
          <w:rFonts w:ascii="Times New Roman" w:hAnsi="Times New Roman" w:cs="Times New Roman" w:eastAsia="Times New Roman" w:hint="default"/>
          <w:spacing w:val="-4"/>
        </w:rPr>
        <w:t>“</w:t>
      </w:r>
      <w:r>
        <w:rPr>
          <w:spacing w:val="-4"/>
        </w:rPr>
        <w:t>蚂蚁金融云</w:t>
      </w:r>
      <w:r>
        <w:rPr>
          <w:rFonts w:ascii="Times New Roman" w:hAnsi="Times New Roman" w:cs="Times New Roman" w:eastAsia="Times New Roman" w:hint="default"/>
          <w:spacing w:val="-4"/>
        </w:rPr>
        <w:t>”</w:t>
      </w:r>
      <w:r>
        <w:rPr>
          <w:spacing w:val="-4"/>
        </w:rPr>
        <w:t>）就双方的全面战</w:t>
      </w:r>
      <w:r>
        <w:rPr>
          <w:spacing w:val="65"/>
        </w:rPr>
        <w:t> </w:t>
      </w:r>
      <w:r>
        <w:rPr>
          <w:spacing w:val="65"/>
        </w:rPr>
      </w:r>
      <w:r>
        <w:rPr>
          <w:spacing w:val="-3"/>
        </w:rPr>
        <w:t>略合作达成一致，签署了《战略合作协议》。</w:t>
      </w:r>
    </w:p>
    <w:p>
      <w:pPr>
        <w:pStyle w:val="BodyText"/>
        <w:spacing w:line="309" w:lineRule="auto" w:before="28"/>
        <w:ind w:right="0" w:firstLine="292"/>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日，公司股东王杰、徐鑫淼与上海云鑫创业投资有限公司（以下简称</w:t>
      </w:r>
      <w:r>
        <w:rPr>
          <w:rFonts w:ascii="Times New Roman" w:hAnsi="Times New Roman" w:cs="Times New Roman" w:eastAsia="Times New Roman" w:hint="default"/>
          <w:spacing w:val="-4"/>
        </w:rPr>
        <w:t>“</w:t>
      </w:r>
      <w:r>
        <w:rPr>
          <w:spacing w:val="-4"/>
        </w:rPr>
        <w:t>上海云鑫</w:t>
      </w:r>
      <w:r>
        <w:rPr>
          <w:rFonts w:ascii="Times New Roman" w:hAnsi="Times New Roman" w:cs="Times New Roman" w:eastAsia="Times New Roman" w:hint="default"/>
          <w:spacing w:val="-4"/>
        </w:rPr>
        <w:t>”</w:t>
      </w:r>
      <w:r>
        <w:rPr>
          <w:spacing w:val="-4"/>
        </w:rPr>
        <w:t>）签订了《股份转让协议》。</w:t>
      </w:r>
      <w:r>
        <w:rPr>
          <w:w w:val="101"/>
        </w:rPr>
        <w:t> </w:t>
      </w:r>
      <w:r>
        <w:rPr>
          <w:spacing w:val="-3"/>
        </w:rPr>
        <w:t>上海云鑫合计受让公司的无限售流通股</w:t>
      </w:r>
      <w:r>
        <w:rPr>
          <w:rFonts w:ascii="Times New Roman" w:hAnsi="Times New Roman" w:cs="Times New Roman" w:eastAsia="Times New Roman" w:hint="default"/>
          <w:spacing w:val="-3"/>
        </w:rPr>
        <w:t>40,220,000</w:t>
      </w:r>
      <w:r>
        <w:rPr>
          <w:spacing w:val="-3"/>
        </w:rPr>
        <w:t>股，占公司总股本的</w:t>
      </w:r>
      <w:r>
        <w:rPr>
          <w:rFonts w:ascii="Times New Roman" w:hAnsi="Times New Roman" w:cs="Times New Roman" w:eastAsia="Times New Roman" w:hint="default"/>
          <w:spacing w:val="-3"/>
        </w:rPr>
        <w:t>5.0502%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w:t>
      </w:r>
      <w:r>
        <w:rPr>
          <w:spacing w:val="-3"/>
        </w:rPr>
        <w:t>日，公司收到股东王杰、徐鑫</w:t>
      </w:r>
      <w:r>
        <w:rPr>
          <w:spacing w:val="6"/>
        </w:rPr>
        <w:t> </w:t>
      </w:r>
      <w:r>
        <w:rPr>
          <w:spacing w:val="6"/>
        </w:rPr>
      </w:r>
      <w:r>
        <w:rPr>
          <w:spacing w:val="-4"/>
        </w:rPr>
        <w:t>淼的通知，本次协议转让的过户登记手续已全部完成，并取得了中国证券登记结算有限责任公司出具的《证券过户登记确认</w:t>
      </w:r>
      <w:r>
        <w:rPr>
          <w:spacing w:val="45"/>
        </w:rPr>
        <w:t> </w:t>
      </w:r>
      <w:r>
        <w:rPr>
          <w:spacing w:val="45"/>
        </w:rPr>
      </w:r>
      <w:r>
        <w:rPr>
          <w:spacing w:val="-4"/>
        </w:rPr>
        <w:t>书》。</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日，公司与蚂蚁金融云签订了《业务合作协议》：双方将借助各自及关联方的优势，致力于在金融行业</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15"/>
        </w:rPr>
        <w:t> </w:t>
      </w:r>
      <w:r>
        <w:rPr>
          <w:spacing w:val="-4"/>
        </w:rPr>
        <w:t>系统升级换代，共同为银行等金融机构提供创新金融科技服务、自主可控的平台产品及服务；双方将共享技术资源、客户资</w:t>
      </w:r>
      <w:r>
        <w:rPr>
          <w:spacing w:val="40"/>
        </w:rPr>
        <w:t> </w:t>
      </w:r>
      <w:r>
        <w:rPr>
          <w:spacing w:val="40"/>
        </w:rPr>
      </w:r>
      <w:r>
        <w:rPr>
          <w:spacing w:val="-6"/>
        </w:rPr>
        <w:t>源、团队资源，共同打造金融科技服务的新模式，共建金融科技新生态。上海云鑫与蚂蚁金融云均为蚂蚁金服的全资子公司，</w:t>
      </w:r>
      <w:r>
        <w:rPr>
          <w:spacing w:val="68"/>
        </w:rPr>
        <w:t> </w:t>
      </w:r>
      <w:r>
        <w:rPr>
          <w:spacing w:val="68"/>
        </w:rPr>
      </w:r>
      <w:r>
        <w:rPr>
          <w:spacing w:val="-3"/>
        </w:rPr>
        <w:t>根据《深圳证券交易所股票上市规则》等相关规定，上海云鑫、蚂蚁金服及蚂蚁金融云为公司的关联方。</w:t>
      </w:r>
    </w:p>
    <w:p>
      <w:pPr>
        <w:pStyle w:val="BodyText"/>
        <w:spacing w:line="304" w:lineRule="auto" w:before="24"/>
        <w:ind w:right="0" w:firstLine="292"/>
        <w:jc w:val="left"/>
      </w:pPr>
      <w:r>
        <w:rPr>
          <w:spacing w:val="-3"/>
        </w:rPr>
        <w:t>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21</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4</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w:t>
      </w:r>
      <w:r>
        <w:rPr>
          <w:spacing w:val="-3"/>
        </w:rPr>
        <w:t>日在中国证监会指</w:t>
      </w:r>
      <w:r>
        <w:rPr>
          <w:w w:val="101"/>
        </w:rPr>
        <w:t> </w:t>
      </w:r>
      <w:r>
        <w:rPr>
          <w:spacing w:val="-3"/>
        </w:rPr>
        <w:t>定的创业板信息披露网站公告。</w:t>
      </w:r>
      <w:r>
        <w:rPr>
          <w:spacing w:val="-45"/>
        </w:rPr>
        <w:t> </w:t>
      </w:r>
      <w:r>
        <w:rPr>
          <w:spacing w:val="-45"/>
        </w:rPr>
      </w: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29</w:t>
      </w:r>
      <w:r>
        <w:rPr>
          <w:spacing w:val="-4"/>
        </w:rPr>
        <w:t>日，公司召开第五届董事会第三十次会议审议通过《关于设立募集资金专项账户并签订募集资金三方监管协</w:t>
      </w:r>
      <w:r>
        <w:rPr>
          <w:spacing w:val="59"/>
        </w:rPr>
        <w:t> </w:t>
      </w:r>
      <w:r>
        <w:rPr>
          <w:spacing w:val="59"/>
        </w:rPr>
      </w:r>
      <w:r>
        <w:rPr>
          <w:spacing w:val="-4"/>
        </w:rPr>
        <w:t>议的议案》。经中国证券监督管理委员会（以下简称</w:t>
      </w:r>
      <w:r>
        <w:rPr>
          <w:rFonts w:ascii="Times New Roman" w:hAnsi="Times New Roman" w:cs="Times New Roman" w:eastAsia="Times New Roman" w:hint="default"/>
          <w:spacing w:val="-4"/>
        </w:rPr>
        <w:t>“</w:t>
      </w:r>
      <w:r>
        <w:rPr>
          <w:spacing w:val="-4"/>
        </w:rPr>
        <w:t>中国证监会</w:t>
      </w:r>
      <w:r>
        <w:rPr>
          <w:rFonts w:ascii="Times New Roman" w:hAnsi="Times New Roman" w:cs="Times New Roman" w:eastAsia="Times New Roman" w:hint="default"/>
          <w:spacing w:val="-4"/>
        </w:rPr>
        <w:t>”</w:t>
      </w:r>
      <w:r>
        <w:rPr>
          <w:spacing w:val="-4"/>
        </w:rPr>
        <w:t>）《关于核准江苏润和软件股份有限公司非公开发行股票</w:t>
      </w:r>
      <w:r>
        <w:rPr>
          <w:spacing w:val="61"/>
        </w:rPr>
        <w:t> </w:t>
      </w:r>
      <w:r>
        <w:rPr>
          <w:spacing w:val="61"/>
        </w:rPr>
      </w:r>
      <w:r>
        <w:rPr>
          <w:spacing w:val="-4"/>
        </w:rPr>
        <w:t>的批复》（证监许可</w:t>
      </w:r>
      <w:r>
        <w:rPr>
          <w:rFonts w:ascii="Times New Roman" w:hAnsi="Times New Roman" w:cs="Times New Roman" w:eastAsia="Times New Roman" w:hint="default"/>
          <w:spacing w:val="-4"/>
        </w:rPr>
        <w:t>[2017]1213</w:t>
      </w:r>
      <w:r>
        <w:rPr>
          <w:spacing w:val="-4"/>
        </w:rPr>
        <w:t>号），核准公司非公开发行不超过</w:t>
      </w:r>
      <w:r>
        <w:rPr>
          <w:rFonts w:ascii="Times New Roman" w:hAnsi="Times New Roman" w:cs="Times New Roman" w:eastAsia="Times New Roman" w:hint="default"/>
          <w:spacing w:val="-4"/>
        </w:rPr>
        <w:t>10,000</w:t>
      </w:r>
      <w:r>
        <w:rPr>
          <w:spacing w:val="-4"/>
        </w:rPr>
        <w:t>万股新股。公司向</w:t>
      </w:r>
      <w:r>
        <w:rPr>
          <w:rFonts w:ascii="Times New Roman" w:hAnsi="Times New Roman" w:cs="Times New Roman" w:eastAsia="Times New Roman" w:hint="default"/>
          <w:spacing w:val="-4"/>
        </w:rPr>
        <w:t>4</w:t>
      </w:r>
      <w:r>
        <w:rPr>
          <w:spacing w:val="-4"/>
        </w:rPr>
        <w:t>名特定投资者共计发行人民币普</w:t>
      </w:r>
      <w:r>
        <w:rPr>
          <w:spacing w:val="5"/>
        </w:rPr>
        <w:t> </w:t>
      </w:r>
      <w:r>
        <w:rPr>
          <w:spacing w:val="5"/>
        </w:rPr>
      </w:r>
      <w:r>
        <w:rPr>
          <w:spacing w:val="-3"/>
        </w:rPr>
        <w:t>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81,326,141</w:t>
      </w:r>
      <w:r>
        <w:rPr>
          <w:spacing w:val="-3"/>
        </w:rPr>
        <w:t>股，每股发行价格为人民币</w:t>
      </w:r>
      <w:r>
        <w:rPr>
          <w:rFonts w:ascii="Times New Roman" w:hAnsi="Times New Roman" w:cs="Times New Roman" w:eastAsia="Times New Roman" w:hint="default"/>
          <w:spacing w:val="-3"/>
        </w:rPr>
        <w:t>9.90</w:t>
      </w:r>
      <w:r>
        <w:rPr>
          <w:spacing w:val="-3"/>
        </w:rPr>
        <w:t>元。本次发行募集资金总额为人民币</w:t>
      </w:r>
      <w:r>
        <w:rPr>
          <w:rFonts w:ascii="Times New Roman" w:hAnsi="Times New Roman" w:cs="Times New Roman" w:eastAsia="Times New Roman" w:hint="default"/>
          <w:spacing w:val="-3"/>
        </w:rPr>
        <w:t>805,128,795.90</w:t>
      </w:r>
      <w:r>
        <w:rPr>
          <w:spacing w:val="-3"/>
        </w:rPr>
        <w:t>元，扣除与发行</w:t>
      </w:r>
      <w:r>
        <w:rPr>
          <w:spacing w:val="21"/>
        </w:rPr>
        <w:t> </w:t>
      </w:r>
      <w:r>
        <w:rPr>
          <w:spacing w:val="21"/>
        </w:rPr>
      </w:r>
      <w:r>
        <w:rPr>
          <w:spacing w:val="-2"/>
        </w:rPr>
        <w:t>有关的费用人民币</w:t>
      </w:r>
      <w:r>
        <w:rPr>
          <w:rFonts w:ascii="Times New Roman" w:hAnsi="Times New Roman" w:cs="Times New Roman" w:eastAsia="Times New Roman" w:hint="default"/>
          <w:spacing w:val="-2"/>
        </w:rPr>
        <w:t>15,258,258.08</w:t>
      </w:r>
      <w:r>
        <w:rPr>
          <w:spacing w:val="-2"/>
        </w:rPr>
        <w:t>元（不含增值税金额为</w:t>
      </w:r>
      <w:r>
        <w:rPr>
          <w:rFonts w:ascii="Times New Roman" w:hAnsi="Times New Roman" w:cs="Times New Roman" w:eastAsia="Times New Roman" w:hint="default"/>
          <w:spacing w:val="-2"/>
        </w:rPr>
        <w:t>14,394,583.08</w:t>
      </w:r>
      <w:r>
        <w:rPr>
          <w:spacing w:val="-2"/>
        </w:rPr>
        <w:t>元）后，实际募集资金净额为人民币</w:t>
      </w:r>
      <w:r>
        <w:rPr>
          <w:rFonts w:ascii="Times New Roman" w:hAnsi="Times New Roman" w:cs="Times New Roman" w:eastAsia="Times New Roman" w:hint="default"/>
          <w:spacing w:val="-2"/>
        </w:rPr>
        <w:t>790,734,212.82</w:t>
      </w:r>
      <w:r>
        <w:rPr>
          <w:spacing w:val="-2"/>
        </w:rPr>
        <w:t>元。</w:t>
      </w:r>
      <w:r>
        <w:rPr>
          <w:spacing w:val="60"/>
        </w:rPr>
        <w:t> </w:t>
      </w:r>
      <w:r>
        <w:rPr>
          <w:spacing w:val="-4"/>
          <w:w w:val="101"/>
        </w:rPr>
        <w:t>董事会同意公司分别在南京银行股份有限公司南京分行、江苏紫金农村商业银行股份有限公司江宁支行和中国工商银行股份</w:t>
      </w:r>
      <w:r>
        <w:rPr>
          <w:w w:val="101"/>
        </w:rPr>
        <w:t> </w:t>
      </w:r>
      <w:r>
        <w:rPr>
          <w:spacing w:val="-4"/>
          <w:w w:val="101"/>
        </w:rPr>
        <w:t>有限公司南京玄武支行设立募集资金专用账户进行管理，并同意公司分别与上述三家银行以及保荐机构华泰联合证券有限责</w:t>
      </w:r>
      <w:r>
        <w:rPr>
          <w:spacing w:val="-4"/>
        </w:rPr>
      </w:r>
    </w:p>
    <w:p>
      <w:pPr>
        <w:spacing w:after="0" w:line="30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1026"/>
        <w:jc w:val="left"/>
      </w:pPr>
      <w:r>
        <w:rPr>
          <w:spacing w:val="-3"/>
        </w:rPr>
        <w:t>任公司签订《募集资金专户存储三方监管协议》。以上具体内容请详见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29</w:t>
      </w:r>
      <w:r>
        <w:rPr>
          <w:spacing w:val="-3"/>
        </w:rPr>
        <w:t>日在中国证监会指定的创业板信息披露</w:t>
      </w:r>
      <w:r>
        <w:rPr>
          <w:spacing w:val="80"/>
        </w:rPr>
        <w:t> </w:t>
      </w:r>
      <w:r>
        <w:rPr>
          <w:spacing w:val="80"/>
        </w:rPr>
      </w:r>
      <w:r>
        <w:rPr/>
        <w:t>网站公告。</w:t>
      </w:r>
      <w:r>
        <w:rPr>
          <w:w w:val="101"/>
        </w:rPr>
        <w:t> </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日，润和投资将其持有的本公司股份</w:t>
      </w:r>
      <w:r>
        <w:rPr>
          <w:rFonts w:ascii="Times New Roman" w:hAnsi="Times New Roman" w:cs="Times New Roman" w:eastAsia="Times New Roman" w:hint="default"/>
          <w:spacing w:val="-4"/>
        </w:rPr>
        <w:t>2,600,000</w:t>
      </w:r>
      <w:r>
        <w:rPr>
          <w:spacing w:val="-4"/>
        </w:rPr>
        <w:t>股质押给中信证券股份有限公司办理股票质押式回购交易。因</w:t>
      </w:r>
      <w:r>
        <w:rPr>
          <w:spacing w:val="78"/>
        </w:rPr>
        <w:t> </w:t>
      </w:r>
      <w:r>
        <w:rPr>
          <w:spacing w:val="78"/>
        </w:rPr>
      </w:r>
      <w:r>
        <w:rPr>
          <w:spacing w:val="-3"/>
        </w:rPr>
        <w:t>公司</w:t>
      </w:r>
      <w:r>
        <w:rPr>
          <w:rFonts w:ascii="Times New Roman" w:hAnsi="Times New Roman" w:cs="Times New Roman" w:eastAsia="Times New Roman" w:hint="default"/>
          <w:spacing w:val="-3"/>
        </w:rPr>
        <w:t>2016</w:t>
      </w:r>
      <w:r>
        <w:rPr>
          <w:spacing w:val="-3"/>
        </w:rPr>
        <w:t>年年度权益分派方案的实施，润和投资质押给中信证券股份有限公司的股份变更为</w:t>
      </w:r>
      <w:r>
        <w:rPr>
          <w:rFonts w:ascii="Times New Roman" w:hAnsi="Times New Roman" w:cs="Times New Roman" w:eastAsia="Times New Roman" w:hint="default"/>
          <w:spacing w:val="-3"/>
        </w:rPr>
        <w:t>5,200,000</w:t>
      </w:r>
      <w:r>
        <w:rPr>
          <w:spacing w:val="-3"/>
        </w:rPr>
        <w:t>股。</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18</w:t>
      </w:r>
      <w:r>
        <w:rPr>
          <w:spacing w:val="-3"/>
        </w:rPr>
        <w:t>日、</w:t>
      </w:r>
      <w:r>
        <w:rPr>
          <w:spacing w:val="12"/>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日，润和投资分别将其所持有的本公司股票</w:t>
      </w:r>
      <w:r>
        <w:rPr>
          <w:rFonts w:ascii="Times New Roman" w:hAnsi="Times New Roman" w:cs="Times New Roman" w:eastAsia="Times New Roman" w:hint="default"/>
          <w:spacing w:val="-2"/>
        </w:rPr>
        <w:t>650,000</w:t>
      </w:r>
      <w:r>
        <w:rPr>
          <w:spacing w:val="-2"/>
        </w:rPr>
        <w:t>股、</w:t>
      </w:r>
      <w:r>
        <w:rPr>
          <w:rFonts w:ascii="Times New Roman" w:hAnsi="Times New Roman" w:cs="Times New Roman" w:eastAsia="Times New Roman" w:hint="default"/>
          <w:spacing w:val="-2"/>
        </w:rPr>
        <w:t>1,000,000</w:t>
      </w:r>
      <w:r>
        <w:rPr>
          <w:spacing w:val="-2"/>
        </w:rPr>
        <w:t>股补充质押给中信证券股份有限公司。润和投</w:t>
      </w:r>
      <w:r>
        <w:rPr>
          <w:spacing w:val="38"/>
        </w:rPr>
        <w:t> </w:t>
      </w:r>
      <w:r>
        <w:rPr>
          <w:spacing w:val="38"/>
        </w:rPr>
      </w:r>
      <w:r>
        <w:rPr/>
        <w:t>资于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日将上述</w:t>
      </w:r>
      <w:r>
        <w:rPr>
          <w:rFonts w:ascii="Times New Roman" w:hAnsi="Times New Roman" w:cs="Times New Roman" w:eastAsia="Times New Roman" w:hint="default"/>
        </w:rPr>
        <w:t>6,850,000</w:t>
      </w:r>
      <w:r>
        <w:rPr/>
        <w:t>股全部解除质押。</w:t>
      </w:r>
    </w:p>
    <w:p>
      <w:pPr>
        <w:pStyle w:val="BodyText"/>
        <w:spacing w:line="300" w:lineRule="auto" w:before="9"/>
        <w:ind w:right="1026" w:firstLine="292"/>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日，润和投资将质押给江苏省国际信托有限责任公司办理股票质押式回购交易的本公司股份</w:t>
      </w:r>
      <w:r>
        <w:rPr>
          <w:rFonts w:ascii="Times New Roman" w:hAnsi="Times New Roman" w:cs="Times New Roman" w:eastAsia="Times New Roman" w:hint="default"/>
          <w:spacing w:val="-3"/>
        </w:rPr>
        <w:t>12,000,000</w:t>
      </w:r>
      <w:r>
        <w:rPr>
          <w:spacing w:val="-3"/>
        </w:rPr>
        <w:t>股全</w:t>
      </w:r>
      <w:r>
        <w:rPr>
          <w:w w:val="101"/>
        </w:rPr>
        <w:t> </w:t>
      </w:r>
      <w:r>
        <w:rPr/>
        <w:t>部解除质押。</w:t>
      </w:r>
    </w:p>
    <w:p>
      <w:pPr>
        <w:pStyle w:val="BodyText"/>
        <w:spacing w:line="300" w:lineRule="auto" w:before="32"/>
        <w:ind w:right="0" w:firstLine="292"/>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spacing w:val="-3"/>
        </w:rPr>
        <w:t>日，润和投资非公开发行了以其持有的本公司股票为标的的可交换公司债券，本次可交换公司债券发行前，</w:t>
      </w:r>
      <w:r>
        <w:rPr>
          <w:w w:val="101"/>
        </w:rPr>
        <w:t> </w:t>
      </w:r>
      <w:r>
        <w:rPr>
          <w:spacing w:val="-3"/>
        </w:rPr>
        <w:t>润和投资已将所持有的本公司</w:t>
      </w:r>
      <w:r>
        <w:rPr>
          <w:rFonts w:ascii="Times New Roman" w:hAnsi="Times New Roman" w:cs="Times New Roman" w:eastAsia="Times New Roman" w:hint="default"/>
          <w:spacing w:val="-3"/>
        </w:rPr>
        <w:t>4,200</w:t>
      </w:r>
      <w:r>
        <w:rPr>
          <w:spacing w:val="-3"/>
        </w:rPr>
        <w:t>万股无限售条件流通股作为初始质押物质押给债券受托管理人华泰联合证券有限责任公</w:t>
      </w:r>
      <w:r>
        <w:rPr>
          <w:spacing w:val="77"/>
        </w:rPr>
        <w:t> </w:t>
      </w:r>
      <w:r>
        <w:rPr>
          <w:spacing w:val="77"/>
        </w:rPr>
      </w:r>
      <w:r>
        <w:rPr>
          <w:spacing w:val="-3"/>
        </w:rPr>
        <w:t>司，用于本次可交换债券持有人交换本公司股票和本期债券的本息偿付提供担保。因公司</w:t>
      </w:r>
      <w:r>
        <w:rPr>
          <w:rFonts w:ascii="Times New Roman" w:hAnsi="Times New Roman" w:cs="Times New Roman" w:eastAsia="Times New Roman" w:hint="default"/>
          <w:spacing w:val="-3"/>
        </w:rPr>
        <w:t>2016</w:t>
      </w:r>
      <w:r>
        <w:rPr>
          <w:spacing w:val="-3"/>
        </w:rPr>
        <w:t>年年度权益分派方案的实施，</w:t>
      </w:r>
      <w:r>
        <w:rPr>
          <w:spacing w:val="73"/>
        </w:rPr>
        <w:t> </w:t>
      </w:r>
      <w:r>
        <w:rPr>
          <w:spacing w:val="73"/>
        </w:rPr>
      </w:r>
      <w:r>
        <w:rPr>
          <w:spacing w:val="-3"/>
        </w:rPr>
        <w:t>润和投资质押给华泰联合证券有限责任公司的股份变更为</w:t>
      </w:r>
      <w:r>
        <w:rPr>
          <w:rFonts w:ascii="Times New Roman" w:hAnsi="Times New Roman" w:cs="Times New Roman" w:eastAsia="Times New Roman" w:hint="default"/>
          <w:spacing w:val="-3"/>
        </w:rPr>
        <w:t>8,400</w:t>
      </w:r>
      <w:r>
        <w:rPr>
          <w:spacing w:val="-3"/>
        </w:rPr>
        <w:t>万股。</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15</w:t>
      </w:r>
      <w:r>
        <w:rPr>
          <w:spacing w:val="-3"/>
        </w:rPr>
        <w:t>日，润</w:t>
      </w:r>
      <w:r>
        <w:rPr>
          <w:spacing w:val="71"/>
        </w:rPr>
        <w:t> </w:t>
      </w:r>
      <w:r>
        <w:rPr>
          <w:spacing w:val="71"/>
        </w:rPr>
      </w:r>
      <w:r>
        <w:rPr>
          <w:spacing w:val="-2"/>
        </w:rPr>
        <w:t>和投资分别将所持有的本公司股份</w:t>
      </w:r>
      <w:r>
        <w:rPr>
          <w:rFonts w:ascii="Times New Roman" w:hAnsi="Times New Roman" w:cs="Times New Roman" w:eastAsia="Times New Roman" w:hint="default"/>
          <w:spacing w:val="-2"/>
        </w:rPr>
        <w:t>10,000,000</w:t>
      </w:r>
      <w:r>
        <w:rPr>
          <w:spacing w:val="-2"/>
        </w:rPr>
        <w:t>股、</w:t>
      </w:r>
      <w:r>
        <w:rPr>
          <w:rFonts w:ascii="Times New Roman" w:hAnsi="Times New Roman" w:cs="Times New Roman" w:eastAsia="Times New Roman" w:hint="default"/>
          <w:spacing w:val="-2"/>
        </w:rPr>
        <w:t>11,500,000</w:t>
      </w:r>
      <w:r>
        <w:rPr>
          <w:spacing w:val="-2"/>
        </w:rPr>
        <w:t>股和</w:t>
      </w:r>
      <w:r>
        <w:rPr>
          <w:rFonts w:ascii="Times New Roman" w:hAnsi="Times New Roman" w:cs="Times New Roman" w:eastAsia="Times New Roman" w:hint="default"/>
          <w:spacing w:val="-2"/>
        </w:rPr>
        <w:t>25,000,000</w:t>
      </w:r>
      <w:r>
        <w:rPr>
          <w:spacing w:val="-2"/>
        </w:rPr>
        <w:t>股质押华泰联合证券有限责任公司作为</w:t>
      </w:r>
      <w:r>
        <w:rPr>
          <w:rFonts w:ascii="Times New Roman" w:hAnsi="Times New Roman" w:cs="Times New Roman" w:eastAsia="Times New Roman" w:hint="default"/>
          <w:spacing w:val="-2"/>
        </w:rPr>
        <w:t>2016</w:t>
      </w:r>
      <w:r>
        <w:rPr>
          <w:spacing w:val="-2"/>
        </w:rPr>
        <w:t>年非</w:t>
      </w:r>
      <w:r>
        <w:rPr>
          <w:spacing w:val="49"/>
        </w:rPr>
        <w:t> </w:t>
      </w:r>
      <w:r>
        <w:rPr>
          <w:spacing w:val="-3"/>
        </w:rPr>
        <w:t>公开发行可交换公司债券触发补充担保而进行的股票补充质押。</w:t>
      </w:r>
    </w:p>
    <w:p>
      <w:pPr>
        <w:pStyle w:val="BodyText"/>
        <w:spacing w:line="304" w:lineRule="auto" w:before="31"/>
        <w:ind w:right="0" w:firstLine="292"/>
        <w:jc w:val="left"/>
      </w:pPr>
      <w:r>
        <w:rPr>
          <w:spacing w:val="-2"/>
        </w:rPr>
        <w:t>以上具体内容请详见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rFonts w:ascii="Times New Roman" w:hAnsi="Times New Roman" w:cs="Times New Roman" w:eastAsia="Times New Roman" w:hint="default"/>
          <w:w w:val="101"/>
        </w:rPr>
        <w:t> </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16</w:t>
      </w:r>
      <w:r>
        <w:rPr>
          <w:spacing w:val="-3"/>
        </w:rPr>
        <w:t>日在中国证监会指定的创业板信息披露网站公告。</w:t>
      </w:r>
      <w:r>
        <w:rPr>
          <w:spacing w:val="67"/>
        </w:rPr>
        <w:t> </w:t>
      </w:r>
      <w:r>
        <w:rPr>
          <w:spacing w:val="67"/>
        </w:rPr>
      </w:r>
      <w:r>
        <w:rPr>
          <w:rFonts w:ascii="Times New Roman" w:hAnsi="Times New Roman" w:cs="Times New Roman" w:eastAsia="Times New Roman" w:hint="default"/>
          <w:spacing w:val="-3"/>
        </w:rPr>
        <w:t>8</w:t>
      </w:r>
      <w:r>
        <w:rPr>
          <w:spacing w:val="-3"/>
        </w:rPr>
        <w:t>、润和投资计划自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日起六个月内（包含</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日），根据中国证监会和深圳证券交易所的有关规定，通</w:t>
      </w:r>
      <w:r>
        <w:rPr>
          <w:spacing w:val="4"/>
        </w:rPr>
        <w:t> </w:t>
      </w:r>
      <w:r>
        <w:rPr>
          <w:spacing w:val="4"/>
        </w:rPr>
      </w:r>
      <w:r>
        <w:rPr>
          <w:spacing w:val="-4"/>
        </w:rPr>
        <w:t>过法律法规允许的方式（包括但不限于通过证券账户或证券、信托等资产管理计划）择机以集中竞价或大宗交易等方式增持</w:t>
      </w:r>
      <w:r>
        <w:rPr>
          <w:spacing w:val="43"/>
        </w:rPr>
        <w:t> </w:t>
      </w:r>
      <w:r>
        <w:rPr>
          <w:spacing w:val="43"/>
        </w:rPr>
      </w:r>
      <w:r>
        <w:rPr>
          <w:spacing w:val="-3"/>
        </w:rPr>
        <w:t>公司股份，累计增持金额不低于人民币</w:t>
      </w:r>
      <w:r>
        <w:rPr>
          <w:rFonts w:ascii="Times New Roman" w:hAnsi="Times New Roman" w:cs="Times New Roman" w:eastAsia="Times New Roman" w:hint="default"/>
          <w:spacing w:val="-3"/>
        </w:rPr>
        <w:t>1</w:t>
      </w:r>
      <w:r>
        <w:rPr>
          <w:spacing w:val="-3"/>
        </w:rPr>
        <w:t>亿元且不超过人民币</w:t>
      </w:r>
      <w:r>
        <w:rPr>
          <w:rFonts w:ascii="Times New Roman" w:hAnsi="Times New Roman" w:cs="Times New Roman" w:eastAsia="Times New Roman" w:hint="default"/>
          <w:spacing w:val="-3"/>
        </w:rPr>
        <w:t>2</w:t>
      </w:r>
      <w:r>
        <w:rPr>
          <w:spacing w:val="-3"/>
        </w:rPr>
        <w:t>亿元（含</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日增持在内），增持所需资金为自有资</w:t>
      </w:r>
      <w:r>
        <w:rPr>
          <w:spacing w:val="81"/>
        </w:rPr>
        <w:t> </w:t>
      </w:r>
      <w:r>
        <w:rPr>
          <w:spacing w:val="81"/>
        </w:rPr>
      </w:r>
      <w:r>
        <w:rPr>
          <w:spacing w:val="-3"/>
        </w:rPr>
        <w:t>金或自筹资金。本次增持不设定价格区间。</w:t>
      </w:r>
    </w:p>
    <w:p>
      <w:pPr>
        <w:pStyle w:val="BodyText"/>
        <w:spacing w:line="300" w:lineRule="auto" w:before="28"/>
        <w:ind w:right="0" w:firstLine="292"/>
        <w:jc w:val="left"/>
      </w:pPr>
      <w:r>
        <w:rPr>
          <w:spacing w:val="-4"/>
        </w:rPr>
        <w:t>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日，上述增持计划已实施完毕，润和投资累计增持公司股份</w:t>
      </w:r>
      <w:r>
        <w:rPr>
          <w:rFonts w:ascii="Times New Roman" w:hAnsi="Times New Roman" w:cs="Times New Roman" w:eastAsia="Times New Roman" w:hint="default"/>
          <w:spacing w:val="-4"/>
        </w:rPr>
        <w:t>14,566,683</w:t>
      </w:r>
      <w:r>
        <w:rPr>
          <w:spacing w:val="-4"/>
        </w:rPr>
        <w:t>股，占公司总股本的</w:t>
      </w:r>
      <w:r>
        <w:rPr>
          <w:rFonts w:ascii="Times New Roman" w:hAnsi="Times New Roman" w:cs="Times New Roman" w:eastAsia="Times New Roman" w:hint="default"/>
          <w:spacing w:val="-4"/>
        </w:rPr>
        <w:t>1.83%,</w:t>
      </w:r>
      <w:r>
        <w:rPr>
          <w:spacing w:val="-4"/>
        </w:rPr>
        <w:t>累计增</w:t>
      </w:r>
      <w:r>
        <w:rPr>
          <w:w w:val="101"/>
        </w:rPr>
        <w:t> </w:t>
      </w:r>
      <w:r>
        <w:rPr/>
        <w:t>持金额</w:t>
      </w:r>
      <w:r>
        <w:rPr>
          <w:rFonts w:ascii="Times New Roman" w:hAnsi="Times New Roman" w:cs="Times New Roman" w:eastAsia="Times New Roman" w:hint="default"/>
        </w:rPr>
        <w:t>15,505.99</w:t>
      </w:r>
      <w:r>
        <w:rPr/>
        <w:t>万元。</w:t>
      </w:r>
    </w:p>
    <w:p>
      <w:pPr>
        <w:pStyle w:val="BodyText"/>
        <w:spacing w:line="302" w:lineRule="auto" w:before="13"/>
        <w:ind w:right="1026" w:firstLine="292"/>
        <w:jc w:val="left"/>
        <w:rPr>
          <w:rFonts w:ascii="Times New Roman" w:hAnsi="Times New Roman" w:cs="Times New Roman" w:eastAsia="Times New Roman" w:hint="default"/>
        </w:rPr>
      </w:pPr>
      <w:r>
        <w:rPr>
          <w:spacing w:val="-3"/>
        </w:rPr>
        <w:t>以上具体内容请详见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日在中国证监会指定的创业板信息披露网站公告。</w:t>
      </w:r>
      <w:r>
        <w:rPr>
          <w:w w:val="101"/>
        </w:rPr>
        <w:t> </w:t>
      </w: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13</w:t>
      </w:r>
      <w:r>
        <w:rPr>
          <w:spacing w:val="-4"/>
        </w:rPr>
        <w:t>日，公司召开第五届董事会第三十一次会议、第五届监事会第十八次会议审议通过了《关于使用部分闲置募</w:t>
      </w:r>
      <w:r>
        <w:rPr>
          <w:spacing w:val="56"/>
        </w:rPr>
        <w:t> </w:t>
      </w:r>
      <w:r>
        <w:rPr>
          <w:spacing w:val="56"/>
        </w:rPr>
      </w:r>
      <w:r>
        <w:rPr>
          <w:spacing w:val="-3"/>
        </w:rPr>
        <w:t>集资金进行现金管理的议案》，同意公司使用不超过人民币</w:t>
      </w:r>
      <w:r>
        <w:rPr>
          <w:rFonts w:ascii="Times New Roman" w:hAnsi="Times New Roman" w:cs="Times New Roman" w:eastAsia="Times New Roman" w:hint="default"/>
          <w:spacing w:val="-3"/>
        </w:rPr>
        <w:t>60,000</w:t>
      </w:r>
      <w:r>
        <w:rPr>
          <w:spacing w:val="-3"/>
        </w:rPr>
        <w:t>万元的暂时闲置募集资金进行现金管理，使用期限自公司</w:t>
      </w:r>
      <w:r>
        <w:rPr>
          <w:spacing w:val="42"/>
        </w:rPr>
        <w:t> </w:t>
      </w:r>
      <w:r>
        <w:rPr>
          <w:spacing w:val="42"/>
        </w:rPr>
      </w:r>
      <w:r>
        <w:rPr>
          <w:spacing w:val="-4"/>
        </w:rPr>
        <w:t>股东大会审议通过之日起</w:t>
      </w:r>
      <w:r>
        <w:rPr>
          <w:rFonts w:ascii="Times New Roman" w:hAnsi="Times New Roman" w:cs="Times New Roman" w:eastAsia="Times New Roman" w:hint="default"/>
          <w:spacing w:val="-4"/>
        </w:rPr>
        <w:t>24</w:t>
      </w:r>
      <w:r>
        <w:rPr>
          <w:spacing w:val="-4"/>
        </w:rPr>
        <w:t>个月内有效。</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w:t>
      </w:r>
      <w:r>
        <w:rPr>
          <w:spacing w:val="-4"/>
        </w:rPr>
        <w:t>日公司召开</w:t>
      </w:r>
      <w:r>
        <w:rPr>
          <w:rFonts w:ascii="Times New Roman" w:hAnsi="Times New Roman" w:cs="Times New Roman" w:eastAsia="Times New Roman" w:hint="default"/>
          <w:spacing w:val="-4"/>
        </w:rPr>
        <w:t>2018</w:t>
      </w:r>
      <w:r>
        <w:rPr>
          <w:spacing w:val="-4"/>
        </w:rPr>
        <w:t>年第一次临时股东大会审议通过了上述议案。以上具体</w:t>
      </w:r>
      <w:r>
        <w:rPr>
          <w:spacing w:val="66"/>
        </w:rPr>
        <w:t> </w:t>
      </w:r>
      <w:r>
        <w:rPr>
          <w:spacing w:val="66"/>
        </w:rPr>
      </w:r>
      <w:r>
        <w:rPr>
          <w:spacing w:val="-2"/>
        </w:rPr>
        <w:t>内容请详见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0"/>
        </w:rPr>
        <w:t> </w:t>
      </w:r>
      <w:r>
        <w:rPr>
          <w:spacing w:val="-2"/>
        </w:rPr>
        <w:t>月</w:t>
      </w:r>
      <w:r>
        <w:rPr>
          <w:rFonts w:ascii="Times New Roman" w:hAnsi="Times New Roman" w:cs="Times New Roman" w:eastAsia="Times New Roman" w:hint="default"/>
          <w:spacing w:val="-2"/>
        </w:rPr>
        <w:t>27</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日在中国证监会指定的创业板信息披露网站公告。</w:t>
      </w:r>
      <w:r>
        <w:rPr>
          <w:spacing w:val="22"/>
        </w:rPr>
        <w:t> </w:t>
      </w:r>
      <w:r>
        <w:rPr>
          <w:spacing w:val="22"/>
        </w:rPr>
      </w:r>
      <w:r>
        <w:rPr>
          <w:rFonts w:ascii="Times New Roman" w:hAnsi="Times New Roman" w:cs="Times New Roman" w:eastAsia="Times New Roman" w:hint="default"/>
          <w:spacing w:val="-3"/>
        </w:rPr>
        <w:t>10</w:t>
      </w:r>
      <w:r>
        <w:rPr>
          <w:spacing w:val="-3"/>
        </w:rPr>
        <w:t>、公司董事会于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日收到公司董事钟峻先生的书面辞职报告，钟峻先生因个人原因申请辞去公司董事职务，其</w:t>
      </w:r>
      <w:r>
        <w:rPr>
          <w:spacing w:val="82"/>
        </w:rPr>
        <w:t> </w:t>
      </w:r>
      <w:r>
        <w:rPr>
          <w:spacing w:val="82"/>
        </w:rPr>
      </w:r>
      <w:r>
        <w:rPr>
          <w:spacing w:val="-4"/>
        </w:rPr>
        <w:t>辞职报告自送达董事会之日起生效。辞职后，钟峻先生不再担任公司任何职务。公司于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日召开第五届董事会第三</w:t>
      </w:r>
      <w:r>
        <w:rPr>
          <w:spacing w:val="56"/>
        </w:rPr>
        <w:t> </w:t>
      </w:r>
      <w:r>
        <w:rPr>
          <w:spacing w:val="56"/>
        </w:rPr>
      </w:r>
      <w:r>
        <w:rPr>
          <w:spacing w:val="-3"/>
        </w:rPr>
        <w:t>十七次会议，于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日召开</w:t>
      </w:r>
      <w:r>
        <w:rPr>
          <w:rFonts w:ascii="Times New Roman" w:hAnsi="Times New Roman" w:cs="Times New Roman" w:eastAsia="Times New Roman" w:hint="default"/>
          <w:spacing w:val="-3"/>
        </w:rPr>
        <w:t>2018</w:t>
      </w:r>
      <w:r>
        <w:rPr>
          <w:spacing w:val="-3"/>
        </w:rPr>
        <w:t>年第三次临时股东大会，审议通过了《关于补选公司第五届董事会非独立董事的议</w:t>
      </w:r>
      <w:r>
        <w:rPr>
          <w:spacing w:val="83"/>
        </w:rPr>
        <w:t> </w:t>
      </w:r>
      <w:r>
        <w:rPr>
          <w:spacing w:val="83"/>
        </w:rPr>
      </w:r>
      <w:r>
        <w:rPr>
          <w:spacing w:val="-4"/>
        </w:rPr>
        <w:t>案》，朱超先生当选公司第五届董事会非独立董事，任期自公司</w:t>
      </w:r>
      <w:r>
        <w:rPr>
          <w:rFonts w:ascii="Times New Roman" w:hAnsi="Times New Roman" w:cs="Times New Roman" w:eastAsia="Times New Roman" w:hint="default"/>
          <w:spacing w:val="-4"/>
        </w:rPr>
        <w:t>2018</w:t>
      </w:r>
      <w:r>
        <w:rPr>
          <w:spacing w:val="-4"/>
        </w:rPr>
        <w:t>年第三次临时股东大会审议通过之日起至第五届董事会</w:t>
      </w:r>
      <w:r>
        <w:rPr>
          <w:spacing w:val="46"/>
        </w:rPr>
        <w:t> </w:t>
      </w:r>
      <w:r>
        <w:rPr>
          <w:spacing w:val="46"/>
        </w:rPr>
      </w:r>
      <w:r>
        <w:rPr>
          <w:spacing w:val="-4"/>
        </w:rPr>
        <w:t>任期届满时止。以上具体内容请详见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14</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7</w:t>
      </w:r>
      <w:r>
        <w:rPr>
          <w:spacing w:val="-4"/>
        </w:rPr>
        <w:t>日和</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日在中国证监会指定的创业板信息披露网</w:t>
      </w:r>
      <w:r>
        <w:rPr>
          <w:spacing w:val="78"/>
        </w:rPr>
        <w:t> </w:t>
      </w:r>
      <w:r>
        <w:rPr>
          <w:spacing w:val="78"/>
        </w:rPr>
      </w:r>
      <w:r>
        <w:rPr/>
        <w:t>站公告。</w:t>
      </w:r>
      <w:r>
        <w:rPr>
          <w:spacing w:val="-86"/>
        </w:rPr>
        <w:t> </w:t>
      </w:r>
      <w:r>
        <w:rPr>
          <w:spacing w:val="-86"/>
        </w:rPr>
      </w:r>
      <w:r>
        <w:rPr>
          <w:rFonts w:ascii="Times New Roman" w:hAnsi="Times New Roman" w:cs="Times New Roman" w:eastAsia="Times New Roman" w:hint="default"/>
          <w:spacing w:val="-4"/>
        </w:rPr>
        <w:t>11</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27</w:t>
      </w:r>
      <w:r>
        <w:rPr>
          <w:spacing w:val="-4"/>
        </w:rPr>
        <w:t>日召开第五届董事会第三十三次会议和第五届监事会第十九次会议，于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日召开</w:t>
      </w:r>
      <w:r>
        <w:rPr>
          <w:rFonts w:ascii="Times New Roman" w:hAnsi="Times New Roman" w:cs="Times New Roman" w:eastAsia="Times New Roman" w:hint="default"/>
          <w:spacing w:val="-4"/>
        </w:rPr>
        <w:t>2017</w:t>
      </w:r>
      <w:r>
        <w:rPr>
          <w:spacing w:val="-4"/>
        </w:rPr>
        <w:t>年年</w:t>
      </w:r>
      <w:r>
        <w:rPr>
          <w:spacing w:val="77"/>
        </w:rPr>
        <w:t> </w:t>
      </w:r>
      <w:r>
        <w:rPr>
          <w:spacing w:val="-4"/>
        </w:rPr>
        <w:t>度股东大会，审议通过了《</w:t>
      </w:r>
      <w:r>
        <w:rPr>
          <w:rFonts w:ascii="Times New Roman" w:hAnsi="Times New Roman" w:cs="Times New Roman" w:eastAsia="Times New Roman" w:hint="default"/>
          <w:spacing w:val="-4"/>
        </w:rPr>
        <w:t>2017</w:t>
      </w:r>
      <w:r>
        <w:rPr>
          <w:spacing w:val="-4"/>
        </w:rPr>
        <w:t>年度利润分配预案》：以公司现有总股本</w:t>
      </w:r>
      <w:r>
        <w:rPr>
          <w:rFonts w:ascii="Times New Roman" w:hAnsi="Times New Roman" w:cs="Times New Roman" w:eastAsia="Times New Roman" w:hint="default"/>
          <w:spacing w:val="-4"/>
        </w:rPr>
        <w:t>796,410,841</w:t>
      </w:r>
      <w:r>
        <w:rPr>
          <w:spacing w:val="-4"/>
        </w:rPr>
        <w:t>股为基数，向全体股东每</w:t>
      </w:r>
      <w:r>
        <w:rPr>
          <w:rFonts w:ascii="Times New Roman" w:hAnsi="Times New Roman" w:cs="Times New Roman" w:eastAsia="Times New Roman" w:hint="default"/>
          <w:spacing w:val="-4"/>
        </w:rPr>
        <w:t>10</w:t>
      </w:r>
      <w:r>
        <w:rPr>
          <w:spacing w:val="-4"/>
        </w:rPr>
        <w:t>股派发现金</w:t>
      </w:r>
      <w:r>
        <w:rPr>
          <w:spacing w:val="74"/>
        </w:rPr>
        <w:t> </w:t>
      </w:r>
      <w:r>
        <w:rPr>
          <w:spacing w:val="74"/>
        </w:rPr>
      </w:r>
      <w:r>
        <w:rPr>
          <w:spacing w:val="-3"/>
        </w:rPr>
        <w:t>股利</w:t>
      </w:r>
      <w:r>
        <w:rPr>
          <w:rFonts w:ascii="Times New Roman" w:hAnsi="Times New Roman" w:cs="Times New Roman" w:eastAsia="Times New Roman" w:hint="default"/>
          <w:spacing w:val="-3"/>
        </w:rPr>
        <w:t>1.00</w:t>
      </w:r>
      <w:r>
        <w:rPr>
          <w:spacing w:val="-3"/>
        </w:rPr>
        <w:t>元人民币（含税），共计派送现金红利</w:t>
      </w:r>
      <w:r>
        <w:rPr>
          <w:rFonts w:ascii="Times New Roman" w:hAnsi="Times New Roman" w:cs="Times New Roman" w:eastAsia="Times New Roman" w:hint="default"/>
          <w:spacing w:val="-3"/>
        </w:rPr>
        <w:t>79,641,084.10</w:t>
      </w:r>
      <w:r>
        <w:rPr>
          <w:spacing w:val="-3"/>
        </w:rPr>
        <w:t>元（含税），累计剩余未分配利润</w:t>
      </w:r>
      <w:r>
        <w:rPr>
          <w:rFonts w:ascii="Times New Roman" w:hAnsi="Times New Roman" w:cs="Times New Roman" w:eastAsia="Times New Roman" w:hint="default"/>
          <w:spacing w:val="-3"/>
        </w:rPr>
        <w:t>223,751,772.72</w:t>
      </w:r>
      <w:r>
        <w:rPr>
          <w:spacing w:val="-3"/>
        </w:rPr>
        <w:t>元，结转至下</w:t>
      </w:r>
      <w:r>
        <w:rPr>
          <w:spacing w:val="76"/>
        </w:rPr>
        <w:t> </w:t>
      </w:r>
      <w:r>
        <w:rPr>
          <w:spacing w:val="76"/>
        </w:rPr>
      </w:r>
      <w:r>
        <w:rPr>
          <w:spacing w:val="-4"/>
        </w:rPr>
        <w:t>年度。本次分配不实施资本公积转增股本、不分红股。本次权益分派已于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日实施完毕。以上具体内容请详见</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日在中国证监会指定的创业板信息披露网站公告。</w:t>
      </w:r>
      <w:r>
        <w:rPr>
          <w:w w:val="101"/>
        </w:rPr>
        <w:t> </w:t>
      </w:r>
      <w:r>
        <w:rPr>
          <w:rFonts w:ascii="Times New Roman" w:hAnsi="Times New Roman" w:cs="Times New Roman" w:eastAsia="Times New Roman" w:hint="default"/>
          <w:spacing w:val="-3"/>
        </w:rPr>
        <w:t>12</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日召开第五届董事会第三十三次会议和第五届监事会第十九次会议</w:t>
      </w:r>
      <w:r>
        <w:rPr>
          <w:rFonts w:ascii="Times New Roman" w:hAnsi="Times New Roman" w:cs="Times New Roman" w:eastAsia="Times New Roman" w:hint="default"/>
          <w:spacing w:val="-3"/>
        </w:rPr>
        <w:t>,</w:t>
      </w:r>
      <w:r>
        <w:rPr>
          <w:spacing w:val="-3"/>
        </w:rPr>
        <w:t>审议通过了《关于</w:t>
      </w:r>
      <w:r>
        <w:rPr>
          <w:rFonts w:ascii="Times New Roman" w:hAnsi="Times New Roman" w:cs="Times New Roman" w:eastAsia="Times New Roman" w:hint="default"/>
          <w:spacing w:val="-3"/>
        </w:rPr>
        <w:t>2017</w:t>
      </w:r>
      <w:r>
        <w:rPr>
          <w:spacing w:val="-3"/>
        </w:rPr>
        <w:t>年度日常</w:t>
      </w:r>
      <w:r>
        <w:rPr>
          <w:spacing w:val="54"/>
        </w:rPr>
        <w:t> </w:t>
      </w:r>
      <w:r>
        <w:rPr>
          <w:spacing w:val="54"/>
        </w:rPr>
      </w:r>
      <w:r>
        <w:rPr>
          <w:spacing w:val="-3"/>
        </w:rPr>
        <w:t>关联交易以及</w:t>
      </w:r>
      <w:r>
        <w:rPr>
          <w:rFonts w:ascii="Times New Roman" w:hAnsi="Times New Roman" w:cs="Times New Roman" w:eastAsia="Times New Roman" w:hint="default"/>
          <w:spacing w:val="-3"/>
        </w:rPr>
        <w:t>2018</w:t>
      </w:r>
      <w:r>
        <w:rPr>
          <w:spacing w:val="-3"/>
        </w:rPr>
        <w:t>年度日常关联交易预计的议案》</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2017</w:t>
      </w:r>
      <w:r>
        <w:rPr>
          <w:spacing w:val="-3"/>
        </w:rPr>
        <w:t>年和</w:t>
      </w:r>
      <w:r>
        <w:rPr>
          <w:rFonts w:ascii="Times New Roman" w:hAnsi="Times New Roman" w:cs="Times New Roman" w:eastAsia="Times New Roman" w:hint="default"/>
          <w:spacing w:val="-3"/>
        </w:rPr>
        <w:t>2018</w:t>
      </w:r>
      <w:r>
        <w:rPr>
          <w:spacing w:val="-3"/>
        </w:rPr>
        <w:t>年度发生的日常关联交易是公司全资子公司江苏润和</w:t>
      </w:r>
      <w:r>
        <w:rPr>
          <w:spacing w:val="1"/>
        </w:rPr>
        <w:t> </w:t>
      </w:r>
      <w:r>
        <w:rPr>
          <w:spacing w:val="1"/>
        </w:rPr>
      </w:r>
      <w:r>
        <w:rPr>
          <w:spacing w:val="-4"/>
          <w:w w:val="101"/>
        </w:rPr>
        <w:t>南京软件外包园投资有限公司向控股股东江苏润和科技投资集团有限公司及其关联方出租房产，</w:t>
      </w:r>
      <w:r>
        <w:rPr>
          <w:rFonts w:ascii="Times New Roman" w:hAnsi="Times New Roman" w:cs="Times New Roman" w:eastAsia="Times New Roman" w:hint="default"/>
          <w:spacing w:val="-4"/>
          <w:w w:val="101"/>
        </w:rPr>
        <w:t>2017</w:t>
      </w:r>
      <w:r>
        <w:rPr>
          <w:spacing w:val="-4"/>
          <w:w w:val="101"/>
        </w:rPr>
        <w:t>年度日常关联交易实际</w:t>
      </w:r>
      <w:r>
        <w:rPr>
          <w:spacing w:val="-84"/>
          <w:w w:val="101"/>
        </w:rPr>
        <w:t> </w:t>
      </w:r>
      <w:r>
        <w:rPr>
          <w:spacing w:val="-84"/>
          <w:w w:val="101"/>
        </w:rPr>
      </w:r>
      <w:r>
        <w:rPr>
          <w:spacing w:val="-4"/>
        </w:rPr>
        <w:t>发生金额总计</w:t>
      </w:r>
      <w:r>
        <w:rPr>
          <w:rFonts w:ascii="Times New Roman" w:hAnsi="Times New Roman" w:cs="Times New Roman" w:eastAsia="Times New Roman" w:hint="default"/>
          <w:spacing w:val="-4"/>
        </w:rPr>
        <w:t>3,761,935.19</w:t>
      </w:r>
      <w:r>
        <w:rPr>
          <w:spacing w:val="-4"/>
        </w:rPr>
        <w:t>元，</w:t>
      </w:r>
      <w:r>
        <w:rPr>
          <w:rFonts w:ascii="Times New Roman" w:hAnsi="Times New Roman" w:cs="Times New Roman" w:eastAsia="Times New Roman" w:hint="default"/>
          <w:spacing w:val="-4"/>
        </w:rPr>
        <w:t>2018</w:t>
      </w:r>
      <w:r>
        <w:rPr>
          <w:spacing w:val="-4"/>
        </w:rPr>
        <w:t>年度日常关联交易总金额预计为不超过</w:t>
      </w:r>
      <w:r>
        <w:rPr>
          <w:rFonts w:ascii="Times New Roman" w:hAnsi="Times New Roman" w:cs="Times New Roman" w:eastAsia="Times New Roman" w:hint="default"/>
          <w:spacing w:val="-4"/>
        </w:rPr>
        <w:t>3,700,000.00</w:t>
      </w:r>
      <w:r>
        <w:rPr>
          <w:spacing w:val="-4"/>
        </w:rPr>
        <w:t>元。以上具体内容请详见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rFonts w:ascii="Times New Roman" w:hAnsi="Times New Roman" w:cs="Times New Roman" w:eastAsia="Times New Roman" w:hint="default"/>
        </w:rPr>
      </w:r>
    </w:p>
    <w:p>
      <w:pPr>
        <w:spacing w:after="0" w:line="302"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8"/>
        <w:rPr>
          <w:rFonts w:ascii="Times New Roman" w:hAnsi="Times New Roman" w:cs="Times New Roman" w:eastAsia="Times New Roman" w:hint="default"/>
          <w:sz w:val="29"/>
          <w:szCs w:val="29"/>
        </w:rPr>
      </w:pPr>
    </w:p>
    <w:p>
      <w:pPr>
        <w:pStyle w:val="BodyText"/>
        <w:spacing w:line="304" w:lineRule="auto" w:before="46"/>
        <w:ind w:right="0"/>
        <w:jc w:val="left"/>
      </w:pPr>
      <w:r>
        <w:rPr>
          <w:spacing w:val="-3"/>
        </w:rPr>
        <w:t>日在中国证监会指定的创业板信息披露网站公告。</w:t>
      </w:r>
      <w:r>
        <w:rPr>
          <w:spacing w:val="-22"/>
        </w:rPr>
        <w:t> </w:t>
      </w:r>
      <w:r>
        <w:rPr>
          <w:spacing w:val="-22"/>
        </w:rPr>
      </w:r>
      <w:r>
        <w:rPr>
          <w:rFonts w:ascii="Times New Roman" w:hAnsi="Times New Roman" w:cs="Times New Roman" w:eastAsia="Times New Roman" w:hint="default"/>
          <w:spacing w:val="-3"/>
        </w:rPr>
        <w:t>13</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日收到中信证券股份有限公司出具的《关于更换江苏润和软件股份有限公司发行股份及支付现金购</w:t>
      </w:r>
      <w:r>
        <w:rPr>
          <w:spacing w:val="81"/>
        </w:rPr>
        <w:t> </w:t>
      </w:r>
      <w:r>
        <w:rPr>
          <w:spacing w:val="81"/>
        </w:rPr>
      </w:r>
      <w:r>
        <w:rPr>
          <w:spacing w:val="-4"/>
        </w:rPr>
        <w:t>买资产项目独立财务顾问主办人的函》，因工作变动原因，中信证券原独立财务顾问主办人雷晨先生不再担任公司</w:t>
      </w:r>
      <w:r>
        <w:rPr>
          <w:rFonts w:ascii="Times New Roman" w:hAnsi="Times New Roman" w:cs="Times New Roman" w:eastAsia="Times New Roman" w:hint="default"/>
          <w:spacing w:val="-4"/>
        </w:rPr>
        <w:t>2015</w:t>
      </w:r>
      <w:r>
        <w:rPr>
          <w:spacing w:val="-4"/>
        </w:rPr>
        <w:t>年发</w:t>
      </w:r>
      <w:r>
        <w:rPr>
          <w:spacing w:val="43"/>
        </w:rPr>
        <w:t> </w:t>
      </w:r>
      <w:r>
        <w:rPr>
          <w:spacing w:val="-3"/>
        </w:rPr>
        <w:t>行股份及支付现金购买北京联创智融信息技术有限公司</w:t>
      </w:r>
      <w:r>
        <w:rPr>
          <w:rFonts w:ascii="Times New Roman" w:hAnsi="Times New Roman" w:cs="Times New Roman" w:eastAsia="Times New Roman" w:hint="default"/>
          <w:spacing w:val="-3"/>
        </w:rPr>
        <w:t>100%</w:t>
      </w:r>
      <w:r>
        <w:rPr>
          <w:spacing w:val="-3"/>
        </w:rPr>
        <w:t>股权并募集配套资金事项的主办人，中信证券委派孙骏先生接</w:t>
      </w:r>
      <w:r>
        <w:rPr>
          <w:spacing w:val="69"/>
        </w:rPr>
        <w:t> </w:t>
      </w:r>
      <w:r>
        <w:rPr>
          <w:spacing w:val="69"/>
        </w:rPr>
      </w:r>
      <w:r>
        <w:rPr>
          <w:spacing w:val="-4"/>
          <w:w w:val="101"/>
        </w:rPr>
        <w:t>替继续履行独立财务顾问主办人的职责。以上具体内容请详见</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3</w:t>
      </w:r>
      <w:r>
        <w:rPr>
          <w:spacing w:val="-4"/>
          <w:w w:val="101"/>
        </w:rPr>
        <w:t>月</w:t>
      </w:r>
      <w:r>
        <w:rPr>
          <w:rFonts w:ascii="Times New Roman" w:hAnsi="Times New Roman" w:cs="Times New Roman" w:eastAsia="Times New Roman" w:hint="default"/>
          <w:spacing w:val="-4"/>
          <w:w w:val="101"/>
        </w:rPr>
        <w:t>28</w:t>
      </w:r>
      <w:r>
        <w:rPr>
          <w:spacing w:val="-4"/>
          <w:w w:val="101"/>
        </w:rPr>
        <w:t>日在中国证监会指定的创业板信息披露网站公告。</w:t>
      </w:r>
      <w:r>
        <w:rPr>
          <w:spacing w:val="-73"/>
          <w:w w:val="101"/>
        </w:rPr>
        <w:t> </w:t>
      </w:r>
      <w:r>
        <w:rPr>
          <w:spacing w:val="-73"/>
          <w:w w:val="101"/>
        </w:rPr>
      </w:r>
      <w:r>
        <w:rPr>
          <w:rFonts w:ascii="Times New Roman" w:hAnsi="Times New Roman" w:cs="Times New Roman" w:eastAsia="Times New Roman" w:hint="default"/>
          <w:spacing w:val="-4"/>
        </w:rPr>
        <w:t>14</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8</w:t>
      </w:r>
      <w:r>
        <w:rPr>
          <w:spacing w:val="-4"/>
        </w:rPr>
        <w:t>日召开第五届董事会第三十四次会议，审议通过了《关于公司增资参股奥特酷智能科技（南京）有限</w:t>
      </w:r>
      <w:r>
        <w:rPr>
          <w:spacing w:val="55"/>
        </w:rPr>
        <w:t> </w:t>
      </w:r>
      <w:r>
        <w:rPr>
          <w:spacing w:val="55"/>
        </w:rPr>
      </w:r>
      <w:r>
        <w:rPr>
          <w:spacing w:val="-4"/>
        </w:rPr>
        <w:t>公司的议案》：为了整合公司在智能终端信息化业务领域的现有资源，全面布局智能汽车领域，直接参与智能汽车产业链机</w:t>
      </w:r>
      <w:r>
        <w:rPr>
          <w:spacing w:val="40"/>
        </w:rPr>
        <w:t> </w:t>
      </w:r>
      <w:r>
        <w:rPr>
          <w:spacing w:val="40"/>
        </w:rPr>
      </w:r>
      <w:r>
        <w:rPr>
          <w:spacing w:val="-3"/>
        </w:rPr>
        <w:t>制的创新，全面促进公司未来的发展和产业升级，公司拟以自有资金共计</w:t>
      </w:r>
      <w:r>
        <w:rPr>
          <w:rFonts w:ascii="Times New Roman" w:hAnsi="Times New Roman" w:cs="Times New Roman" w:eastAsia="Times New Roman" w:hint="default"/>
          <w:spacing w:val="-3"/>
        </w:rPr>
        <w:t>2,000</w:t>
      </w:r>
      <w:r>
        <w:rPr>
          <w:spacing w:val="-3"/>
        </w:rPr>
        <w:t>万元人民币向奥特酷智能科技（南京）有限</w:t>
      </w:r>
      <w:r>
        <w:rPr>
          <w:spacing w:val="73"/>
        </w:rPr>
        <w:t> </w:t>
      </w:r>
      <w:r>
        <w:rPr>
          <w:spacing w:val="73"/>
        </w:rPr>
      </w:r>
      <w:r>
        <w:rPr>
          <w:spacing w:val="-4"/>
        </w:rPr>
        <w:t>公司增资。本次增资完成后，公司将持有奥特酷</w:t>
      </w:r>
      <w:r>
        <w:rPr>
          <w:rFonts w:ascii="Times New Roman" w:hAnsi="Times New Roman" w:cs="Times New Roman" w:eastAsia="Times New Roman" w:hint="default"/>
          <w:spacing w:val="-4"/>
        </w:rPr>
        <w:t>16%</w:t>
      </w:r>
      <w:r>
        <w:rPr>
          <w:spacing w:val="-4"/>
        </w:rPr>
        <w:t>的股权，奥特酷成为公司的参股公司。以上具体内容请详见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9</w:t>
      </w:r>
      <w:r>
        <w:rPr>
          <w:rFonts w:ascii="Times New Roman" w:hAnsi="Times New Roman" w:cs="Times New Roman" w:eastAsia="Times New Roman" w:hint="default"/>
          <w:spacing w:val="9"/>
        </w:rPr>
        <w:t> </w:t>
      </w:r>
      <w:r>
        <w:rPr>
          <w:spacing w:val="-3"/>
        </w:rPr>
        <w:t>日在中国证监会指定的创业板信息披露网站公告。</w:t>
      </w:r>
      <w:r>
        <w:rPr>
          <w:spacing w:val="-22"/>
        </w:rPr>
        <w:t> </w:t>
      </w:r>
      <w:r>
        <w:rPr>
          <w:spacing w:val="-22"/>
        </w:rPr>
      </w:r>
      <w:r>
        <w:rPr>
          <w:rFonts w:ascii="Times New Roman" w:hAnsi="Times New Roman" w:cs="Times New Roman" w:eastAsia="Times New Roman" w:hint="default"/>
          <w:spacing w:val="-3"/>
        </w:rPr>
        <w:t>15</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日，公司召开第五届董事会第三十五次会议审议通过了《关于公司符合公开发行公司债券条件的议案》、</w:t>
      </w:r>
    </w:p>
    <w:p>
      <w:pPr>
        <w:pStyle w:val="BodyText"/>
        <w:spacing w:line="304" w:lineRule="auto" w:before="9"/>
        <w:ind w:right="1026"/>
        <w:jc w:val="left"/>
      </w:pPr>
      <w:r>
        <w:rPr>
          <w:spacing w:val="-6"/>
          <w:w w:val="101"/>
        </w:rPr>
        <w:t>《关于公司</w:t>
      </w:r>
      <w:r>
        <w:rPr>
          <w:rFonts w:ascii="Times New Roman" w:hAnsi="Times New Roman" w:cs="Times New Roman" w:eastAsia="Times New Roman" w:hint="default"/>
          <w:spacing w:val="-6"/>
          <w:w w:val="101"/>
        </w:rPr>
        <w:t>2018</w:t>
      </w:r>
      <w:r>
        <w:rPr>
          <w:spacing w:val="-6"/>
          <w:w w:val="101"/>
        </w:rPr>
        <w:t>年公开发行公司债券的议案》、《关于提请股东大会授权董事会办理本次公开发行公司债券相关事宜的议案》</w:t>
      </w:r>
      <w:r>
        <w:rPr>
          <w:spacing w:val="-55"/>
          <w:w w:val="101"/>
        </w:rPr>
        <w:t> </w:t>
      </w:r>
      <w:r>
        <w:rPr>
          <w:spacing w:val="-55"/>
          <w:w w:val="101"/>
        </w:rPr>
      </w:r>
      <w:r>
        <w:rPr>
          <w:spacing w:val="-3"/>
        </w:rPr>
        <w:t>等相关议案，拟面向合格投资者公开发行总额不超过</w:t>
      </w:r>
      <w:r>
        <w:rPr>
          <w:rFonts w:ascii="Times New Roman" w:hAnsi="Times New Roman" w:cs="Times New Roman" w:eastAsia="Times New Roman" w:hint="default"/>
          <w:spacing w:val="-3"/>
        </w:rPr>
        <w:t>15</w:t>
      </w:r>
      <w:r>
        <w:rPr>
          <w:spacing w:val="-3"/>
        </w:rPr>
        <w:t>亿元人民币的公司债券。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日公司召开</w:t>
      </w:r>
      <w:r>
        <w:rPr>
          <w:rFonts w:ascii="Times New Roman" w:hAnsi="Times New Roman" w:cs="Times New Roman" w:eastAsia="Times New Roman" w:hint="default"/>
          <w:spacing w:val="-3"/>
        </w:rPr>
        <w:t>2018</w:t>
      </w:r>
      <w:r>
        <w:rPr>
          <w:spacing w:val="-3"/>
        </w:rPr>
        <w:t>年第二次临时</w:t>
      </w:r>
      <w:r>
        <w:rPr>
          <w:spacing w:val="1"/>
        </w:rPr>
        <w:t> </w:t>
      </w:r>
      <w:r>
        <w:rPr>
          <w:spacing w:val="1"/>
        </w:rPr>
      </w:r>
      <w:r>
        <w:rPr>
          <w:spacing w:val="-4"/>
          <w:w w:val="101"/>
        </w:rPr>
        <w:t>股东大会审议通过了上述议案。以上具体内容请详见</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4</w:t>
      </w:r>
      <w:r>
        <w:rPr>
          <w:spacing w:val="-4"/>
          <w:w w:val="101"/>
        </w:rPr>
        <w:t>月</w:t>
      </w:r>
      <w:r>
        <w:rPr>
          <w:rFonts w:ascii="Times New Roman" w:hAnsi="Times New Roman" w:cs="Times New Roman" w:eastAsia="Times New Roman" w:hint="default"/>
          <w:spacing w:val="-4"/>
          <w:w w:val="101"/>
        </w:rPr>
        <w:t>26</w:t>
      </w:r>
      <w:r>
        <w:rPr>
          <w:spacing w:val="-4"/>
          <w:w w:val="101"/>
        </w:rPr>
        <w:t>日和</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5</w:t>
      </w:r>
      <w:r>
        <w:rPr>
          <w:spacing w:val="-4"/>
          <w:w w:val="101"/>
        </w:rPr>
        <w:t>月</w:t>
      </w:r>
      <w:r>
        <w:rPr>
          <w:rFonts w:ascii="Times New Roman" w:hAnsi="Times New Roman" w:cs="Times New Roman" w:eastAsia="Times New Roman" w:hint="default"/>
          <w:spacing w:val="-4"/>
          <w:w w:val="101"/>
        </w:rPr>
        <w:t>14</w:t>
      </w:r>
      <w:r>
        <w:rPr>
          <w:spacing w:val="-4"/>
          <w:w w:val="101"/>
        </w:rPr>
        <w:t>日在中国证监会指定的创业板信息披露网</w:t>
      </w:r>
      <w:r>
        <w:rPr>
          <w:spacing w:val="-59"/>
          <w:w w:val="101"/>
        </w:rPr>
        <w:t> </w:t>
      </w:r>
      <w:r>
        <w:rPr>
          <w:spacing w:val="-59"/>
          <w:w w:val="101"/>
        </w:rPr>
      </w:r>
      <w:r>
        <w:rPr/>
        <w:t>站公告。</w:t>
      </w:r>
      <w:r>
        <w:rPr>
          <w:spacing w:val="-86"/>
        </w:rPr>
        <w:t> </w:t>
      </w:r>
      <w:r>
        <w:rPr>
          <w:spacing w:val="-86"/>
        </w:rPr>
      </w:r>
      <w:r>
        <w:rPr>
          <w:rFonts w:ascii="Times New Roman" w:hAnsi="Times New Roman" w:cs="Times New Roman" w:eastAsia="Times New Roman" w:hint="default"/>
          <w:spacing w:val="-3"/>
        </w:rPr>
        <w:t>16</w:t>
      </w:r>
      <w:r>
        <w:rPr>
          <w:spacing w:val="-3"/>
        </w:rPr>
        <w:t>、公司监事会于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日收到职工监事吴昊先生的书面辞职报告，吴昊先生因工作变动原因申请辞去公司职工监事</w:t>
      </w:r>
      <w:r>
        <w:rPr>
          <w:spacing w:val="82"/>
        </w:rPr>
        <w:t> </w:t>
      </w:r>
      <w:r>
        <w:rPr>
          <w:spacing w:val="82"/>
        </w:rPr>
      </w:r>
      <w:r>
        <w:rPr>
          <w:spacing w:val="-3"/>
        </w:rPr>
        <w:t>职务，其辞职报告自选出新的职工监事就任之日起生效。辞职后，吴昊先生仍在公司任职。公司于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日在公司会</w:t>
      </w:r>
      <w:r>
        <w:rPr>
          <w:spacing w:val="80"/>
        </w:rPr>
        <w:t> </w:t>
      </w:r>
      <w:r>
        <w:rPr>
          <w:spacing w:val="80"/>
        </w:rPr>
      </w:r>
      <w:r>
        <w:rPr>
          <w:spacing w:val="-4"/>
        </w:rPr>
        <w:t>议室召开了职工代表大会，经全体与会职工代表认真审议，选举赵澍先生为公司第五届监事会职工监事，任期自职工代表大</w:t>
      </w:r>
      <w:r>
        <w:rPr>
          <w:spacing w:val="43"/>
        </w:rPr>
        <w:t> </w:t>
      </w:r>
      <w:r>
        <w:rPr>
          <w:spacing w:val="43"/>
        </w:rPr>
      </w:r>
      <w:r>
        <w:rPr>
          <w:spacing w:val="-3"/>
        </w:rPr>
        <w:t>会选举之日起至第五届监事会任期届满之日止。以上具体内容请详见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26</w:t>
      </w:r>
      <w:r>
        <w:rPr>
          <w:spacing w:val="-3"/>
        </w:rPr>
        <w:t>日在中国证监会指定的创业板信息披露网</w:t>
      </w:r>
      <w:r>
        <w:rPr>
          <w:spacing w:val="80"/>
        </w:rPr>
        <w:t> </w:t>
      </w:r>
      <w:r>
        <w:rPr>
          <w:spacing w:val="80"/>
        </w:rPr>
      </w:r>
      <w:r>
        <w:rPr/>
        <w:t>站公告。</w:t>
      </w:r>
      <w:r>
        <w:rPr>
          <w:spacing w:val="-86"/>
        </w:rPr>
        <w:t> </w:t>
      </w:r>
      <w:r>
        <w:rPr>
          <w:spacing w:val="-86"/>
        </w:rPr>
      </w:r>
      <w:r>
        <w:rPr>
          <w:rFonts w:ascii="Times New Roman" w:hAnsi="Times New Roman" w:cs="Times New Roman" w:eastAsia="Times New Roman" w:hint="default"/>
          <w:spacing w:val="-4"/>
        </w:rPr>
        <w:t>17</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日，公司股东王杰因自身资金需要通过深圳证券交易所大宗交易系统减持润和软件股份</w:t>
      </w:r>
      <w:r>
        <w:rPr>
          <w:rFonts w:ascii="Times New Roman" w:hAnsi="Times New Roman" w:cs="Times New Roman" w:eastAsia="Times New Roman" w:hint="default"/>
          <w:spacing w:val="-4"/>
        </w:rPr>
        <w:t>5,104,200</w:t>
      </w:r>
      <w:r>
        <w:rPr>
          <w:spacing w:val="-4"/>
        </w:rPr>
        <w:t>股，占公司</w:t>
      </w:r>
      <w:r>
        <w:rPr>
          <w:spacing w:val="78"/>
        </w:rPr>
        <w:t> </w:t>
      </w:r>
      <w:r>
        <w:rPr>
          <w:spacing w:val="78"/>
        </w:rPr>
      </w:r>
      <w:r>
        <w:rPr>
          <w:spacing w:val="-3"/>
        </w:rPr>
        <w:t>总股本的</w:t>
      </w:r>
      <w:r>
        <w:rPr>
          <w:rFonts w:ascii="Times New Roman" w:hAnsi="Times New Roman" w:cs="Times New Roman" w:eastAsia="Times New Roman" w:hint="default"/>
          <w:spacing w:val="-3"/>
        </w:rPr>
        <w:t>0.6409%</w:t>
      </w:r>
      <w:r>
        <w:rPr>
          <w:spacing w:val="-3"/>
        </w:rPr>
        <w:t>。本次减持完成后，王杰持股数量为</w:t>
      </w:r>
      <w:r>
        <w:rPr>
          <w:rFonts w:ascii="Times New Roman" w:hAnsi="Times New Roman" w:cs="Times New Roman" w:eastAsia="Times New Roman" w:hint="default"/>
          <w:spacing w:val="-3"/>
        </w:rPr>
        <w:t>39,820,492</w:t>
      </w:r>
      <w:r>
        <w:rPr>
          <w:spacing w:val="-3"/>
        </w:rPr>
        <w:t>股，占公司总股本的</w:t>
      </w:r>
      <w:r>
        <w:rPr>
          <w:rFonts w:ascii="Times New Roman" w:hAnsi="Times New Roman" w:cs="Times New Roman" w:eastAsia="Times New Roman" w:hint="default"/>
          <w:spacing w:val="-3"/>
        </w:rPr>
        <w:t>4.999994%</w:t>
      </w:r>
      <w:r>
        <w:rPr>
          <w:spacing w:val="-3"/>
        </w:rPr>
        <w:t>，不再是持有润和软件</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3"/>
        </w:rPr>
        <w:t> </w:t>
      </w:r>
      <w:r>
        <w:rPr>
          <w:spacing w:val="-3"/>
        </w:rPr>
        <w:t>以上股份的股东。以上具体内容请详见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日在中国证监会指定的创业板信息披露网站公告。</w:t>
      </w:r>
      <w:r>
        <w:rPr>
          <w:spacing w:val="46"/>
        </w:rPr>
        <w:t> </w:t>
      </w:r>
      <w:r>
        <w:rPr>
          <w:spacing w:val="46"/>
        </w:rPr>
      </w:r>
      <w:r>
        <w:rPr>
          <w:rFonts w:ascii="Times New Roman" w:hAnsi="Times New Roman" w:cs="Times New Roman" w:eastAsia="Times New Roman" w:hint="default"/>
          <w:spacing w:val="-8"/>
        </w:rPr>
        <w:t>18</w:t>
      </w:r>
      <w:r>
        <w:rPr>
          <w:spacing w:val="-8"/>
        </w:rPr>
        <w:t>、</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6</w:t>
      </w:r>
      <w:r>
        <w:rPr>
          <w:spacing w:val="-8"/>
        </w:rPr>
        <w:t>月</w:t>
      </w:r>
      <w:r>
        <w:rPr>
          <w:rFonts w:ascii="Times New Roman" w:hAnsi="Times New Roman" w:cs="Times New Roman" w:eastAsia="Times New Roman" w:hint="default"/>
          <w:spacing w:val="-8"/>
        </w:rPr>
        <w:t>28</w:t>
      </w:r>
      <w:r>
        <w:rPr>
          <w:spacing w:val="-8"/>
        </w:rPr>
        <w:t>日，经出席持有人会议的持有人所持</w:t>
      </w:r>
      <w:r>
        <w:rPr>
          <w:rFonts w:ascii="Times New Roman" w:hAnsi="Times New Roman" w:cs="Times New Roman" w:eastAsia="Times New Roman" w:hint="default"/>
          <w:spacing w:val="-8"/>
        </w:rPr>
        <w:t>2/3</w:t>
      </w:r>
      <w:r>
        <w:rPr>
          <w:spacing w:val="-8"/>
        </w:rPr>
        <w:t>以上份额同意，审议通过了《关于第一期员工持股计划延期的议案》。</w:t>
      </w:r>
      <w:r>
        <w:rPr>
          <w:spacing w:val="8"/>
        </w:rPr>
        <w:t> </w:t>
      </w:r>
      <w:r>
        <w:rPr>
          <w:spacing w:val="8"/>
        </w:rPr>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日召开第五届董事会第三十六次会议，审议通过了《关于第一期员工持股计划延期的议案》，董事会同</w:t>
      </w:r>
      <w:r>
        <w:rPr>
          <w:spacing w:val="78"/>
        </w:rPr>
        <w:t> </w:t>
      </w:r>
      <w:r>
        <w:rPr>
          <w:spacing w:val="78"/>
        </w:rPr>
      </w:r>
      <w:r>
        <w:rPr>
          <w:spacing w:val="-3"/>
        </w:rPr>
        <w:t>意根据持有人会议表决结果，将公司第一期员工持股计划存续期延长一年，即公司第一期员工持股计划存续期延长至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日。以上具体内容详见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日在中国证监会指定的创业板信息披露网站公告。</w:t>
      </w:r>
      <w:r>
        <w:rPr>
          <w:spacing w:val="50"/>
        </w:rPr>
        <w:t> </w:t>
      </w:r>
      <w:r>
        <w:rPr>
          <w:spacing w:val="50"/>
        </w:rPr>
      </w:r>
      <w:r>
        <w:rPr>
          <w:rFonts w:ascii="Times New Roman" w:hAnsi="Times New Roman" w:cs="Times New Roman" w:eastAsia="Times New Roman" w:hint="default"/>
          <w:spacing w:val="-4"/>
        </w:rPr>
        <w:t>19</w:t>
      </w:r>
      <w:r>
        <w:rPr>
          <w:spacing w:val="-4"/>
        </w:rPr>
        <w:t>、公司董事会于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日收到董事会秘书朱祖龙先生的书面辞职报告，朱祖龙先生因工作变动原因申请辞去公司董事</w:t>
      </w:r>
      <w:r>
        <w:rPr>
          <w:spacing w:val="58"/>
        </w:rPr>
        <w:t> </w:t>
      </w:r>
      <w:r>
        <w:rPr>
          <w:spacing w:val="58"/>
        </w:rPr>
      </w:r>
      <w:r>
        <w:rPr>
          <w:spacing w:val="-3"/>
        </w:rPr>
        <w:t>会秘书职务。公司于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日收到公司董事朱祖龙先生提交的书面辞职报告，朱祖龙先生因个人原因申请辞去公司董</w:t>
      </w:r>
      <w:r>
        <w:rPr>
          <w:spacing w:val="80"/>
        </w:rPr>
        <w:t> </w:t>
      </w:r>
      <w:r>
        <w:rPr>
          <w:spacing w:val="80"/>
        </w:rPr>
      </w:r>
      <w:r>
        <w:rPr>
          <w:spacing w:val="-4"/>
        </w:rPr>
        <w:t>事、董事会薪酬与考核委员会委员和董事会审计委员会委员职务。辞职后，朱祖龙先生不再担任公司任何职务。公司于</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3"/>
        </w:rPr>
        <w:t> </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w:t>
      </w:r>
      <w:r>
        <w:rPr>
          <w:spacing w:val="-4"/>
        </w:rPr>
        <w:t>日召开第五届董事会第四十三次会议，审议通过了《关于聘任公司董事会秘书的议案》，经公司董事长周红卫先生提</w:t>
      </w:r>
      <w:r>
        <w:rPr>
          <w:spacing w:val="44"/>
        </w:rPr>
        <w:t> </w:t>
      </w:r>
      <w:r>
        <w:rPr>
          <w:spacing w:val="44"/>
        </w:rPr>
      </w:r>
      <w:r>
        <w:rPr>
          <w:spacing w:val="-4"/>
        </w:rPr>
        <w:t>名，并由董事会提名委员会审核，公司董事会同意聘任胡传高先生担任公司董事会秘书，任期自公司第五届董事会第四十三</w:t>
      </w:r>
      <w:r>
        <w:rPr>
          <w:spacing w:val="43"/>
        </w:rPr>
        <w:t> </w:t>
      </w:r>
      <w:r>
        <w:rPr>
          <w:spacing w:val="43"/>
        </w:rPr>
      </w:r>
      <w:r>
        <w:rPr>
          <w:spacing w:val="-3"/>
        </w:rPr>
        <w:t>次会议审议通过之日起至第五届董事会任期届满时止。以上具体内容请详见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7</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w:t>
      </w:r>
      <w:r>
        <w:rPr>
          <w:spacing w:val="-3"/>
        </w:rPr>
        <w:t>日</w:t>
      </w:r>
      <w:r>
        <w:rPr>
          <w:spacing w:val="10"/>
        </w:rPr>
        <w:t> </w:t>
      </w:r>
      <w:r>
        <w:rPr>
          <w:spacing w:val="-3"/>
        </w:rPr>
        <w:t>在中国证监会指定的创业板信息披露网站公告。</w:t>
      </w:r>
      <w:r>
        <w:rPr>
          <w:spacing w:val="-27"/>
        </w:rPr>
        <w:t> </w:t>
      </w:r>
      <w:r>
        <w:rPr>
          <w:spacing w:val="-27"/>
        </w:rPr>
      </w:r>
      <w:r>
        <w:rPr>
          <w:rFonts w:ascii="Times New Roman" w:hAnsi="Times New Roman" w:cs="Times New Roman" w:eastAsia="Times New Roman" w:hint="default"/>
          <w:spacing w:val="-4"/>
        </w:rPr>
        <w:t>20</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日召开第五届董事会第三十七次会议和第五届监事会第二十一次会议，审议通过了《关于公司增资参</w:t>
      </w:r>
      <w:r>
        <w:rPr>
          <w:spacing w:val="59"/>
        </w:rPr>
        <w:t> </w:t>
      </w:r>
      <w:r>
        <w:rPr>
          <w:spacing w:val="59"/>
        </w:rPr>
      </w:r>
      <w:r>
        <w:rPr>
          <w:spacing w:val="-3"/>
        </w:rPr>
        <w:t>股新维数联（北京）科技有限公司暨关联交易的议案》，公司拟以自有资金共计</w:t>
      </w:r>
      <w:r>
        <w:rPr>
          <w:rFonts w:ascii="Times New Roman" w:hAnsi="Times New Roman" w:cs="Times New Roman" w:eastAsia="Times New Roman" w:hint="default"/>
          <w:spacing w:val="-3"/>
        </w:rPr>
        <w:t>3,000</w:t>
      </w:r>
      <w:r>
        <w:rPr>
          <w:spacing w:val="-3"/>
        </w:rPr>
        <w:t>万元人民币向新维数联增资。本次增</w:t>
      </w:r>
      <w:r>
        <w:rPr>
          <w:spacing w:val="73"/>
        </w:rPr>
        <w:t> </w:t>
      </w:r>
      <w:r>
        <w:rPr>
          <w:spacing w:val="73"/>
        </w:rPr>
      </w:r>
      <w:r>
        <w:rPr>
          <w:spacing w:val="-4"/>
        </w:rPr>
        <w:t>资完成后，公司将持有新维数联</w:t>
      </w:r>
      <w:r>
        <w:rPr>
          <w:rFonts w:ascii="Times New Roman" w:hAnsi="Times New Roman" w:cs="Times New Roman" w:eastAsia="Times New Roman" w:hint="default"/>
          <w:spacing w:val="-4"/>
        </w:rPr>
        <w:t>30%</w:t>
      </w:r>
      <w:r>
        <w:rPr>
          <w:spacing w:val="-4"/>
        </w:rPr>
        <w:t>的股权。根据《深圳证券交易所创业板股票上市规则》和《公司章程》的规定，新维数</w:t>
      </w:r>
      <w:r>
        <w:rPr>
          <w:spacing w:val="70"/>
        </w:rPr>
        <w:t> </w:t>
      </w:r>
      <w:r>
        <w:rPr>
          <w:spacing w:val="70"/>
        </w:rPr>
      </w:r>
      <w:r>
        <w:rPr>
          <w:spacing w:val="-4"/>
        </w:rPr>
        <w:t>联的法定代表人及执行董事王杰视同为公司的关联方，本次交易构成关联交易。新维数联已经完成了工商变更登记手续，并</w:t>
      </w:r>
      <w:r>
        <w:rPr>
          <w:spacing w:val="43"/>
        </w:rPr>
        <w:t> </w:t>
      </w:r>
      <w:r>
        <w:rPr>
          <w:spacing w:val="43"/>
        </w:rPr>
      </w:r>
      <w:r>
        <w:rPr>
          <w:spacing w:val="-7"/>
        </w:rPr>
        <w:t>取得了由北京市工商行政管理局朝阳分局颁发的新的《营业执照》。以上具体内容请详见</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5</w:t>
      </w:r>
      <w:r>
        <w:rPr>
          <w:spacing w:val="-7"/>
        </w:rPr>
        <w:t>月</w:t>
      </w:r>
      <w:r>
        <w:rPr>
          <w:rFonts w:ascii="Times New Roman" w:hAnsi="Times New Roman" w:cs="Times New Roman" w:eastAsia="Times New Roman" w:hint="default"/>
          <w:spacing w:val="-7"/>
        </w:rPr>
        <w:t>9</w:t>
      </w:r>
      <w:r>
        <w:rPr>
          <w:spacing w:val="-7"/>
        </w:rPr>
        <w:t>日、</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7</w:t>
      </w:r>
      <w:r>
        <w:rPr>
          <w:spacing w:val="-7"/>
        </w:rPr>
        <w:t>日和</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21</w:t>
      </w:r>
      <w:r>
        <w:rPr>
          <w:spacing w:val="-3"/>
        </w:rPr>
        <w:t>日在中国证监会指定的创业板信息披露网站公告。</w:t>
      </w:r>
      <w:r>
        <w:rPr>
          <w:spacing w:val="-8"/>
        </w:rPr>
        <w:t> </w:t>
      </w:r>
      <w:r>
        <w:rPr>
          <w:spacing w:val="-8"/>
        </w:rPr>
      </w:r>
      <w:r>
        <w:rPr>
          <w:rFonts w:ascii="Times New Roman" w:hAnsi="Times New Roman" w:cs="Times New Roman" w:eastAsia="Times New Roman" w:hint="default"/>
          <w:spacing w:val="-4"/>
        </w:rPr>
        <w:t>21</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23</w:t>
      </w:r>
      <w:r>
        <w:rPr>
          <w:spacing w:val="-4"/>
        </w:rPr>
        <w:t>日，公司收到持股</w:t>
      </w:r>
      <w:r>
        <w:rPr>
          <w:rFonts w:ascii="Times New Roman" w:hAnsi="Times New Roman" w:cs="Times New Roman" w:eastAsia="Times New Roman" w:hint="default"/>
          <w:spacing w:val="-4"/>
        </w:rPr>
        <w:t>5%</w:t>
      </w:r>
      <w:r>
        <w:rPr>
          <w:spacing w:val="-4"/>
        </w:rPr>
        <w:t>以上股东宁波宏创出具的《关于不通过集中竞价交易方式在二级市场减持公司股票的</w:t>
      </w:r>
      <w:r>
        <w:rPr>
          <w:spacing w:val="5"/>
        </w:rPr>
        <w:t> </w:t>
      </w:r>
      <w:r>
        <w:rPr>
          <w:spacing w:val="5"/>
        </w:rPr>
      </w:r>
      <w:r>
        <w:rPr>
          <w:spacing w:val="-3"/>
        </w:rPr>
        <w:t>承诺函》，宁波宏创自愿承诺：自宁波宏创持有的</w:t>
      </w:r>
      <w:r>
        <w:rPr>
          <w:rFonts w:ascii="Times New Roman" w:hAnsi="Times New Roman" w:cs="Times New Roman" w:eastAsia="Times New Roman" w:hint="default"/>
          <w:spacing w:val="-3"/>
        </w:rPr>
        <w:t>96,249,396</w:t>
      </w:r>
      <w:r>
        <w:rPr>
          <w:spacing w:val="-3"/>
        </w:rPr>
        <w:t>股润和软件首发后限售股首次上市流通之日起十二个月内（即 </w:t>
      </w:r>
      <w:r>
        <w:rPr>
          <w:spacing w:val="-4"/>
        </w:rPr>
        <w:t>自</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24</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23</w:t>
      </w:r>
      <w:r>
        <w:rPr>
          <w:spacing w:val="-4"/>
        </w:rPr>
        <w:t>日），宁波宏创不通过集中竞价交易方式在二级市场减持该部分股份。以上具体内容请详见</w:t>
      </w:r>
      <w:r>
        <w:rPr>
          <w:spacing w:val="70"/>
        </w:rPr>
        <w:t> </w:t>
      </w:r>
      <w:r>
        <w:rPr>
          <w:spacing w:val="70"/>
        </w:rPr>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23</w:t>
      </w:r>
      <w:r>
        <w:rPr>
          <w:spacing w:val="-3"/>
        </w:rPr>
        <w:t>日在中国证监会指定的创业板信息披露网站公告。</w:t>
      </w:r>
    </w:p>
    <w:p>
      <w:pPr>
        <w:spacing w:after="0" w:line="30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rFonts w:ascii="Times New Roman" w:hAnsi="Times New Roman" w:cs="Times New Roman" w:eastAsia="Times New Roman" w:hint="default"/>
          <w:spacing w:val="-3"/>
        </w:rPr>
        <w:t>22</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日，公司经中国证券监督管理委员会核准，向宁波宏创发行</w:t>
      </w:r>
      <w:r>
        <w:rPr>
          <w:rFonts w:ascii="Times New Roman" w:hAnsi="Times New Roman" w:cs="Times New Roman" w:eastAsia="Times New Roman" w:hint="default"/>
          <w:spacing w:val="-3"/>
        </w:rPr>
        <w:t>48,124,698</w:t>
      </w:r>
      <w:r>
        <w:rPr>
          <w:spacing w:val="-3"/>
        </w:rPr>
        <w:t>股股份购买相关资产，向特定对象西</w:t>
      </w:r>
      <w:r>
        <w:rPr>
          <w:spacing w:val="10"/>
        </w:rPr>
        <w:t> </w:t>
      </w:r>
      <w:r>
        <w:rPr>
          <w:spacing w:val="10"/>
        </w:rPr>
      </w:r>
      <w:r>
        <w:rPr>
          <w:spacing w:val="-3"/>
        </w:rPr>
        <w:t>藏瑞华投资发展有限公司、黄学军、曹荣、南京泰瑞投资管理中心（有限合伙）非公开发行不超过</w:t>
      </w:r>
      <w:r>
        <w:rPr>
          <w:rFonts w:ascii="Times New Roman" w:hAnsi="Times New Roman" w:cs="Times New Roman" w:eastAsia="Times New Roman" w:hint="default"/>
          <w:spacing w:val="-3"/>
        </w:rPr>
        <w:t>24,539,378</w:t>
      </w:r>
      <w:r>
        <w:rPr>
          <w:spacing w:val="-3"/>
        </w:rPr>
        <w:t>股新股募集本</w:t>
      </w:r>
      <w:r>
        <w:rPr>
          <w:spacing w:val="-2"/>
        </w:rPr>
        <w:t> </w:t>
      </w:r>
      <w:r>
        <w:rPr>
          <w:spacing w:val="-2"/>
        </w:rPr>
      </w:r>
      <w:r>
        <w:rPr>
          <w:spacing w:val="-4"/>
        </w:rPr>
        <w:t>次发行股份购买资产的配套资金。本次发行共计新增股份</w:t>
      </w:r>
      <w:r>
        <w:rPr>
          <w:rFonts w:ascii="Times New Roman" w:hAnsi="Times New Roman" w:cs="Times New Roman" w:eastAsia="Times New Roman" w:hint="default"/>
          <w:spacing w:val="-4"/>
        </w:rPr>
        <w:t>72,664,076</w:t>
      </w:r>
      <w:r>
        <w:rPr>
          <w:spacing w:val="-4"/>
        </w:rPr>
        <w:t>股于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23</w:t>
      </w:r>
      <w:r>
        <w:rPr>
          <w:spacing w:val="-4"/>
        </w:rPr>
        <w:t>日在深圳证券交易所创业板上市。因公</w:t>
      </w:r>
      <w:r>
        <w:rPr>
          <w:spacing w:val="73"/>
        </w:rPr>
        <w:t> </w:t>
      </w:r>
      <w:r>
        <w:rPr>
          <w:spacing w:val="73"/>
        </w:rPr>
      </w:r>
      <w:r>
        <w:rPr>
          <w:spacing w:val="-3"/>
        </w:rPr>
        <w:t>司</w:t>
      </w:r>
      <w:r>
        <w:rPr>
          <w:rFonts w:ascii="Times New Roman" w:hAnsi="Times New Roman" w:cs="Times New Roman" w:eastAsia="Times New Roman" w:hint="default"/>
          <w:spacing w:val="-3"/>
        </w:rPr>
        <w:t>2016</w:t>
      </w:r>
      <w:r>
        <w:rPr>
          <w:spacing w:val="-3"/>
        </w:rPr>
        <w:t>年利润分配方案的实施，上述新增股份增至</w:t>
      </w:r>
      <w:r>
        <w:rPr>
          <w:rFonts w:ascii="Times New Roman" w:hAnsi="Times New Roman" w:cs="Times New Roman" w:eastAsia="Times New Roman" w:hint="default"/>
          <w:spacing w:val="-3"/>
        </w:rPr>
        <w:t>145,328,152</w:t>
      </w:r>
      <w:r>
        <w:rPr>
          <w:spacing w:val="-3"/>
        </w:rPr>
        <w:t>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23</w:t>
      </w:r>
      <w:r>
        <w:rPr>
          <w:spacing w:val="-3"/>
        </w:rPr>
        <w:t>日因上述股份限售期满，公司依据股东的锁</w:t>
      </w:r>
      <w:r>
        <w:rPr>
          <w:spacing w:val="15"/>
        </w:rPr>
        <w:t> </w:t>
      </w:r>
      <w:r>
        <w:rPr>
          <w:spacing w:val="15"/>
        </w:rPr>
      </w:r>
      <w:r>
        <w:rPr>
          <w:spacing w:val="-4"/>
        </w:rPr>
        <w:t>定承诺将上述股份中的</w:t>
      </w:r>
      <w:r>
        <w:rPr>
          <w:rFonts w:ascii="Times New Roman" w:hAnsi="Times New Roman" w:cs="Times New Roman" w:eastAsia="Times New Roman" w:hint="default"/>
          <w:spacing w:val="-4"/>
        </w:rPr>
        <w:t>116,453,333</w:t>
      </w:r>
      <w:r>
        <w:rPr>
          <w:spacing w:val="-4"/>
        </w:rPr>
        <w:t>股解除限售，上市流通日为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25</w:t>
      </w:r>
      <w:r>
        <w:rPr>
          <w:spacing w:val="-4"/>
        </w:rPr>
        <w:t>日。以上具体内容请详见</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6</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8</w:t>
      </w:r>
      <w:r>
        <w:rPr>
          <w:rFonts w:ascii="Times New Roman" w:hAnsi="Times New Roman" w:cs="Times New Roman" w:eastAsia="Times New Roman" w:hint="default"/>
          <w:spacing w:val="24"/>
        </w:rPr>
        <w:t> </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日在中国证监会</w:t>
      </w:r>
      <w:r>
        <w:rPr>
          <w:spacing w:val="55"/>
        </w:rPr>
        <w:t> </w:t>
      </w:r>
      <w:r>
        <w:rPr>
          <w:spacing w:val="55"/>
        </w:rPr>
      </w:r>
      <w:r>
        <w:rPr>
          <w:spacing w:val="-3"/>
        </w:rPr>
        <w:t>指定的创业板信息披露网站公告。</w:t>
      </w:r>
      <w:r>
        <w:rPr>
          <w:spacing w:val="-44"/>
        </w:rPr>
        <w:t> </w:t>
      </w:r>
      <w:r>
        <w:rPr>
          <w:spacing w:val="-44"/>
        </w:rPr>
      </w:r>
      <w:r>
        <w:rPr>
          <w:rFonts w:ascii="Times New Roman" w:hAnsi="Times New Roman" w:cs="Times New Roman" w:eastAsia="Times New Roman" w:hint="default"/>
          <w:spacing w:val="-4"/>
        </w:rPr>
        <w:t>23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14</w:t>
      </w:r>
      <w:r>
        <w:rPr>
          <w:spacing w:val="-4"/>
        </w:rPr>
        <w:t>日，姚宁先生将其质押给南京证券股份有限公司的本公司股份</w:t>
      </w:r>
      <w:r>
        <w:rPr>
          <w:rFonts w:ascii="Times New Roman" w:hAnsi="Times New Roman" w:cs="Times New Roman" w:eastAsia="Times New Roman" w:hint="default"/>
          <w:spacing w:val="-4"/>
        </w:rPr>
        <w:t>20,863,500</w:t>
      </w:r>
      <w:r>
        <w:rPr>
          <w:spacing w:val="-4"/>
        </w:rPr>
        <w:t>股办理了股票质押式回购交易提前</w:t>
      </w:r>
      <w:r>
        <w:rPr>
          <w:spacing w:val="81"/>
        </w:rPr>
        <w:t> </w:t>
      </w:r>
      <w:r>
        <w:rPr>
          <w:spacing w:val="81"/>
        </w:rPr>
      </w:r>
      <w:r>
        <w:rPr>
          <w:spacing w:val="-4"/>
        </w:rPr>
        <w:t>购回业务。</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18</w:t>
      </w:r>
      <w:r>
        <w:rPr>
          <w:spacing w:val="-4"/>
        </w:rPr>
        <w:t>日，姚宁先生进行了股票质押式回购交易，将其持有的本公司股份</w:t>
      </w:r>
      <w:r>
        <w:rPr>
          <w:rFonts w:ascii="Times New Roman" w:hAnsi="Times New Roman" w:cs="Times New Roman" w:eastAsia="Times New Roman" w:hint="default"/>
          <w:spacing w:val="-4"/>
        </w:rPr>
        <w:t>16,700,000</w:t>
      </w:r>
      <w:r>
        <w:rPr>
          <w:spacing w:val="-4"/>
        </w:rPr>
        <w:t>股质押给南京证券股份</w:t>
      </w:r>
      <w:r>
        <w:rPr>
          <w:spacing w:val="79"/>
        </w:rPr>
        <w:t> </w:t>
      </w:r>
      <w:r>
        <w:rPr>
          <w:spacing w:val="79"/>
        </w:rPr>
      </w:r>
      <w:r>
        <w:rPr>
          <w:spacing w:val="-4"/>
        </w:rPr>
        <w:t>有限公司，质押到期日为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18</w:t>
      </w:r>
      <w:r>
        <w:rPr>
          <w:spacing w:val="-4"/>
        </w:rPr>
        <w:t>日。以上具体内容请详见</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22</w:t>
      </w:r>
      <w:r>
        <w:rPr>
          <w:spacing w:val="-4"/>
        </w:rPr>
        <w:t>日和</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19</w:t>
      </w:r>
      <w:r>
        <w:rPr>
          <w:spacing w:val="-4"/>
        </w:rPr>
        <w:t>日在中国证监</w:t>
      </w:r>
      <w:r>
        <w:rPr>
          <w:spacing w:val="14"/>
        </w:rPr>
        <w:t> </w:t>
      </w:r>
      <w:r>
        <w:rPr>
          <w:spacing w:val="14"/>
        </w:rPr>
      </w:r>
      <w:r>
        <w:rPr>
          <w:spacing w:val="-3"/>
        </w:rPr>
        <w:t>会指定的创业板信息披露网站公告。</w:t>
      </w:r>
      <w:r>
        <w:rPr>
          <w:spacing w:val="-39"/>
        </w:rPr>
        <w:t> </w:t>
      </w:r>
      <w:r>
        <w:rPr>
          <w:spacing w:val="-39"/>
        </w:rPr>
      </w:r>
      <w:r>
        <w:rPr>
          <w:rFonts w:ascii="Times New Roman" w:hAnsi="Times New Roman" w:cs="Times New Roman" w:eastAsia="Times New Roman" w:hint="default"/>
          <w:spacing w:val="-4"/>
        </w:rPr>
        <w:t>24</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14</w:t>
      </w:r>
      <w:r>
        <w:rPr>
          <w:spacing w:val="-4"/>
        </w:rPr>
        <w:t>日召开第五届董事第四十次会议，于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12</w:t>
      </w:r>
      <w:r>
        <w:rPr>
          <w:spacing w:val="-4"/>
        </w:rPr>
        <w:t>日召开</w:t>
      </w:r>
      <w:r>
        <w:rPr>
          <w:rFonts w:ascii="Times New Roman" w:hAnsi="Times New Roman" w:cs="Times New Roman" w:eastAsia="Times New Roman" w:hint="default"/>
          <w:spacing w:val="-4"/>
        </w:rPr>
        <w:t>2018</w:t>
      </w:r>
      <w:r>
        <w:rPr>
          <w:spacing w:val="-4"/>
        </w:rPr>
        <w:t>年第四次临时股东大会，审议通过了</w:t>
      </w:r>
    </w:p>
    <w:p>
      <w:pPr>
        <w:pStyle w:val="BodyText"/>
        <w:spacing w:line="319" w:lineRule="auto" w:before="9"/>
        <w:ind w:right="1123"/>
        <w:jc w:val="both"/>
      </w:pPr>
      <w:r>
        <w:rPr>
          <w:spacing w:val="-4"/>
        </w:rPr>
        <w:t>《关于回购公司股份预案的议案》及《关于提请股东大会授权董事会全权办理本次回购股份工作相关事宜的议案》等相关议</w:t>
      </w:r>
      <w:r>
        <w:rPr>
          <w:spacing w:val="43"/>
        </w:rPr>
        <w:t> </w:t>
      </w:r>
      <w:r>
        <w:rPr>
          <w:spacing w:val="43"/>
        </w:rPr>
      </w:r>
      <w:r>
        <w:rPr>
          <w:spacing w:val="-4"/>
        </w:rPr>
        <w:t>案，公司拟使用自有资金通过二级市场以集中竞价交易方式回购公司部分社会公众股份，用于实施股权激励计划、员工持股</w:t>
      </w:r>
      <w:r>
        <w:rPr>
          <w:spacing w:val="43"/>
        </w:rPr>
        <w:t> </w:t>
      </w:r>
      <w:r>
        <w:rPr>
          <w:spacing w:val="43"/>
        </w:rPr>
      </w:r>
      <w:r>
        <w:rPr>
          <w:spacing w:val="-3"/>
        </w:rPr>
        <w:t>计划或注销以减少公司注册资本。</w:t>
      </w:r>
    </w:p>
    <w:p>
      <w:pPr>
        <w:pStyle w:val="BodyText"/>
        <w:spacing w:line="300" w:lineRule="auto" w:before="17"/>
        <w:ind w:right="0" w:firstLine="292"/>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日召开第五届董事第四十四次会议，审议通过了《关于确定回购公司股份用途的议案》，决定以自有</w:t>
      </w:r>
      <w:r>
        <w:rPr>
          <w:w w:val="101"/>
        </w:rPr>
        <w:t> </w:t>
      </w:r>
      <w:r>
        <w:rPr>
          <w:spacing w:val="-3"/>
        </w:rPr>
        <w:t>资金回购部分社会公众股的股份全部用于实施股权激励。</w:t>
      </w:r>
    </w:p>
    <w:p>
      <w:pPr>
        <w:pStyle w:val="BodyText"/>
        <w:spacing w:line="309" w:lineRule="auto" w:before="31"/>
        <w:ind w:right="1026" w:firstLine="292"/>
        <w:jc w:val="left"/>
      </w:pPr>
      <w:r>
        <w:rPr>
          <w:spacing w:val="-3"/>
        </w:rPr>
        <w:t>报告期内，公司根据相关法律、法规和规范性文件的规定，通过股份回购专用证券账户以集中竞价交易方式回购股份，</w:t>
      </w:r>
      <w:r>
        <w:rPr>
          <w:w w:val="101"/>
        </w:rPr>
        <w:t>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日，累计回购股份数量为</w:t>
      </w:r>
      <w:r>
        <w:rPr>
          <w:rFonts w:ascii="Times New Roman" w:hAnsi="Times New Roman" w:cs="Times New Roman" w:eastAsia="Times New Roman" w:hint="default"/>
          <w:spacing w:val="-2"/>
        </w:rPr>
        <w:t>14,999,445</w:t>
      </w:r>
      <w:r>
        <w:rPr>
          <w:spacing w:val="-2"/>
        </w:rPr>
        <w:t>股，占公司目前总股本的</w:t>
      </w:r>
      <w:r>
        <w:rPr>
          <w:rFonts w:ascii="Times New Roman" w:hAnsi="Times New Roman" w:cs="Times New Roman" w:eastAsia="Times New Roman" w:hint="default"/>
          <w:spacing w:val="-2"/>
        </w:rPr>
        <w:t>1.88%</w:t>
      </w:r>
      <w:r>
        <w:rPr>
          <w:spacing w:val="-2"/>
        </w:rPr>
        <w:t>，回购符合公司已披露的回购公司股</w:t>
      </w:r>
      <w:r>
        <w:rPr>
          <w:spacing w:val="39"/>
        </w:rPr>
        <w:t> </w:t>
      </w:r>
      <w:r>
        <w:rPr>
          <w:spacing w:val="39"/>
        </w:rPr>
      </w:r>
      <w:r>
        <w:rPr/>
        <w:t>份方案。</w:t>
      </w:r>
    </w:p>
    <w:p>
      <w:pPr>
        <w:pStyle w:val="BodyText"/>
        <w:spacing w:line="304" w:lineRule="auto" w:before="24"/>
        <w:ind w:right="1026" w:firstLine="292"/>
        <w:jc w:val="left"/>
      </w:pPr>
      <w:r>
        <w:rPr>
          <w:spacing w:val="-2"/>
        </w:rPr>
        <w:t>以上具体内容详见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w w:val="101"/>
        </w:rPr>
        <w:t> </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日在中国证监会指定</w:t>
      </w:r>
      <w:r>
        <w:rPr>
          <w:spacing w:val="51"/>
        </w:rPr>
        <w:t> </w:t>
      </w:r>
      <w:r>
        <w:rPr>
          <w:spacing w:val="51"/>
        </w:rPr>
      </w:r>
      <w:r>
        <w:rPr>
          <w:spacing w:val="-3"/>
        </w:rPr>
        <w:t>的创业板信息披露网站公告。</w:t>
      </w:r>
      <w:r>
        <w:rPr>
          <w:spacing w:val="-50"/>
        </w:rPr>
        <w:t> </w:t>
      </w:r>
      <w:r>
        <w:rPr>
          <w:spacing w:val="-50"/>
        </w:rPr>
      </w:r>
      <w:r>
        <w:rPr>
          <w:rFonts w:ascii="Times New Roman" w:hAnsi="Times New Roman" w:cs="Times New Roman" w:eastAsia="Times New Roman" w:hint="default"/>
          <w:spacing w:val="-2"/>
        </w:rPr>
        <w:t>25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日，周红卫先生将质押给南京证券股份有限公司的本公司股份</w:t>
      </w:r>
      <w:r>
        <w:rPr>
          <w:rFonts w:ascii="Times New Roman" w:hAnsi="Times New Roman" w:cs="Times New Roman" w:eastAsia="Times New Roman" w:hint="default"/>
          <w:spacing w:val="-2"/>
        </w:rPr>
        <w:t>12,000,000</w:t>
      </w:r>
      <w:r>
        <w:rPr>
          <w:spacing w:val="-2"/>
        </w:rPr>
        <w:t>股解除质押。</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w:t>
      </w:r>
      <w:r>
        <w:rPr>
          <w:spacing w:val="45"/>
        </w:rPr>
        <w:t> </w:t>
      </w:r>
      <w:r>
        <w:rPr>
          <w:spacing w:val="-3"/>
        </w:rPr>
        <w:t>周红卫先生将质押给华能贵诚信托有限公司的本公司股份</w:t>
      </w:r>
      <w:r>
        <w:rPr>
          <w:rFonts w:ascii="Times New Roman" w:hAnsi="Times New Roman" w:cs="Times New Roman" w:eastAsia="Times New Roman" w:hint="default"/>
          <w:spacing w:val="-3"/>
        </w:rPr>
        <w:t>30,000,000</w:t>
      </w:r>
      <w:r>
        <w:rPr>
          <w:spacing w:val="-3"/>
        </w:rPr>
        <w:t>股解除质押。</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17</w:t>
      </w:r>
      <w:r>
        <w:rPr>
          <w:spacing w:val="-3"/>
        </w:rPr>
        <w:t>日，周红卫先生将其持有的</w:t>
      </w:r>
      <w:r>
        <w:rPr>
          <w:spacing w:val="8"/>
        </w:rPr>
        <w:t> </w:t>
      </w:r>
      <w:r>
        <w:rPr>
          <w:spacing w:val="8"/>
        </w:rPr>
      </w:r>
      <w:r>
        <w:rPr>
          <w:spacing w:val="-4"/>
        </w:rPr>
        <w:t>本公司股份</w:t>
      </w:r>
      <w:r>
        <w:rPr>
          <w:rFonts w:ascii="Times New Roman" w:hAnsi="Times New Roman" w:cs="Times New Roman" w:eastAsia="Times New Roman" w:hint="default"/>
          <w:spacing w:val="-4"/>
        </w:rPr>
        <w:t>44,240,000</w:t>
      </w:r>
      <w:r>
        <w:rPr>
          <w:spacing w:val="-4"/>
        </w:rPr>
        <w:t>股质押给华润深国投信托有限公司。</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14</w:t>
      </w:r>
      <w:r>
        <w:rPr>
          <w:spacing w:val="-4"/>
        </w:rPr>
        <w:t>日，周红卫先生将质押给华润深国投信托有限公司的</w:t>
      </w:r>
      <w:r>
        <w:rPr>
          <w:spacing w:val="80"/>
        </w:rPr>
        <w:t> </w:t>
      </w:r>
      <w:r>
        <w:rPr>
          <w:spacing w:val="80"/>
        </w:rPr>
      </w:r>
      <w:r>
        <w:rPr>
          <w:spacing w:val="-4"/>
          <w:w w:val="101"/>
        </w:rPr>
        <w:t>本公司股份</w:t>
      </w:r>
      <w:r>
        <w:rPr>
          <w:rFonts w:ascii="Times New Roman" w:hAnsi="Times New Roman" w:cs="Times New Roman" w:eastAsia="Times New Roman" w:hint="default"/>
          <w:spacing w:val="-4"/>
          <w:w w:val="101"/>
        </w:rPr>
        <w:t>21,000,000</w:t>
      </w:r>
      <w:r>
        <w:rPr>
          <w:spacing w:val="-4"/>
          <w:w w:val="101"/>
        </w:rPr>
        <w:t>股解除质押并将其持有的本公司股份</w:t>
      </w:r>
      <w:r>
        <w:rPr>
          <w:rFonts w:ascii="Times New Roman" w:hAnsi="Times New Roman" w:cs="Times New Roman" w:eastAsia="Times New Roman" w:hint="default"/>
          <w:spacing w:val="-4"/>
          <w:w w:val="101"/>
        </w:rPr>
        <w:t>21,000,000</w:t>
      </w:r>
      <w:r>
        <w:rPr>
          <w:spacing w:val="-4"/>
          <w:w w:val="101"/>
        </w:rPr>
        <w:t>股质押给阳光资产管理股份有限公司。以上具体内容请</w:t>
      </w:r>
      <w:r>
        <w:rPr>
          <w:spacing w:val="-46"/>
          <w:w w:val="101"/>
        </w:rPr>
        <w:t> </w:t>
      </w:r>
      <w:r>
        <w:rPr>
          <w:spacing w:val="-46"/>
          <w:w w:val="101"/>
        </w:rPr>
      </w:r>
      <w:r>
        <w:rPr>
          <w:spacing w:val="-3"/>
        </w:rPr>
        <w:t>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w:t>
      </w:r>
      <w:r>
        <w:rPr>
          <w:spacing w:val="-3"/>
        </w:rPr>
        <w:t>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19</w:t>
      </w:r>
      <w:r>
        <w:rPr>
          <w:spacing w:val="-3"/>
        </w:rPr>
        <w:t>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7</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日在中国证监会指定的创业板信息</w:t>
      </w:r>
      <w:r>
        <w:rPr>
          <w:spacing w:val="46"/>
        </w:rPr>
        <w:t> </w:t>
      </w:r>
      <w:r>
        <w:rPr>
          <w:spacing w:val="46"/>
        </w:rPr>
      </w:r>
      <w:r>
        <w:rPr>
          <w:spacing w:val="-3"/>
        </w:rPr>
        <w:t>披露网站公告。</w:t>
      </w:r>
      <w:r>
        <w:rPr>
          <w:spacing w:val="-68"/>
        </w:rPr>
        <w:t> </w:t>
      </w:r>
      <w:r>
        <w:rPr>
          <w:spacing w:val="-68"/>
        </w:rPr>
      </w:r>
      <w:r>
        <w:rPr>
          <w:rFonts w:ascii="Times New Roman" w:hAnsi="Times New Roman" w:cs="Times New Roman" w:eastAsia="Times New Roman" w:hint="default"/>
          <w:spacing w:val="-4"/>
        </w:rPr>
        <w:t>26</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16</w:t>
      </w:r>
      <w:r>
        <w:rPr>
          <w:spacing w:val="-4"/>
        </w:rPr>
        <w:t>日，公司股东宁波宏创与混改基金签订了《关于江苏润和软件股份有限公司之股份转让协议》，宁波宏创</w:t>
      </w:r>
      <w:r>
        <w:rPr>
          <w:spacing w:val="60"/>
        </w:rPr>
        <w:t> </w:t>
      </w:r>
      <w:r>
        <w:rPr>
          <w:spacing w:val="60"/>
        </w:rPr>
      </w:r>
      <w:r>
        <w:rPr>
          <w:spacing w:val="-3"/>
        </w:rPr>
        <w:t>将其所持有的润和软件</w:t>
      </w:r>
      <w:r>
        <w:rPr>
          <w:rFonts w:ascii="Times New Roman" w:hAnsi="Times New Roman" w:cs="Times New Roman" w:eastAsia="Times New Roman" w:hint="default"/>
          <w:spacing w:val="-3"/>
        </w:rPr>
        <w:t>4,000</w:t>
      </w:r>
      <w:r>
        <w:rPr>
          <w:spacing w:val="-3"/>
        </w:rPr>
        <w:t>万股股份转让给混改基金，占公司目前总股本的比例为</w:t>
      </w:r>
      <w:r>
        <w:rPr>
          <w:rFonts w:ascii="Times New Roman" w:hAnsi="Times New Roman" w:cs="Times New Roman" w:eastAsia="Times New Roman" w:hint="default"/>
          <w:spacing w:val="-3"/>
        </w:rPr>
        <w:t>5.02%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16</w:t>
      </w:r>
      <w:r>
        <w:rPr>
          <w:spacing w:val="-3"/>
        </w:rPr>
        <w:t>日，公司收到股东</w:t>
      </w:r>
      <w:r>
        <w:rPr>
          <w:spacing w:val="7"/>
        </w:rPr>
        <w:t> </w:t>
      </w:r>
      <w:r>
        <w:rPr>
          <w:spacing w:val="7"/>
        </w:rPr>
      </w:r>
      <w:r>
        <w:rPr>
          <w:spacing w:val="-4"/>
        </w:rPr>
        <w:t>宁波宏创的通知，本次协议转让的过户登记手续已经办理完成，并取得了中国证券登记结算有限责任公司出具的《证券过户</w:t>
      </w:r>
      <w:r>
        <w:rPr>
          <w:spacing w:val="43"/>
        </w:rPr>
        <w:t> </w:t>
      </w:r>
      <w:r>
        <w:rPr>
          <w:spacing w:val="43"/>
        </w:rPr>
      </w:r>
      <w:r>
        <w:rPr>
          <w:spacing w:val="-4"/>
        </w:rPr>
        <w:t>登记确认书》，过户日期为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15</w:t>
      </w:r>
      <w:r>
        <w:rPr>
          <w:spacing w:val="-4"/>
        </w:rPr>
        <w:t>日。以上具体内容请详见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19</w:t>
      </w:r>
      <w:r>
        <w:rPr>
          <w:spacing w:val="-4"/>
        </w:rPr>
        <w:t>日和</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16</w:t>
      </w:r>
      <w:r>
        <w:rPr>
          <w:spacing w:val="-4"/>
        </w:rPr>
        <w:t>日在中国证监会指定的创业</w:t>
      </w:r>
      <w:r>
        <w:rPr/>
        <w:t> </w:t>
      </w:r>
      <w:r>
        <w:rPr/>
        <w:t>板信息披露网站公告。</w:t>
      </w:r>
      <w:r>
        <w:rPr>
          <w:spacing w:val="-86"/>
        </w:rPr>
        <w:t> </w:t>
      </w:r>
      <w:r>
        <w:rPr>
          <w:spacing w:val="-86"/>
        </w:rPr>
      </w:r>
      <w:r>
        <w:rPr>
          <w:rFonts w:ascii="Times New Roman" w:hAnsi="Times New Roman" w:cs="Times New Roman" w:eastAsia="Times New Roman" w:hint="default"/>
          <w:spacing w:val="-4"/>
        </w:rPr>
        <w:t>27</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日召开第五届董事会第四十二次会议、于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8</w:t>
      </w:r>
      <w:r>
        <w:rPr>
          <w:spacing w:val="-4"/>
        </w:rPr>
        <w:t>日召开</w:t>
      </w:r>
      <w:r>
        <w:rPr>
          <w:rFonts w:ascii="Times New Roman" w:hAnsi="Times New Roman" w:cs="Times New Roman" w:eastAsia="Times New Roman" w:hint="default"/>
          <w:spacing w:val="-4"/>
        </w:rPr>
        <w:t>2019</w:t>
      </w:r>
      <w:r>
        <w:rPr>
          <w:spacing w:val="-4"/>
        </w:rPr>
        <w:t>年第一次临时股东大会，审议通过</w:t>
      </w:r>
      <w:r>
        <w:rPr>
          <w:spacing w:val="81"/>
        </w:rPr>
        <w:t> </w:t>
      </w:r>
      <w:r>
        <w:rPr>
          <w:spacing w:val="81"/>
        </w:rPr>
      </w:r>
      <w:r>
        <w:rPr>
          <w:spacing w:val="-4"/>
        </w:rPr>
        <w:t>了《关于公司增资参股江苏民营投资控股有限公司的议案》，公司与江苏民营投资控股有限公司签署《关于江苏民营投资控</w:t>
      </w:r>
      <w:r>
        <w:rPr>
          <w:spacing w:val="40"/>
        </w:rPr>
        <w:t> </w:t>
      </w:r>
      <w:r>
        <w:rPr>
          <w:spacing w:val="40"/>
        </w:rPr>
      </w:r>
      <w:r>
        <w:rPr>
          <w:spacing w:val="-3"/>
        </w:rPr>
        <w:t>股有限公司之增资协议》，公司以自有资金共计</w:t>
      </w:r>
      <w:r>
        <w:rPr>
          <w:rFonts w:ascii="Times New Roman" w:hAnsi="Times New Roman" w:cs="Times New Roman" w:eastAsia="Times New Roman" w:hint="default"/>
          <w:spacing w:val="-3"/>
        </w:rPr>
        <w:t>22,000</w:t>
      </w:r>
      <w:r>
        <w:rPr>
          <w:spacing w:val="-3"/>
        </w:rPr>
        <w:t>万元人民币向苏民投增资。本次增资完成后，公司将持有苏民投</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2"/>
        </w:rPr>
        <w:t> </w:t>
      </w:r>
      <w:r>
        <w:rPr>
          <w:spacing w:val="-4"/>
        </w:rPr>
        <w:t>的股权，苏民投成为公司的参股公司。以上具体内容请详见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日和</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8</w:t>
      </w:r>
      <w:r>
        <w:rPr>
          <w:spacing w:val="-4"/>
        </w:rPr>
        <w:t>日在中国证监会指定的创业板信息</w:t>
      </w:r>
      <w:r>
        <w:rPr>
          <w:spacing w:val="70"/>
        </w:rPr>
        <w:t> </w:t>
      </w:r>
      <w:r>
        <w:rPr>
          <w:spacing w:val="70"/>
        </w:rPr>
      </w:r>
      <w:r>
        <w:rPr>
          <w:spacing w:val="-3"/>
        </w:rPr>
        <w:t>披露网站公告。</w:t>
      </w:r>
      <w:r>
        <w:rPr>
          <w:spacing w:val="-68"/>
        </w:rPr>
        <w:t> </w:t>
      </w:r>
      <w:r>
        <w:rPr>
          <w:spacing w:val="-68"/>
        </w:rPr>
      </w:r>
      <w:r>
        <w:rPr>
          <w:rFonts w:ascii="Times New Roman" w:hAnsi="Times New Roman" w:cs="Times New Roman" w:eastAsia="Times New Roman" w:hint="default"/>
          <w:spacing w:val="-4"/>
        </w:rPr>
        <w:t>28</w:t>
      </w:r>
      <w:r>
        <w:rPr>
          <w:spacing w:val="-4"/>
        </w:rPr>
        <w:t>、公司收到控股股东润和投资的通知，江苏润和科技投资集团有限公司</w:t>
      </w:r>
      <w:r>
        <w:rPr>
          <w:rFonts w:ascii="Times New Roman" w:hAnsi="Times New Roman" w:cs="Times New Roman" w:eastAsia="Times New Roman" w:hint="default"/>
          <w:spacing w:val="-4"/>
        </w:rPr>
        <w:t>2016</w:t>
      </w:r>
      <w:r>
        <w:rPr>
          <w:spacing w:val="-4"/>
        </w:rPr>
        <w:t>年非公开发行可交换公司债券</w:t>
      </w:r>
      <w:r>
        <w:rPr>
          <w:rFonts w:ascii="Times New Roman" w:hAnsi="Times New Roman" w:cs="Times New Roman" w:eastAsia="Times New Roman" w:hint="default"/>
          <w:spacing w:val="-4"/>
        </w:rPr>
        <w:t>2019</w:t>
      </w:r>
      <w:r>
        <w:rPr>
          <w:spacing w:val="-4"/>
        </w:rPr>
        <w:t>年第一次债</w:t>
      </w:r>
      <w:r>
        <w:rPr>
          <w:spacing w:val="58"/>
        </w:rPr>
        <w:t> </w:t>
      </w:r>
      <w:r>
        <w:rPr>
          <w:spacing w:val="58"/>
        </w:rPr>
      </w:r>
      <w:r>
        <w:rPr>
          <w:spacing w:val="-4"/>
        </w:rPr>
        <w:t>券持有人会议审议通过了《关于修改</w:t>
      </w:r>
      <w:r>
        <w:rPr>
          <w:rFonts w:ascii="Times New Roman" w:hAnsi="Times New Roman" w:cs="Times New Roman" w:eastAsia="Times New Roman" w:hint="default"/>
          <w:spacing w:val="-4"/>
        </w:rPr>
        <w:t>“16</w:t>
      </w:r>
      <w:r>
        <w:rPr>
          <w:spacing w:val="-4"/>
        </w:rPr>
        <w:t>润和债</w:t>
      </w:r>
      <w:r>
        <w:rPr>
          <w:rFonts w:ascii="Times New Roman" w:hAnsi="Times New Roman" w:cs="Times New Roman" w:eastAsia="Times New Roman" w:hint="default"/>
          <w:spacing w:val="-4"/>
        </w:rPr>
        <w:t>”</w:t>
      </w:r>
      <w:r>
        <w:rPr>
          <w:spacing w:val="-4"/>
        </w:rPr>
        <w:t>募集说明书部分发行条款的议案》，对债券期限、换股期限及票面利率等部</w:t>
      </w:r>
      <w:r>
        <w:rPr>
          <w:spacing w:val="68"/>
        </w:rPr>
        <w:t> </w:t>
      </w:r>
      <w:r>
        <w:rPr>
          <w:spacing w:val="68"/>
        </w:rPr>
      </w:r>
      <w:r>
        <w:rPr>
          <w:spacing w:val="-3"/>
        </w:rPr>
        <w:t>分发行条款作出修改。截至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日，本次可交换公司债券已完成换股</w:t>
      </w:r>
      <w:r>
        <w:rPr>
          <w:rFonts w:ascii="Times New Roman" w:hAnsi="Times New Roman" w:cs="Times New Roman" w:eastAsia="Times New Roman" w:hint="default"/>
          <w:spacing w:val="-3"/>
        </w:rPr>
        <w:t>8,797,811</w:t>
      </w:r>
      <w:r>
        <w:rPr>
          <w:spacing w:val="-3"/>
        </w:rPr>
        <w:t>股，占公司总股本比例为</w:t>
      </w:r>
      <w:r>
        <w:rPr>
          <w:rFonts w:ascii="Times New Roman" w:hAnsi="Times New Roman" w:cs="Times New Roman" w:eastAsia="Times New Roman" w:hint="default"/>
          <w:spacing w:val="-3"/>
        </w:rPr>
        <w:t>1.10%</w:t>
      </w:r>
      <w:r>
        <w:rPr>
          <w:spacing w:val="-3"/>
        </w:rPr>
        <w:t>。以</w:t>
      </w:r>
      <w:r>
        <w:rPr>
          <w:spacing w:val="14"/>
        </w:rPr>
        <w:t> </w:t>
      </w:r>
      <w:r>
        <w:rPr>
          <w:spacing w:val="-3"/>
        </w:rPr>
        <w:t>上具体内容请详见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日在中国</w:t>
      </w:r>
      <w:r>
        <w:rPr>
          <w:spacing w:val="46"/>
        </w:rPr>
        <w:t> </w:t>
      </w:r>
      <w:r>
        <w:rPr>
          <w:spacing w:val="46"/>
        </w:rPr>
      </w:r>
      <w:r>
        <w:rPr>
          <w:spacing w:val="-3"/>
        </w:rPr>
        <w:t>证监会指定的创业板信息披露网站公告。</w:t>
      </w:r>
    </w:p>
    <w:p>
      <w:pPr>
        <w:spacing w:after="0" w:line="304"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十九、公司子公司重大事项</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09" w:lineRule="auto"/>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日，公司召开第五届董事会第三十二次会议审议通过了《关于公司投资设立控股子公司的议案》。同意公司</w:t>
      </w:r>
      <w:r>
        <w:rPr>
          <w:spacing w:val="78"/>
        </w:rPr>
        <w:t> </w:t>
      </w:r>
      <w:r>
        <w:rPr>
          <w:spacing w:val="78"/>
        </w:rPr>
      </w:r>
      <w:r>
        <w:rPr>
          <w:spacing w:val="-4"/>
        </w:rPr>
        <w:t>与南京润创信息科技合伙企业（有限合伙）、江苏众享金联科技有限公司共同出资在南京市设立控股子公司润辰科技。润辰</w:t>
      </w:r>
      <w:r>
        <w:rPr>
          <w:spacing w:val="40"/>
        </w:rPr>
        <w:t> </w:t>
      </w:r>
      <w:r>
        <w:rPr>
          <w:spacing w:val="40"/>
        </w:rPr>
      </w:r>
      <w:r>
        <w:rPr>
          <w:spacing w:val="-3"/>
        </w:rPr>
        <w:t>科技注册资本为</w:t>
      </w:r>
      <w:r>
        <w:rPr>
          <w:rFonts w:ascii="Times New Roman" w:hAnsi="Times New Roman" w:cs="Times New Roman" w:eastAsia="Times New Roman" w:hint="default"/>
          <w:spacing w:val="-3"/>
        </w:rPr>
        <w:t>3,000</w:t>
      </w:r>
      <w:r>
        <w:rPr>
          <w:spacing w:val="-3"/>
        </w:rPr>
        <w:t>万元人民币，公司以自有资金出资</w:t>
      </w:r>
      <w:r>
        <w:rPr>
          <w:rFonts w:ascii="Times New Roman" w:hAnsi="Times New Roman" w:cs="Times New Roman" w:eastAsia="Times New Roman" w:hint="default"/>
          <w:spacing w:val="-3"/>
        </w:rPr>
        <w:t>1,650</w:t>
      </w:r>
      <w:r>
        <w:rPr>
          <w:spacing w:val="-3"/>
        </w:rPr>
        <w:t>万元人民币，持有润辰科技</w:t>
      </w:r>
      <w:r>
        <w:rPr>
          <w:rFonts w:ascii="Times New Roman" w:hAnsi="Times New Roman" w:cs="Times New Roman" w:eastAsia="Times New Roman" w:hint="default"/>
          <w:spacing w:val="-3"/>
        </w:rPr>
        <w:t>55%</w:t>
      </w:r>
      <w:r>
        <w:rPr>
          <w:spacing w:val="-3"/>
        </w:rPr>
        <w:t>的股权。润辰科技已经完成了</w:t>
      </w:r>
      <w:r>
        <w:rPr>
          <w:spacing w:val="1"/>
        </w:rPr>
        <w:t> </w:t>
      </w:r>
      <w:r>
        <w:rPr>
          <w:spacing w:val="1"/>
        </w:rPr>
      </w:r>
      <w:r>
        <w:rPr>
          <w:spacing w:val="-7"/>
          <w:w w:val="101"/>
        </w:rPr>
        <w:t>工商设立登记手续，并取得了南京市雨花台区市场监督管理局核发的《营业执照》。以上具体内容请详见</w:t>
      </w:r>
      <w:r>
        <w:rPr>
          <w:rFonts w:ascii="Times New Roman" w:hAnsi="Times New Roman" w:cs="Times New Roman" w:eastAsia="Times New Roman" w:hint="default"/>
          <w:spacing w:val="-7"/>
          <w:w w:val="101"/>
        </w:rPr>
        <w:t>2018</w:t>
      </w:r>
      <w:r>
        <w:rPr>
          <w:spacing w:val="-7"/>
          <w:w w:val="101"/>
        </w:rPr>
        <w:t>年</w:t>
      </w:r>
      <w:r>
        <w:rPr>
          <w:rFonts w:ascii="Times New Roman" w:hAnsi="Times New Roman" w:cs="Times New Roman" w:eastAsia="Times New Roman" w:hint="default"/>
          <w:spacing w:val="-7"/>
          <w:w w:val="101"/>
        </w:rPr>
        <w:t>3</w:t>
      </w:r>
      <w:r>
        <w:rPr>
          <w:spacing w:val="-7"/>
          <w:w w:val="101"/>
        </w:rPr>
        <w:t>月</w:t>
      </w:r>
      <w:r>
        <w:rPr>
          <w:rFonts w:ascii="Times New Roman" w:hAnsi="Times New Roman" w:cs="Times New Roman" w:eastAsia="Times New Roman" w:hint="default"/>
          <w:spacing w:val="-7"/>
          <w:w w:val="101"/>
        </w:rPr>
        <w:t>5</w:t>
      </w:r>
      <w:r>
        <w:rPr>
          <w:spacing w:val="-7"/>
          <w:w w:val="101"/>
        </w:rPr>
        <w:t>日和</w:t>
      </w:r>
      <w:r>
        <w:rPr>
          <w:rFonts w:ascii="Times New Roman" w:hAnsi="Times New Roman" w:cs="Times New Roman" w:eastAsia="Times New Roman" w:hint="default"/>
          <w:spacing w:val="-7"/>
          <w:w w:val="101"/>
        </w:rPr>
        <w:t>2018</w:t>
      </w:r>
      <w:r>
        <w:rPr>
          <w:rFonts w:ascii="Times New Roman" w:hAnsi="Times New Roman" w:cs="Times New Roman" w:eastAsia="Times New Roman" w:hint="default"/>
          <w:spacing w:val="-22"/>
          <w:w w:val="101"/>
        </w:rPr>
        <w:t> </w:t>
      </w:r>
      <w:r>
        <w:rPr>
          <w:rFonts w:ascii="Times New Roman" w:hAnsi="Times New Roman" w:cs="Times New Roman" w:eastAsia="Times New Roman" w:hint="default"/>
          <w:spacing w:val="-22"/>
          <w:w w:val="101"/>
        </w:rPr>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20</w:t>
      </w:r>
      <w:r>
        <w:rPr>
          <w:spacing w:val="-3"/>
        </w:rPr>
        <w:t>日在中国证监会指定的创业板信息披露网站公告。</w:t>
      </w:r>
    </w:p>
    <w:p>
      <w:pPr>
        <w:pStyle w:val="BodyText"/>
        <w:spacing w:line="302" w:lineRule="auto" w:before="5"/>
        <w:ind w:right="0"/>
        <w:jc w:val="left"/>
      </w:pPr>
      <w:r>
        <w:rPr>
          <w:rFonts w:ascii="Times New Roman" w:hAnsi="Times New Roman" w:cs="Times New Roman" w:eastAsia="Times New Roman" w:hint="default"/>
          <w:spacing w:val="-4"/>
        </w:rPr>
        <w:t>2</w:t>
      </w:r>
      <w:r>
        <w:rPr>
          <w:spacing w:val="-4"/>
        </w:rPr>
        <w:t>、全资子公司江苏润和捷诚信息科技有限公司对公司名称及经营范围进行了变更，并于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月完成了相关工商变更登记</w:t>
      </w:r>
      <w:r>
        <w:rPr>
          <w:spacing w:val="57"/>
        </w:rPr>
        <w:t> </w:t>
      </w:r>
      <w:r>
        <w:rPr>
          <w:spacing w:val="57"/>
        </w:rPr>
      </w:r>
      <w:r>
        <w:rPr>
          <w:spacing w:val="-3"/>
        </w:rPr>
        <w:t>手续，取得了由南京市高淳区行政审批局颁发的新的《营业执照》。以上具体内容请详见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日在中国证监会指定</w:t>
      </w:r>
      <w:r>
        <w:rPr>
          <w:spacing w:val="80"/>
        </w:rPr>
        <w:t> </w:t>
      </w:r>
      <w:r>
        <w:rPr>
          <w:spacing w:val="80"/>
        </w:rPr>
      </w:r>
      <w:r>
        <w:rPr>
          <w:spacing w:val="-3"/>
        </w:rPr>
        <w:t>的创业板信息披露网站公告。</w:t>
      </w:r>
      <w:r>
        <w:rPr>
          <w:spacing w:val="-50"/>
        </w:rPr>
        <w:t> </w:t>
      </w:r>
      <w:r>
        <w:rPr>
          <w:spacing w:val="-50"/>
        </w:rPr>
      </w:r>
      <w:r>
        <w:rPr>
          <w:rFonts w:ascii="Times New Roman" w:hAnsi="Times New Roman" w:cs="Times New Roman" w:eastAsia="Times New Roman" w:hint="default"/>
          <w:spacing w:val="-9"/>
          <w:w w:val="101"/>
        </w:rPr>
        <w:t>3</w:t>
      </w:r>
      <w:r>
        <w:rPr>
          <w:spacing w:val="-9"/>
          <w:w w:val="101"/>
        </w:rPr>
        <w:t>、</w:t>
      </w:r>
      <w:r>
        <w:rPr>
          <w:rFonts w:ascii="Times New Roman" w:hAnsi="Times New Roman" w:cs="Times New Roman" w:eastAsia="Times New Roman" w:hint="default"/>
          <w:spacing w:val="-9"/>
          <w:w w:val="101"/>
        </w:rPr>
        <w:t>2018</w:t>
      </w:r>
      <w:r>
        <w:rPr>
          <w:spacing w:val="-9"/>
          <w:w w:val="101"/>
        </w:rPr>
        <w:t>年</w:t>
      </w:r>
      <w:r>
        <w:rPr>
          <w:rFonts w:ascii="Times New Roman" w:hAnsi="Times New Roman" w:cs="Times New Roman" w:eastAsia="Times New Roman" w:hint="default"/>
          <w:spacing w:val="-9"/>
          <w:w w:val="101"/>
        </w:rPr>
        <w:t>3</w:t>
      </w:r>
      <w:r>
        <w:rPr>
          <w:spacing w:val="-9"/>
          <w:w w:val="101"/>
        </w:rPr>
        <w:t>月</w:t>
      </w:r>
      <w:r>
        <w:rPr>
          <w:rFonts w:ascii="Times New Roman" w:hAnsi="Times New Roman" w:cs="Times New Roman" w:eastAsia="Times New Roman" w:hint="default"/>
          <w:spacing w:val="-9"/>
          <w:w w:val="101"/>
        </w:rPr>
        <w:t>27</w:t>
      </w:r>
      <w:r>
        <w:rPr>
          <w:spacing w:val="-9"/>
          <w:w w:val="101"/>
        </w:rPr>
        <w:t>日，公司第五届董事会第三十三次会议审议通过了《关于公司为子公司向银行申请综合授信提供担保的议案》，</w:t>
      </w:r>
      <w:r>
        <w:rPr>
          <w:spacing w:val="-45"/>
          <w:w w:val="101"/>
        </w:rPr>
        <w:t> </w:t>
      </w:r>
      <w:r>
        <w:rPr>
          <w:spacing w:val="-45"/>
          <w:w w:val="101"/>
        </w:rPr>
      </w:r>
      <w:r>
        <w:rPr>
          <w:spacing w:val="-4"/>
          <w:w w:val="101"/>
        </w:rPr>
        <w:t>同意公司根据捷科智诚和联创智融的实际情况和银行要求，对捷科智诚和联创智融</w:t>
      </w:r>
      <w:r>
        <w:rPr>
          <w:rFonts w:ascii="Times New Roman" w:hAnsi="Times New Roman" w:cs="Times New Roman" w:eastAsia="Times New Roman" w:hint="default"/>
          <w:spacing w:val="-4"/>
          <w:w w:val="101"/>
        </w:rPr>
        <w:t>2018</w:t>
      </w:r>
      <w:r>
        <w:rPr>
          <w:spacing w:val="-4"/>
          <w:w w:val="101"/>
        </w:rPr>
        <w:t>年度向银行申请综合授信额度分别提</w:t>
      </w:r>
      <w:r>
        <w:rPr>
          <w:spacing w:val="-85"/>
          <w:w w:val="101"/>
        </w:rPr>
        <w:t> </w:t>
      </w:r>
      <w:r>
        <w:rPr>
          <w:spacing w:val="-85"/>
          <w:w w:val="101"/>
        </w:rPr>
      </w:r>
      <w:r>
        <w:rPr>
          <w:spacing w:val="-3"/>
        </w:rPr>
        <w:t>供不超过人民币</w:t>
      </w:r>
      <w:r>
        <w:rPr>
          <w:rFonts w:ascii="Times New Roman" w:hAnsi="Times New Roman" w:cs="Times New Roman" w:eastAsia="Times New Roman" w:hint="default"/>
          <w:spacing w:val="-3"/>
        </w:rPr>
        <w:t>1</w:t>
      </w:r>
      <w:r>
        <w:rPr>
          <w:spacing w:val="-3"/>
        </w:rPr>
        <w:t>亿元的担保，担保方式为保证担保，担保有效期为一年，自股东大会会议通过之日起计算。公司拟授权董</w:t>
      </w:r>
      <w:r>
        <w:rPr>
          <w:spacing w:val="70"/>
        </w:rPr>
        <w:t> </w:t>
      </w:r>
      <w:r>
        <w:rPr>
          <w:spacing w:val="70"/>
        </w:rPr>
      </w:r>
      <w:r>
        <w:rPr>
          <w:spacing w:val="-3"/>
        </w:rPr>
        <w:t>事长或其指定的授权代理人办理上述事宜，签署相关法律文件。该议案已经公司</w:t>
      </w:r>
      <w:r>
        <w:rPr>
          <w:rFonts w:ascii="Times New Roman" w:hAnsi="Times New Roman" w:cs="Times New Roman" w:eastAsia="Times New Roman" w:hint="default"/>
          <w:spacing w:val="-3"/>
        </w:rPr>
        <w:t>2017</w:t>
      </w:r>
      <w:r>
        <w:rPr>
          <w:spacing w:val="-3"/>
        </w:rPr>
        <w:t>年年度股东大会审议通过。</w:t>
      </w:r>
    </w:p>
    <w:p>
      <w:pPr>
        <w:pStyle w:val="BodyText"/>
        <w:spacing w:line="300" w:lineRule="auto" w:before="11"/>
        <w:ind w:right="0" w:firstLine="292"/>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日，公司第五届董事会第四十五次会议审议通过了《关于公司为子公司向银行申请综合授信提供担保的议</w:t>
      </w:r>
      <w:r>
        <w:rPr>
          <w:w w:val="101"/>
        </w:rPr>
        <w:t> </w:t>
      </w:r>
      <w:r>
        <w:rPr>
          <w:spacing w:val="-4"/>
        </w:rPr>
        <w:t>案》，同意公司根据捷科智诚和联创智融的实际情况和银行要求，对捷科智诚和联创智融</w:t>
      </w:r>
      <w:r>
        <w:rPr>
          <w:rFonts w:ascii="Times New Roman" w:hAnsi="Times New Roman" w:cs="Times New Roman" w:eastAsia="Times New Roman" w:hint="default"/>
          <w:spacing w:val="-4"/>
        </w:rPr>
        <w:t>2019</w:t>
      </w:r>
      <w:r>
        <w:rPr>
          <w:spacing w:val="-4"/>
        </w:rPr>
        <w:t>年度向银行申请综合授信额度</w:t>
      </w:r>
      <w:r>
        <w:rPr>
          <w:spacing w:val="51"/>
        </w:rPr>
        <w:t> </w:t>
      </w:r>
      <w:r>
        <w:rPr>
          <w:spacing w:val="51"/>
        </w:rPr>
      </w:r>
      <w:r>
        <w:rPr>
          <w:spacing w:val="-3"/>
        </w:rPr>
        <w:t>分别提供不超过人民币</w:t>
      </w:r>
      <w:r>
        <w:rPr>
          <w:rFonts w:ascii="Times New Roman" w:hAnsi="Times New Roman" w:cs="Times New Roman" w:eastAsia="Times New Roman" w:hint="default"/>
          <w:spacing w:val="-3"/>
        </w:rPr>
        <w:t>2</w:t>
      </w:r>
      <w:r>
        <w:rPr>
          <w:spacing w:val="-3"/>
        </w:rPr>
        <w:t>亿元的担保，担保方式为保证担保，担保有效期为一年，自股东大会会议通过之日起计算。该议案</w:t>
      </w:r>
      <w:r>
        <w:rPr>
          <w:spacing w:val="70"/>
        </w:rPr>
        <w:t> </w:t>
      </w:r>
      <w:r>
        <w:rPr>
          <w:spacing w:val="70"/>
        </w:rPr>
      </w:r>
      <w:r>
        <w:rPr>
          <w:spacing w:val="-3"/>
        </w:rPr>
        <w:t>已经公司</w:t>
      </w:r>
      <w:r>
        <w:rPr>
          <w:rFonts w:ascii="Times New Roman" w:hAnsi="Times New Roman" w:cs="Times New Roman" w:eastAsia="Times New Roman" w:hint="default"/>
          <w:spacing w:val="-3"/>
        </w:rPr>
        <w:t>2019</w:t>
      </w:r>
      <w:r>
        <w:rPr>
          <w:spacing w:val="-3"/>
        </w:rPr>
        <w:t>年第二次临时股东大会审议通过。</w:t>
      </w:r>
    </w:p>
    <w:p>
      <w:pPr>
        <w:pStyle w:val="BodyText"/>
        <w:spacing w:line="307" w:lineRule="auto" w:before="13"/>
        <w:ind w:right="1026" w:firstLine="292"/>
        <w:jc w:val="left"/>
      </w:pPr>
      <w:r>
        <w:rPr>
          <w:spacing w:val="-2"/>
        </w:rPr>
        <w:t>以上具体内容请详见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日在中国证监会指定的创业板信息</w:t>
      </w:r>
      <w:r>
        <w:rPr>
          <w:w w:val="101"/>
        </w:rPr>
        <w:t> </w:t>
      </w:r>
      <w:r>
        <w:rPr>
          <w:spacing w:val="-3"/>
        </w:rPr>
        <w:t>披露网站公告。</w:t>
      </w:r>
      <w:r>
        <w:rPr>
          <w:spacing w:val="-68"/>
        </w:rPr>
        <w:t> </w:t>
      </w:r>
      <w:r>
        <w:rPr>
          <w:spacing w:val="-68"/>
        </w:rPr>
      </w:r>
      <w:r>
        <w:rPr>
          <w:rFonts w:ascii="Times New Roman" w:hAnsi="Times New Roman" w:cs="Times New Roman" w:eastAsia="Times New Roman" w:hint="default"/>
          <w:spacing w:val="-3"/>
        </w:rPr>
        <w:t>4</w:t>
      </w:r>
      <w:r>
        <w:rPr>
          <w:spacing w:val="-3"/>
        </w:rPr>
        <w:t>、公司全资子公司捷科智诚、北京润和以及福州捷科分别对法定代表人进行了变更，并完成了相关工商变更登记手续，分</w:t>
      </w:r>
      <w:r>
        <w:rPr>
          <w:spacing w:val="70"/>
        </w:rPr>
        <w:t> </w:t>
      </w:r>
      <w:r>
        <w:rPr>
          <w:spacing w:val="70"/>
        </w:rPr>
      </w:r>
      <w:r>
        <w:rPr>
          <w:spacing w:val="-4"/>
        </w:rPr>
        <w:t>别取得了由北京市工商行政管理局海淀分局、福州经济技术开发区市场监督管理局颁发的新的《营业执照》。以上具体内容</w:t>
      </w:r>
      <w:r>
        <w:rPr>
          <w:spacing w:val="40"/>
        </w:rPr>
        <w:t> </w:t>
      </w:r>
      <w:r>
        <w:rPr>
          <w:spacing w:val="40"/>
        </w:rPr>
      </w:r>
      <w:r>
        <w:rPr>
          <w:spacing w:val="-3"/>
        </w:rPr>
        <w:t>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日在中国证监会指定的创业板信息披露网站公告。</w:t>
      </w:r>
      <w:r>
        <w:rPr>
          <w:spacing w:val="14"/>
        </w:rPr>
        <w:t> </w:t>
      </w:r>
      <w:r>
        <w:rPr>
          <w:spacing w:val="14"/>
        </w:rPr>
      </w:r>
      <w:r>
        <w:rPr>
          <w:rFonts w:ascii="Times New Roman" w:hAnsi="Times New Roman" w:cs="Times New Roman" w:eastAsia="Times New Roman" w:hint="default"/>
          <w:spacing w:val="-3"/>
        </w:rPr>
        <w:t>5</w:t>
      </w:r>
      <w:r>
        <w:rPr>
          <w:spacing w:val="-3"/>
        </w:rPr>
        <w:t>、公司全资孙公司软信和熙对公司名称及经营范围进行了变更，并完成了相关工商变更登记手续，取得了由南京市雨花台</w:t>
      </w:r>
      <w:r>
        <w:rPr>
          <w:spacing w:val="70"/>
        </w:rPr>
        <w:t> </w:t>
      </w:r>
      <w:r>
        <w:rPr>
          <w:spacing w:val="70"/>
        </w:rPr>
      </w:r>
      <w:r>
        <w:rPr>
          <w:spacing w:val="-4"/>
        </w:rPr>
        <w:t>区市场监督管理局颁发的新的《营业执照》。以上具体内容请详见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8</w:t>
      </w:r>
      <w:r>
        <w:rPr>
          <w:spacing w:val="-4"/>
        </w:rPr>
        <w:t>日在中国证监会指定的创业板信息披露网站公</w:t>
      </w:r>
      <w:r>
        <w:rPr>
          <w:spacing w:val="51"/>
        </w:rPr>
        <w:t> </w:t>
      </w:r>
      <w:r>
        <w:rPr>
          <w:spacing w:val="51"/>
        </w:rPr>
      </w:r>
      <w:r>
        <w:rPr/>
        <w:t>告。</w:t>
      </w:r>
      <w:r>
        <w:rPr>
          <w:spacing w:val="-86"/>
        </w:rPr>
        <w:t> </w:t>
      </w:r>
      <w:r>
        <w:rPr>
          <w:rFonts w:ascii="Times New Roman" w:hAnsi="Times New Roman" w:cs="Times New Roman" w:eastAsia="Times New Roman" w:hint="default"/>
          <w:spacing w:val="-3"/>
        </w:rPr>
        <w:t>6</w:t>
      </w:r>
      <w:r>
        <w:rPr>
          <w:spacing w:val="-3"/>
        </w:rPr>
        <w:t>、公司于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10</w:t>
      </w:r>
      <w:r>
        <w:rPr>
          <w:spacing w:val="-3"/>
        </w:rPr>
        <w:t>日召开的第四届董事会第二十二次会议及</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日召开的</w:t>
      </w:r>
      <w:r>
        <w:rPr>
          <w:rFonts w:ascii="Times New Roman" w:hAnsi="Times New Roman" w:cs="Times New Roman" w:eastAsia="Times New Roman" w:hint="default"/>
          <w:spacing w:val="-3"/>
        </w:rPr>
        <w:t>2014</w:t>
      </w:r>
      <w:r>
        <w:rPr>
          <w:spacing w:val="-3"/>
        </w:rPr>
        <w:t>年第五次临时股东大会审议并</w:t>
      </w:r>
      <w:r>
        <w:rPr>
          <w:spacing w:val="13"/>
        </w:rPr>
        <w:t> </w:t>
      </w:r>
      <w:r>
        <w:rPr>
          <w:spacing w:val="13"/>
        </w:rPr>
      </w:r>
      <w:r>
        <w:rPr>
          <w:spacing w:val="-4"/>
        </w:rPr>
        <w:t>通过了《关于同意全资子公司江苏润和南京软件外包园投资有限公司出售房产的议案》，同意外包园公司将不超过总建筑面</w:t>
      </w:r>
      <w:r>
        <w:rPr>
          <w:spacing w:val="45"/>
        </w:rPr>
        <w:t> </w:t>
      </w:r>
      <w:r>
        <w:rPr>
          <w:spacing w:val="45"/>
        </w:rPr>
      </w:r>
      <w:r>
        <w:rPr>
          <w:spacing w:val="-3"/>
        </w:rPr>
        <w:t>积的</w:t>
      </w:r>
      <w:r>
        <w:rPr>
          <w:rFonts w:ascii="Times New Roman" w:hAnsi="Times New Roman" w:cs="Times New Roman" w:eastAsia="Times New Roman" w:hint="default"/>
          <w:spacing w:val="-3"/>
        </w:rPr>
        <w:t>30%</w:t>
      </w:r>
      <w:r>
        <w:rPr>
          <w:spacing w:val="-3"/>
        </w:rPr>
        <w:t>的房产按市场公允价格对外出售。</w:t>
      </w:r>
    </w:p>
    <w:p>
      <w:pPr>
        <w:pStyle w:val="BodyText"/>
        <w:spacing w:line="300" w:lineRule="auto" w:before="7"/>
        <w:ind w:right="1026" w:firstLine="292"/>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日，外包园公司与南京瑞呈信息科技有限公司（以下简称</w:t>
      </w:r>
      <w:r>
        <w:rPr>
          <w:rFonts w:ascii="Times New Roman" w:hAnsi="Times New Roman" w:cs="Times New Roman" w:eastAsia="Times New Roman" w:hint="default"/>
          <w:spacing w:val="-3"/>
        </w:rPr>
        <w:t>“</w:t>
      </w:r>
      <w:r>
        <w:rPr>
          <w:spacing w:val="-3"/>
        </w:rPr>
        <w:t>瑞呈科技</w:t>
      </w:r>
      <w:r>
        <w:rPr>
          <w:rFonts w:ascii="Times New Roman" w:hAnsi="Times New Roman" w:cs="Times New Roman" w:eastAsia="Times New Roman" w:hint="default"/>
          <w:spacing w:val="-3"/>
        </w:rPr>
        <w:t>”</w:t>
      </w:r>
      <w:r>
        <w:rPr>
          <w:spacing w:val="-3"/>
        </w:rPr>
        <w:t>）签署了《南京市存量房买卖合同》，</w:t>
      </w:r>
      <w:r>
        <w:rPr>
          <w:w w:val="101"/>
        </w:rPr>
        <w:t> </w:t>
      </w:r>
      <w:r>
        <w:rPr>
          <w:spacing w:val="-3"/>
        </w:rPr>
        <w:t>将外包园公司位于南京市雨花台区软件大道</w:t>
      </w:r>
      <w:r>
        <w:rPr>
          <w:rFonts w:ascii="Times New Roman" w:hAnsi="Times New Roman" w:cs="Times New Roman" w:eastAsia="Times New Roman" w:hint="default"/>
          <w:spacing w:val="-3"/>
        </w:rPr>
        <w:t>168</w:t>
      </w:r>
      <w:r>
        <w:rPr>
          <w:spacing w:val="-3"/>
        </w:rPr>
        <w:t>号</w:t>
      </w:r>
      <w:r>
        <w:rPr>
          <w:rFonts w:ascii="Times New Roman" w:hAnsi="Times New Roman" w:cs="Times New Roman" w:eastAsia="Times New Roman" w:hint="default"/>
          <w:spacing w:val="-3"/>
        </w:rPr>
        <w:t>1</w:t>
      </w:r>
      <w:r>
        <w:rPr>
          <w:spacing w:val="-3"/>
        </w:rPr>
        <w:t>幢</w:t>
      </w:r>
      <w:r>
        <w:rPr>
          <w:rFonts w:ascii="Times New Roman" w:hAnsi="Times New Roman" w:cs="Times New Roman" w:eastAsia="Times New Roman" w:hint="default"/>
          <w:spacing w:val="-3"/>
        </w:rPr>
        <w:t>301</w:t>
      </w:r>
      <w:r>
        <w:rPr>
          <w:spacing w:val="-3"/>
        </w:rPr>
        <w:t>室，建筑面积</w:t>
      </w:r>
      <w:r>
        <w:rPr>
          <w:rFonts w:ascii="Times New Roman" w:hAnsi="Times New Roman" w:cs="Times New Roman" w:eastAsia="Times New Roman" w:hint="default"/>
          <w:spacing w:val="-3"/>
        </w:rPr>
        <w:t>362.20</w:t>
      </w:r>
      <w:r>
        <w:rPr>
          <w:spacing w:val="-3"/>
        </w:rPr>
        <w:t>平方米，转让给瑞呈科技，转让价款为人民币</w:t>
      </w:r>
      <w:r>
        <w:rPr>
          <w:spacing w:val="2"/>
        </w:rPr>
        <w:t> </w:t>
      </w:r>
      <w:r>
        <w:rPr>
          <w:spacing w:val="2"/>
        </w:rPr>
      </w:r>
      <w:r>
        <w:rPr>
          <w:rFonts w:ascii="Times New Roman" w:hAnsi="Times New Roman" w:cs="Times New Roman" w:eastAsia="Times New Roman" w:hint="default"/>
        </w:rPr>
        <w:t>3,984,200.00</w:t>
      </w:r>
      <w:r>
        <w:rPr/>
        <w:t>元。</w:t>
      </w:r>
    </w:p>
    <w:p>
      <w:pPr>
        <w:pStyle w:val="BodyText"/>
        <w:spacing w:line="302" w:lineRule="auto" w:before="13"/>
        <w:ind w:right="0" w:firstLine="292"/>
        <w:jc w:val="left"/>
      </w:pPr>
      <w:r>
        <w:rPr>
          <w:spacing w:val="-3"/>
        </w:rPr>
        <w:t>以上具体内容请详见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w:t>
      </w:r>
      <w:r>
        <w:rPr>
          <w:spacing w:val="-3"/>
        </w:rPr>
        <w:t>日在中国证监会指定的创业板信息披露网站公告。</w:t>
      </w:r>
      <w:r>
        <w:rPr>
          <w:w w:val="101"/>
        </w:rPr>
        <w:t> </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日，公司召开第五届董事会第三十八次会议审议通过了《关于公司投资设立控股子公司的议案》，同意公司</w:t>
      </w:r>
      <w:r>
        <w:rPr>
          <w:spacing w:val="56"/>
        </w:rPr>
        <w:t> </w:t>
      </w:r>
      <w:r>
        <w:rPr>
          <w:spacing w:val="56"/>
        </w:rPr>
      </w:r>
      <w:r>
        <w:rPr>
          <w:spacing w:val="-3"/>
        </w:rPr>
        <w:t>与南京米露琪亚信息科技合伙企业（有限合伙）共同出资在南京市设立控股子公司润和润云。润和润云注册资本为</w:t>
      </w:r>
      <w:r>
        <w:rPr>
          <w:rFonts w:ascii="Times New Roman" w:hAnsi="Times New Roman" w:cs="Times New Roman" w:eastAsia="Times New Roman" w:hint="default"/>
          <w:spacing w:val="-3"/>
        </w:rPr>
        <w:t>1,000</w:t>
      </w:r>
      <w:r>
        <w:rPr>
          <w:spacing w:val="-3"/>
        </w:rPr>
        <w:t>万</w:t>
      </w:r>
      <w:r>
        <w:rPr>
          <w:spacing w:val="73"/>
        </w:rPr>
        <w:t> </w:t>
      </w:r>
      <w:r>
        <w:rPr>
          <w:spacing w:val="-3"/>
        </w:rPr>
        <w:t>元人民币，公司以自有资金出资</w:t>
      </w:r>
      <w:r>
        <w:rPr>
          <w:rFonts w:ascii="Times New Roman" w:hAnsi="Times New Roman" w:cs="Times New Roman" w:eastAsia="Times New Roman" w:hint="default"/>
          <w:spacing w:val="-3"/>
        </w:rPr>
        <w:t>510</w:t>
      </w:r>
      <w:r>
        <w:rPr>
          <w:spacing w:val="-3"/>
        </w:rPr>
        <w:t>万元人民币，持有润和润云</w:t>
      </w:r>
      <w:r>
        <w:rPr>
          <w:rFonts w:ascii="Times New Roman" w:hAnsi="Times New Roman" w:cs="Times New Roman" w:eastAsia="Times New Roman" w:hint="default"/>
          <w:spacing w:val="-3"/>
        </w:rPr>
        <w:t>51%</w:t>
      </w:r>
      <w:r>
        <w:rPr>
          <w:spacing w:val="-3"/>
        </w:rPr>
        <w:t>的股权。润和润云已经完成了工商设立登记手续，并取</w:t>
      </w:r>
      <w:r>
        <w:rPr>
          <w:spacing w:val="75"/>
        </w:rPr>
        <w:t> </w:t>
      </w:r>
      <w:r>
        <w:rPr>
          <w:spacing w:val="75"/>
        </w:rPr>
      </w:r>
      <w:r>
        <w:rPr>
          <w:spacing w:val="-4"/>
        </w:rPr>
        <w:t>得了南京市高淳区行政审批局核发的《营业执照》。以上具体内容请详见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日和</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10</w:t>
      </w:r>
      <w:r>
        <w:rPr>
          <w:spacing w:val="-4"/>
        </w:rPr>
        <w:t>日在中国证监会指定</w:t>
      </w:r>
      <w:r>
        <w:rPr>
          <w:spacing w:val="66"/>
        </w:rPr>
        <w:t> </w:t>
      </w:r>
      <w:r>
        <w:rPr>
          <w:spacing w:val="66"/>
        </w:rPr>
      </w:r>
      <w:r>
        <w:rPr>
          <w:spacing w:val="-3"/>
        </w:rPr>
        <w:t>的创业板信息披露网站公告。</w:t>
      </w:r>
      <w:r>
        <w:rPr>
          <w:spacing w:val="-50"/>
        </w:rPr>
        <w:t> </w:t>
      </w:r>
      <w:r>
        <w:rPr>
          <w:spacing w:val="-50"/>
        </w:rPr>
      </w:r>
      <w:r>
        <w:rPr>
          <w:rFonts w:ascii="Times New Roman" w:hAnsi="Times New Roman" w:cs="Times New Roman" w:eastAsia="Times New Roman" w:hint="default"/>
          <w:spacing w:val="-4"/>
        </w:rPr>
        <w:t>8</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20</w:t>
      </w:r>
      <w:r>
        <w:rPr>
          <w:spacing w:val="-4"/>
        </w:rPr>
        <w:t>日召开第五届董事会第三十九次会议，审议通过了《关于对公司全资子公司增资的议案》，公司拟通</w:t>
      </w:r>
      <w:r>
        <w:rPr>
          <w:spacing w:val="56"/>
        </w:rPr>
        <w:t> </w:t>
      </w:r>
      <w:r>
        <w:rPr>
          <w:spacing w:val="56"/>
        </w:rPr>
      </w:r>
      <w:r>
        <w:rPr>
          <w:spacing w:val="-3"/>
        </w:rPr>
        <w:t>过未分配利润转增股本的方式对全资子公司捷科智诚增资</w:t>
      </w:r>
      <w:r>
        <w:rPr>
          <w:rFonts w:ascii="Times New Roman" w:hAnsi="Times New Roman" w:cs="Times New Roman" w:eastAsia="Times New Roman" w:hint="default"/>
          <w:spacing w:val="-3"/>
        </w:rPr>
        <w:t>3,000</w:t>
      </w:r>
      <w:r>
        <w:rPr>
          <w:spacing w:val="-3"/>
        </w:rPr>
        <w:t>万元人民币。本次增资完成后，捷科智诚的注册资本将由原</w:t>
      </w:r>
      <w:r>
        <w:rPr>
          <w:spacing w:val="78"/>
        </w:rPr>
        <w:t> </w:t>
      </w:r>
      <w:r>
        <w:rPr>
          <w:spacing w:val="78"/>
        </w:rPr>
      </w:r>
      <w:r>
        <w:rPr>
          <w:spacing w:val="-3"/>
        </w:rPr>
        <w:t>来的</w:t>
      </w:r>
      <w:r>
        <w:rPr>
          <w:rFonts w:ascii="Times New Roman" w:hAnsi="Times New Roman" w:cs="Times New Roman" w:eastAsia="Times New Roman" w:hint="default"/>
          <w:spacing w:val="-3"/>
        </w:rPr>
        <w:t>3,000</w:t>
      </w:r>
      <w:r>
        <w:rPr>
          <w:spacing w:val="-3"/>
        </w:rPr>
        <w:t>万元人民币增加到</w:t>
      </w:r>
      <w:r>
        <w:rPr>
          <w:rFonts w:ascii="Times New Roman" w:hAnsi="Times New Roman" w:cs="Times New Roman" w:eastAsia="Times New Roman" w:hint="default"/>
          <w:spacing w:val="-3"/>
        </w:rPr>
        <w:t>6,000</w:t>
      </w:r>
      <w:r>
        <w:rPr>
          <w:spacing w:val="-3"/>
        </w:rPr>
        <w:t>万元人民币，公司仍持有捷科智诚</w:t>
      </w:r>
      <w:r>
        <w:rPr>
          <w:rFonts w:ascii="Times New Roman" w:hAnsi="Times New Roman" w:cs="Times New Roman" w:eastAsia="Times New Roman" w:hint="default"/>
          <w:spacing w:val="-3"/>
        </w:rPr>
        <w:t>100%</w:t>
      </w:r>
      <w:r>
        <w:rPr>
          <w:spacing w:val="-3"/>
        </w:rPr>
        <w:t>的股权。捷科智诚已经完成了工商变更登记手续，</w:t>
      </w:r>
      <w:r>
        <w:rPr>
          <w:spacing w:val="6"/>
        </w:rPr>
        <w:t> </w:t>
      </w:r>
      <w:r>
        <w:rPr>
          <w:spacing w:val="6"/>
        </w:rPr>
      </w:r>
      <w:r>
        <w:rPr>
          <w:spacing w:val="-3"/>
        </w:rPr>
        <w:t>并取得了由北京市工商行政管理局海淀分局颁发的新的《营业执照》。以上具体内容请详见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21</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w:t>
      </w:r>
      <w:r>
        <w:rPr>
          <w:spacing w:val="1"/>
        </w:rPr>
        <w:t> </w:t>
      </w:r>
      <w:r>
        <w:rPr>
          <w:spacing w:val="-3"/>
        </w:rPr>
        <w:t>在中国证监会指定的创业板信息披露网站公告。</w:t>
      </w:r>
    </w:p>
    <w:p>
      <w:pPr>
        <w:spacing w:after="0" w:line="302"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2" w:lineRule="auto" w:before="46"/>
        <w:ind w:right="0"/>
        <w:jc w:val="left"/>
      </w:pPr>
      <w:r>
        <w:rPr>
          <w:rFonts w:ascii="Times New Roman" w:hAnsi="Times New Roman" w:cs="Times New Roman" w:eastAsia="Times New Roman" w:hint="default"/>
          <w:spacing w:val="-3"/>
        </w:rPr>
        <w:t>9</w:t>
      </w:r>
      <w:r>
        <w:rPr>
          <w:spacing w:val="-3"/>
        </w:rPr>
        <w:t>、全资子公司广州润和颐能软件技术有限公司对公司注册地址进行了变更，并完成了相关工商变更登记手续，取得了由广</w:t>
      </w:r>
      <w:r>
        <w:rPr>
          <w:spacing w:val="71"/>
        </w:rPr>
        <w:t> </w:t>
      </w:r>
      <w:r>
        <w:rPr>
          <w:spacing w:val="71"/>
        </w:rPr>
      </w:r>
      <w:r>
        <w:rPr>
          <w:spacing w:val="-3"/>
        </w:rPr>
        <w:t>州市黄埔区市场和质量监督管理局颁发的新的《营业执照》。以上具体内容请详见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21</w:t>
      </w:r>
      <w:r>
        <w:rPr>
          <w:spacing w:val="-3"/>
        </w:rPr>
        <w:t>日在中国证监会指定的创业</w:t>
      </w:r>
      <w:r>
        <w:rPr>
          <w:spacing w:val="80"/>
        </w:rPr>
        <w:t> </w:t>
      </w:r>
      <w:r>
        <w:rPr>
          <w:spacing w:val="80"/>
        </w:rPr>
      </w:r>
      <w:r>
        <w:rPr/>
        <w:t>板信息披露网站公告。</w:t>
      </w:r>
      <w:r>
        <w:rPr>
          <w:spacing w:val="-86"/>
        </w:rPr>
        <w:t> </w:t>
      </w:r>
      <w:r>
        <w:rPr>
          <w:spacing w:val="-86"/>
        </w:rPr>
      </w:r>
      <w:r>
        <w:rPr>
          <w:rFonts w:ascii="Times New Roman" w:hAnsi="Times New Roman" w:cs="Times New Roman" w:eastAsia="Times New Roman" w:hint="default"/>
          <w:spacing w:val="-4"/>
        </w:rPr>
        <w:t>10</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日召开第五届董事会第四十一次会议，于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12</w:t>
      </w:r>
      <w:r>
        <w:rPr>
          <w:spacing w:val="-4"/>
        </w:rPr>
        <w:t>日召开</w:t>
      </w:r>
      <w:r>
        <w:rPr>
          <w:rFonts w:ascii="Times New Roman" w:hAnsi="Times New Roman" w:cs="Times New Roman" w:eastAsia="Times New Roman" w:hint="default"/>
          <w:spacing w:val="-4"/>
        </w:rPr>
        <w:t>2018</w:t>
      </w:r>
      <w:r>
        <w:rPr>
          <w:spacing w:val="-4"/>
        </w:rPr>
        <w:t>年第四次临时股东大会，审议通</w:t>
      </w:r>
      <w:r>
        <w:rPr/>
        <w:t> </w:t>
      </w:r>
      <w:r>
        <w:rPr/>
      </w:r>
      <w:r>
        <w:rPr>
          <w:spacing w:val="-3"/>
        </w:rPr>
        <w:t>过了《关于公司对美国全资子公司减资的议案》，同意对波士顿润和减资</w:t>
      </w:r>
      <w:r>
        <w:rPr>
          <w:rFonts w:ascii="Times New Roman" w:hAnsi="Times New Roman" w:cs="Times New Roman" w:eastAsia="Times New Roman" w:hint="default"/>
          <w:spacing w:val="-3"/>
        </w:rPr>
        <w:t>2,000</w:t>
      </w:r>
      <w:r>
        <w:rPr>
          <w:spacing w:val="-3"/>
        </w:rPr>
        <w:t>万美元。本次减资完成后，波士顿润和授权</w:t>
      </w:r>
      <w:r>
        <w:rPr>
          <w:spacing w:val="73"/>
        </w:rPr>
        <w:t> </w:t>
      </w:r>
      <w:r>
        <w:rPr>
          <w:spacing w:val="73"/>
        </w:rPr>
      </w:r>
      <w:r>
        <w:rPr>
          <w:spacing w:val="-5"/>
        </w:rPr>
        <w:t>资本将减少至</w:t>
      </w:r>
      <w:r>
        <w:rPr>
          <w:rFonts w:ascii="Times New Roman" w:hAnsi="Times New Roman" w:cs="Times New Roman" w:eastAsia="Times New Roman" w:hint="default"/>
          <w:spacing w:val="-5"/>
        </w:rPr>
        <w:t>1,000</w:t>
      </w:r>
      <w:r>
        <w:rPr>
          <w:spacing w:val="-5"/>
        </w:rPr>
        <w:t>万美元，公司仍持有其</w:t>
      </w:r>
      <w:r>
        <w:rPr>
          <w:rFonts w:ascii="Times New Roman" w:hAnsi="Times New Roman" w:cs="Times New Roman" w:eastAsia="Times New Roman" w:hint="default"/>
          <w:spacing w:val="-5"/>
        </w:rPr>
        <w:t>100%</w:t>
      </w:r>
      <w:r>
        <w:rPr>
          <w:spacing w:val="-5"/>
        </w:rPr>
        <w:t>的股权。经江苏省商务厅核准</w:t>
      </w:r>
      <w:r>
        <w:rPr>
          <w:rFonts w:ascii="Times New Roman" w:hAnsi="Times New Roman" w:cs="Times New Roman" w:eastAsia="Times New Roman" w:hint="default"/>
          <w:spacing w:val="-5"/>
        </w:rPr>
        <w:t>/</w:t>
      </w:r>
      <w:r>
        <w:rPr>
          <w:spacing w:val="-5"/>
        </w:rPr>
        <w:t>备案（文号：苏境外投资〔</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N00812</w:t>
      </w:r>
      <w:r>
        <w:rPr>
          <w:spacing w:val="-5"/>
        </w:rPr>
        <w:t>号），</w:t>
      </w:r>
      <w:r>
        <w:rPr>
          <w:spacing w:val="48"/>
        </w:rPr>
        <w:t> </w:t>
      </w:r>
      <w:r>
        <w:rPr>
          <w:spacing w:val="48"/>
        </w:rPr>
      </w:r>
      <w:r>
        <w:rPr>
          <w:spacing w:val="-2"/>
        </w:rPr>
        <w:t>公司取得了《企业境外投资证书》（境外投资证第</w:t>
      </w:r>
      <w:r>
        <w:rPr>
          <w:rFonts w:ascii="Times New Roman" w:hAnsi="Times New Roman" w:cs="Times New Roman" w:eastAsia="Times New Roman" w:hint="default"/>
          <w:spacing w:val="-2"/>
        </w:rPr>
        <w:t>N3200201800812</w:t>
      </w:r>
      <w:r>
        <w:rPr>
          <w:spacing w:val="-2"/>
        </w:rPr>
        <w:t>号）。以上具体内容详见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spacing w:val="42"/>
        </w:rPr>
        <w:t> </w:t>
      </w:r>
      <w:r>
        <w:rPr>
          <w:rFonts w:ascii="Times New Roman" w:hAnsi="Times New Roman" w:cs="Times New Roman" w:eastAsia="Times New Roman" w:hint="default"/>
          <w:spacing w:val="-3"/>
        </w:rPr>
        <w:t>12</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日在中国证监会指定的创业板信息披露网站公告。</w:t>
      </w:r>
    </w:p>
    <w:p>
      <w:pPr>
        <w:pStyle w:val="BodyText"/>
        <w:spacing w:line="302" w:lineRule="auto" w:before="11"/>
        <w:ind w:right="0"/>
        <w:jc w:val="left"/>
      </w:pPr>
      <w:r>
        <w:rPr>
          <w:rFonts w:ascii="Times New Roman" w:hAnsi="Times New Roman" w:cs="Times New Roman" w:eastAsia="Times New Roman" w:hint="default"/>
          <w:spacing w:val="-3"/>
        </w:rPr>
        <w:t>11</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日收到全资子公司捷科智诚、联创智融现金分红款合计</w:t>
      </w:r>
      <w:r>
        <w:rPr>
          <w:rFonts w:ascii="Times New Roman" w:hAnsi="Times New Roman" w:cs="Times New Roman" w:eastAsia="Times New Roman" w:hint="default"/>
          <w:spacing w:val="-3"/>
        </w:rPr>
        <w:t>15,000</w:t>
      </w:r>
      <w:r>
        <w:rPr>
          <w:spacing w:val="-3"/>
        </w:rPr>
        <w:t>万元。其中，捷科智诚以现金方式将</w:t>
      </w:r>
      <w:r>
        <w:rPr>
          <w:spacing w:val="51"/>
        </w:rPr>
        <w:t> </w:t>
      </w:r>
      <w:r>
        <w:rPr>
          <w:spacing w:val="51"/>
        </w:rPr>
      </w:r>
      <w:r>
        <w:rPr>
          <w:spacing w:val="-3"/>
        </w:rPr>
        <w:t>未分配利润中的</w:t>
      </w:r>
      <w:r>
        <w:rPr>
          <w:rFonts w:ascii="Times New Roman" w:hAnsi="Times New Roman" w:cs="Times New Roman" w:eastAsia="Times New Roman" w:hint="default"/>
          <w:spacing w:val="-3"/>
        </w:rPr>
        <w:t>50,000,000.00</w:t>
      </w:r>
      <w:r>
        <w:rPr>
          <w:spacing w:val="-3"/>
        </w:rPr>
        <w:t>元分配给公司，占捷科智诚</w:t>
      </w:r>
      <w:r>
        <w:rPr>
          <w:rFonts w:ascii="Times New Roman" w:hAnsi="Times New Roman" w:cs="Times New Roman" w:eastAsia="Times New Roman" w:hint="default"/>
          <w:spacing w:val="-3"/>
        </w:rPr>
        <w:t>2017</w:t>
      </w:r>
      <w:r>
        <w:rPr>
          <w:spacing w:val="-3"/>
        </w:rPr>
        <w:t>年度年末经审计可分配利润的</w:t>
      </w:r>
      <w:r>
        <w:rPr>
          <w:rFonts w:ascii="Times New Roman" w:hAnsi="Times New Roman" w:cs="Times New Roman" w:eastAsia="Times New Roman" w:hint="default"/>
          <w:spacing w:val="-3"/>
        </w:rPr>
        <w:t>27.89%</w:t>
      </w:r>
      <w:r>
        <w:rPr>
          <w:spacing w:val="-3"/>
        </w:rPr>
        <w:t>，联创智融以现金方式将</w:t>
      </w:r>
      <w:r>
        <w:rPr>
          <w:spacing w:val="51"/>
        </w:rPr>
        <w:t> </w:t>
      </w:r>
      <w:r>
        <w:rPr>
          <w:spacing w:val="51"/>
        </w:rPr>
      </w:r>
      <w:r>
        <w:rPr>
          <w:spacing w:val="-4"/>
          <w:w w:val="101"/>
        </w:rPr>
        <w:t>未分配利润中的</w:t>
      </w:r>
      <w:r>
        <w:rPr>
          <w:rFonts w:ascii="Times New Roman" w:hAnsi="Times New Roman" w:cs="Times New Roman" w:eastAsia="Times New Roman" w:hint="default"/>
          <w:spacing w:val="-4"/>
          <w:w w:val="101"/>
        </w:rPr>
        <w:t>100,000,000.00</w:t>
      </w:r>
      <w:r>
        <w:rPr>
          <w:spacing w:val="-4"/>
          <w:w w:val="101"/>
        </w:rPr>
        <w:t>元分配给公司，占联创智融</w:t>
      </w:r>
      <w:r>
        <w:rPr>
          <w:rFonts w:ascii="Times New Roman" w:hAnsi="Times New Roman" w:cs="Times New Roman" w:eastAsia="Times New Roman" w:hint="default"/>
          <w:spacing w:val="-4"/>
          <w:w w:val="101"/>
        </w:rPr>
        <w:t>2017</w:t>
      </w:r>
      <w:r>
        <w:rPr>
          <w:spacing w:val="-4"/>
          <w:w w:val="101"/>
        </w:rPr>
        <w:t>年度年末经审计可分配利润的</w:t>
      </w:r>
      <w:r>
        <w:rPr>
          <w:rFonts w:ascii="Times New Roman" w:hAnsi="Times New Roman" w:cs="Times New Roman" w:eastAsia="Times New Roman" w:hint="default"/>
          <w:spacing w:val="-4"/>
          <w:w w:val="101"/>
        </w:rPr>
        <w:t>23.84%</w:t>
      </w:r>
      <w:r>
        <w:rPr>
          <w:spacing w:val="-4"/>
          <w:w w:val="101"/>
        </w:rPr>
        <w:t>。以上具体内容详见</w:t>
      </w:r>
      <w:r>
        <w:rPr>
          <w:rFonts w:ascii="Times New Roman" w:hAnsi="Times New Roman" w:cs="Times New Roman" w:eastAsia="Times New Roman" w:hint="default"/>
          <w:spacing w:val="-4"/>
          <w:w w:val="101"/>
        </w:rPr>
        <w:t>2018</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日在中国证监会指定的创业板信息披露网站公告。</w:t>
      </w:r>
      <w:r>
        <w:rPr>
          <w:spacing w:val="-4"/>
        </w:rPr>
        <w:t> </w:t>
      </w:r>
      <w:r>
        <w:rPr>
          <w:spacing w:val="-4"/>
        </w:rPr>
      </w:r>
      <w:r>
        <w:rPr>
          <w:rFonts w:ascii="Times New Roman" w:hAnsi="Times New Roman" w:cs="Times New Roman" w:eastAsia="Times New Roman" w:hint="default"/>
          <w:spacing w:val="-4"/>
        </w:rPr>
        <w:t>12</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w:t>
      </w:r>
      <w:r>
        <w:rPr>
          <w:spacing w:val="-4"/>
        </w:rPr>
        <w:t>日召开第五届董事会第四十四次会议审议通过了《关于同意全资子公司增资暨放弃对其增资优先认缴</w:t>
      </w:r>
      <w:r>
        <w:rPr>
          <w:spacing w:val="58"/>
        </w:rPr>
        <w:t> </w:t>
      </w:r>
      <w:r>
        <w:rPr>
          <w:spacing w:val="58"/>
        </w:rPr>
      </w:r>
      <w:r>
        <w:rPr>
          <w:spacing w:val="-3"/>
        </w:rPr>
        <w:t>权的议案》，同意南京瑞思创科技有限公司（以下简称</w:t>
      </w:r>
      <w:r>
        <w:rPr>
          <w:rFonts w:ascii="Times New Roman" w:hAnsi="Times New Roman" w:cs="Times New Roman" w:eastAsia="Times New Roman" w:hint="default"/>
          <w:spacing w:val="-3"/>
        </w:rPr>
        <w:t>“</w:t>
      </w:r>
      <w:r>
        <w:rPr>
          <w:spacing w:val="-3"/>
        </w:rPr>
        <w:t>瑞思创</w:t>
      </w:r>
      <w:r>
        <w:rPr>
          <w:rFonts w:ascii="Times New Roman" w:hAnsi="Times New Roman" w:cs="Times New Roman" w:eastAsia="Times New Roman" w:hint="default"/>
          <w:spacing w:val="-3"/>
        </w:rPr>
        <w:t>”</w:t>
      </w:r>
      <w:r>
        <w:rPr>
          <w:spacing w:val="-3"/>
        </w:rPr>
        <w:t>）以</w:t>
      </w:r>
      <w:r>
        <w:rPr>
          <w:rFonts w:ascii="Times New Roman" w:hAnsi="Times New Roman" w:cs="Times New Roman" w:eastAsia="Times New Roman" w:hint="default"/>
          <w:spacing w:val="-3"/>
        </w:rPr>
        <w:t>2,000</w:t>
      </w:r>
      <w:r>
        <w:rPr>
          <w:spacing w:val="-3"/>
        </w:rPr>
        <w:t>万元人民币现金向润和智融增资并放弃对本次增</w:t>
      </w:r>
      <w:r>
        <w:rPr>
          <w:spacing w:val="76"/>
        </w:rPr>
        <w:t> </w:t>
      </w:r>
      <w:r>
        <w:rPr>
          <w:spacing w:val="76"/>
        </w:rPr>
      </w:r>
      <w:r>
        <w:rPr>
          <w:spacing w:val="-3"/>
        </w:rPr>
        <w:t>资的优先认缴权。本次增资完成后，润和智融注册资本增至</w:t>
      </w:r>
      <w:r>
        <w:rPr>
          <w:rFonts w:ascii="Times New Roman" w:hAnsi="Times New Roman" w:cs="Times New Roman" w:eastAsia="Times New Roman" w:hint="default"/>
          <w:spacing w:val="-3"/>
        </w:rPr>
        <w:t>5,000</w:t>
      </w:r>
      <w:r>
        <w:rPr>
          <w:spacing w:val="-3"/>
        </w:rPr>
        <w:t>万元人民币，润和软件持有润和智融</w:t>
      </w:r>
      <w:r>
        <w:rPr>
          <w:rFonts w:ascii="Times New Roman" w:hAnsi="Times New Roman" w:cs="Times New Roman" w:eastAsia="Times New Roman" w:hint="default"/>
          <w:spacing w:val="-3"/>
        </w:rPr>
        <w:t>60%</w:t>
      </w:r>
      <w:r>
        <w:rPr>
          <w:spacing w:val="-3"/>
        </w:rPr>
        <w:t>的股权，瑞思创</w:t>
      </w:r>
      <w:r>
        <w:rPr>
          <w:spacing w:val="82"/>
        </w:rPr>
        <w:t> </w:t>
      </w:r>
      <w:r>
        <w:rPr>
          <w:spacing w:val="82"/>
        </w:rPr>
      </w:r>
      <w:r>
        <w:rPr>
          <w:spacing w:val="-4"/>
        </w:rPr>
        <w:t>持有润和智融</w:t>
      </w:r>
      <w:r>
        <w:rPr>
          <w:rFonts w:ascii="Times New Roman" w:hAnsi="Times New Roman" w:cs="Times New Roman" w:eastAsia="Times New Roman" w:hint="default"/>
          <w:spacing w:val="-4"/>
        </w:rPr>
        <w:t>40%</w:t>
      </w:r>
      <w:r>
        <w:rPr>
          <w:spacing w:val="-4"/>
        </w:rPr>
        <w:t>股权，润和智融成为润和软件的控股子公司。润和智融已完成了上述工商变更登记手续，并取得了由南京</w:t>
      </w:r>
      <w:r>
        <w:rPr>
          <w:spacing w:val="70"/>
        </w:rPr>
        <w:t> </w:t>
      </w:r>
      <w:r>
        <w:rPr>
          <w:spacing w:val="70"/>
        </w:rPr>
      </w:r>
      <w:r>
        <w:rPr>
          <w:spacing w:val="-3"/>
        </w:rPr>
        <w:t>市市场监督管理局颁发的新的《营业执照》。以上具体内容请详见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日在中国证监会指定的创业</w:t>
      </w:r>
      <w:r>
        <w:rPr>
          <w:spacing w:val="2"/>
        </w:rPr>
        <w:t> </w:t>
      </w:r>
      <w:r>
        <w:rPr>
          <w:spacing w:val="2"/>
        </w:rPr>
      </w:r>
      <w:r>
        <w:rPr/>
        <w:t>板信息披露网站公告。</w:t>
      </w:r>
      <w:r>
        <w:rPr>
          <w:spacing w:val="-86"/>
        </w:rPr>
        <w:t> </w:t>
      </w:r>
      <w:r>
        <w:rPr>
          <w:spacing w:val="-86"/>
        </w:rPr>
      </w:r>
      <w:r>
        <w:rPr>
          <w:rFonts w:ascii="Times New Roman" w:hAnsi="Times New Roman" w:cs="Times New Roman" w:eastAsia="Times New Roman" w:hint="default"/>
          <w:spacing w:val="-4"/>
        </w:rPr>
        <w:t>13</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w:t>
      </w:r>
      <w:r>
        <w:rPr>
          <w:spacing w:val="-4"/>
        </w:rPr>
        <w:t>日召开第五届董事会第四十四次会议审议通过了《关于注销上海全资子公司的议案》，基于公司整体</w:t>
      </w:r>
      <w:r>
        <w:rPr>
          <w:spacing w:val="55"/>
        </w:rPr>
        <w:t> </w:t>
      </w:r>
      <w:r>
        <w:rPr>
          <w:spacing w:val="55"/>
        </w:rPr>
      </w:r>
      <w:r>
        <w:rPr>
          <w:spacing w:val="-4"/>
        </w:rPr>
        <w:t>战略规划及经营效益的考虑，为进一步整合和优化现有资源配置，降低管理成本，提高公司整体经营效益，公司拟注销全资</w:t>
      </w:r>
      <w:r>
        <w:rPr>
          <w:spacing w:val="40"/>
        </w:rPr>
        <w:t> </w:t>
      </w:r>
      <w:r>
        <w:rPr>
          <w:spacing w:val="40"/>
        </w:rPr>
      </w:r>
      <w:r>
        <w:rPr>
          <w:spacing w:val="-3"/>
        </w:rPr>
        <w:t>子公司润和云。以上具体内容请详见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日在中国证监会指定的创业板信息披露网站公告。</w:t>
      </w:r>
      <w:r>
        <w:rPr>
          <w:spacing w:val="46"/>
        </w:rPr>
        <w:t> </w:t>
      </w:r>
      <w:r>
        <w:rPr>
          <w:spacing w:val="46"/>
        </w:rPr>
      </w:r>
      <w:r>
        <w:rPr>
          <w:rFonts w:ascii="Times New Roman" w:hAnsi="Times New Roman" w:cs="Times New Roman" w:eastAsia="Times New Roman" w:hint="default"/>
          <w:spacing w:val="-3"/>
        </w:rPr>
        <w:t>14</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日召开第五届董事会第四十四次会议审议通过了《关于收购控股子公司部分少数股东股权的议案》，</w:t>
      </w:r>
      <w:r>
        <w:rPr>
          <w:spacing w:val="77"/>
        </w:rPr>
        <w:t> </w:t>
      </w:r>
      <w:r>
        <w:rPr>
          <w:spacing w:val="77"/>
        </w:rPr>
      </w:r>
      <w:r>
        <w:rPr>
          <w:spacing w:val="-3"/>
        </w:rPr>
        <w:t>为进一步增强对控股子公司广州润和的管控力度，推进公司发展战略、提高决策效率，公司与广州润和股东王永、戴强华、</w:t>
      </w:r>
      <w:r>
        <w:rPr>
          <w:spacing w:val="66"/>
        </w:rPr>
        <w:t> </w:t>
      </w:r>
      <w:r>
        <w:rPr>
          <w:spacing w:val="66"/>
        </w:rPr>
      </w:r>
      <w:r>
        <w:rPr>
          <w:spacing w:val="-4"/>
        </w:rPr>
        <w:t>沈智于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w:t>
      </w:r>
      <w:r>
        <w:rPr>
          <w:spacing w:val="-4"/>
        </w:rPr>
        <w:t>日签署了《股权转让协议》，以自有资金共计</w:t>
      </w:r>
      <w:r>
        <w:rPr>
          <w:rFonts w:ascii="Times New Roman" w:hAnsi="Times New Roman" w:cs="Times New Roman" w:eastAsia="Times New Roman" w:hint="default"/>
          <w:spacing w:val="-4"/>
        </w:rPr>
        <w:t>38</w:t>
      </w:r>
      <w:r>
        <w:rPr>
          <w:spacing w:val="-4"/>
        </w:rPr>
        <w:t>万元人民币收购王永、戴强华、沈智合计持有的</w:t>
      </w:r>
      <w:r>
        <w:rPr>
          <w:rFonts w:ascii="Times New Roman" w:hAnsi="Times New Roman" w:cs="Times New Roman" w:eastAsia="Times New Roman" w:hint="default"/>
          <w:spacing w:val="-4"/>
        </w:rPr>
        <w:t>19%</w:t>
      </w:r>
      <w:r>
        <w:rPr>
          <w:spacing w:val="-4"/>
        </w:rPr>
        <w:t>的股</w:t>
      </w:r>
      <w:r>
        <w:rPr>
          <w:spacing w:val="6"/>
        </w:rPr>
        <w:t> </w:t>
      </w:r>
      <w:r>
        <w:rPr>
          <w:spacing w:val="-3"/>
        </w:rPr>
        <w:t>权，且王永、戴强华、沈智合计已认缴的但截至目前尚未向广州润和缴纳的出资额</w:t>
      </w:r>
      <w:r>
        <w:rPr>
          <w:rFonts w:ascii="Times New Roman" w:hAnsi="Times New Roman" w:cs="Times New Roman" w:eastAsia="Times New Roman" w:hint="default"/>
          <w:spacing w:val="-3"/>
        </w:rPr>
        <w:t>152</w:t>
      </w:r>
      <w:r>
        <w:rPr>
          <w:spacing w:val="-3"/>
        </w:rPr>
        <w:t>万元的出资义务亦随本次股权转让而</w:t>
      </w:r>
      <w:r>
        <w:rPr>
          <w:spacing w:val="75"/>
        </w:rPr>
        <w:t> </w:t>
      </w:r>
      <w:r>
        <w:rPr>
          <w:spacing w:val="75"/>
        </w:rPr>
      </w:r>
      <w:r>
        <w:rPr>
          <w:spacing w:val="-7"/>
        </w:rPr>
        <w:t>转由公司承接。本次交易完成后，公司将持有广州润和</w:t>
      </w:r>
      <w:r>
        <w:rPr>
          <w:rFonts w:ascii="Times New Roman" w:hAnsi="Times New Roman" w:cs="Times New Roman" w:eastAsia="Times New Roman" w:hint="default"/>
          <w:spacing w:val="-7"/>
        </w:rPr>
        <w:t>70%</w:t>
      </w:r>
      <w:r>
        <w:rPr>
          <w:spacing w:val="-7"/>
        </w:rPr>
        <w:t>的股权，广州润和仍为公司控股子公司。以上具体内容请详见</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日在中国证监会指定的创业板信息披露网站公告。</w:t>
      </w:r>
    </w:p>
    <w:p>
      <w:pPr>
        <w:spacing w:after="0" w:line="302"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458" w:lineRule="exact"/>
        <w:ind w:left="3067" w:right="1626"/>
        <w:jc w:val="left"/>
        <w:rPr>
          <w:b w:val="0"/>
          <w:bCs w:val="0"/>
        </w:rPr>
      </w:pPr>
      <w:bookmarkStart w:name="_bookmark4" w:id="5"/>
      <w:bookmarkEnd w:id="5"/>
      <w:r>
        <w:rPr>
          <w:b w:val="0"/>
          <w:bCs w:val="0"/>
        </w:rPr>
      </w:r>
      <w:r>
        <w:rPr/>
        <w:t>第六节 </w:t>
      </w:r>
      <w:r>
        <w:rPr>
          <w:spacing w:val="18"/>
        </w:rPr>
        <w:t> </w:t>
      </w:r>
      <w:r>
        <w:rPr/>
        <w:t>股份变动及股东情况</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2"/>
        <w:spacing w:line="367" w:lineRule="exact"/>
        <w:ind w:left="253" w:right="1626"/>
        <w:jc w:val="left"/>
        <w:rPr>
          <w:b w:val="0"/>
          <w:bCs w:val="0"/>
        </w:rPr>
      </w:pPr>
      <w:r>
        <w:rPr/>
        <w:t>一、股份变动情况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3"/>
        <w:spacing w:line="240" w:lineRule="auto"/>
        <w:ind w:left="253" w:right="162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988"/>
        <w:gridCol w:w="1066"/>
        <w:gridCol w:w="778"/>
        <w:gridCol w:w="869"/>
        <w:gridCol w:w="547"/>
        <w:gridCol w:w="994"/>
        <w:gridCol w:w="989"/>
        <w:gridCol w:w="994"/>
        <w:gridCol w:w="994"/>
        <w:gridCol w:w="711"/>
      </w:tblGrid>
      <w:tr>
        <w:trPr>
          <w:trHeight w:val="403"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05"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98"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发行新股</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right"/>
              <w:rPr>
                <w:rFonts w:ascii="宋体" w:hAnsi="宋体" w:cs="宋体" w:eastAsia="宋体" w:hint="default"/>
                <w:sz w:val="18"/>
                <w:szCs w:val="18"/>
              </w:rPr>
            </w:pPr>
            <w:r>
              <w:rPr>
                <w:rFonts w:ascii="宋体" w:hAnsi="宋体" w:cs="宋体" w:eastAsia="宋体" w:hint="default"/>
                <w:spacing w:val="-2"/>
                <w:sz w:val="18"/>
                <w:szCs w:val="18"/>
              </w:rPr>
              <w:t>公积金转股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210,916,552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81,326,141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-128,140,63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-46,814,493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164,102,059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14,558,465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14,558,465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14,558,465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w:t>
            </w: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210,916,552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66,767,676</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-128,140,63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-61,372,958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149,543,594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122,996,756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66,767,676</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-94,121,937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-27,354,261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95,642,495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12.01%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87,919,796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-34,018,697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-34,018,697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53,901,099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504,550,148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127,758,634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127,758,634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632,308,782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79.39%</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504,550,148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127,758,634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127,758,634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632,308,782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79.39%</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715,466,700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81,326,141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80,944,141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796,410,841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4"/>
        <w:ind w:left="253" w:right="1626"/>
        <w:jc w:val="left"/>
      </w:pPr>
      <w:r>
        <w:rPr>
          <w:spacing w:val="-3"/>
        </w:rPr>
        <w:t>股份变动的原因</w:t>
      </w:r>
    </w:p>
    <w:p>
      <w:pPr>
        <w:pStyle w:val="BodyText"/>
        <w:spacing w:line="319" w:lineRule="auto" w:before="115"/>
        <w:ind w:left="253" w:right="18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月，公司高管锁定股每年按所持股份的</w:t>
      </w:r>
      <w:r>
        <w:rPr>
          <w:rFonts w:ascii="Times New Roman" w:hAnsi="Times New Roman" w:cs="Times New Roman" w:eastAsia="Times New Roman" w:hint="default"/>
          <w:spacing w:val="-3"/>
        </w:rPr>
        <w:t>25%</w:t>
      </w:r>
      <w:r>
        <w:rPr>
          <w:spacing w:val="-3"/>
        </w:rPr>
        <w:t>比例释放，导致公司有限售条件股份中的高管锁定股减少</w:t>
      </w:r>
      <w:r>
        <w:rPr>
          <w:rFonts w:ascii="Times New Roman" w:hAnsi="Times New Roman" w:cs="Times New Roman" w:eastAsia="Times New Roman" w:hint="default"/>
          <w:spacing w:val="-3"/>
        </w:rPr>
        <w:t>5,177,301</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3"/>
        </w:rPr>
        <w:t>股，无限售流通股相应增加。</w:t>
      </w:r>
      <w:r>
        <w:rPr>
          <w:spacing w:val="-50"/>
        </w:rPr>
        <w:t> </w:t>
      </w:r>
      <w:r>
        <w:rPr>
          <w:spacing w:val="-50"/>
        </w:rPr>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18</w:t>
      </w:r>
      <w:r>
        <w:rPr>
          <w:spacing w:val="-4"/>
        </w:rPr>
        <w:t>日，公司</w:t>
      </w:r>
      <w:r>
        <w:rPr>
          <w:rFonts w:ascii="Times New Roman" w:hAnsi="Times New Roman" w:cs="Times New Roman" w:eastAsia="Times New Roman" w:hint="default"/>
          <w:spacing w:val="-4"/>
        </w:rPr>
        <w:t>2014</w:t>
      </w:r>
      <w:r>
        <w:rPr>
          <w:spacing w:val="-4"/>
        </w:rPr>
        <w:t>年限制性股票激励计划首次授予的限制性股票第三个解锁期及预留授予的限制性股票第二个解</w:t>
      </w:r>
    </w:p>
    <w:p>
      <w:pPr>
        <w:pStyle w:val="BodyText"/>
        <w:spacing w:line="304" w:lineRule="auto"/>
        <w:ind w:left="253" w:right="188"/>
        <w:jc w:val="left"/>
      </w:pPr>
      <w:r>
        <w:rPr>
          <w:spacing w:val="-4"/>
        </w:rPr>
        <w:t>锁期条件成就而解锁的限制性股票上市流通，本次解锁可上市流通的限制性股票数量共计</w:t>
      </w:r>
      <w:r>
        <w:rPr>
          <w:rFonts w:ascii="Times New Roman" w:hAnsi="Times New Roman" w:cs="Times New Roman" w:eastAsia="Times New Roman" w:hint="default"/>
          <w:spacing w:val="-4"/>
        </w:rPr>
        <w:t>904.40</w:t>
      </w:r>
      <w:r>
        <w:rPr>
          <w:spacing w:val="-4"/>
        </w:rPr>
        <w:t>万股，上述变动导致公司有</w:t>
      </w:r>
      <w:r>
        <w:rPr>
          <w:spacing w:val="8"/>
        </w:rPr>
        <w:t> </w:t>
      </w:r>
      <w:r>
        <w:rPr>
          <w:spacing w:val="8"/>
        </w:rPr>
      </w:r>
      <w:r>
        <w:rPr>
          <w:spacing w:val="-3"/>
        </w:rPr>
        <w:t>限售条件股份减少，无限售流通股相应增加。</w:t>
      </w:r>
      <w:r>
        <w:rPr>
          <w:spacing w:val="-27"/>
        </w:rPr>
        <w:t> </w:t>
      </w:r>
      <w:r>
        <w:rPr>
          <w:spacing w:val="-27"/>
        </w:rPr>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日，公司非公开发行新增股份</w:t>
      </w:r>
      <w:r>
        <w:rPr>
          <w:rFonts w:ascii="Times New Roman" w:hAnsi="Times New Roman" w:cs="Times New Roman" w:eastAsia="Times New Roman" w:hint="default"/>
          <w:spacing w:val="-3"/>
        </w:rPr>
        <w:t>81,326,141</w:t>
      </w:r>
      <w:r>
        <w:rPr>
          <w:spacing w:val="-3"/>
        </w:rPr>
        <w:t>股在深圳证券交易所上市，发行对象认购的股份自上市之日起十二</w:t>
      </w:r>
      <w:r>
        <w:rPr>
          <w:spacing w:val="8"/>
        </w:rPr>
        <w:t> </w:t>
      </w:r>
      <w:r>
        <w:rPr>
          <w:spacing w:val="8"/>
        </w:rPr>
      </w:r>
      <w:r>
        <w:rPr>
          <w:spacing w:val="-6"/>
          <w:w w:val="101"/>
        </w:rPr>
        <w:t>个月内不得上市交易，预计上市流通时间为</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1</w:t>
      </w:r>
      <w:r>
        <w:rPr>
          <w:spacing w:val="-6"/>
          <w:w w:val="101"/>
        </w:rPr>
        <w:t>月</w:t>
      </w:r>
      <w:r>
        <w:rPr>
          <w:rFonts w:ascii="Times New Roman" w:hAnsi="Times New Roman" w:cs="Times New Roman" w:eastAsia="Times New Roman" w:hint="default"/>
          <w:spacing w:val="-6"/>
          <w:w w:val="101"/>
        </w:rPr>
        <w:t>28</w:t>
      </w:r>
      <w:r>
        <w:rPr>
          <w:spacing w:val="-6"/>
          <w:w w:val="101"/>
        </w:rPr>
        <w:t>日。公司有限售条件股份增加</w:t>
      </w:r>
      <w:r>
        <w:rPr>
          <w:rFonts w:ascii="Times New Roman" w:hAnsi="Times New Roman" w:cs="Times New Roman" w:eastAsia="Times New Roman" w:hint="default"/>
          <w:spacing w:val="-6"/>
          <w:w w:val="101"/>
        </w:rPr>
        <w:t>81,326,141</w:t>
      </w:r>
      <w:r>
        <w:rPr>
          <w:spacing w:val="-6"/>
          <w:w w:val="101"/>
        </w:rPr>
        <w:t>股，公司总股本由</w:t>
      </w:r>
      <w:r>
        <w:rPr>
          <w:rFonts w:ascii="Times New Roman" w:hAnsi="Times New Roman" w:cs="Times New Roman" w:eastAsia="Times New Roman" w:hint="default"/>
          <w:spacing w:val="-6"/>
          <w:w w:val="101"/>
        </w:rPr>
        <w:t>71,546.6700</w:t>
      </w:r>
      <w:r>
        <w:rPr>
          <w:rFonts w:ascii="Times New Roman" w:hAnsi="Times New Roman" w:cs="Times New Roman" w:eastAsia="Times New Roman" w:hint="default"/>
          <w:spacing w:val="-23"/>
          <w:w w:val="101"/>
        </w:rPr>
        <w:t> </w:t>
      </w:r>
      <w:r>
        <w:rPr>
          <w:rFonts w:ascii="Times New Roman" w:hAnsi="Times New Roman" w:cs="Times New Roman" w:eastAsia="Times New Roman" w:hint="default"/>
          <w:spacing w:val="-23"/>
          <w:w w:val="101"/>
        </w:rPr>
      </w:r>
      <w:r>
        <w:rPr/>
        <w:t>万股变更为</w:t>
      </w:r>
      <w:r>
        <w:rPr>
          <w:rFonts w:ascii="Times New Roman" w:hAnsi="Times New Roman" w:cs="Times New Roman" w:eastAsia="Times New Roman" w:hint="default"/>
        </w:rPr>
        <w:t>79,679.2841</w:t>
      </w:r>
      <w:r>
        <w:rPr/>
        <w:t>万股。</w:t>
      </w:r>
    </w:p>
    <w:p>
      <w:pPr>
        <w:spacing w:after="0" w:line="304" w:lineRule="auto"/>
        <w:jc w:val="left"/>
        <w:sectPr>
          <w:pgSz w:w="11910" w:h="16840"/>
          <w:pgMar w:header="741" w:footer="979" w:top="1060" w:bottom="1160" w:left="8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日，公司完成</w:t>
      </w:r>
      <w:r>
        <w:rPr>
          <w:rFonts w:ascii="Times New Roman" w:hAnsi="Times New Roman" w:cs="Times New Roman" w:eastAsia="Times New Roman" w:hint="default"/>
          <w:spacing w:val="-3"/>
        </w:rPr>
        <w:t>29</w:t>
      </w:r>
      <w:r>
        <w:rPr>
          <w:spacing w:val="-3"/>
        </w:rPr>
        <w:t>名激励对象的已获授权但尚未解锁的全部限制性股票共计</w:t>
      </w:r>
      <w:r>
        <w:rPr>
          <w:rFonts w:ascii="Times New Roman" w:hAnsi="Times New Roman" w:cs="Times New Roman" w:eastAsia="Times New Roman" w:hint="default"/>
          <w:spacing w:val="-3"/>
        </w:rPr>
        <w:t>38.20</w:t>
      </w:r>
      <w:r>
        <w:rPr>
          <w:spacing w:val="-3"/>
        </w:rPr>
        <w:t>万股的回购注销，导致公司有</w:t>
      </w:r>
      <w:r>
        <w:rPr>
          <w:spacing w:val="49"/>
        </w:rPr>
        <w:t> </w:t>
      </w:r>
      <w:r>
        <w:rPr>
          <w:spacing w:val="49"/>
        </w:rPr>
      </w:r>
      <w:r>
        <w:rPr/>
        <w:t>限售条件股份中的股权激励限售股减少</w:t>
      </w:r>
      <w:r>
        <w:rPr>
          <w:rFonts w:ascii="Times New Roman" w:hAnsi="Times New Roman" w:cs="Times New Roman" w:eastAsia="Times New Roman" w:hint="default"/>
        </w:rPr>
        <w:t>38.20</w:t>
      </w:r>
      <w:r>
        <w:rPr/>
        <w:t>万股。公司总股本由</w:t>
      </w:r>
      <w:r>
        <w:rPr>
          <w:rFonts w:ascii="Times New Roman" w:hAnsi="Times New Roman" w:cs="Times New Roman" w:eastAsia="Times New Roman" w:hint="default"/>
        </w:rPr>
        <w:t>79,679.2841</w:t>
      </w:r>
      <w:r>
        <w:rPr/>
        <w:t>万股变更为</w:t>
      </w:r>
      <w:r>
        <w:rPr>
          <w:rFonts w:ascii="Times New Roman" w:hAnsi="Times New Roman" w:cs="Times New Roman" w:eastAsia="Times New Roman" w:hint="default"/>
        </w:rPr>
        <w:t>79,641.0841</w:t>
      </w:r>
      <w:r>
        <w:rPr/>
        <w:t>万股。</w:t>
      </w:r>
      <w:r>
        <w:rPr>
          <w:w w:val="101"/>
        </w:rPr>
        <w:t> </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日，公司董事朱祖龙先生辞职生效，其股份全部锁定</w:t>
      </w:r>
      <w:r>
        <w:rPr>
          <w:rFonts w:ascii="Times New Roman" w:hAnsi="Times New Roman" w:cs="Times New Roman" w:eastAsia="Times New Roman" w:hint="default"/>
          <w:spacing w:val="-3"/>
        </w:rPr>
        <w:t>6</w:t>
      </w:r>
      <w:r>
        <w:rPr>
          <w:spacing w:val="-3"/>
        </w:rPr>
        <w:t>个月，导致公司有限售条件股份中的高管锁定股增加</w:t>
      </w:r>
    </w:p>
    <w:p>
      <w:pPr>
        <w:pStyle w:val="BodyText"/>
        <w:spacing w:line="240" w:lineRule="auto" w:before="13"/>
        <w:ind w:right="0"/>
        <w:jc w:val="left"/>
      </w:pPr>
      <w:r>
        <w:rPr>
          <w:rFonts w:ascii="Times New Roman" w:hAnsi="Times New Roman" w:cs="Times New Roman" w:eastAsia="Times New Roman" w:hint="default"/>
        </w:rPr>
        <w:t>575,000</w:t>
      </w:r>
      <w:r>
        <w:rPr/>
        <w:t>股，无限售流通股相应减少。</w:t>
      </w:r>
    </w:p>
    <w:p>
      <w:pPr>
        <w:pStyle w:val="BodyText"/>
        <w:spacing w:line="307" w:lineRule="auto" w:before="63"/>
        <w:ind w:right="1122"/>
        <w:jc w:val="both"/>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月，公司发行股份及支付现金购买资产并募集配套资金之限售股份解除限售并上市流通，公司向宁波宏创股权投</w:t>
      </w:r>
      <w:r>
        <w:rPr>
          <w:spacing w:val="55"/>
        </w:rPr>
        <w:t> </w:t>
      </w:r>
      <w:r>
        <w:rPr>
          <w:spacing w:val="55"/>
        </w:rPr>
      </w:r>
      <w:r>
        <w:rPr>
          <w:spacing w:val="-4"/>
        </w:rPr>
        <w:t>资合伙企业（有限合伙）、西藏瑞华投资发展有限公司、黄学军、曹荣、南京泰瑞投资管理中心（有限合伙）发行的新增股</w:t>
      </w:r>
      <w:r>
        <w:rPr>
          <w:spacing w:val="40"/>
        </w:rPr>
        <w:t> </w:t>
      </w:r>
      <w:r>
        <w:rPr>
          <w:spacing w:val="40"/>
        </w:rPr>
      </w:r>
      <w:r>
        <w:rPr>
          <w:spacing w:val="-4"/>
        </w:rPr>
        <w:t>份共计</w:t>
      </w:r>
      <w:r>
        <w:rPr>
          <w:rFonts w:ascii="Times New Roman" w:hAnsi="Times New Roman" w:cs="Times New Roman" w:eastAsia="Times New Roman" w:hint="default"/>
          <w:spacing w:val="-4"/>
        </w:rPr>
        <w:t>145,328,152</w:t>
      </w:r>
      <w:r>
        <w:rPr>
          <w:spacing w:val="-4"/>
        </w:rPr>
        <w:t>股（按</w:t>
      </w:r>
      <w:r>
        <w:rPr>
          <w:rFonts w:ascii="Times New Roman" w:hAnsi="Times New Roman" w:cs="Times New Roman" w:eastAsia="Times New Roman" w:hint="default"/>
          <w:spacing w:val="-4"/>
        </w:rPr>
        <w:t>2016</w:t>
      </w:r>
      <w:r>
        <w:rPr>
          <w:spacing w:val="-4"/>
        </w:rPr>
        <w:t>年度权益分派实施后计算），本次共计</w:t>
      </w:r>
      <w:r>
        <w:rPr>
          <w:rFonts w:ascii="Times New Roman" w:hAnsi="Times New Roman" w:cs="Times New Roman" w:eastAsia="Times New Roman" w:hint="default"/>
          <w:spacing w:val="-4"/>
        </w:rPr>
        <w:t>116,453,333</w:t>
      </w:r>
      <w:r>
        <w:rPr>
          <w:spacing w:val="-4"/>
        </w:rPr>
        <w:t>股解除限售并上市流通，导致公司有限售条</w:t>
      </w:r>
      <w:r>
        <w:rPr>
          <w:spacing w:val="6"/>
        </w:rPr>
        <w:t> </w:t>
      </w:r>
      <w:r>
        <w:rPr>
          <w:spacing w:val="6"/>
        </w:rPr>
      </w:r>
      <w:r>
        <w:rPr>
          <w:spacing w:val="-3"/>
        </w:rPr>
        <w:t>件股份中的首发后限售股减少</w:t>
      </w:r>
      <w:r>
        <w:rPr>
          <w:rFonts w:ascii="Times New Roman" w:hAnsi="Times New Roman" w:cs="Times New Roman" w:eastAsia="Times New Roman" w:hint="default"/>
          <w:spacing w:val="-3"/>
        </w:rPr>
        <w:t>116,453,333</w:t>
      </w:r>
      <w:r>
        <w:rPr>
          <w:spacing w:val="-3"/>
        </w:rPr>
        <w:t>股，无限售流通股相应增加。</w:t>
      </w:r>
    </w:p>
    <w:p>
      <w:pPr>
        <w:pStyle w:val="BodyText"/>
        <w:spacing w:line="240" w:lineRule="auto" w:before="50"/>
        <w:ind w:right="0"/>
        <w:jc w:val="left"/>
      </w:pPr>
      <w:r>
        <w:rPr>
          <w:spacing w:val="-3"/>
        </w:rPr>
        <w:t>股份变动的批准情况</w:t>
      </w:r>
    </w:p>
    <w:p>
      <w:pPr>
        <w:pStyle w:val="BodyText"/>
        <w:spacing w:line="316"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、经中国证券监督管理委员会《关于核准江苏润和软件股份有限公司非公开发行股票的批复》（证监许可</w:t>
      </w:r>
      <w:r>
        <w:rPr>
          <w:rFonts w:ascii="Times New Roman" w:hAnsi="Times New Roman" w:cs="Times New Roman" w:eastAsia="Times New Roman" w:hint="default"/>
          <w:spacing w:val="-3"/>
        </w:rPr>
        <w:t>[2017]1213</w:t>
      </w:r>
      <w:r>
        <w:rPr>
          <w:spacing w:val="-3"/>
        </w:rPr>
        <w:t>号），</w:t>
      </w:r>
      <w:r>
        <w:rPr>
          <w:spacing w:val="63"/>
        </w:rPr>
        <w:t> </w:t>
      </w:r>
      <w:r>
        <w:rPr>
          <w:spacing w:val="-3"/>
        </w:rPr>
        <w:t>核准公司非公开发行不超过</w:t>
      </w:r>
      <w:r>
        <w:rPr>
          <w:rFonts w:ascii="Times New Roman" w:hAnsi="Times New Roman" w:cs="Times New Roman" w:eastAsia="Times New Roman" w:hint="default"/>
          <w:spacing w:val="-3"/>
        </w:rPr>
        <w:t>10,000</w:t>
      </w:r>
      <w:r>
        <w:rPr>
          <w:spacing w:val="-3"/>
        </w:rPr>
        <w:t>万股新股。公司向</w:t>
      </w:r>
      <w:r>
        <w:rPr>
          <w:rFonts w:ascii="Times New Roman" w:hAnsi="Times New Roman" w:cs="Times New Roman" w:eastAsia="Times New Roman" w:hint="default"/>
          <w:spacing w:val="-3"/>
        </w:rPr>
        <w:t>4</w:t>
      </w:r>
      <w:r>
        <w:rPr>
          <w:spacing w:val="-3"/>
        </w:rPr>
        <w:t>名特定投资者共计发行人民币普通股（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81,326,141</w:t>
      </w:r>
      <w:r>
        <w:rPr>
          <w:spacing w:val="-3"/>
        </w:rPr>
        <w:t>股，每股发行</w:t>
      </w:r>
    </w:p>
    <w:p>
      <w:pPr>
        <w:pStyle w:val="BodyText"/>
        <w:spacing w:line="300" w:lineRule="auto"/>
        <w:ind w:right="0"/>
        <w:jc w:val="left"/>
      </w:pPr>
      <w:r>
        <w:rPr>
          <w:spacing w:val="-3"/>
        </w:rPr>
        <w:t>价格为人民币</w:t>
      </w:r>
      <w:r>
        <w:rPr>
          <w:rFonts w:ascii="Times New Roman" w:hAnsi="Times New Roman" w:cs="Times New Roman" w:eastAsia="Times New Roman" w:hint="default"/>
          <w:spacing w:val="-3"/>
        </w:rPr>
        <w:t>9.90</w:t>
      </w:r>
      <w:r>
        <w:rPr>
          <w:spacing w:val="-3"/>
        </w:rPr>
        <w:t>元</w:t>
      </w:r>
      <w:r>
        <w:rPr>
          <w:rFonts w:ascii="Times New Roman" w:hAnsi="Times New Roman" w:cs="Times New Roman" w:eastAsia="Times New Roman" w:hint="default"/>
          <w:spacing w:val="-3"/>
        </w:rPr>
        <w:t>/</w:t>
      </w:r>
      <w:r>
        <w:rPr>
          <w:spacing w:val="-3"/>
        </w:rPr>
        <w:t>股。其中，泰达宏利基金管理有限公司认购</w:t>
      </w:r>
      <w:r>
        <w:rPr>
          <w:rFonts w:ascii="Times New Roman" w:hAnsi="Times New Roman" w:cs="Times New Roman" w:eastAsia="Times New Roman" w:hint="default"/>
          <w:spacing w:val="-3"/>
        </w:rPr>
        <w:t>36,363,636</w:t>
      </w:r>
      <w:r>
        <w:rPr>
          <w:spacing w:val="-3"/>
        </w:rPr>
        <w:t>股，浙江浙商产融控股有限公司认购</w:t>
      </w:r>
      <w:r>
        <w:rPr>
          <w:rFonts w:ascii="Times New Roman" w:hAnsi="Times New Roman" w:cs="Times New Roman" w:eastAsia="Times New Roman" w:hint="default"/>
          <w:spacing w:val="-3"/>
        </w:rPr>
        <w:t>15,151,515</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4"/>
        </w:rPr>
        <w:t>股，财通基金管理有限公司认购</w:t>
      </w:r>
      <w:r>
        <w:rPr>
          <w:rFonts w:ascii="Times New Roman" w:hAnsi="Times New Roman" w:cs="Times New Roman" w:eastAsia="Times New Roman" w:hint="default"/>
          <w:spacing w:val="-4"/>
        </w:rPr>
        <w:t>15,252,525</w:t>
      </w:r>
      <w:r>
        <w:rPr>
          <w:spacing w:val="-4"/>
        </w:rPr>
        <w:t>股，申万宏源证券有限公司认购</w:t>
      </w:r>
      <w:r>
        <w:rPr>
          <w:rFonts w:ascii="Times New Roman" w:hAnsi="Times New Roman" w:cs="Times New Roman" w:eastAsia="Times New Roman" w:hint="default"/>
          <w:spacing w:val="-4"/>
        </w:rPr>
        <w:t>14,558,465</w:t>
      </w:r>
      <w:r>
        <w:rPr>
          <w:spacing w:val="-4"/>
        </w:rPr>
        <w:t>股。公司总股本由</w:t>
      </w:r>
      <w:r>
        <w:rPr>
          <w:rFonts w:ascii="Times New Roman" w:hAnsi="Times New Roman" w:cs="Times New Roman" w:eastAsia="Times New Roman" w:hint="default"/>
          <w:spacing w:val="-4"/>
        </w:rPr>
        <w:t>71,546.6700</w:t>
      </w:r>
      <w:r>
        <w:rPr>
          <w:spacing w:val="-4"/>
        </w:rPr>
        <w:t>万股变更</w:t>
      </w:r>
      <w:r>
        <w:rPr>
          <w:spacing w:val="22"/>
        </w:rPr>
        <w:t> </w:t>
      </w:r>
      <w:r>
        <w:rPr>
          <w:spacing w:val="22"/>
        </w:rPr>
      </w:r>
      <w:r>
        <w:rPr/>
        <w:t>为</w:t>
      </w:r>
      <w:r>
        <w:rPr>
          <w:rFonts w:ascii="Times New Roman" w:hAnsi="Times New Roman" w:cs="Times New Roman" w:eastAsia="Times New Roman" w:hint="default"/>
        </w:rPr>
        <w:t>79,679.2841</w:t>
      </w:r>
      <w:r>
        <w:rPr/>
        <w:t>万股。</w:t>
      </w:r>
    </w:p>
    <w:p>
      <w:pPr>
        <w:pStyle w:val="BodyText"/>
        <w:spacing w:line="300" w:lineRule="auto" w:before="13"/>
        <w:ind w:right="1026"/>
        <w:jc w:val="left"/>
      </w:pPr>
      <w:r>
        <w:rPr>
          <w:rFonts w:ascii="Times New Roman" w:hAnsi="Times New Roman" w:cs="Times New Roman" w:eastAsia="Times New Roman" w:hint="default"/>
          <w:spacing w:val="-3"/>
        </w:rPr>
        <w:t>2</w:t>
      </w:r>
      <w:r>
        <w:rPr>
          <w:spacing w:val="-3"/>
        </w:rPr>
        <w:t>、根据《江苏润和软件股份有限公司</w:t>
      </w:r>
      <w:r>
        <w:rPr>
          <w:rFonts w:ascii="Times New Roman" w:hAnsi="Times New Roman" w:cs="Times New Roman" w:eastAsia="Times New Roman" w:hint="default"/>
          <w:spacing w:val="-3"/>
        </w:rPr>
        <w:t>2014</w:t>
      </w:r>
      <w:r>
        <w:rPr>
          <w:spacing w:val="-3"/>
        </w:rPr>
        <w:t>年限制性股票激励计划（草案修订稿）》的相关规定及</w:t>
      </w:r>
      <w:r>
        <w:rPr>
          <w:rFonts w:ascii="Times New Roman" w:hAnsi="Times New Roman" w:cs="Times New Roman" w:eastAsia="Times New Roman" w:hint="default"/>
          <w:spacing w:val="-3"/>
        </w:rPr>
        <w:t>2014</w:t>
      </w:r>
      <w:r>
        <w:rPr>
          <w:spacing w:val="-3"/>
        </w:rPr>
        <w:t>年第五次临时股东大</w:t>
      </w:r>
      <w:r>
        <w:rPr>
          <w:spacing w:val="82"/>
        </w:rPr>
        <w:t> </w:t>
      </w:r>
      <w:r>
        <w:rPr>
          <w:spacing w:val="82"/>
        </w:rPr>
      </w:r>
      <w:r>
        <w:rPr>
          <w:spacing w:val="-4"/>
        </w:rPr>
        <w:t>会的授权，公司于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日召开第五届董事会第二十八次会议，审议并通过了《关于回购注销</w:t>
      </w:r>
      <w:r>
        <w:rPr>
          <w:rFonts w:ascii="Times New Roman" w:hAnsi="Times New Roman" w:cs="Times New Roman" w:eastAsia="Times New Roman" w:hint="default"/>
          <w:spacing w:val="-4"/>
        </w:rPr>
        <w:t>2014</w:t>
      </w:r>
      <w:r>
        <w:rPr>
          <w:spacing w:val="-4"/>
        </w:rPr>
        <w:t>年限制性股票激励</w:t>
      </w:r>
      <w:r>
        <w:rPr>
          <w:spacing w:val="66"/>
        </w:rPr>
        <w:t> </w:t>
      </w:r>
      <w:r>
        <w:rPr>
          <w:spacing w:val="66"/>
        </w:rPr>
      </w:r>
      <w:r>
        <w:rPr>
          <w:spacing w:val="-4"/>
        </w:rPr>
        <w:t>计划部分已获授但尚未解锁的限制性股票的议案》和《关于</w:t>
      </w:r>
      <w:r>
        <w:rPr>
          <w:rFonts w:ascii="Times New Roman" w:hAnsi="Times New Roman" w:cs="Times New Roman" w:eastAsia="Times New Roman" w:hint="default"/>
          <w:spacing w:val="-4"/>
        </w:rPr>
        <w:t>2014</w:t>
      </w:r>
      <w:r>
        <w:rPr>
          <w:spacing w:val="-4"/>
        </w:rPr>
        <w:t>年限制性股票激励计划首次授予的限制性股票第三个解锁期</w:t>
      </w:r>
      <w:r>
        <w:rPr>
          <w:spacing w:val="50"/>
        </w:rPr>
        <w:t> </w:t>
      </w:r>
      <w:r>
        <w:rPr>
          <w:spacing w:val="50"/>
        </w:rPr>
      </w:r>
      <w:r>
        <w:rPr>
          <w:spacing w:val="-3"/>
        </w:rPr>
        <w:t>及预留授予的限制性股票第二个解锁期条件成就可解锁的议案》。经董事会审议，认为：（</w:t>
      </w:r>
      <w:r>
        <w:rPr>
          <w:rFonts w:ascii="Times New Roman" w:hAnsi="Times New Roman" w:cs="Times New Roman" w:eastAsia="Times New Roman" w:hint="default"/>
          <w:spacing w:val="-3"/>
        </w:rPr>
        <w:t>1</w:t>
      </w:r>
      <w:r>
        <w:rPr>
          <w:spacing w:val="-3"/>
        </w:rPr>
        <w:t>）鉴于公司《激励计划（草案</w:t>
      </w:r>
      <w:r>
        <w:rPr>
          <w:spacing w:val="71"/>
        </w:rPr>
        <w:t> </w:t>
      </w:r>
      <w:r>
        <w:rPr>
          <w:spacing w:val="71"/>
        </w:rPr>
      </w:r>
      <w:r>
        <w:rPr>
          <w:spacing w:val="-4"/>
        </w:rPr>
        <w:t>修订稿）》首次授予的激励对象莫华军、沈欣慧等</w:t>
      </w:r>
      <w:r>
        <w:rPr>
          <w:rFonts w:ascii="Times New Roman" w:hAnsi="Times New Roman" w:cs="Times New Roman" w:eastAsia="Times New Roman" w:hint="default"/>
          <w:spacing w:val="-4"/>
        </w:rPr>
        <w:t>19</w:t>
      </w:r>
      <w:r>
        <w:rPr>
          <w:spacing w:val="-4"/>
        </w:rPr>
        <w:t>人及预留授予的激励对象魏榕祠、蒋昕等</w:t>
      </w:r>
      <w:r>
        <w:rPr>
          <w:rFonts w:ascii="Times New Roman" w:hAnsi="Times New Roman" w:cs="Times New Roman" w:eastAsia="Times New Roman" w:hint="default"/>
          <w:spacing w:val="-4"/>
        </w:rPr>
        <w:t>10</w:t>
      </w:r>
      <w:r>
        <w:rPr>
          <w:spacing w:val="-4"/>
        </w:rPr>
        <w:t>人，共计</w:t>
      </w:r>
      <w:r>
        <w:rPr>
          <w:rFonts w:ascii="Times New Roman" w:hAnsi="Times New Roman" w:cs="Times New Roman" w:eastAsia="Times New Roman" w:hint="default"/>
          <w:spacing w:val="-4"/>
        </w:rPr>
        <w:t>29</w:t>
      </w:r>
      <w:r>
        <w:rPr>
          <w:spacing w:val="-4"/>
        </w:rPr>
        <w:t>人因个人原因已</w:t>
      </w:r>
      <w:r>
        <w:rPr>
          <w:spacing w:val="54"/>
        </w:rPr>
        <w:t> </w:t>
      </w:r>
      <w:r>
        <w:rPr>
          <w:spacing w:val="54"/>
        </w:rPr>
      </w:r>
      <w:r>
        <w:rPr>
          <w:spacing w:val="-4"/>
        </w:rPr>
        <w:t>离职，根据《激励计划（草案修订稿）》的规定和公司</w:t>
      </w:r>
      <w:r>
        <w:rPr>
          <w:rFonts w:ascii="Times New Roman" w:hAnsi="Times New Roman" w:cs="Times New Roman" w:eastAsia="Times New Roman" w:hint="default"/>
          <w:spacing w:val="-4"/>
        </w:rPr>
        <w:t>2014</w:t>
      </w:r>
      <w:r>
        <w:rPr>
          <w:spacing w:val="-4"/>
        </w:rPr>
        <w:t>年第五次临时股东大会的授权，公司董事会同意取消上述共计</w:t>
      </w:r>
      <w:r>
        <w:rPr>
          <w:rFonts w:ascii="Times New Roman" w:hAnsi="Times New Roman" w:cs="Times New Roman" w:eastAsia="Times New Roman" w:hint="default"/>
          <w:spacing w:val="-4"/>
        </w:rPr>
        <w:t>29</w:t>
      </w:r>
      <w:r>
        <w:rPr>
          <w:rFonts w:ascii="Times New Roman" w:hAnsi="Times New Roman" w:cs="Times New Roman" w:eastAsia="Times New Roman" w:hint="default"/>
          <w:spacing w:val="7"/>
        </w:rPr>
        <w:t> </w:t>
      </w:r>
      <w:r>
        <w:rPr>
          <w:spacing w:val="-5"/>
          <w:w w:val="101"/>
        </w:rPr>
        <w:t>人的激励对象资格并回购注销上述人员已获授权但尚未解锁的全部限制性股票共计</w:t>
      </w:r>
      <w:r>
        <w:rPr>
          <w:rFonts w:ascii="Times New Roman" w:hAnsi="Times New Roman" w:cs="Times New Roman" w:eastAsia="Times New Roman" w:hint="default"/>
          <w:spacing w:val="-5"/>
          <w:w w:val="101"/>
        </w:rPr>
        <w:t>38.20</w:t>
      </w:r>
      <w:r>
        <w:rPr>
          <w:spacing w:val="-5"/>
          <w:w w:val="101"/>
        </w:rPr>
        <w:t>万股，并对回购价格进行调整；（</w:t>
      </w:r>
      <w:r>
        <w:rPr>
          <w:rFonts w:ascii="Times New Roman" w:hAnsi="Times New Roman" w:cs="Times New Roman" w:eastAsia="Times New Roman" w:hint="default"/>
          <w:spacing w:val="-5"/>
          <w:w w:val="101"/>
        </w:rPr>
        <w:t>2</w:t>
      </w:r>
      <w:r>
        <w:rPr>
          <w:spacing w:val="-5"/>
          <w:w w:val="101"/>
        </w:rPr>
        <w:t>）</w:t>
      </w:r>
      <w:r>
        <w:rPr>
          <w:spacing w:val="-65"/>
          <w:w w:val="101"/>
        </w:rPr>
        <w:t> </w:t>
      </w:r>
      <w:r>
        <w:rPr/>
        <w:t>公司</w:t>
      </w:r>
      <w:r>
        <w:rPr>
          <w:rFonts w:ascii="Times New Roman" w:hAnsi="Times New Roman" w:cs="Times New Roman" w:eastAsia="Times New Roman" w:hint="default"/>
        </w:rPr>
        <w:t>2014 </w:t>
      </w:r>
      <w:r>
        <w:rPr>
          <w:spacing w:val="-3"/>
        </w:rPr>
        <w:t>年限制性股票激励计划首次授予的限制性股票第三个解锁期及预留授予的限制性股票第二个解锁期已经届满，共</w:t>
      </w:r>
      <w:r>
        <w:rPr>
          <w:spacing w:val="-9"/>
        </w:rPr>
        <w:t> </w:t>
      </w:r>
      <w:r>
        <w:rPr>
          <w:spacing w:val="-9"/>
        </w:rPr>
      </w:r>
      <w:r>
        <w:rPr>
          <w:spacing w:val="-3"/>
        </w:rPr>
        <w:t>计</w:t>
      </w:r>
      <w:r>
        <w:rPr>
          <w:rFonts w:ascii="Times New Roman" w:hAnsi="Times New Roman" w:cs="Times New Roman" w:eastAsia="Times New Roman" w:hint="default"/>
          <w:spacing w:val="-3"/>
        </w:rPr>
        <w:t>316</w:t>
      </w:r>
      <w:r>
        <w:rPr>
          <w:spacing w:val="-3"/>
        </w:rPr>
        <w:t>名激励对象均达到完全解锁条件，董事会同意按照《激励计划（草案修订稿）》的相关规定办理首次授予的限制性股</w:t>
      </w:r>
      <w:r>
        <w:rPr>
          <w:spacing w:val="73"/>
        </w:rPr>
        <w:t> </w:t>
      </w:r>
      <w:r>
        <w:rPr>
          <w:spacing w:val="73"/>
        </w:rPr>
      </w:r>
      <w:r>
        <w:rPr>
          <w:spacing w:val="-3"/>
        </w:rPr>
        <w:t>票第三个解锁期以及预留授予的第二个解锁期股票的解锁相关事宜。公司总股本由</w:t>
      </w:r>
      <w:r>
        <w:rPr>
          <w:rFonts w:ascii="Times New Roman" w:hAnsi="Times New Roman" w:cs="Times New Roman" w:eastAsia="Times New Roman" w:hint="default"/>
          <w:spacing w:val="-3"/>
        </w:rPr>
        <w:t>79,679.2841</w:t>
      </w:r>
      <w:r>
        <w:rPr>
          <w:spacing w:val="-3"/>
        </w:rPr>
        <w:t>万股变更为</w:t>
      </w:r>
      <w:r>
        <w:rPr>
          <w:rFonts w:ascii="Times New Roman" w:hAnsi="Times New Roman" w:cs="Times New Roman" w:eastAsia="Times New Roman" w:hint="default"/>
          <w:spacing w:val="-3"/>
        </w:rPr>
        <w:t>79,641.0841</w:t>
      </w:r>
      <w:r>
        <w:rPr>
          <w:spacing w:val="-3"/>
        </w:rPr>
        <w:t>万股。</w:t>
      </w:r>
      <w:r>
        <w:rPr>
          <w:spacing w:val="15"/>
        </w:rPr>
        <w:t> </w:t>
      </w:r>
      <w:r>
        <w:rPr>
          <w:spacing w:val="15"/>
        </w:rPr>
      </w:r>
      <w:r>
        <w:rPr>
          <w:rFonts w:ascii="Times New Roman" w:hAnsi="Times New Roman" w:cs="Times New Roman" w:eastAsia="Times New Roman" w:hint="default"/>
          <w:spacing w:val="-3"/>
        </w:rPr>
        <w:t>3</w:t>
      </w:r>
      <w:r>
        <w:rPr>
          <w:spacing w:val="-3"/>
        </w:rPr>
        <w:t>、鉴于上述情况，公司于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日召开第五届董事会第三十三次会议、于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w:t>
      </w:r>
      <w:r>
        <w:rPr>
          <w:rFonts w:ascii="Times New Roman" w:hAnsi="Times New Roman" w:cs="Times New Roman" w:eastAsia="Times New Roman" w:hint="default"/>
          <w:spacing w:val="-3"/>
        </w:rPr>
        <w:t>2017</w:t>
      </w:r>
      <w:r>
        <w:rPr>
          <w:spacing w:val="-3"/>
        </w:rPr>
        <w:t>年年度股东大会，</w:t>
      </w:r>
      <w:r>
        <w:rPr>
          <w:spacing w:val="9"/>
        </w:rPr>
        <w:t> </w:t>
      </w:r>
      <w:r>
        <w:rPr>
          <w:spacing w:val="9"/>
        </w:rPr>
      </w:r>
      <w:r>
        <w:rPr>
          <w:spacing w:val="-3"/>
        </w:rPr>
        <w:t>审议通过《关于变更公司注册资本并修改</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的议案》，同意将公司总股本变更为</w:t>
      </w:r>
      <w:r>
        <w:rPr>
          <w:rFonts w:ascii="Times New Roman" w:hAnsi="Times New Roman" w:cs="Times New Roman" w:eastAsia="Times New Roman" w:hint="default"/>
          <w:spacing w:val="-3"/>
        </w:rPr>
        <w:t>79,641.0841</w:t>
      </w:r>
      <w:r>
        <w:rPr>
          <w:spacing w:val="-3"/>
        </w:rPr>
        <w:t>万股。</w:t>
      </w:r>
    </w:p>
    <w:p>
      <w:pPr>
        <w:pStyle w:val="BodyText"/>
        <w:spacing w:line="240" w:lineRule="auto" w:before="56"/>
        <w:ind w:right="0"/>
        <w:jc w:val="left"/>
      </w:pPr>
      <w:r>
        <w:rPr>
          <w:spacing w:val="-3"/>
        </w:rPr>
        <w:t>股份变动的过户情况</w:t>
      </w:r>
    </w:p>
    <w:p>
      <w:pPr>
        <w:pStyle w:val="BodyText"/>
        <w:spacing w:line="312" w:lineRule="auto" w:before="120"/>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16</w:t>
      </w:r>
      <w:r>
        <w:rPr>
          <w:spacing w:val="-3"/>
        </w:rPr>
        <w:t>日，公司非公开发行新增股份</w:t>
      </w:r>
      <w:r>
        <w:rPr>
          <w:rFonts w:ascii="Times New Roman" w:hAnsi="Times New Roman" w:cs="Times New Roman" w:eastAsia="Times New Roman" w:hint="default"/>
          <w:spacing w:val="-3"/>
        </w:rPr>
        <w:t>81,326,141</w:t>
      </w:r>
      <w:r>
        <w:rPr>
          <w:spacing w:val="-3"/>
        </w:rPr>
        <w:t>股在中国证券登记结算有限责任公司深圳分公司办理完毕登记托管</w:t>
      </w:r>
      <w:r>
        <w:rPr>
          <w:spacing w:val="8"/>
        </w:rPr>
        <w:t> </w:t>
      </w:r>
      <w:r>
        <w:rPr>
          <w:spacing w:val="8"/>
        </w:rPr>
      </w:r>
      <w:r>
        <w:rPr>
          <w:spacing w:val="-3"/>
        </w:rPr>
        <w:t>相关事宜，</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日，公司本次非公开发行新增股份在深圳证券交易所上市，发行对象认购的股份自上市之日起十二</w:t>
      </w:r>
      <w:r>
        <w:rPr>
          <w:spacing w:val="78"/>
        </w:rPr>
        <w:t> </w:t>
      </w:r>
      <w:r>
        <w:rPr>
          <w:spacing w:val="78"/>
        </w:rPr>
      </w:r>
      <w:r>
        <w:rPr/>
        <w:t>个月内不得上市交易，预计上市流通时间为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w:t>
      </w:r>
    </w:p>
    <w:p>
      <w:pPr>
        <w:pStyle w:val="BodyText"/>
        <w:spacing w:line="300" w:lineRule="auto" w:before="3"/>
        <w:ind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日，公司在中国证券登记结算有限责任公司深圳分公司完成</w:t>
      </w:r>
      <w:r>
        <w:rPr>
          <w:rFonts w:ascii="Times New Roman" w:hAnsi="Times New Roman" w:cs="Times New Roman" w:eastAsia="Times New Roman" w:hint="default"/>
          <w:spacing w:val="-3"/>
        </w:rPr>
        <w:t>2014</w:t>
      </w:r>
      <w:r>
        <w:rPr>
          <w:spacing w:val="-3"/>
        </w:rPr>
        <w:t>年限制性股票激励计划部分已获授但尚未解</w:t>
      </w:r>
      <w:r>
        <w:rPr>
          <w:spacing w:val="-2"/>
        </w:rPr>
        <w:t> </w:t>
      </w:r>
      <w:r>
        <w:rPr>
          <w:spacing w:val="-2"/>
        </w:rPr>
      </w:r>
      <w:r>
        <w:rPr>
          <w:spacing w:val="-3"/>
        </w:rPr>
        <w:t>锁的限制性股票的注销手续，回购注销</w:t>
      </w:r>
      <w:r>
        <w:rPr>
          <w:rFonts w:ascii="Times New Roman" w:hAnsi="Times New Roman" w:cs="Times New Roman" w:eastAsia="Times New Roman" w:hint="default"/>
          <w:spacing w:val="-3"/>
        </w:rPr>
        <w:t>38.20</w:t>
      </w:r>
      <w:r>
        <w:rPr>
          <w:spacing w:val="-3"/>
        </w:rPr>
        <w:t>万股。</w:t>
      </w:r>
      <w:r>
        <w:rPr>
          <w:spacing w:val="-15"/>
        </w:rPr>
        <w:t> </w:t>
      </w:r>
      <w:r>
        <w:rPr>
          <w:spacing w:val="-15"/>
        </w:rPr>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日，公司完成了上述变更事项的修改公司章程、公司注册资本工商变更登记等事宜，并取得了南京市工商行</w:t>
      </w:r>
      <w:r>
        <w:rPr>
          <w:spacing w:val="78"/>
        </w:rPr>
        <w:t> </w:t>
      </w:r>
      <w:r>
        <w:rPr>
          <w:spacing w:val="78"/>
        </w:rPr>
      </w:r>
      <w:r>
        <w:rPr>
          <w:spacing w:val="-3"/>
        </w:rPr>
        <w:t>政管理局新颁发的《营业执照》。</w:t>
      </w:r>
    </w:p>
    <w:p>
      <w:pPr>
        <w:pStyle w:val="BodyText"/>
        <w:spacing w:line="240" w:lineRule="auto" w:before="74"/>
        <w:ind w:right="0"/>
        <w:jc w:val="left"/>
      </w:pPr>
      <w:r>
        <w:rPr>
          <w:spacing w:val="-3"/>
        </w:rPr>
        <w:t>股份回购的实施进展情况</w:t>
      </w:r>
    </w:p>
    <w:p>
      <w:pPr>
        <w:pStyle w:val="BodyText"/>
        <w:spacing w:line="316" w:lineRule="auto" w:before="119"/>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报告期内，公司通过股份回购专用证券账户以集中竞价交易方式累计回购股份数量为</w:t>
      </w:r>
      <w:r>
        <w:rPr>
          <w:rFonts w:ascii="Times New Roman" w:hAnsi="Times New Roman" w:cs="Times New Roman" w:eastAsia="Times New Roman" w:hint="default"/>
          <w:spacing w:val="-3"/>
        </w:rPr>
        <w:t>14,999,445</w:t>
      </w:r>
      <w:r>
        <w:rPr>
          <w:spacing w:val="-3"/>
        </w:rPr>
        <w:t>股，占公司目前总股本的</w:t>
      </w:r>
      <w:r>
        <w:rPr>
          <w:spacing w:val="80"/>
        </w:rPr>
        <w:t> </w:t>
      </w:r>
      <w:r>
        <w:rPr>
          <w:spacing w:val="80"/>
        </w:rPr>
      </w:r>
      <w:r>
        <w:rPr>
          <w:rFonts w:ascii="Times New Roman" w:hAnsi="Times New Roman" w:cs="Times New Roman" w:eastAsia="Times New Roman" w:hint="default"/>
        </w:rPr>
        <w:t>1.88%</w:t>
      </w:r>
      <w:r>
        <w:rPr/>
        <w:t>，最高成交价为</w:t>
      </w:r>
      <w:r>
        <w:rPr>
          <w:rFonts w:ascii="Times New Roman" w:hAnsi="Times New Roman" w:cs="Times New Roman" w:eastAsia="Times New Roman" w:hint="default"/>
        </w:rPr>
        <w:t>10.42</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9.24</w:t>
      </w:r>
      <w:r>
        <w:rPr/>
        <w:t>元</w:t>
      </w:r>
      <w:r>
        <w:rPr>
          <w:rFonts w:ascii="Times New Roman" w:hAnsi="Times New Roman" w:cs="Times New Roman" w:eastAsia="Times New Roman" w:hint="default"/>
        </w:rPr>
        <w:t>/</w:t>
      </w:r>
      <w:r>
        <w:rPr/>
        <w:t>股，累计成交总金额</w:t>
      </w:r>
      <w:r>
        <w:rPr>
          <w:rFonts w:ascii="Times New Roman" w:hAnsi="Times New Roman" w:cs="Times New Roman" w:eastAsia="Times New Roman" w:hint="default"/>
        </w:rPr>
        <w:t>148,753,014.66</w:t>
      </w:r>
      <w:r>
        <w:rPr/>
        <w:t>元（不含交易费用）。</w:t>
      </w:r>
    </w:p>
    <w:p>
      <w:pPr>
        <w:pStyle w:val="BodyText"/>
        <w:spacing w:line="300" w:lineRule="auto"/>
        <w:ind w:right="0"/>
        <w:jc w:val="left"/>
      </w:pPr>
      <w:r>
        <w:rPr>
          <w:spacing w:val="-3"/>
        </w:rPr>
        <w:t>截至本公告披露日，公司通过股份回购专用证券账户以集中竞价交易方式累计回购股份数量为</w:t>
      </w:r>
      <w:r>
        <w:rPr>
          <w:rFonts w:ascii="Times New Roman" w:hAnsi="Times New Roman" w:cs="Times New Roman" w:eastAsia="Times New Roman" w:hint="default"/>
          <w:spacing w:val="-3"/>
        </w:rPr>
        <w:t>16,486,289</w:t>
      </w:r>
      <w:r>
        <w:rPr>
          <w:spacing w:val="-3"/>
        </w:rPr>
        <w:t>股，占公司目前总</w:t>
      </w:r>
      <w:r>
        <w:rPr>
          <w:spacing w:val="-2"/>
        </w:rPr>
        <w:t> </w:t>
      </w:r>
      <w:r>
        <w:rPr>
          <w:spacing w:val="-2"/>
        </w:rPr>
      </w:r>
      <w:r>
        <w:rPr/>
        <w:t>股本的</w:t>
      </w:r>
      <w:r>
        <w:rPr>
          <w:rFonts w:ascii="Times New Roman" w:hAnsi="Times New Roman" w:cs="Times New Roman" w:eastAsia="Times New Roman" w:hint="default"/>
        </w:rPr>
        <w:t>2.07%</w:t>
      </w:r>
      <w:r>
        <w:rPr/>
        <w:t>，最高成交价为</w:t>
      </w:r>
      <w:r>
        <w:rPr>
          <w:rFonts w:ascii="Times New Roman" w:hAnsi="Times New Roman" w:cs="Times New Roman" w:eastAsia="Times New Roman" w:hint="default"/>
        </w:rPr>
        <w:t>10.42</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9.04</w:t>
      </w:r>
      <w:r>
        <w:rPr/>
        <w:t>元</w:t>
      </w:r>
      <w:r>
        <w:rPr>
          <w:rFonts w:ascii="Times New Roman" w:hAnsi="Times New Roman" w:cs="Times New Roman" w:eastAsia="Times New Roman" w:hint="default"/>
        </w:rPr>
        <w:t>/</w:t>
      </w:r>
      <w:r>
        <w:rPr/>
        <w:t>股，成交总金额</w:t>
      </w:r>
      <w:r>
        <w:rPr>
          <w:rFonts w:ascii="Times New Roman" w:hAnsi="Times New Roman" w:cs="Times New Roman" w:eastAsia="Times New Roman" w:hint="default"/>
        </w:rPr>
        <w:t>162,744,801.00</w:t>
      </w:r>
      <w:r>
        <w:rPr/>
        <w:t>元（不含交易费用）。</w:t>
      </w:r>
      <w:r>
        <w:rPr>
          <w:w w:val="101"/>
        </w:rPr>
        <w:t> </w:t>
      </w:r>
      <w:r>
        <w:rPr>
          <w:spacing w:val="-3"/>
        </w:rPr>
        <w:t>上述回购符合公司已披露的回购公司股份方案。</w:t>
      </w:r>
    </w:p>
    <w:p>
      <w:pPr>
        <w:spacing w:after="0" w:line="30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采用集中竞价方式减持回购股份的实施进展情况</w:t>
      </w:r>
    </w:p>
    <w:p>
      <w:pPr>
        <w:pStyle w:val="BodyText"/>
        <w:spacing w:line="343" w:lineRule="auto" w:before="115"/>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16" w:lineRule="auto" w:before="38"/>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2014</w:t>
      </w:r>
      <w:r>
        <w:rPr>
          <w:spacing w:val="-3"/>
        </w:rPr>
        <w:t>年限制性股票激励计划股份回购注销完成后均摊薄了最近一年和最近一期的基本每股收益和稀释每股收益及每股净资</w:t>
      </w:r>
      <w:r>
        <w:rPr>
          <w:spacing w:val="72"/>
        </w:rPr>
        <w:t> </w:t>
      </w:r>
      <w:r>
        <w:rPr>
          <w:spacing w:val="72"/>
        </w:rPr>
      </w:r>
      <w:r>
        <w:rPr>
          <w:spacing w:val="-3"/>
        </w:rPr>
        <w:t>产等财务指标。</w:t>
      </w:r>
    </w:p>
    <w:p>
      <w:pPr>
        <w:pStyle w:val="BodyText"/>
        <w:spacing w:line="240" w:lineRule="auto" w:before="62"/>
        <w:ind w:right="0"/>
        <w:jc w:val="left"/>
      </w:pPr>
      <w:r>
        <w:rPr>
          <w:spacing w:val="-3"/>
        </w:rPr>
        <w:t>公司认为必要或证券监管机构要求披露的其他内容</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68"/>
        <w:gridCol w:w="1374"/>
        <w:gridCol w:w="1368"/>
        <w:gridCol w:w="1364"/>
      </w:tblGrid>
      <w:tr>
        <w:trPr>
          <w:trHeight w:val="715"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1" w:hanging="539"/>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1" w:hanging="538"/>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拟解除限售日期</w:t>
            </w:r>
          </w:p>
        </w:tc>
      </w:tr>
      <w:tr>
        <w:trPr>
          <w:trHeight w:val="10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33,181,550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33,181,549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按持股总数的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20,863,500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65"/>
              <w:jc w:val="left"/>
              <w:rPr>
                <w:rFonts w:ascii="宋体" w:hAnsi="宋体" w:cs="宋体" w:eastAsia="宋体"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按持股总数的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5"/>
              <w:jc w:val="both"/>
              <w:rPr>
                <w:rFonts w:ascii="宋体" w:hAnsi="宋体" w:cs="宋体" w:eastAsia="宋体" w:hint="default"/>
                <w:sz w:val="18"/>
                <w:szCs w:val="18"/>
              </w:rPr>
            </w:pPr>
            <w:r>
              <w:rPr>
                <w:rFonts w:ascii="宋体" w:hAnsi="宋体" w:cs="宋体" w:eastAsia="宋体" w:hint="default"/>
                <w:spacing w:val="-3"/>
                <w:sz w:val="18"/>
                <w:szCs w:val="18"/>
              </w:rPr>
              <w:t>董事离职后原定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任期内及届满后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个月内每年按</w:t>
            </w:r>
          </w:p>
          <w:p>
            <w:pPr>
              <w:pStyle w:val="TableParagraph"/>
              <w:spacing w:line="246"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75%</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锁定</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1,495,000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5"/>
              <w:jc w:val="both"/>
              <w:rPr>
                <w:rFonts w:ascii="宋体" w:hAnsi="宋体" w:cs="宋体" w:eastAsia="宋体" w:hint="default"/>
                <w:sz w:val="18"/>
                <w:szCs w:val="18"/>
              </w:rPr>
            </w:pPr>
            <w:r>
              <w:rPr>
                <w:rFonts w:ascii="宋体" w:hAnsi="宋体" w:cs="宋体" w:eastAsia="宋体" w:hint="default"/>
                <w:spacing w:val="-3"/>
                <w:sz w:val="18"/>
                <w:szCs w:val="18"/>
              </w:rPr>
              <w:t>董事离职后半年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内按持股总数的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锁定</w:t>
            </w:r>
            <w:r>
              <w:rPr>
                <w:rFonts w:ascii="宋体" w:hAnsi="宋体" w:cs="宋体" w:eastAsia="宋体" w:hint="default"/>
                <w:sz w:val="18"/>
                <w:szCs w:val="18"/>
              </w:rPr>
            </w:r>
          </w:p>
        </w:tc>
      </w:tr>
      <w:tr>
        <w:trPr>
          <w:trHeight w:val="164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5"/>
              <w:jc w:val="both"/>
              <w:rPr>
                <w:rFonts w:ascii="宋体" w:hAnsi="宋体" w:cs="宋体" w:eastAsia="宋体" w:hint="default"/>
                <w:sz w:val="18"/>
                <w:szCs w:val="18"/>
              </w:rPr>
            </w:pPr>
            <w:r>
              <w:rPr>
                <w:rFonts w:ascii="宋体" w:hAnsi="宋体" w:cs="宋体" w:eastAsia="宋体" w:hint="default"/>
                <w:spacing w:val="-3"/>
                <w:sz w:val="18"/>
                <w:szCs w:val="18"/>
              </w:rPr>
              <w:t>监事离职后原定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任期内及届满后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个月内每年按</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75%</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锁定</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65"/>
              <w:jc w:val="left"/>
              <w:rPr>
                <w:rFonts w:ascii="宋体" w:hAnsi="宋体" w:cs="宋体" w:eastAsia="宋体"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按持股总数的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按持股总数的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宁波宏创股权投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96,249,396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67,374,577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28,874,819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68"/>
        <w:gridCol w:w="1374"/>
        <w:gridCol w:w="1368"/>
        <w:gridCol w:w="1364"/>
      </w:tblGrid>
      <w:tr>
        <w:trPr>
          <w:trHeight w:val="535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65"/>
              <w:jc w:val="left"/>
              <w:rPr>
                <w:rFonts w:ascii="宋体" w:hAnsi="宋体" w:cs="宋体" w:eastAsia="宋体" w:hint="default"/>
                <w:sz w:val="18"/>
                <w:szCs w:val="18"/>
              </w:rPr>
            </w:pPr>
            <w:r>
              <w:rPr>
                <w:rFonts w:ascii="宋体" w:hAnsi="宋体" w:cs="宋体" w:eastAsia="宋体" w:hint="default"/>
                <w:spacing w:val="-3"/>
                <w:sz w:val="18"/>
                <w:szCs w:val="18"/>
              </w:rPr>
              <w:t>资合伙企业（有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67,374,577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股已</w:t>
            </w:r>
            <w:r>
              <w:rPr>
                <w:rFonts w:ascii="宋体" w:hAnsi="宋体" w:cs="宋体" w:eastAsia="宋体" w:hint="default"/>
                <w:sz w:val="18"/>
                <w:szCs w:val="18"/>
              </w:rPr>
            </w:r>
          </w:p>
          <w:p>
            <w:pPr>
              <w:pStyle w:val="TableParagraph"/>
              <w:spacing w:line="314"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日解除限售；剩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余限售股若联创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智融完成《盈利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补偿协议》约定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的利润承诺及减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值测试承诺，则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自联创智融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年度专项审核意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见及《减值测试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报告》披露之日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解除限售，若未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完成则自按照</w:t>
            </w:r>
          </w:p>
          <w:p>
            <w:pPr>
              <w:pStyle w:val="TableParagraph"/>
              <w:spacing w:line="319" w:lineRule="auto" w:before="20"/>
              <w:ind w:left="23" w:right="65"/>
              <w:jc w:val="left"/>
              <w:rPr>
                <w:rFonts w:ascii="宋体" w:hAnsi="宋体" w:cs="宋体" w:eastAsia="宋体" w:hint="default"/>
                <w:sz w:val="18"/>
                <w:szCs w:val="18"/>
              </w:rPr>
            </w:pPr>
            <w:r>
              <w:rPr>
                <w:rFonts w:ascii="宋体" w:hAnsi="宋体" w:cs="宋体" w:eastAsia="宋体" w:hint="default"/>
                <w:sz w:val="18"/>
                <w:szCs w:val="18"/>
              </w:rPr>
              <w:t>《盈利补偿协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议》完成补偿之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日解除限售</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65"/>
              <w:jc w:val="left"/>
              <w:rPr>
                <w:rFonts w:ascii="宋体" w:hAnsi="宋体" w:cs="宋体" w:eastAsia="宋体" w:hint="default"/>
                <w:sz w:val="18"/>
                <w:szCs w:val="18"/>
              </w:rPr>
            </w:pPr>
            <w:r>
              <w:rPr>
                <w:rFonts w:ascii="宋体" w:hAnsi="宋体" w:cs="宋体" w:eastAsia="宋体" w:hint="default"/>
                <w:spacing w:val="-3"/>
                <w:sz w:val="18"/>
                <w:szCs w:val="18"/>
              </w:rPr>
              <w:t>西藏瑞华投资发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22,331,396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22,331,396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22,331,396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股已</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65"/>
              <w:jc w:val="both"/>
              <w:rPr>
                <w:rFonts w:ascii="宋体" w:hAnsi="宋体" w:cs="宋体" w:eastAsia="宋体" w:hint="default"/>
                <w:sz w:val="18"/>
                <w:szCs w:val="18"/>
              </w:rPr>
            </w:pPr>
            <w:r>
              <w:rPr>
                <w:rFonts w:ascii="宋体" w:hAnsi="宋体" w:cs="宋体" w:eastAsia="宋体" w:hint="default"/>
                <w:spacing w:val="-3"/>
                <w:sz w:val="18"/>
                <w:szCs w:val="18"/>
              </w:rPr>
              <w:t>南京泰瑞投资管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理中心（有限合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4,415,964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4,415,964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4,415,964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2"/>
                <w:sz w:val="18"/>
              </w:rPr>
              <w:t>11,165,698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2"/>
                <w:sz w:val="18"/>
              </w:rPr>
              <w:t>11,165,698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11,165,698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3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黄学军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2"/>
                <w:sz w:val="18"/>
              </w:rPr>
              <w:t>11,165,698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2"/>
                <w:sz w:val="18"/>
              </w:rPr>
              <w:t>11,165,698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11,165,698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65"/>
              <w:jc w:val="left"/>
              <w:rPr>
                <w:rFonts w:ascii="宋体" w:hAnsi="宋体" w:cs="宋体" w:eastAsia="宋体" w:hint="default"/>
                <w:sz w:val="18"/>
                <w:szCs w:val="18"/>
              </w:rPr>
            </w:pPr>
            <w:r>
              <w:rPr>
                <w:rFonts w:ascii="宋体" w:hAnsi="宋体" w:cs="宋体" w:eastAsia="宋体" w:hint="default"/>
                <w:spacing w:val="-3"/>
                <w:sz w:val="18"/>
                <w:szCs w:val="18"/>
              </w:rPr>
              <w:t>浙江浙商产融控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15,151,515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15,151,515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11,165,698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65"/>
              <w:jc w:val="left"/>
              <w:rPr>
                <w:rFonts w:ascii="宋体" w:hAnsi="宋体" w:cs="宋体" w:eastAsia="宋体" w:hint="default"/>
                <w:sz w:val="18"/>
                <w:szCs w:val="18"/>
              </w:rPr>
            </w:pPr>
            <w:r>
              <w:rPr>
                <w:rFonts w:ascii="宋体" w:hAnsi="宋体" w:cs="宋体" w:eastAsia="宋体" w:hint="default"/>
                <w:spacing w:val="-3"/>
                <w:sz w:val="18"/>
                <w:szCs w:val="18"/>
              </w:rPr>
              <w:t>申万宏源证券有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14,558,465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14,558,465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14,558,465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股已</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财通基金－工商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15,252,525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15,252,525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68"/>
        <w:gridCol w:w="1374"/>
        <w:gridCol w:w="1368"/>
        <w:gridCol w:w="1364"/>
      </w:tblGrid>
      <w:tr>
        <w:trPr>
          <w:trHeight w:val="98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7"/>
              <w:jc w:val="both"/>
              <w:rPr>
                <w:rFonts w:ascii="宋体" w:hAnsi="宋体" w:cs="宋体" w:eastAsia="宋体" w:hint="default"/>
                <w:sz w:val="18"/>
                <w:szCs w:val="18"/>
              </w:rPr>
            </w:pPr>
            <w:r>
              <w:rPr>
                <w:rFonts w:ascii="宋体" w:hAnsi="宋体" w:cs="宋体" w:eastAsia="宋体" w:hint="default"/>
                <w:spacing w:val="-3"/>
                <w:sz w:val="18"/>
                <w:szCs w:val="18"/>
              </w:rPr>
              <w:t>银行－投乐定增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号资产管理计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15,252,525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股已</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pacing w:val="-3"/>
                <w:sz w:val="18"/>
                <w:szCs w:val="18"/>
              </w:rPr>
              <w:t>泰达宏利基金－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平安银行－厦门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信托－厦门信托</w:t>
            </w:r>
          </w:p>
          <w:p>
            <w:pPr>
              <w:pStyle w:val="TableParagraph"/>
              <w:spacing w:line="304" w:lineRule="auto" w:before="19"/>
              <w:ind w:left="24" w:right="17"/>
              <w:jc w:val="both"/>
              <w:rPr>
                <w:rFonts w:ascii="宋体" w:hAnsi="宋体" w:cs="宋体" w:eastAsia="宋体" w:hint="default"/>
                <w:sz w:val="18"/>
                <w:szCs w:val="18"/>
              </w:rPr>
            </w:pPr>
            <w:r>
              <w:rPr>
                <w:rFonts w:ascii="宋体" w:hAnsi="宋体" w:cs="宋体" w:eastAsia="宋体" w:hint="default"/>
                <w:sz w:val="18"/>
                <w:szCs w:val="18"/>
              </w:rPr>
              <w:t>－财富共赢</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单一资金信托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36,363,636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36,363,636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36,363,636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股已</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321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24" w:lineRule="auto"/>
              <w:ind w:left="24" w:right="65"/>
              <w:jc w:val="left"/>
              <w:rPr>
                <w:rFonts w:ascii="宋体" w:hAnsi="宋体" w:cs="宋体" w:eastAsia="宋体" w:hint="default"/>
                <w:sz w:val="18"/>
                <w:szCs w:val="18"/>
              </w:rPr>
            </w:pPr>
            <w:r>
              <w:rPr>
                <w:rFonts w:ascii="宋体" w:hAnsi="宋体" w:cs="宋体" w:eastAsia="宋体" w:hint="default"/>
                <w:spacing w:val="-3"/>
                <w:sz w:val="18"/>
                <w:szCs w:val="18"/>
              </w:rPr>
              <w:t>其他股权激励授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予对象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7,014,000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限制性股票激励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计划首次授予的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限制性股票第三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个解锁期及预留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授予的限制性股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票第二个解锁期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解锁的限制性股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票的上市流通日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210,916,552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131,140,634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84,326,141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164,102,059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6"/>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61" w:right="12" w:hanging="438"/>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0"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81,326,141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81,326,141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240" w:lineRule="auto" w:before="53"/>
        <w:ind w:right="0"/>
        <w:jc w:val="left"/>
      </w:pPr>
      <w:r>
        <w:rPr>
          <w:spacing w:val="-3"/>
        </w:rPr>
        <w:t>报告期内证券发行（不含优先股）情况的说明</w:t>
      </w:r>
    </w:p>
    <w:p>
      <w:pPr>
        <w:pStyle w:val="BodyText"/>
        <w:spacing w:line="316" w:lineRule="auto" w:before="115"/>
        <w:ind w:right="7602"/>
        <w:jc w:val="left"/>
      </w:pPr>
      <w:r>
        <w:rPr>
          <w:spacing w:val="-3"/>
        </w:rPr>
        <w:t>（一）发行类型</w:t>
      </w:r>
      <w:r>
        <w:rPr>
          <w:spacing w:val="-68"/>
        </w:rPr>
        <w:t> </w:t>
      </w:r>
      <w:r>
        <w:rPr>
          <w:spacing w:val="-68"/>
        </w:rPr>
      </w:r>
      <w:r>
        <w:rPr>
          <w:spacing w:val="-3"/>
        </w:rPr>
        <w:t>本次发行为非公开发行股票。</w:t>
      </w:r>
    </w:p>
    <w:p>
      <w:pPr>
        <w:pStyle w:val="BodyText"/>
        <w:spacing w:line="240" w:lineRule="auto" w:before="19"/>
        <w:ind w:right="0"/>
        <w:jc w:val="left"/>
      </w:pPr>
      <w:r>
        <w:rPr>
          <w:spacing w:val="-3"/>
        </w:rPr>
        <w:t>（二）本次发行履行的内部程序</w:t>
      </w:r>
    </w:p>
    <w:p>
      <w:pPr>
        <w:pStyle w:val="BodyText"/>
        <w:spacing w:line="240" w:lineRule="auto" w:before="77"/>
        <w:ind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日，公司召开了第五届董事会第四次会议，审议通过了本次非公开发行股票的相关议案；</w:t>
      </w:r>
    </w:p>
    <w:p>
      <w:pPr>
        <w:pStyle w:val="BodyText"/>
        <w:spacing w:line="240" w:lineRule="auto" w:before="63"/>
        <w:ind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日，公司召开了</w:t>
      </w:r>
      <w:r>
        <w:rPr>
          <w:rFonts w:ascii="Times New Roman" w:hAnsi="Times New Roman" w:cs="Times New Roman" w:eastAsia="Times New Roman" w:hint="default"/>
          <w:spacing w:val="-3"/>
        </w:rPr>
        <w:t>2016</w:t>
      </w:r>
      <w:r>
        <w:rPr>
          <w:spacing w:val="-3"/>
        </w:rPr>
        <w:t>年第三次临时股东大会审议通过了本次非公开发行股票的相关议案；</w:t>
      </w:r>
    </w:p>
    <w:p>
      <w:pPr>
        <w:pStyle w:val="BodyText"/>
        <w:spacing w:line="307" w:lineRule="auto" w:before="63"/>
        <w:ind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日，公司召开了第五届董事会第八次会议，审议通过了《关于调整公司</w:t>
      </w:r>
      <w:r>
        <w:rPr>
          <w:rFonts w:ascii="Times New Roman" w:hAnsi="Times New Roman" w:cs="Times New Roman" w:eastAsia="Times New Roman" w:hint="default"/>
          <w:spacing w:val="-3"/>
        </w:rPr>
        <w:t>2016</w:t>
      </w:r>
      <w:r>
        <w:rPr>
          <w:spacing w:val="-3"/>
        </w:rPr>
        <w:t>年度非公开发行</w:t>
      </w:r>
      <w:r>
        <w:rPr>
          <w:rFonts w:ascii="Times New Roman" w:hAnsi="Times New Roman" w:cs="Times New Roman" w:eastAsia="Times New Roman" w:hint="default"/>
          <w:spacing w:val="-3"/>
        </w:rPr>
        <w:t>A</w:t>
      </w:r>
      <w:r>
        <w:rPr>
          <w:spacing w:val="-3"/>
        </w:rPr>
        <w:t>股股票方案的</w:t>
      </w:r>
      <w:r>
        <w:rPr>
          <w:spacing w:val="52"/>
        </w:rPr>
        <w:t> </w:t>
      </w:r>
      <w:r>
        <w:rPr>
          <w:spacing w:val="52"/>
        </w:rPr>
      </w:r>
      <w:r>
        <w:rPr>
          <w:spacing w:val="-3"/>
        </w:rPr>
        <w:t>议案》等调整本次非公开发行股票相关事宜的议案；</w:t>
      </w:r>
      <w:r>
        <w:rPr>
          <w:spacing w:val="-21"/>
        </w:rPr>
        <w:t> </w:t>
      </w:r>
      <w:r>
        <w:rPr>
          <w:spacing w:val="-21"/>
        </w:rPr>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日，公司召开了第五届董事会第十六次会议，审议通过了《关于再次调整公司</w:t>
      </w:r>
      <w:r>
        <w:rPr>
          <w:rFonts w:ascii="Times New Roman" w:hAnsi="Times New Roman" w:cs="Times New Roman" w:eastAsia="Times New Roman" w:hint="default"/>
          <w:spacing w:val="-3"/>
        </w:rPr>
        <w:t>2016</w:t>
      </w:r>
      <w:r>
        <w:rPr>
          <w:spacing w:val="-3"/>
        </w:rPr>
        <w:t>年度非公开发行</w:t>
      </w:r>
      <w:r>
        <w:rPr>
          <w:rFonts w:ascii="Times New Roman" w:hAnsi="Times New Roman" w:cs="Times New Roman" w:eastAsia="Times New Roman" w:hint="default"/>
          <w:spacing w:val="-3"/>
        </w:rPr>
        <w:t>A</w:t>
      </w:r>
      <w:r>
        <w:rPr>
          <w:spacing w:val="-3"/>
        </w:rPr>
        <w:t>股股票</w:t>
      </w:r>
      <w:r>
        <w:rPr>
          <w:spacing w:val="51"/>
        </w:rPr>
        <w:t> </w:t>
      </w:r>
      <w:r>
        <w:rPr>
          <w:spacing w:val="51"/>
        </w:rPr>
      </w:r>
      <w:r>
        <w:rPr>
          <w:spacing w:val="-3"/>
        </w:rPr>
        <w:t>方案的议案》等调整本次非公开发行股票相关事宜的议案；</w:t>
      </w:r>
    </w:p>
    <w:p>
      <w:pPr>
        <w:spacing w:after="0" w:line="307"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日，公司召开了第五届董事会第十七次会议，审议通过了《江苏润和软件股份有限公司关于本次非公开发行</w:t>
      </w:r>
      <w:r>
        <w:rPr>
          <w:spacing w:val="78"/>
        </w:rPr>
        <w:t> </w:t>
      </w:r>
      <w:r>
        <w:rPr>
          <w:spacing w:val="78"/>
        </w:rPr>
      </w:r>
      <w:r>
        <w:rPr>
          <w:spacing w:val="-3"/>
        </w:rPr>
        <w:t>募投项目相关事项的承诺》的议案；</w:t>
      </w:r>
      <w:r>
        <w:rPr>
          <w:spacing w:val="-39"/>
        </w:rPr>
        <w:t> </w:t>
      </w:r>
      <w:r>
        <w:rPr>
          <w:spacing w:val="-39"/>
        </w:rPr>
      </w: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日，公司召开了第五届董事会第十八次会议，审议通过了《关于延长公司</w:t>
      </w:r>
      <w:r>
        <w:rPr>
          <w:rFonts w:ascii="Times New Roman" w:hAnsi="Times New Roman" w:cs="Times New Roman" w:eastAsia="Times New Roman" w:hint="default"/>
          <w:spacing w:val="-4"/>
        </w:rPr>
        <w:t>2016</w:t>
      </w:r>
      <w:r>
        <w:rPr>
          <w:spacing w:val="-4"/>
        </w:rPr>
        <w:t>年度非公开发行股票股东大会</w:t>
      </w:r>
      <w:r>
        <w:rPr>
          <w:spacing w:val="65"/>
        </w:rPr>
        <w:t> </w:t>
      </w:r>
      <w:r>
        <w:rPr>
          <w:spacing w:val="65"/>
        </w:rPr>
      </w:r>
      <w:r>
        <w:rPr>
          <w:spacing w:val="-3"/>
        </w:rPr>
        <w:t>决议有效期和授权有效期的议案》、《关于调整公司</w:t>
      </w:r>
      <w:r>
        <w:rPr>
          <w:rFonts w:ascii="Times New Roman" w:hAnsi="Times New Roman" w:cs="Times New Roman" w:eastAsia="Times New Roman" w:hint="default"/>
          <w:spacing w:val="-3"/>
        </w:rPr>
        <w:t>2016</w:t>
      </w:r>
      <w:r>
        <w:rPr>
          <w:spacing w:val="-3"/>
        </w:rPr>
        <w:t>年度非公开发行股票限售期的议案》的议案；</w:t>
      </w:r>
      <w:r>
        <w:rPr>
          <w:spacing w:val="48"/>
        </w:rPr>
        <w:t> </w:t>
      </w:r>
      <w:r>
        <w:rPr>
          <w:spacing w:val="48"/>
        </w:rPr>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w:t>
      </w:r>
      <w:r>
        <w:rPr>
          <w:spacing w:val="-3"/>
        </w:rPr>
        <w:t>日，公司召开了</w:t>
      </w:r>
      <w:r>
        <w:rPr>
          <w:rFonts w:ascii="Times New Roman" w:hAnsi="Times New Roman" w:cs="Times New Roman" w:eastAsia="Times New Roman" w:hint="default"/>
          <w:spacing w:val="-3"/>
        </w:rPr>
        <w:t>2016</w:t>
      </w:r>
      <w:r>
        <w:rPr>
          <w:spacing w:val="-3"/>
        </w:rPr>
        <w:t>年年度股东大会，会议审议通过《关于延长公司</w:t>
      </w:r>
      <w:r>
        <w:rPr>
          <w:rFonts w:ascii="Times New Roman" w:hAnsi="Times New Roman" w:cs="Times New Roman" w:eastAsia="Times New Roman" w:hint="default"/>
          <w:spacing w:val="-3"/>
        </w:rPr>
        <w:t>2016</w:t>
      </w:r>
      <w:r>
        <w:rPr>
          <w:spacing w:val="-3"/>
        </w:rPr>
        <w:t>年度非公开发行股票股东大会决议</w:t>
      </w:r>
      <w:r>
        <w:rPr>
          <w:spacing w:val="2"/>
        </w:rPr>
        <w:t> </w:t>
      </w:r>
      <w:r>
        <w:rPr>
          <w:spacing w:val="2"/>
        </w:rPr>
      </w:r>
      <w:r>
        <w:rPr>
          <w:spacing w:val="-3"/>
        </w:rPr>
        <w:t>有效期和授权有效期的议案》。</w:t>
      </w:r>
    </w:p>
    <w:p>
      <w:pPr>
        <w:pStyle w:val="BodyText"/>
        <w:spacing w:line="307" w:lineRule="auto" w:before="28"/>
        <w:ind w:right="0"/>
        <w:jc w:val="left"/>
      </w:pPr>
      <w:r>
        <w:rPr>
          <w:spacing w:val="-3"/>
        </w:rPr>
        <w:t>（三）本次发行监管部门审核过程</w:t>
      </w:r>
      <w:r>
        <w:rPr>
          <w:spacing w:val="-44"/>
        </w:rPr>
        <w:t> </w:t>
      </w:r>
      <w:r>
        <w:rPr>
          <w:spacing w:val="-44"/>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日，公司本次非公开发行经中国证监会发行审核委员会审核通过。</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17</w:t>
      </w:r>
      <w:r>
        <w:rPr>
          <w:spacing w:val="-3"/>
        </w:rPr>
        <w:t>日，公司收到中国证监会出具</w:t>
      </w:r>
      <w:r>
        <w:rPr>
          <w:spacing w:val="5"/>
        </w:rPr>
        <w:t> </w:t>
      </w:r>
      <w:r>
        <w:rPr>
          <w:spacing w:val="5"/>
        </w:rPr>
      </w:r>
      <w:r>
        <w:rPr>
          <w:spacing w:val="-3"/>
        </w:rPr>
        <w:t>的《关于核准江苏润和软件股份有限公司非公开发行股票的批复》（证监许可</w:t>
      </w:r>
      <w:r>
        <w:rPr>
          <w:rFonts w:ascii="Times New Roman" w:hAnsi="Times New Roman" w:cs="Times New Roman" w:eastAsia="Times New Roman" w:hint="default"/>
          <w:spacing w:val="-3"/>
        </w:rPr>
        <w:t>[2017]1213</w:t>
      </w:r>
      <w:r>
        <w:rPr>
          <w:spacing w:val="-3"/>
        </w:rPr>
        <w:t>号），核准公司非公开发行不超过</w:t>
      </w:r>
      <w:r>
        <w:rPr>
          <w:spacing w:val="58"/>
        </w:rPr>
        <w:t> </w:t>
      </w:r>
      <w:r>
        <w:rPr>
          <w:spacing w:val="58"/>
        </w:rPr>
      </w:r>
      <w:r>
        <w:rPr>
          <w:rFonts w:ascii="Times New Roman" w:hAnsi="Times New Roman" w:cs="Times New Roman" w:eastAsia="Times New Roman" w:hint="default"/>
          <w:spacing w:val="-3"/>
        </w:rPr>
        <w:t>10,000</w:t>
      </w:r>
      <w:r>
        <w:rPr>
          <w:spacing w:val="-3"/>
        </w:rPr>
        <w:t>万股新股。该批复自核准之日（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13</w:t>
      </w:r>
      <w:r>
        <w:rPr>
          <w:spacing w:val="-3"/>
        </w:rPr>
        <w:t>日）起六个月内有效。</w:t>
      </w:r>
    </w:p>
    <w:p>
      <w:pPr>
        <w:pStyle w:val="BodyText"/>
        <w:spacing w:line="316" w:lineRule="auto" w:before="7"/>
        <w:ind w:right="3567"/>
        <w:jc w:val="left"/>
      </w:pPr>
      <w:r>
        <w:rPr>
          <w:spacing w:val="-3"/>
        </w:rPr>
        <w:t>（四）发行股票种类及面值</w:t>
      </w:r>
      <w:r>
        <w:rPr>
          <w:spacing w:val="-51"/>
        </w:rPr>
        <w:t> </w:t>
      </w:r>
      <w:r>
        <w:rPr>
          <w:spacing w:val="-51"/>
        </w:rPr>
      </w:r>
      <w:r>
        <w:rPr>
          <w:spacing w:val="-3"/>
        </w:rPr>
        <w:t>本次非公开发行股票的种类为境内上市人民币普通股（</w:t>
      </w:r>
      <w:r>
        <w:rPr>
          <w:rFonts w:ascii="Times New Roman" w:hAnsi="Times New Roman" w:cs="Times New Roman" w:eastAsia="Times New Roman" w:hint="default"/>
          <w:spacing w:val="-3"/>
        </w:rPr>
        <w:t>A</w:t>
      </w:r>
      <w:r>
        <w:rPr>
          <w:spacing w:val="-3"/>
        </w:rPr>
        <w:t>股），面值为人民币</w:t>
      </w: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w:t>
      </w:r>
      <w:r>
        <w:rPr>
          <w:spacing w:val="-3"/>
        </w:rPr>
        <w:t>股。</w:t>
      </w:r>
    </w:p>
    <w:p>
      <w:pPr>
        <w:pStyle w:val="BodyText"/>
        <w:spacing w:line="309" w:lineRule="auto"/>
        <w:ind w:right="1026"/>
        <w:jc w:val="left"/>
      </w:pPr>
      <w:r>
        <w:rPr>
          <w:spacing w:val="-3"/>
        </w:rPr>
        <w:t>（五）发行数量</w:t>
      </w:r>
      <w:r>
        <w:rPr>
          <w:spacing w:val="-68"/>
        </w:rPr>
        <w:t> </w:t>
      </w:r>
      <w:r>
        <w:rPr>
          <w:spacing w:val="-68"/>
        </w:rPr>
      </w:r>
      <w:r>
        <w:rPr>
          <w:spacing w:val="-4"/>
        </w:rPr>
        <w:t>本次非公开发行股票的数量为</w:t>
      </w:r>
      <w:r>
        <w:rPr>
          <w:rFonts w:ascii="Times New Roman" w:hAnsi="Times New Roman" w:cs="Times New Roman" w:eastAsia="Times New Roman" w:hint="default"/>
          <w:spacing w:val="-4"/>
        </w:rPr>
        <w:t>81,326,141</w:t>
      </w:r>
      <w:r>
        <w:rPr>
          <w:spacing w:val="-4"/>
        </w:rPr>
        <w:t>股。其中，泰达宏利基金管理有限公司认购</w:t>
      </w:r>
      <w:r>
        <w:rPr>
          <w:rFonts w:ascii="Times New Roman" w:hAnsi="Times New Roman" w:cs="Times New Roman" w:eastAsia="Times New Roman" w:hint="default"/>
          <w:spacing w:val="-4"/>
        </w:rPr>
        <w:t>36,363,636</w:t>
      </w:r>
      <w:r>
        <w:rPr>
          <w:spacing w:val="-4"/>
        </w:rPr>
        <w:t>股，浙江浙商产融控股有限公</w:t>
      </w:r>
      <w:r>
        <w:rPr>
          <w:spacing w:val="-1"/>
        </w:rPr>
        <w:t> </w:t>
      </w:r>
      <w:r>
        <w:rPr>
          <w:spacing w:val="-1"/>
        </w:rPr>
      </w:r>
      <w:r>
        <w:rPr>
          <w:spacing w:val="-3"/>
        </w:rPr>
        <w:t>司认购</w:t>
      </w:r>
      <w:r>
        <w:rPr>
          <w:rFonts w:ascii="Times New Roman" w:hAnsi="Times New Roman" w:cs="Times New Roman" w:eastAsia="Times New Roman" w:hint="default"/>
          <w:spacing w:val="-3"/>
        </w:rPr>
        <w:t>15,151,515</w:t>
      </w:r>
      <w:r>
        <w:rPr>
          <w:spacing w:val="-3"/>
        </w:rPr>
        <w:t>股，财通基金管理有限公司认购</w:t>
      </w:r>
      <w:r>
        <w:rPr>
          <w:rFonts w:ascii="Times New Roman" w:hAnsi="Times New Roman" w:cs="Times New Roman" w:eastAsia="Times New Roman" w:hint="default"/>
          <w:spacing w:val="-3"/>
        </w:rPr>
        <w:t>15,252,525</w:t>
      </w:r>
      <w:r>
        <w:rPr>
          <w:spacing w:val="-3"/>
        </w:rPr>
        <w:t>股，申万宏源证券有限公司认购</w:t>
      </w:r>
      <w:r>
        <w:rPr>
          <w:rFonts w:ascii="Times New Roman" w:hAnsi="Times New Roman" w:cs="Times New Roman" w:eastAsia="Times New Roman" w:hint="default"/>
          <w:spacing w:val="-3"/>
        </w:rPr>
        <w:t>14,558,465</w:t>
      </w:r>
      <w:r>
        <w:rPr>
          <w:spacing w:val="-3"/>
        </w:rPr>
        <w:t>股。</w:t>
      </w:r>
      <w:r>
        <w:rPr/>
      </w:r>
    </w:p>
    <w:p>
      <w:pPr>
        <w:pStyle w:val="BodyText"/>
        <w:spacing w:line="316" w:lineRule="auto" w:before="5"/>
        <w:ind w:right="1645"/>
        <w:jc w:val="left"/>
      </w:pPr>
      <w:r>
        <w:rPr>
          <w:spacing w:val="-3"/>
        </w:rPr>
        <w:t>（六）定价基准日、发行价格或定价原则</w:t>
      </w:r>
      <w:r>
        <w:rPr>
          <w:spacing w:val="-33"/>
        </w:rPr>
        <w:t> </w:t>
      </w:r>
      <w:r>
        <w:rPr>
          <w:spacing w:val="-33"/>
        </w:rPr>
      </w:r>
      <w:r>
        <w:rPr>
          <w:spacing w:val="-3"/>
        </w:rPr>
        <w:t>本次非公开发行的定价基准日为发行期首日，发行期首日为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w:t>
      </w:r>
      <w:r>
        <w:rPr/>
      </w:r>
    </w:p>
    <w:p>
      <w:pPr>
        <w:pStyle w:val="BodyText"/>
        <w:spacing w:line="307" w:lineRule="auto"/>
        <w:ind w:right="0"/>
        <w:jc w:val="left"/>
      </w:pPr>
      <w:r>
        <w:rPr>
          <w:spacing w:val="-4"/>
        </w:rPr>
        <w:t>发行人与保荐机构（主承销商）根据本次发行的申购情况对有效申购进行簿记，按照价格优先、金额优先、时间优先的基本</w:t>
      </w:r>
      <w:r>
        <w:rPr>
          <w:spacing w:val="40"/>
        </w:rPr>
        <w:t> </w:t>
      </w:r>
      <w:r>
        <w:rPr>
          <w:spacing w:val="40"/>
        </w:rPr>
      </w:r>
      <w:r>
        <w:rPr>
          <w:spacing w:val="-3"/>
        </w:rPr>
        <w:t>原则，最终确定本次发行的发行价格为</w:t>
      </w:r>
      <w:r>
        <w:rPr>
          <w:rFonts w:ascii="Times New Roman" w:hAnsi="Times New Roman" w:cs="Times New Roman" w:eastAsia="Times New Roman" w:hint="default"/>
          <w:spacing w:val="-3"/>
        </w:rPr>
        <w:t>9.90</w:t>
      </w:r>
      <w:r>
        <w:rPr>
          <w:spacing w:val="-3"/>
        </w:rPr>
        <w:t>元</w:t>
      </w:r>
      <w:r>
        <w:rPr>
          <w:rFonts w:ascii="Times New Roman" w:hAnsi="Times New Roman" w:cs="Times New Roman" w:eastAsia="Times New Roman" w:hint="default"/>
          <w:spacing w:val="-3"/>
        </w:rPr>
        <w:t>/</w:t>
      </w:r>
      <w:r>
        <w:rPr>
          <w:spacing w:val="-3"/>
        </w:rPr>
        <w:t>股。</w:t>
      </w:r>
      <w:r>
        <w:rPr>
          <w:spacing w:val="-14"/>
        </w:rPr>
        <w:t> </w:t>
      </w:r>
      <w:r>
        <w:rPr>
          <w:spacing w:val="-4"/>
        </w:rPr>
        <w:t>本次非公开发行价格不低于发行期首日前二十个交易日公司股票交易均价的</w:t>
      </w:r>
      <w:r>
        <w:rPr>
          <w:rFonts w:ascii="Times New Roman" w:hAnsi="Times New Roman" w:cs="Times New Roman" w:eastAsia="Times New Roman" w:hint="default"/>
          <w:spacing w:val="-4"/>
        </w:rPr>
        <w:t>90%</w:t>
      </w:r>
      <w:r>
        <w:rPr>
          <w:spacing w:val="-4"/>
        </w:rPr>
        <w:t>，即不低于</w:t>
      </w:r>
      <w:r>
        <w:rPr>
          <w:rFonts w:ascii="Times New Roman" w:hAnsi="Times New Roman" w:cs="Times New Roman" w:eastAsia="Times New Roman" w:hint="default"/>
          <w:spacing w:val="-4"/>
        </w:rPr>
        <w:t>9.63</w:t>
      </w:r>
      <w:r>
        <w:rPr>
          <w:spacing w:val="-4"/>
        </w:rPr>
        <w:t>元</w:t>
      </w:r>
      <w:r>
        <w:rPr>
          <w:rFonts w:ascii="Times New Roman" w:hAnsi="Times New Roman" w:cs="Times New Roman" w:eastAsia="Times New Roman" w:hint="default"/>
          <w:spacing w:val="-4"/>
        </w:rPr>
        <w:t>/</w:t>
      </w:r>
      <w:r>
        <w:rPr>
          <w:spacing w:val="-4"/>
        </w:rPr>
        <w:t>股。本次非公开发行价格</w:t>
      </w:r>
      <w:r>
        <w:rPr>
          <w:spacing w:val="79"/>
        </w:rPr>
        <w:t> </w:t>
      </w:r>
      <w:r>
        <w:rPr>
          <w:spacing w:val="79"/>
        </w:rPr>
      </w:r>
      <w:r>
        <w:rPr>
          <w:spacing w:val="-3"/>
        </w:rPr>
        <w:t>为</w:t>
      </w:r>
      <w:r>
        <w:rPr>
          <w:rFonts w:ascii="Times New Roman" w:hAnsi="Times New Roman" w:cs="Times New Roman" w:eastAsia="Times New Roman" w:hint="default"/>
          <w:spacing w:val="-3"/>
        </w:rPr>
        <w:t>9.90</w:t>
      </w:r>
      <w:r>
        <w:rPr>
          <w:spacing w:val="-3"/>
        </w:rPr>
        <w:t>元</w:t>
      </w:r>
      <w:r>
        <w:rPr>
          <w:rFonts w:ascii="Times New Roman" w:hAnsi="Times New Roman" w:cs="Times New Roman" w:eastAsia="Times New Roman" w:hint="default"/>
          <w:spacing w:val="-3"/>
        </w:rPr>
        <w:t>/</w:t>
      </w:r>
      <w:r>
        <w:rPr>
          <w:spacing w:val="-3"/>
        </w:rPr>
        <w:t>股，相当于发行期首日前二十个交易日公司股票均价的</w:t>
      </w:r>
      <w:r>
        <w:rPr>
          <w:rFonts w:ascii="Times New Roman" w:hAnsi="Times New Roman" w:cs="Times New Roman" w:eastAsia="Times New Roman" w:hint="default"/>
          <w:spacing w:val="-3"/>
        </w:rPr>
        <w:t>92.52%</w:t>
      </w:r>
      <w:r>
        <w:rPr>
          <w:spacing w:val="-3"/>
        </w:rPr>
        <w:t>，相当于发行底价</w:t>
      </w:r>
      <w:r>
        <w:rPr>
          <w:rFonts w:ascii="Times New Roman" w:hAnsi="Times New Roman" w:cs="Times New Roman" w:eastAsia="Times New Roman" w:hint="default"/>
          <w:spacing w:val="-3"/>
        </w:rPr>
        <w:t>9.63</w:t>
      </w:r>
      <w:r>
        <w:rPr>
          <w:spacing w:val="-3"/>
        </w:rPr>
        <w:t>元</w:t>
      </w:r>
      <w:r>
        <w:rPr>
          <w:rFonts w:ascii="Times New Roman" w:hAnsi="Times New Roman" w:cs="Times New Roman" w:eastAsia="Times New Roman" w:hint="default"/>
          <w:spacing w:val="-3"/>
        </w:rPr>
        <w:t>/</w:t>
      </w:r>
      <w:r>
        <w:rPr>
          <w:spacing w:val="-3"/>
        </w:rPr>
        <w:t>股的</w:t>
      </w:r>
      <w:r>
        <w:rPr>
          <w:rFonts w:ascii="Times New Roman" w:hAnsi="Times New Roman" w:cs="Times New Roman" w:eastAsia="Times New Roman" w:hint="default"/>
          <w:spacing w:val="-3"/>
        </w:rPr>
        <w:t>102.80%</w:t>
      </w:r>
      <w:r>
        <w:rPr>
          <w:spacing w:val="-3"/>
        </w:rPr>
        <w:t>。</w:t>
      </w:r>
    </w:p>
    <w:p>
      <w:pPr>
        <w:pStyle w:val="BodyText"/>
        <w:spacing w:line="312" w:lineRule="auto" w:before="7"/>
        <w:ind w:right="1026"/>
        <w:jc w:val="left"/>
      </w:pPr>
      <w:r>
        <w:rPr/>
        <w:t>（七）锁定期</w:t>
      </w:r>
      <w:r>
        <w:rPr>
          <w:spacing w:val="-86"/>
        </w:rPr>
        <w:t> </w:t>
      </w:r>
      <w:r>
        <w:rPr>
          <w:spacing w:val="-86"/>
        </w:rPr>
      </w:r>
      <w:r>
        <w:rPr>
          <w:spacing w:val="-4"/>
        </w:rPr>
        <w:t>本次发行中，投资者认购的股票限售期为</w:t>
      </w:r>
      <w:r>
        <w:rPr>
          <w:rFonts w:ascii="Times New Roman" w:hAnsi="Times New Roman" w:cs="Times New Roman" w:eastAsia="Times New Roman" w:hint="default"/>
          <w:spacing w:val="-4"/>
        </w:rPr>
        <w:t>12</w:t>
      </w:r>
      <w:r>
        <w:rPr>
          <w:spacing w:val="-4"/>
        </w:rPr>
        <w:t>个月。上述股份锁定期届满后减持还需遵守《公司法》、《证券法》、《上市公</w:t>
      </w:r>
      <w:r>
        <w:rPr>
          <w:spacing w:val="45"/>
        </w:rPr>
        <w:t> </w:t>
      </w:r>
      <w:r>
        <w:rPr>
          <w:spacing w:val="45"/>
        </w:rPr>
      </w:r>
      <w:r>
        <w:rPr>
          <w:spacing w:val="-3"/>
        </w:rPr>
        <w:t>司股东、董监高减持股份的若干规定》（证监会公告</w:t>
      </w:r>
      <w:r>
        <w:rPr>
          <w:rFonts w:ascii="Times New Roman" w:hAnsi="Times New Roman" w:cs="Times New Roman" w:eastAsia="Times New Roman" w:hint="default"/>
          <w:spacing w:val="-3"/>
        </w:rPr>
        <w:t>[2017]9</w:t>
      </w:r>
      <w:r>
        <w:rPr>
          <w:spacing w:val="-3"/>
        </w:rPr>
        <w:t>号）、《深圳证券交易所创业板股票上市规则》及《深圳证券</w:t>
      </w:r>
      <w:r>
        <w:rPr>
          <w:spacing w:val="80"/>
        </w:rPr>
        <w:t> </w:t>
      </w:r>
      <w:r>
        <w:rPr>
          <w:spacing w:val="80"/>
        </w:rPr>
      </w:r>
      <w:r>
        <w:rPr>
          <w:spacing w:val="-3"/>
        </w:rPr>
        <w:t>交易所上市公司股东及董事、监事、高级管理人员减持股份实施细则》等法律、法规、规章、规范性文件以及《公司章程》</w:t>
      </w:r>
      <w:r>
        <w:rPr>
          <w:spacing w:val="66"/>
        </w:rPr>
        <w:t> </w:t>
      </w:r>
      <w:r>
        <w:rPr>
          <w:spacing w:val="66"/>
        </w:rPr>
      </w:r>
      <w:r>
        <w:rPr>
          <w:spacing w:val="-4"/>
        </w:rPr>
        <w:t>的相关规定。本次非公开发行结束后，由于公司送红股、资本公积金转增股本等原因增加的公司股份，亦应遵守上述限售期</w:t>
      </w:r>
      <w:r>
        <w:rPr>
          <w:spacing w:val="42"/>
        </w:rPr>
        <w:t> </w:t>
      </w:r>
      <w:r>
        <w:rPr>
          <w:spacing w:val="42"/>
        </w:rPr>
      </w:r>
      <w:r>
        <w:rPr/>
        <w:t>安排。</w:t>
      </w:r>
      <w:r>
        <w:rPr>
          <w:spacing w:val="-88"/>
        </w:rPr>
        <w:t> </w:t>
      </w:r>
      <w:r>
        <w:rPr>
          <w:spacing w:val="-88"/>
        </w:rPr>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28</w:t>
      </w:r>
      <w:r>
        <w:rPr>
          <w:spacing w:val="-4"/>
        </w:rPr>
        <w:t>日因上述股份限售期满，公司依据股东的锁定承诺将上述</w:t>
      </w:r>
      <w:r>
        <w:rPr>
          <w:rFonts w:ascii="Times New Roman" w:hAnsi="Times New Roman" w:cs="Times New Roman" w:eastAsia="Times New Roman" w:hint="default"/>
          <w:spacing w:val="-4"/>
        </w:rPr>
        <w:t>81,326,141</w:t>
      </w:r>
      <w:r>
        <w:rPr>
          <w:spacing w:val="-4"/>
        </w:rPr>
        <w:t>股解除限售，上市流通日为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28</w:t>
      </w:r>
      <w:r>
        <w:rPr>
          <w:spacing w:val="-4"/>
        </w:rPr>
        <w:t>日。</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9" w:lineRule="auto"/>
        <w:ind w:right="10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、经中国证监会《关于核准江苏润和软件股份有限公司非公开发行股票的批复》（证监许可</w:t>
      </w:r>
      <w:r>
        <w:rPr>
          <w:rFonts w:ascii="Times New Roman" w:hAnsi="Times New Roman" w:cs="Times New Roman" w:eastAsia="Times New Roman" w:hint="default"/>
          <w:spacing w:val="-3"/>
        </w:rPr>
        <w:t>[2017]1213</w:t>
      </w:r>
      <w:r>
        <w:rPr>
          <w:spacing w:val="-3"/>
        </w:rPr>
        <w:t>号），核准公司非</w:t>
      </w:r>
      <w:r>
        <w:rPr/>
        <w:t> </w:t>
      </w:r>
      <w:r>
        <w:rPr/>
      </w:r>
      <w:r>
        <w:rPr>
          <w:spacing w:val="-3"/>
        </w:rPr>
        <w:t>公开发行不超过</w:t>
      </w:r>
      <w:r>
        <w:rPr>
          <w:rFonts w:ascii="Times New Roman" w:hAnsi="Times New Roman" w:cs="Times New Roman" w:eastAsia="Times New Roman" w:hint="default"/>
          <w:spacing w:val="-3"/>
        </w:rPr>
        <w:t>10,000</w:t>
      </w:r>
      <w:r>
        <w:rPr>
          <w:spacing w:val="-3"/>
        </w:rPr>
        <w:t>万股新股。公司向</w:t>
      </w:r>
      <w:r>
        <w:rPr>
          <w:rFonts w:ascii="Times New Roman" w:hAnsi="Times New Roman" w:cs="Times New Roman" w:eastAsia="Times New Roman" w:hint="default"/>
          <w:spacing w:val="-3"/>
        </w:rPr>
        <w:t>4</w:t>
      </w:r>
      <w:r>
        <w:rPr>
          <w:spacing w:val="-3"/>
        </w:rPr>
        <w:t>名特定投资者共计发行人民币普通股（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81,326,141</w:t>
      </w:r>
      <w:r>
        <w:rPr>
          <w:spacing w:val="-3"/>
        </w:rPr>
        <w:t>股，每股发行价格为人民</w:t>
      </w:r>
    </w:p>
    <w:p>
      <w:pPr>
        <w:pStyle w:val="BodyText"/>
        <w:spacing w:line="302" w:lineRule="auto"/>
        <w:ind w:right="1026"/>
        <w:jc w:val="left"/>
      </w:pPr>
      <w:r>
        <w:rPr>
          <w:spacing w:val="-4"/>
        </w:rPr>
        <w:t>币</w:t>
      </w:r>
      <w:r>
        <w:rPr>
          <w:rFonts w:ascii="Times New Roman" w:hAnsi="Times New Roman" w:cs="Times New Roman" w:eastAsia="Times New Roman" w:hint="default"/>
          <w:spacing w:val="-4"/>
        </w:rPr>
        <w:t>9.90</w:t>
      </w:r>
      <w:r>
        <w:rPr>
          <w:spacing w:val="-4"/>
        </w:rPr>
        <w:t>元</w:t>
      </w:r>
      <w:r>
        <w:rPr>
          <w:rFonts w:ascii="Times New Roman" w:hAnsi="Times New Roman" w:cs="Times New Roman" w:eastAsia="Times New Roman" w:hint="default"/>
          <w:spacing w:val="-4"/>
        </w:rPr>
        <w:t>/</w:t>
      </w:r>
      <w:r>
        <w:rPr>
          <w:spacing w:val="-4"/>
        </w:rPr>
        <w:t>股。其中，泰达宏利基金管理有限公司认购</w:t>
      </w:r>
      <w:r>
        <w:rPr>
          <w:rFonts w:ascii="Times New Roman" w:hAnsi="Times New Roman" w:cs="Times New Roman" w:eastAsia="Times New Roman" w:hint="default"/>
          <w:spacing w:val="-4"/>
        </w:rPr>
        <w:t>36,363,636</w:t>
      </w:r>
      <w:r>
        <w:rPr>
          <w:spacing w:val="-4"/>
        </w:rPr>
        <w:t>股，浙江浙商产融控股有限公司认购</w:t>
      </w:r>
      <w:r>
        <w:rPr>
          <w:rFonts w:ascii="Times New Roman" w:hAnsi="Times New Roman" w:cs="Times New Roman" w:eastAsia="Times New Roman" w:hint="default"/>
          <w:spacing w:val="-4"/>
        </w:rPr>
        <w:t>15,151,515</w:t>
      </w:r>
      <w:r>
        <w:rPr>
          <w:spacing w:val="-4"/>
        </w:rPr>
        <w:t>股，财通基金</w:t>
      </w:r>
      <w:r>
        <w:rPr>
          <w:spacing w:val="3"/>
        </w:rPr>
        <w:t> </w:t>
      </w:r>
      <w:r>
        <w:rPr>
          <w:spacing w:val="3"/>
        </w:rPr>
      </w:r>
      <w:r>
        <w:rPr>
          <w:spacing w:val="-3"/>
        </w:rPr>
        <w:t>管理有限公司认购</w:t>
      </w:r>
      <w:r>
        <w:rPr>
          <w:rFonts w:ascii="Times New Roman" w:hAnsi="Times New Roman" w:cs="Times New Roman" w:eastAsia="Times New Roman" w:hint="default"/>
          <w:spacing w:val="-3"/>
        </w:rPr>
        <w:t>15,252,525</w:t>
      </w:r>
      <w:r>
        <w:rPr>
          <w:spacing w:val="-3"/>
        </w:rPr>
        <w:t>股，申万宏源证券有限公司认购</w:t>
      </w:r>
      <w:r>
        <w:rPr>
          <w:rFonts w:ascii="Times New Roman" w:hAnsi="Times New Roman" w:cs="Times New Roman" w:eastAsia="Times New Roman" w:hint="default"/>
          <w:spacing w:val="-3"/>
        </w:rPr>
        <w:t>14,558,465</w:t>
      </w:r>
      <w:r>
        <w:rPr>
          <w:spacing w:val="-3"/>
        </w:rPr>
        <w:t>股。公司总股本由</w:t>
      </w:r>
      <w:r>
        <w:rPr>
          <w:rFonts w:ascii="Times New Roman" w:hAnsi="Times New Roman" w:cs="Times New Roman" w:eastAsia="Times New Roman" w:hint="default"/>
          <w:spacing w:val="-3"/>
        </w:rPr>
        <w:t>71,546.6700</w:t>
      </w:r>
      <w:r>
        <w:rPr>
          <w:spacing w:val="-3"/>
        </w:rPr>
        <w:t>万股变更为</w:t>
      </w:r>
      <w:r>
        <w:rPr>
          <w:rFonts w:ascii="Times New Roman" w:hAnsi="Times New Roman" w:cs="Times New Roman" w:eastAsia="Times New Roman" w:hint="default"/>
          <w:spacing w:val="-3"/>
        </w:rPr>
        <w:t>79,679.2841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万股。</w:t>
      </w:r>
      <w:r>
        <w:rPr>
          <w:spacing w:val="-88"/>
        </w:rPr>
        <w:t> </w:t>
      </w:r>
      <w:r>
        <w:rPr>
          <w:spacing w:val="-88"/>
        </w:rPr>
      </w:r>
      <w:r>
        <w:rPr>
          <w:rFonts w:ascii="Times New Roman" w:hAnsi="Times New Roman" w:cs="Times New Roman" w:eastAsia="Times New Roman" w:hint="default"/>
          <w:spacing w:val="-3"/>
        </w:rPr>
        <w:t>2</w:t>
      </w:r>
      <w:r>
        <w:rPr>
          <w:spacing w:val="-3"/>
        </w:rPr>
        <w:t>、根据《江苏润和软件股份有限公司</w:t>
      </w:r>
      <w:r>
        <w:rPr>
          <w:rFonts w:ascii="Times New Roman" w:hAnsi="Times New Roman" w:cs="Times New Roman" w:eastAsia="Times New Roman" w:hint="default"/>
          <w:spacing w:val="-3"/>
        </w:rPr>
        <w:t>2014</w:t>
      </w:r>
      <w:r>
        <w:rPr>
          <w:spacing w:val="-3"/>
        </w:rPr>
        <w:t>年限制性股票激励计划（草案修订稿）》的相关规定及</w:t>
      </w:r>
      <w:r>
        <w:rPr>
          <w:rFonts w:ascii="Times New Roman" w:hAnsi="Times New Roman" w:cs="Times New Roman" w:eastAsia="Times New Roman" w:hint="default"/>
          <w:spacing w:val="-3"/>
        </w:rPr>
        <w:t>2014</w:t>
      </w:r>
      <w:r>
        <w:rPr>
          <w:spacing w:val="-3"/>
        </w:rPr>
        <w:t>年第五次临时股东大</w:t>
      </w:r>
      <w:r>
        <w:rPr>
          <w:spacing w:val="82"/>
        </w:rPr>
        <w:t> </w:t>
      </w:r>
      <w:r>
        <w:rPr>
          <w:spacing w:val="82"/>
        </w:rPr>
      </w:r>
      <w:r>
        <w:rPr>
          <w:spacing w:val="-4"/>
        </w:rPr>
        <w:t>会的授权，公司于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日召开第五届董事会第二十八次会议，审议并通过了《关于回购注销</w:t>
      </w:r>
      <w:r>
        <w:rPr>
          <w:rFonts w:ascii="Times New Roman" w:hAnsi="Times New Roman" w:cs="Times New Roman" w:eastAsia="Times New Roman" w:hint="default"/>
          <w:spacing w:val="-4"/>
        </w:rPr>
        <w:t>2014</w:t>
      </w:r>
      <w:r>
        <w:rPr>
          <w:spacing w:val="-4"/>
        </w:rPr>
        <w:t>年限制性股票激励</w:t>
      </w:r>
      <w:r>
        <w:rPr>
          <w:spacing w:val="67"/>
        </w:rPr>
        <w:t> </w:t>
      </w:r>
      <w:r>
        <w:rPr>
          <w:spacing w:val="67"/>
        </w:rPr>
      </w:r>
      <w:r>
        <w:rPr>
          <w:spacing w:val="-4"/>
        </w:rPr>
        <w:t>计划部分已获授但尚未解锁的限制性股票的议案》和《关于</w:t>
      </w:r>
      <w:r>
        <w:rPr>
          <w:rFonts w:ascii="Times New Roman" w:hAnsi="Times New Roman" w:cs="Times New Roman" w:eastAsia="Times New Roman" w:hint="default"/>
          <w:spacing w:val="-4"/>
        </w:rPr>
        <w:t>2014</w:t>
      </w:r>
      <w:r>
        <w:rPr>
          <w:spacing w:val="-4"/>
        </w:rPr>
        <w:t>年限制性股票激励计划首次授予的限制性股票第三个解锁期</w:t>
      </w:r>
      <w:r>
        <w:rPr>
          <w:spacing w:val="50"/>
        </w:rPr>
        <w:t> </w:t>
      </w:r>
      <w:r>
        <w:rPr>
          <w:spacing w:val="50"/>
        </w:rPr>
      </w:r>
      <w:r>
        <w:rPr>
          <w:spacing w:val="-3"/>
        </w:rPr>
        <w:t>及预留授予的限制性股票第二个解锁期条件成就可解锁的议案》。经董事会审议，认为：（</w:t>
      </w:r>
      <w:r>
        <w:rPr>
          <w:rFonts w:ascii="Times New Roman" w:hAnsi="Times New Roman" w:cs="Times New Roman" w:eastAsia="Times New Roman" w:hint="default"/>
          <w:spacing w:val="-3"/>
        </w:rPr>
        <w:t>1</w:t>
      </w:r>
      <w:r>
        <w:rPr>
          <w:spacing w:val="-3"/>
        </w:rPr>
        <w:t>）鉴于公司《激励计划（草案</w:t>
      </w:r>
      <w:r>
        <w:rPr>
          <w:spacing w:val="71"/>
        </w:rPr>
        <w:t> </w:t>
      </w:r>
      <w:r>
        <w:rPr>
          <w:spacing w:val="71"/>
        </w:rPr>
      </w:r>
      <w:r>
        <w:rPr>
          <w:spacing w:val="-4"/>
        </w:rPr>
        <w:t>修订稿）》首次授予的激励对象莫华军、沈欣慧等</w:t>
      </w:r>
      <w:r>
        <w:rPr>
          <w:rFonts w:ascii="Times New Roman" w:hAnsi="Times New Roman" w:cs="Times New Roman" w:eastAsia="Times New Roman" w:hint="default"/>
          <w:spacing w:val="-4"/>
        </w:rPr>
        <w:t>19</w:t>
      </w:r>
      <w:r>
        <w:rPr>
          <w:spacing w:val="-4"/>
        </w:rPr>
        <w:t>人及预留授予的激励对象魏榕祠、蒋昕等</w:t>
      </w:r>
      <w:r>
        <w:rPr>
          <w:rFonts w:ascii="Times New Roman" w:hAnsi="Times New Roman" w:cs="Times New Roman" w:eastAsia="Times New Roman" w:hint="default"/>
          <w:spacing w:val="-4"/>
        </w:rPr>
        <w:t>10</w:t>
      </w:r>
      <w:r>
        <w:rPr>
          <w:spacing w:val="-4"/>
        </w:rPr>
        <w:t>人，共计</w:t>
      </w:r>
      <w:r>
        <w:rPr>
          <w:rFonts w:ascii="Times New Roman" w:hAnsi="Times New Roman" w:cs="Times New Roman" w:eastAsia="Times New Roman" w:hint="default"/>
          <w:spacing w:val="-4"/>
        </w:rPr>
        <w:t>29</w:t>
      </w:r>
      <w:r>
        <w:rPr>
          <w:spacing w:val="-4"/>
        </w:rPr>
        <w:t>人因个人原因已</w:t>
      </w:r>
      <w:r>
        <w:rPr>
          <w:spacing w:val="54"/>
        </w:rPr>
        <w:t> </w:t>
      </w:r>
      <w:r>
        <w:rPr>
          <w:spacing w:val="54"/>
        </w:rPr>
      </w:r>
      <w:r>
        <w:rPr>
          <w:spacing w:val="-4"/>
        </w:rPr>
        <w:t>离职，根据《激励计划（草案修订稿）》的规定和公司</w:t>
      </w:r>
      <w:r>
        <w:rPr>
          <w:rFonts w:ascii="Times New Roman" w:hAnsi="Times New Roman" w:cs="Times New Roman" w:eastAsia="Times New Roman" w:hint="default"/>
          <w:spacing w:val="-4"/>
        </w:rPr>
        <w:t>2014</w:t>
      </w:r>
      <w:r>
        <w:rPr>
          <w:spacing w:val="-4"/>
        </w:rPr>
        <w:t>年第五次临时股东大会的授权，公司董事会同意取消上述共计</w:t>
      </w:r>
      <w:r>
        <w:rPr>
          <w:rFonts w:ascii="Times New Roman" w:hAnsi="Times New Roman" w:cs="Times New Roman" w:eastAsia="Times New Roman" w:hint="default"/>
          <w:spacing w:val="-4"/>
        </w:rPr>
        <w:t>29</w:t>
      </w:r>
      <w:r>
        <w:rPr>
          <w:rFonts w:ascii="Times New Roman" w:hAnsi="Times New Roman" w:cs="Times New Roman" w:eastAsia="Times New Roman" w:hint="default"/>
          <w:spacing w:val="7"/>
        </w:rPr>
        <w:t> </w:t>
      </w:r>
      <w:r>
        <w:rPr>
          <w:spacing w:val="-5"/>
          <w:w w:val="101"/>
        </w:rPr>
        <w:t>人的激励对象资格并回购注销上述人员已获授权但尚未解锁的全部限制性股票共计</w:t>
      </w:r>
      <w:r>
        <w:rPr>
          <w:rFonts w:ascii="Times New Roman" w:hAnsi="Times New Roman" w:cs="Times New Roman" w:eastAsia="Times New Roman" w:hint="default"/>
          <w:spacing w:val="-5"/>
          <w:w w:val="101"/>
        </w:rPr>
        <w:t>38.20</w:t>
      </w:r>
      <w:r>
        <w:rPr>
          <w:spacing w:val="-5"/>
          <w:w w:val="101"/>
        </w:rPr>
        <w:t>万股，并对回购价格进行调整；（</w:t>
      </w:r>
      <w:r>
        <w:rPr>
          <w:rFonts w:ascii="Times New Roman" w:hAnsi="Times New Roman" w:cs="Times New Roman" w:eastAsia="Times New Roman" w:hint="default"/>
          <w:spacing w:val="-5"/>
          <w:w w:val="101"/>
        </w:rPr>
        <w:t>2</w:t>
      </w:r>
      <w:r>
        <w:rPr>
          <w:spacing w:val="-5"/>
          <w:w w:val="101"/>
        </w:rPr>
        <w:t>）</w:t>
      </w:r>
      <w:r>
        <w:rPr>
          <w:spacing w:val="-5"/>
        </w:rPr>
      </w:r>
    </w:p>
    <w:p>
      <w:pPr>
        <w:spacing w:after="0" w:line="302"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2" w:lineRule="auto" w:before="46"/>
        <w:ind w:left="293" w:right="299"/>
        <w:jc w:val="left"/>
      </w:pPr>
      <w:r>
        <w:rPr/>
        <w:t>公司</w:t>
      </w:r>
      <w:r>
        <w:rPr>
          <w:rFonts w:ascii="Times New Roman" w:hAnsi="Times New Roman" w:cs="Times New Roman" w:eastAsia="Times New Roman" w:hint="default"/>
        </w:rPr>
        <w:t>2014 </w:t>
      </w:r>
      <w:r>
        <w:rPr>
          <w:spacing w:val="-3"/>
        </w:rPr>
        <w:t>年限制性股票激励计划首次授予的限制性股票第三个解锁期及预留授予的限制性股票第二个解锁期已经届满，共</w:t>
      </w:r>
      <w:r>
        <w:rPr>
          <w:spacing w:val="-9"/>
        </w:rPr>
        <w:t> </w:t>
      </w:r>
      <w:r>
        <w:rPr>
          <w:spacing w:val="-9"/>
        </w:rPr>
      </w:r>
      <w:r>
        <w:rPr>
          <w:spacing w:val="-3"/>
        </w:rPr>
        <w:t>计</w:t>
      </w:r>
      <w:r>
        <w:rPr>
          <w:rFonts w:ascii="Times New Roman" w:hAnsi="Times New Roman" w:cs="Times New Roman" w:eastAsia="Times New Roman" w:hint="default"/>
          <w:spacing w:val="-3"/>
        </w:rPr>
        <w:t>316</w:t>
      </w:r>
      <w:r>
        <w:rPr>
          <w:spacing w:val="-3"/>
        </w:rPr>
        <w:t>名激励对象均达到完全解锁条件，董事会同意按照《激励计划（草案修订稿）》的相关规定办理首次授予的限制性股</w:t>
      </w:r>
      <w:r>
        <w:rPr>
          <w:spacing w:val="73"/>
        </w:rPr>
        <w:t> </w:t>
      </w:r>
      <w:r>
        <w:rPr>
          <w:spacing w:val="73"/>
        </w:rPr>
      </w:r>
      <w:r>
        <w:rPr>
          <w:spacing w:val="-3"/>
        </w:rPr>
        <w:t>票第三个解锁期以及预留授予的第二个解锁期股票的解锁相关事宜。公司总股本由</w:t>
      </w:r>
      <w:r>
        <w:rPr>
          <w:rFonts w:ascii="Times New Roman" w:hAnsi="Times New Roman" w:cs="Times New Roman" w:eastAsia="Times New Roman" w:hint="default"/>
          <w:spacing w:val="-3"/>
        </w:rPr>
        <w:t>79,679.2841</w:t>
      </w:r>
      <w:r>
        <w:rPr>
          <w:spacing w:val="-3"/>
        </w:rPr>
        <w:t>万股变更为</w:t>
      </w:r>
      <w:r>
        <w:rPr>
          <w:rFonts w:ascii="Times New Roman" w:hAnsi="Times New Roman" w:cs="Times New Roman" w:eastAsia="Times New Roman" w:hint="default"/>
          <w:spacing w:val="-3"/>
        </w:rPr>
        <w:t>79,641.0841</w:t>
      </w:r>
      <w:r>
        <w:rPr>
          <w:spacing w:val="-3"/>
        </w:rPr>
        <w:t>万股。</w:t>
      </w:r>
      <w:r>
        <w:rPr>
          <w:spacing w:val="15"/>
        </w:rPr>
        <w:t> </w:t>
      </w:r>
      <w:r>
        <w:rPr>
          <w:spacing w:val="15"/>
        </w:rPr>
      </w:r>
      <w:r>
        <w:rPr>
          <w:rFonts w:ascii="Times New Roman" w:hAnsi="Times New Roman" w:cs="Times New Roman" w:eastAsia="Times New Roman" w:hint="default"/>
          <w:spacing w:val="-3"/>
        </w:rPr>
        <w:t>3</w:t>
      </w:r>
      <w:r>
        <w:rPr>
          <w:spacing w:val="-3"/>
        </w:rPr>
        <w:t>、鉴于上述情况，公司于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日召开第五届董事会第三十三次会议、于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w:t>
      </w:r>
      <w:r>
        <w:rPr>
          <w:rFonts w:ascii="Times New Roman" w:hAnsi="Times New Roman" w:cs="Times New Roman" w:eastAsia="Times New Roman" w:hint="default"/>
          <w:spacing w:val="-3"/>
        </w:rPr>
        <w:t>2017</w:t>
      </w:r>
      <w:r>
        <w:rPr>
          <w:spacing w:val="-3"/>
        </w:rPr>
        <w:t>年年度股东大会，</w:t>
      </w:r>
      <w:r>
        <w:rPr>
          <w:spacing w:val="9"/>
        </w:rPr>
        <w:t> </w:t>
      </w:r>
      <w:r>
        <w:rPr>
          <w:spacing w:val="9"/>
        </w:rPr>
      </w:r>
      <w:r>
        <w:rPr>
          <w:spacing w:val="-3"/>
        </w:rPr>
        <w:t>审议通过《关于变更公司注册资本并修改</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的议案》，同意将公司总股本变更为</w:t>
      </w:r>
      <w:r>
        <w:rPr>
          <w:rFonts w:ascii="Times New Roman" w:hAnsi="Times New Roman" w:cs="Times New Roman" w:eastAsia="Times New Roman" w:hint="default"/>
          <w:spacing w:val="-3"/>
        </w:rPr>
        <w:t>79,641.0841</w:t>
      </w:r>
      <w:r>
        <w:rPr>
          <w:spacing w:val="-3"/>
        </w:rPr>
        <w:t>万股。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 </w:t>
      </w:r>
      <w:r>
        <w:rPr>
          <w:spacing w:val="-8"/>
          <w:w w:val="101"/>
        </w:rPr>
        <w:t>公司完成了上述变更事项的修改公司章程、公司注册资本工商变更登记等事宜，并取得了南京市工商行政管理局新颁发的《营</w:t>
      </w:r>
      <w:r>
        <w:rPr>
          <w:spacing w:val="-53"/>
          <w:w w:val="101"/>
        </w:rPr>
        <w:t> </w:t>
      </w:r>
      <w:r>
        <w:rPr>
          <w:spacing w:val="-53"/>
          <w:w w:val="101"/>
        </w:rPr>
      </w:r>
      <w:r>
        <w:rPr/>
        <w:t>业执照》。</w:t>
      </w:r>
    </w:p>
    <w:p>
      <w:pPr>
        <w:spacing w:line="240" w:lineRule="auto" w:before="5"/>
        <w:rPr>
          <w:rFonts w:ascii="宋体" w:hAnsi="宋体" w:cs="宋体" w:eastAsia="宋体" w:hint="default"/>
          <w:sz w:val="18"/>
          <w:szCs w:val="18"/>
        </w:rPr>
      </w:pPr>
    </w:p>
    <w:p>
      <w:pPr>
        <w:pStyle w:val="Heading3"/>
        <w:spacing w:line="240" w:lineRule="auto"/>
        <w:ind w:left="293" w:right="29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293" w:right="29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left="293" w:right="299"/>
        <w:jc w:val="left"/>
        <w:rPr>
          <w:b w:val="0"/>
          <w:bCs w:val="0"/>
        </w:rPr>
      </w:pPr>
      <w:r>
        <w:rPr/>
        <w:t>三、股东和实际控制人情况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left="293" w:right="29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2"/>
        <w:jc w:val="right"/>
      </w:pPr>
      <w:r>
        <w:rPr/>
        <w:pict>
          <v:shape style="position:absolute;margin-left:492.651917pt;margin-top:17.467726pt;width:55.25pt;height:81.9pt;mso-position-horizontal-relative:page;mso-position-vertical-relative:paragraph;z-index:-1200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w w:val="101"/>
                    </w:rPr>
                    <w:t>）</w:t>
                  </w:r>
                  <w:r>
                    <w:rPr/>
                  </w:r>
                </w:p>
              </w:txbxContent>
            </v:textbox>
            <w10:wrap type="none"/>
          </v:shape>
        </w:pict>
      </w:r>
      <w:r>
        <w:rPr/>
        <w:pict>
          <v:group style="position:absolute;margin-left:498.670013pt;margin-top:17.467726pt;width:49.25pt;height:81.9pt;mso-position-horizontal-relative:page;mso-position-vertical-relative:paragraph;z-index:-1200400" coordorigin="9973,349" coordsize="985,1638">
            <v:group style="position:absolute;left:9973;top:349;width:985;height:1638" coordorigin="9973,349" coordsize="985,1638">
              <v:shape style="position:absolute;left:9973;top:349;width:985;height:1638" coordorigin="9973,349" coordsize="985,1638" path="m9973,1987l10958,1987,10958,349,9973,349,9973,1987xe" filled="true" fillcolor="#ffffff" stroked="false">
                <v:path arrowok="t"/>
                <v:fill type="solid"/>
              </v:shape>
            </v:group>
            <v:group style="position:absolute;left:9997;top:974;width:937;height:389" coordorigin="9997,974" coordsize="937,389">
              <v:shape style="position:absolute;left:9997;top:974;width:937;height:389" coordorigin="9997,974" coordsize="937,389" path="m9997,1363l10934,1363,10934,974,9997,974,9997,1363xe" filled="true" fillcolor="#ffffff" stroked="false">
                <v:path arrowok="t"/>
                <v:fill type="solid"/>
              </v:shape>
            </v:group>
            <w10:wrap type="none"/>
          </v:group>
        </w:pict>
      </w:r>
      <w:r>
        <w:rPr>
          <w:spacing w:val="-2"/>
        </w:rPr>
        <w:t>单位：股</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760"/>
        <w:gridCol w:w="826"/>
        <w:gridCol w:w="540"/>
        <w:gridCol w:w="706"/>
        <w:gridCol w:w="216"/>
        <w:gridCol w:w="778"/>
        <w:gridCol w:w="418"/>
        <w:gridCol w:w="576"/>
        <w:gridCol w:w="754"/>
        <w:gridCol w:w="235"/>
        <w:gridCol w:w="829"/>
        <w:gridCol w:w="166"/>
        <w:gridCol w:w="1220"/>
        <w:gridCol w:w="471"/>
        <w:gridCol w:w="519"/>
      </w:tblGrid>
      <w:tr>
        <w:trPr>
          <w:trHeight w:val="1652"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8" w:right="96"/>
              <w:jc w:val="left"/>
              <w:rPr>
                <w:rFonts w:ascii="宋体" w:hAnsi="宋体" w:cs="宋体" w:eastAsia="宋体" w:hint="default"/>
                <w:sz w:val="18"/>
                <w:szCs w:val="18"/>
              </w:rPr>
            </w:pPr>
            <w:r>
              <w:rPr>
                <w:rFonts w:ascii="宋体" w:hAnsi="宋体" w:cs="宋体" w:eastAsia="宋体" w:hint="default"/>
                <w:spacing w:val="-3"/>
                <w:sz w:val="18"/>
                <w:szCs w:val="18"/>
              </w:rPr>
              <w:t>报告期末普通股股东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总数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28,865</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1" w:right="166"/>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33,455</w:t>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7"/>
              <w:jc w:val="both"/>
              <w:rPr>
                <w:rFonts w:ascii="宋体" w:hAnsi="宋体" w:cs="宋体" w:eastAsia="宋体" w:hint="default"/>
                <w:sz w:val="18"/>
                <w:szCs w:val="18"/>
              </w:rPr>
            </w:pPr>
            <w:r>
              <w:rPr>
                <w:rFonts w:ascii="宋体" w:hAnsi="宋体" w:cs="宋体" w:eastAsia="宋体" w:hint="default"/>
                <w:spacing w:val="-3"/>
                <w:sz w:val="18"/>
                <w:szCs w:val="18"/>
              </w:rPr>
              <w:t>报告期末表决权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恢复的优先股股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东总数（如有）</w:t>
            </w:r>
          </w:p>
          <w:p>
            <w:pPr>
              <w:pStyle w:val="TableParagraph"/>
              <w:spacing w:line="240" w:lineRule="auto" w:before="22"/>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89"/>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前上一月末表决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权恢复的优先股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股东总数（如有</w:t>
            </w:r>
          </w:p>
          <w:p>
            <w:pPr>
              <w:pStyle w:val="TableParagraph"/>
              <w:spacing w:line="240" w:lineRule="auto" w:before="23"/>
              <w:ind w:left="2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471" w:type="dxa"/>
            <w:tcBorders>
              <w:top w:val="single" w:sz="4" w:space="0" w:color="000000"/>
              <w:left w:val="single" w:sz="4" w:space="0" w:color="000000"/>
              <w:bottom w:val="single" w:sz="4" w:space="0" w:color="000000"/>
              <w:right w:val="nil" w:sz="6" w:space="0" w:color="auto"/>
            </w:tcBorders>
          </w:tcPr>
          <w:p>
            <w:pPr/>
          </w:p>
        </w:tc>
        <w:tc>
          <w:tcPr>
            <w:tcW w:w="5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00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4" w:hRule="exact"/>
        </w:trPr>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79"/>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 w:right="36"/>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9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43" w:right="3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43" w:right="36"/>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22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760" w:type="dxa"/>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89"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96"/>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17.54%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139,672,683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11730605</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139,672,683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130,500,000</w:t>
            </w:r>
          </w:p>
        </w:tc>
      </w:tr>
      <w:tr>
        <w:trPr>
          <w:trHeight w:val="710"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96"/>
              <w:jc w:val="left"/>
              <w:rPr>
                <w:rFonts w:ascii="宋体" w:hAnsi="宋体" w:cs="宋体" w:eastAsia="宋体" w:hint="default"/>
                <w:sz w:val="18"/>
                <w:szCs w:val="18"/>
              </w:rPr>
            </w:pPr>
            <w:r>
              <w:rPr>
                <w:rFonts w:ascii="宋体" w:hAnsi="宋体" w:cs="宋体" w:eastAsia="宋体" w:hint="default"/>
                <w:spacing w:val="-3"/>
                <w:sz w:val="18"/>
                <w:szCs w:val="18"/>
              </w:rPr>
              <w:t>宁波宏创股权投资合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伙企业（有限合伙）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80,349,396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-15900000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28,874,819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51,474,577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34,999,600</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44,242,066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33,181,549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11,060,517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44,240,000</w:t>
            </w:r>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8" w:right="96"/>
              <w:jc w:val="left"/>
              <w:rPr>
                <w:rFonts w:ascii="宋体" w:hAnsi="宋体" w:cs="宋体" w:eastAsia="宋体" w:hint="default"/>
                <w:sz w:val="18"/>
                <w:szCs w:val="18"/>
              </w:rPr>
            </w:pPr>
            <w:r>
              <w:rPr>
                <w:rFonts w:ascii="宋体" w:hAnsi="宋体" w:cs="宋体" w:eastAsia="宋体" w:hint="default"/>
                <w:spacing w:val="-3"/>
                <w:sz w:val="18"/>
                <w:szCs w:val="18"/>
              </w:rPr>
              <w:t>上海云鑫创业投资有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40,220,000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40220000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40,220,000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48"/>
              <w:jc w:val="both"/>
              <w:rPr>
                <w:rFonts w:ascii="宋体" w:hAnsi="宋体" w:cs="宋体" w:eastAsia="宋体" w:hint="default"/>
                <w:sz w:val="18"/>
                <w:szCs w:val="18"/>
              </w:rPr>
            </w:pPr>
            <w:r>
              <w:rPr>
                <w:rFonts w:ascii="宋体" w:hAnsi="宋体" w:cs="宋体" w:eastAsia="宋体" w:hint="default"/>
                <w:spacing w:val="-3"/>
                <w:sz w:val="18"/>
                <w:szCs w:val="18"/>
              </w:rPr>
              <w:t>泰达宏利基金－平安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银行－厦门信托－厦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门信托－财富共赢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号单一资金信托</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36,363,636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36363636</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36,363,636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8" w:right="96"/>
              <w:jc w:val="both"/>
              <w:rPr>
                <w:rFonts w:ascii="宋体" w:hAnsi="宋体" w:cs="宋体" w:eastAsia="宋体" w:hint="default"/>
                <w:sz w:val="18"/>
                <w:szCs w:val="18"/>
              </w:rPr>
            </w:pPr>
            <w:r>
              <w:rPr>
                <w:rFonts w:ascii="宋体" w:hAnsi="宋体" w:cs="宋体" w:eastAsia="宋体" w:hint="default"/>
                <w:spacing w:val="-3"/>
                <w:sz w:val="18"/>
                <w:szCs w:val="18"/>
              </w:rPr>
              <w:t>兴业国际信托有限公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司－润和软件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号员</w:t>
            </w:r>
            <w:r>
              <w:rPr>
                <w:rFonts w:ascii="宋体" w:hAnsi="宋体" w:cs="宋体" w:eastAsia="宋体" w:hint="default"/>
                <w:spacing w:val="-5"/>
                <w:w w:val="101"/>
                <w:sz w:val="18"/>
                <w:szCs w:val="18"/>
              </w:rPr>
              <w:t> </w:t>
            </w:r>
            <w:r>
              <w:rPr>
                <w:rFonts w:ascii="宋体" w:hAnsi="宋体" w:cs="宋体" w:eastAsia="宋体" w:hint="default"/>
                <w:spacing w:val="-3"/>
                <w:sz w:val="18"/>
                <w:szCs w:val="18"/>
              </w:rPr>
              <w:t>工持股集合资金信托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计划</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21,096,076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21,096,076</w:t>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840" w:right="0"/>
        </w:sectPr>
      </w:pPr>
    </w:p>
    <w:p>
      <w:pPr>
        <w:spacing w:line="240" w:lineRule="auto" w:before="11"/>
        <w:rPr>
          <w:rFonts w:ascii="宋体" w:hAnsi="宋体" w:cs="宋体" w:eastAsia="宋体" w:hint="default"/>
          <w:sz w:val="28"/>
          <w:szCs w:val="28"/>
        </w:rPr>
      </w:pPr>
      <w:r>
        <w:rPr/>
        <w:pict>
          <v:shape style="position:absolute;margin-left:197.830002pt;margin-top:215.349976pt;width:350.1pt;height:35.3pt;mso-position-horizontal-relative:page;mso-position-vertical-relative:page;z-index:-12003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30"/>
                    <w:ind w:left="0" w:right="0"/>
                    <w:jc w:val="left"/>
                  </w:pPr>
                  <w:r>
                    <w:rPr>
                      <w:w w:val="101"/>
                    </w:rPr>
                    <w:t>）</w:t>
                  </w:r>
                  <w:r>
                    <w:rPr/>
                  </w:r>
                </w:p>
              </w:txbxContent>
            </v:textbox>
            <w10:wrap type="none"/>
          </v:shape>
        </w:pict>
      </w:r>
      <w:r>
        <w:rPr/>
        <w:pict>
          <v:group style="position:absolute;margin-left:203.830002pt;margin-top:215.349976pt;width:344.1pt;height:7.95pt;mso-position-horizontal-relative:page;mso-position-vertical-relative:page;z-index:-1200328" coordorigin="4077,4307" coordsize="6882,159">
            <v:shape style="position:absolute;left:4077;top:4307;width:6882;height:159" coordorigin="4077,4307" coordsize="6882,159" path="m4077,4465l10958,4465,10958,4307,4077,4307,4077,4465xe" filled="true" fillcolor="#ffffff" stroked="false">
              <v:path arrowok="t"/>
              <v:fill type="solid"/>
            </v:shape>
            <w10:wrap type="none"/>
          </v:group>
        </w:pict>
      </w:r>
      <w:r>
        <w:rPr/>
        <w:pict>
          <v:group style="position:absolute;margin-left:203.830002pt;margin-top:242.709976pt;width:344.1pt;height:7.95pt;mso-position-horizontal-relative:page;mso-position-vertical-relative:page;z-index:-1200304" coordorigin="4077,4854" coordsize="6882,159">
            <v:shape style="position:absolute;left:4077;top:4854;width:6882;height:159" coordorigin="4077,4854" coordsize="6882,159" path="m4077,5013l10958,5013,10958,4854,4077,4854,4077,5013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729"/>
        <w:gridCol w:w="1397"/>
        <w:gridCol w:w="706"/>
        <w:gridCol w:w="994"/>
        <w:gridCol w:w="994"/>
        <w:gridCol w:w="989"/>
        <w:gridCol w:w="994"/>
        <w:gridCol w:w="1220"/>
        <w:gridCol w:w="989"/>
      </w:tblGrid>
      <w:tr>
        <w:trPr>
          <w:trHeight w:val="403"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20,918,000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15,688,500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5,229,500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 w:right="0"/>
              <w:jc w:val="center"/>
              <w:rPr>
                <w:rFonts w:ascii="Times New Roman" w:hAnsi="Times New Roman" w:cs="Times New Roman" w:eastAsia="Times New Roman" w:hint="default"/>
                <w:sz w:val="18"/>
                <w:szCs w:val="18"/>
              </w:rPr>
            </w:pPr>
            <w:r>
              <w:rPr>
                <w:rFonts w:ascii="Times New Roman"/>
                <w:sz w:val="18"/>
              </w:rPr>
              <w:t>16,700,000</w:t>
            </w:r>
          </w:p>
        </w:tc>
      </w:tr>
      <w:tr>
        <w:trPr>
          <w:trHeight w:val="711"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65"/>
              <w:jc w:val="left"/>
              <w:rPr>
                <w:rFonts w:ascii="宋体" w:hAnsi="宋体" w:cs="宋体" w:eastAsia="宋体" w:hint="default"/>
                <w:sz w:val="18"/>
                <w:szCs w:val="18"/>
              </w:rPr>
            </w:pPr>
            <w:r>
              <w:rPr>
                <w:rFonts w:ascii="宋体" w:hAnsi="宋体" w:cs="宋体" w:eastAsia="宋体" w:hint="default"/>
                <w:spacing w:val="-3"/>
                <w:sz w:val="18"/>
                <w:szCs w:val="18"/>
              </w:rPr>
              <w:t>江苏瑞华投资控股集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15,900,000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15,900,000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财通基金－工商银行</w:t>
            </w:r>
          </w:p>
          <w:p>
            <w:pPr>
              <w:pStyle w:val="TableParagraph"/>
              <w:spacing w:line="304" w:lineRule="auto" w:before="71"/>
              <w:ind w:left="28" w:right="12"/>
              <w:jc w:val="left"/>
              <w:rPr>
                <w:rFonts w:ascii="宋体" w:hAnsi="宋体" w:cs="宋体" w:eastAsia="宋体" w:hint="default"/>
                <w:sz w:val="18"/>
                <w:szCs w:val="18"/>
              </w:rPr>
            </w:pPr>
            <w:r>
              <w:rPr>
                <w:rFonts w:ascii="宋体" w:hAnsi="宋体" w:cs="宋体" w:eastAsia="宋体" w:hint="default"/>
                <w:sz w:val="18"/>
                <w:szCs w:val="18"/>
              </w:rPr>
              <w:t>－投乐定增</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管理计划</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15,252,525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15,252,525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15,252,525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8" w:right="65"/>
              <w:jc w:val="left"/>
              <w:rPr>
                <w:rFonts w:ascii="宋体" w:hAnsi="宋体" w:cs="宋体" w:eastAsia="宋体" w:hint="default"/>
                <w:sz w:val="18"/>
                <w:szCs w:val="18"/>
              </w:rPr>
            </w:pPr>
            <w:r>
              <w:rPr>
                <w:rFonts w:ascii="宋体" w:hAnsi="宋体" w:cs="宋体" w:eastAsia="宋体" w:hint="default"/>
                <w:spacing w:val="-3"/>
                <w:sz w:val="18"/>
                <w:szCs w:val="18"/>
              </w:rPr>
              <w:t>浙江浙商产融控股有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15,151,515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15,151,515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15,151,515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战略投资者或一般法人因配售新股成为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w w:val="101"/>
                <w:sz w:val="18"/>
                <w:szCs w:val="18"/>
              </w:rPr>
              <w:t>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2"/>
                <w:w w:val="101"/>
                <w:sz w:val="18"/>
                <w:szCs w:val="18"/>
              </w:rPr>
              <w:t>名股东的情况（如有）（参见注</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z w:val="18"/>
                <w:szCs w:val="18"/>
              </w:rPr>
            </w:r>
          </w:p>
        </w:tc>
        <w:tc>
          <w:tcPr>
            <w:tcW w:w="70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94"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
        </w:tc>
      </w:tr>
      <w:tr>
        <w:trPr>
          <w:trHeight w:val="629" w:hRule="exact"/>
        </w:trPr>
        <w:tc>
          <w:tcPr>
            <w:tcW w:w="31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86" w:type="dxa"/>
            <w:gridSpan w:val="7"/>
            <w:vMerge w:val="restart"/>
            <w:tcBorders>
              <w:top w:val="single" w:sz="4" w:space="0" w:color="000000"/>
              <w:left w:val="single" w:sz="4" w:space="0" w:color="000000"/>
              <w:right w:val="single" w:sz="4" w:space="0" w:color="000000"/>
            </w:tcBorders>
          </w:tcPr>
          <w:p>
            <w:pPr>
              <w:pStyle w:val="TableParagraph"/>
              <w:spacing w:line="309" w:lineRule="auto" w:before="53"/>
              <w:ind w:left="24" w:right="4"/>
              <w:jc w:val="left"/>
              <w:rPr>
                <w:rFonts w:ascii="宋体" w:hAnsi="宋体" w:cs="宋体" w:eastAsia="宋体" w:hint="default"/>
                <w:sz w:val="18"/>
                <w:szCs w:val="18"/>
              </w:rPr>
            </w:pPr>
            <w:r>
              <w:rPr>
                <w:rFonts w:ascii="宋体" w:hAnsi="宋体" w:cs="宋体" w:eastAsia="宋体" w:hint="default"/>
                <w:spacing w:val="-3"/>
                <w:sz w:val="18"/>
                <w:szCs w:val="18"/>
              </w:rPr>
              <w:t>周红卫、姚宁共同持有江苏润和科技投资集团有限公司 </w:t>
            </w:r>
            <w:r>
              <w:rPr>
                <w:rFonts w:ascii="Times New Roman" w:hAnsi="Times New Roman" w:cs="Times New Roman" w:eastAsia="Times New Roman" w:hint="default"/>
                <w:spacing w:val="-3"/>
                <w:sz w:val="18"/>
                <w:szCs w:val="18"/>
              </w:rPr>
              <w:t>76.8%</w:t>
            </w:r>
            <w:r>
              <w:rPr>
                <w:rFonts w:ascii="宋体" w:hAnsi="宋体" w:cs="宋体" w:eastAsia="宋体" w:hint="default"/>
                <w:spacing w:val="-3"/>
                <w:sz w:val="18"/>
                <w:szCs w:val="18"/>
              </w:rPr>
              <w:t>的股份，为保障公司的持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续稳定运营，保障双方在公司股东大会、董事会的一致表决，维持对公司的共同控制，</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w w:val="101"/>
                <w:sz w:val="18"/>
                <w:szCs w:val="18"/>
              </w:rPr>
              <w:t>周红卫和姚宁于</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2017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6"/>
                <w:w w:val="101"/>
                <w:sz w:val="18"/>
                <w:szCs w:val="18"/>
              </w:rPr>
              <w:t>日续签了《一致行动人协议》，双方将继续作为一致行</w:t>
            </w:r>
            <w:r>
              <w:rPr>
                <w:rFonts w:ascii="宋体" w:hAnsi="宋体" w:cs="宋体" w:eastAsia="宋体" w:hint="default"/>
                <w:w w:val="101"/>
                <w:sz w:val="18"/>
                <w:szCs w:val="18"/>
              </w:rPr>
              <w:t> </w:t>
            </w:r>
            <w:r>
              <w:rPr>
                <w:rFonts w:ascii="宋体" w:hAnsi="宋体" w:cs="宋体" w:eastAsia="宋体" w:hint="default"/>
                <w:spacing w:val="-3"/>
                <w:sz w:val="18"/>
                <w:szCs w:val="18"/>
              </w:rPr>
              <w:t>动人，共同掌握公司的实际控制权，暨为公司的实际控制人。除此之外，公司未知其他</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股东是否存在关联关系或一致行动人的关系。</w:t>
            </w:r>
          </w:p>
        </w:tc>
      </w:tr>
      <w:tr>
        <w:trPr>
          <w:trHeight w:val="389" w:hRule="exact"/>
        </w:trPr>
        <w:tc>
          <w:tcPr>
            <w:tcW w:w="31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上述股东关联关系或一致行动的说明</w:t>
            </w:r>
          </w:p>
        </w:tc>
        <w:tc>
          <w:tcPr>
            <w:tcW w:w="6886" w:type="dxa"/>
            <w:gridSpan w:val="7"/>
            <w:vMerge/>
            <w:tcBorders>
              <w:left w:val="single" w:sz="4" w:space="0" w:color="000000"/>
              <w:right w:val="single" w:sz="4" w:space="0" w:color="000000"/>
            </w:tcBorders>
          </w:tcPr>
          <w:p>
            <w:pPr/>
          </w:p>
        </w:tc>
      </w:tr>
      <w:tr>
        <w:trPr>
          <w:trHeight w:val="631" w:hRule="exact"/>
        </w:trPr>
        <w:tc>
          <w:tcPr>
            <w:tcW w:w="31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86" w:type="dxa"/>
            <w:gridSpan w:val="7"/>
            <w:vMerge/>
            <w:tcBorders>
              <w:left w:val="single" w:sz="4" w:space="0" w:color="000000"/>
              <w:bottom w:val="single" w:sz="4" w:space="0" w:color="000000"/>
              <w:right w:val="single" w:sz="4" w:space="0" w:color="000000"/>
            </w:tcBorders>
          </w:tcPr>
          <w:p>
            <w:pPr/>
          </w:p>
        </w:tc>
      </w:tr>
      <w:tr>
        <w:trPr>
          <w:trHeight w:val="401" w:hRule="exact"/>
        </w:trPr>
        <w:tc>
          <w:tcPr>
            <w:tcW w:w="100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7" w:hRule="exact"/>
        </w:trPr>
        <w:tc>
          <w:tcPr>
            <w:tcW w:w="31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7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7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4"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20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126" w:type="dxa"/>
            <w:gridSpan w:val="2"/>
            <w:vMerge/>
            <w:tcBorders>
              <w:left w:val="single" w:sz="4" w:space="0" w:color="000000"/>
              <w:bottom w:val="nil" w:sz="6" w:space="0" w:color="auto"/>
              <w:right w:val="single" w:sz="4" w:space="0" w:color="000000"/>
            </w:tcBorders>
            <w:shd w:val="clear" w:color="auto" w:fill="D2D2D2"/>
          </w:tcPr>
          <w:p>
            <w:pPr/>
          </w:p>
        </w:tc>
        <w:tc>
          <w:tcPr>
            <w:tcW w:w="4677" w:type="dxa"/>
            <w:gridSpan w:val="5"/>
            <w:vMerge/>
            <w:tcBorders>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7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江苏润和科技投资集团有限公司</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139,672,683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139,672,683</w:t>
            </w:r>
          </w:p>
        </w:tc>
      </w:tr>
      <w:tr>
        <w:trPr>
          <w:trHeight w:val="403"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宁</w:t>
            </w:r>
            <w:r>
              <w:rPr>
                <w:rFonts w:ascii="宋体" w:hAnsi="宋体" w:cs="宋体" w:eastAsia="宋体" w:hint="default"/>
                <w:spacing w:val="-5"/>
                <w:w w:val="101"/>
                <w:sz w:val="18"/>
                <w:szCs w:val="18"/>
              </w:rPr>
              <w:t>波</w:t>
            </w:r>
            <w:r>
              <w:rPr>
                <w:rFonts w:ascii="宋体" w:hAnsi="宋体" w:cs="宋体" w:eastAsia="宋体" w:hint="default"/>
                <w:w w:val="101"/>
                <w:sz w:val="18"/>
                <w:szCs w:val="18"/>
              </w:rPr>
              <w:t>宏</w:t>
            </w:r>
            <w:r>
              <w:rPr>
                <w:rFonts w:ascii="宋体" w:hAnsi="宋体" w:cs="宋体" w:eastAsia="宋体" w:hint="default"/>
                <w:spacing w:val="-5"/>
                <w:w w:val="101"/>
                <w:sz w:val="18"/>
                <w:szCs w:val="18"/>
              </w:rPr>
              <w:t>创</w:t>
            </w:r>
            <w:r>
              <w:rPr>
                <w:rFonts w:ascii="宋体" w:hAnsi="宋体" w:cs="宋体" w:eastAsia="宋体" w:hint="default"/>
                <w:w w:val="101"/>
                <w:sz w:val="18"/>
                <w:szCs w:val="18"/>
              </w:rPr>
              <w:t>股</w:t>
            </w:r>
            <w:r>
              <w:rPr>
                <w:rFonts w:ascii="宋体" w:hAnsi="宋体" w:cs="宋体" w:eastAsia="宋体" w:hint="default"/>
                <w:spacing w:val="-5"/>
                <w:w w:val="101"/>
                <w:sz w:val="18"/>
                <w:szCs w:val="18"/>
              </w:rPr>
              <w:t>权</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87"/>
                <w:w w:val="101"/>
                <w:sz w:val="18"/>
                <w:szCs w:val="18"/>
              </w:rPr>
              <w:t>业</w:t>
            </w:r>
            <w:r>
              <w:rPr>
                <w:rFonts w:ascii="宋体" w:hAnsi="宋体" w:cs="宋体" w:eastAsia="宋体" w:hint="default"/>
                <w:spacing w:val="-5"/>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合伙</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94"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51,474,577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Times New Roman" w:hAnsi="Times New Roman" w:cs="Times New Roman" w:eastAsia="Times New Roman" w:hint="default"/>
                <w:sz w:val="18"/>
                <w:szCs w:val="18"/>
              </w:rPr>
            </w:pPr>
            <w:r>
              <w:rPr>
                <w:rFonts w:ascii="Times New Roman"/>
                <w:sz w:val="18"/>
              </w:rPr>
              <w:t>51,474,577</w:t>
            </w:r>
          </w:p>
        </w:tc>
      </w:tr>
      <w:tr>
        <w:trPr>
          <w:trHeight w:val="404"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上海云鑫创业投资有限公司</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40,220,000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 w:right="0"/>
              <w:jc w:val="center"/>
              <w:rPr>
                <w:rFonts w:ascii="Times New Roman" w:hAnsi="Times New Roman" w:cs="Times New Roman" w:eastAsia="Times New Roman" w:hint="default"/>
                <w:sz w:val="18"/>
                <w:szCs w:val="18"/>
              </w:rPr>
            </w:pPr>
            <w:r>
              <w:rPr>
                <w:rFonts w:ascii="Times New Roman"/>
                <w:sz w:val="18"/>
              </w:rPr>
              <w:t>40,220,000</w:t>
            </w:r>
          </w:p>
        </w:tc>
      </w:tr>
      <w:tr>
        <w:trPr>
          <w:trHeight w:val="715"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8" w:right="23"/>
              <w:jc w:val="left"/>
              <w:rPr>
                <w:rFonts w:ascii="宋体" w:hAnsi="宋体" w:cs="宋体" w:eastAsia="宋体" w:hint="default"/>
                <w:sz w:val="18"/>
                <w:szCs w:val="18"/>
              </w:rPr>
            </w:pPr>
            <w:r>
              <w:rPr>
                <w:rFonts w:ascii="宋体" w:hAnsi="宋体" w:cs="宋体" w:eastAsia="宋体" w:hint="default"/>
                <w:sz w:val="18"/>
                <w:szCs w:val="18"/>
              </w:rPr>
              <w:t>兴业国际信托有限公司－润和软件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pacing w:val="-3"/>
                <w:sz w:val="18"/>
                <w:szCs w:val="18"/>
              </w:rPr>
              <w:t>员工持股集合资金信托计划</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21,096,076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21,096,076</w:t>
            </w:r>
          </w:p>
        </w:tc>
      </w:tr>
      <w:tr>
        <w:trPr>
          <w:trHeight w:val="398"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江苏瑞华投资控股集团有限公司</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 w:right="0"/>
              <w:jc w:val="center"/>
              <w:rPr>
                <w:rFonts w:ascii="Times New Roman" w:hAnsi="Times New Roman" w:cs="Times New Roman" w:eastAsia="Times New Roman" w:hint="default"/>
                <w:sz w:val="18"/>
                <w:szCs w:val="18"/>
              </w:rPr>
            </w:pPr>
            <w:r>
              <w:rPr>
                <w:rFonts w:ascii="Times New Roman"/>
                <w:sz w:val="18"/>
              </w:rPr>
              <w:t>15,900,000</w:t>
            </w:r>
          </w:p>
        </w:tc>
      </w:tr>
      <w:tr>
        <w:trPr>
          <w:trHeight w:val="404"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西藏瑞华资本管理有限公司</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14,367,309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Times New Roman" w:hAnsi="Times New Roman" w:cs="Times New Roman" w:eastAsia="Times New Roman" w:hint="default"/>
                <w:sz w:val="18"/>
                <w:szCs w:val="18"/>
              </w:rPr>
            </w:pPr>
            <w:r>
              <w:rPr>
                <w:rFonts w:ascii="Times New Roman"/>
                <w:sz w:val="18"/>
              </w:rPr>
              <w:t>14,367,309</w:t>
            </w:r>
          </w:p>
        </w:tc>
      </w:tr>
      <w:tr>
        <w:trPr>
          <w:trHeight w:val="715"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22"/>
              <w:jc w:val="left"/>
              <w:rPr>
                <w:rFonts w:ascii="宋体" w:hAnsi="宋体" w:cs="宋体" w:eastAsia="宋体" w:hint="default"/>
                <w:sz w:val="18"/>
                <w:szCs w:val="18"/>
              </w:rPr>
            </w:pPr>
            <w:r>
              <w:rPr>
                <w:rFonts w:ascii="宋体" w:hAnsi="宋体" w:cs="宋体" w:eastAsia="宋体" w:hint="default"/>
                <w:spacing w:val="-3"/>
                <w:sz w:val="18"/>
                <w:szCs w:val="18"/>
              </w:rPr>
              <w:t>中国工商银行股份有限公司－华安媒体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互联网混合型证券投资基金</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13,014,798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13,014,798</w:t>
            </w:r>
          </w:p>
        </w:tc>
      </w:tr>
      <w:tr>
        <w:trPr>
          <w:trHeight w:val="403"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12,240,902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 w:right="0"/>
              <w:jc w:val="center"/>
              <w:rPr>
                <w:rFonts w:ascii="Times New Roman" w:hAnsi="Times New Roman" w:cs="Times New Roman" w:eastAsia="Times New Roman" w:hint="default"/>
                <w:sz w:val="18"/>
                <w:szCs w:val="18"/>
              </w:rPr>
            </w:pPr>
            <w:r>
              <w:rPr>
                <w:rFonts w:ascii="Times New Roman"/>
                <w:sz w:val="18"/>
              </w:rPr>
              <w:t>12,240,902</w:t>
            </w:r>
          </w:p>
        </w:tc>
      </w:tr>
      <w:tr>
        <w:trPr>
          <w:trHeight w:val="399"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黄学军</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11,165,698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center"/>
              <w:rPr>
                <w:rFonts w:ascii="Times New Roman" w:hAnsi="Times New Roman" w:cs="Times New Roman" w:eastAsia="Times New Roman" w:hint="default"/>
                <w:sz w:val="18"/>
                <w:szCs w:val="18"/>
              </w:rPr>
            </w:pPr>
            <w:r>
              <w:rPr>
                <w:rFonts w:ascii="Times New Roman"/>
                <w:spacing w:val="-2"/>
                <w:sz w:val="18"/>
              </w:rPr>
              <w:t>11,165,698</w:t>
            </w:r>
          </w:p>
        </w:tc>
      </w:tr>
      <w:tr>
        <w:trPr>
          <w:trHeight w:val="403" w:hRule="exac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4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11,060,517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center"/>
              <w:rPr>
                <w:rFonts w:ascii="Times New Roman" w:hAnsi="Times New Roman" w:cs="Times New Roman" w:eastAsia="Times New Roman" w:hint="default"/>
                <w:sz w:val="18"/>
                <w:szCs w:val="18"/>
              </w:rPr>
            </w:pPr>
            <w:r>
              <w:rPr>
                <w:rFonts w:ascii="Times New Roman"/>
                <w:spacing w:val="-2"/>
                <w:sz w:val="18"/>
              </w:rPr>
              <w:t>11,060,517</w:t>
            </w:r>
          </w:p>
        </w:tc>
      </w:tr>
      <w:tr>
        <w:trPr>
          <w:trHeight w:val="1652" w:hRule="exact"/>
        </w:trPr>
        <w:tc>
          <w:tcPr>
            <w:tcW w:w="3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名</w:t>
            </w:r>
            <w:r>
              <w:rPr>
                <w:rFonts w:ascii="宋体" w:hAnsi="宋体" w:cs="宋体" w:eastAsia="宋体" w:hint="default"/>
                <w:spacing w:val="-5"/>
                <w:w w:val="101"/>
                <w:sz w:val="18"/>
                <w:szCs w:val="18"/>
              </w:rPr>
              <w:t>无</w:t>
            </w:r>
            <w:r>
              <w:rPr>
                <w:rFonts w:ascii="宋体" w:hAnsi="宋体" w:cs="宋体" w:eastAsia="宋体" w:hint="default"/>
                <w:w w:val="101"/>
                <w:sz w:val="18"/>
                <w:szCs w:val="18"/>
              </w:rPr>
              <w:t>限</w:t>
            </w:r>
            <w:r>
              <w:rPr>
                <w:rFonts w:ascii="宋体" w:hAnsi="宋体" w:cs="宋体" w:eastAsia="宋体" w:hint="default"/>
                <w:spacing w:val="-5"/>
                <w:w w:val="101"/>
                <w:sz w:val="18"/>
                <w:szCs w:val="18"/>
              </w:rPr>
              <w:t>售</w:t>
            </w:r>
            <w:r>
              <w:rPr>
                <w:rFonts w:ascii="宋体" w:hAnsi="宋体" w:cs="宋体" w:eastAsia="宋体" w:hint="default"/>
                <w:w w:val="101"/>
                <w:sz w:val="18"/>
                <w:szCs w:val="18"/>
              </w:rPr>
              <w:t>流</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之</w:t>
            </w: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前</w:t>
            </w:r>
            <w:r>
              <w:rPr>
                <w:rFonts w:ascii="宋体" w:hAnsi="宋体" w:cs="宋体" w:eastAsia="宋体" w:hint="default"/>
                <w:sz w:val="18"/>
                <w:szCs w:val="18"/>
              </w:rPr>
            </w:r>
          </w:p>
          <w:p>
            <w:pPr>
              <w:pStyle w:val="TableParagraph"/>
              <w:spacing w:line="304" w:lineRule="auto" w:before="63"/>
              <w:ind w:left="28"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w:t>
            </w:r>
            <w:r>
              <w:rPr>
                <w:rFonts w:ascii="宋体" w:hAnsi="宋体" w:cs="宋体" w:eastAsia="宋体" w:hint="default"/>
                <w:w w:val="101"/>
                <w:sz w:val="18"/>
                <w:szCs w:val="18"/>
              </w:rPr>
              <w:t> </w:t>
            </w:r>
            <w:r>
              <w:rPr>
                <w:rFonts w:ascii="宋体" w:hAnsi="宋体" w:cs="宋体" w:eastAsia="宋体" w:hint="default"/>
                <w:spacing w:val="-3"/>
                <w:sz w:val="18"/>
                <w:szCs w:val="18"/>
              </w:rPr>
              <w:t>之间关联关系或一致行动的说明</w:t>
            </w:r>
          </w:p>
        </w:tc>
        <w:tc>
          <w:tcPr>
            <w:tcW w:w="68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4"/>
              <w:jc w:val="left"/>
              <w:rPr>
                <w:rFonts w:ascii="宋体" w:hAnsi="宋体" w:cs="宋体" w:eastAsia="宋体" w:hint="default"/>
                <w:sz w:val="18"/>
                <w:szCs w:val="18"/>
              </w:rPr>
            </w:pPr>
            <w:r>
              <w:rPr>
                <w:rFonts w:ascii="宋体" w:hAnsi="宋体" w:cs="宋体" w:eastAsia="宋体" w:hint="default"/>
                <w:spacing w:val="-3"/>
                <w:sz w:val="18"/>
                <w:szCs w:val="18"/>
              </w:rPr>
              <w:t>周红卫、姚宁共同持有江苏润和科技投资集团有限公司 </w:t>
            </w:r>
            <w:r>
              <w:rPr>
                <w:rFonts w:ascii="Times New Roman" w:hAnsi="Times New Roman" w:cs="Times New Roman" w:eastAsia="Times New Roman" w:hint="default"/>
                <w:spacing w:val="-3"/>
                <w:sz w:val="18"/>
                <w:szCs w:val="18"/>
              </w:rPr>
              <w:t>76.8%</w:t>
            </w:r>
            <w:r>
              <w:rPr>
                <w:rFonts w:ascii="宋体" w:hAnsi="宋体" w:cs="宋体" w:eastAsia="宋体" w:hint="default"/>
                <w:spacing w:val="-3"/>
                <w:sz w:val="18"/>
                <w:szCs w:val="18"/>
              </w:rPr>
              <w:t>的股份，为保障公司的持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续稳定运营，保障双方在公司股东大会、董事会的一致表决，维持对公司的共同控制，</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w w:val="101"/>
                <w:sz w:val="18"/>
                <w:szCs w:val="18"/>
              </w:rPr>
              <w:t>周红卫和姚宁于</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2017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6"/>
                <w:w w:val="101"/>
                <w:sz w:val="18"/>
                <w:szCs w:val="18"/>
              </w:rPr>
              <w:t>日续签了《一致行动人协议》，双方将继续作为一致行</w:t>
            </w:r>
            <w:r>
              <w:rPr>
                <w:rFonts w:ascii="宋体" w:hAnsi="宋体" w:cs="宋体" w:eastAsia="宋体" w:hint="default"/>
                <w:w w:val="101"/>
                <w:sz w:val="18"/>
                <w:szCs w:val="18"/>
              </w:rPr>
              <w:t> </w:t>
            </w:r>
            <w:r>
              <w:rPr>
                <w:rFonts w:ascii="宋体" w:hAnsi="宋体" w:cs="宋体" w:eastAsia="宋体" w:hint="default"/>
                <w:spacing w:val="-3"/>
                <w:sz w:val="18"/>
                <w:szCs w:val="18"/>
              </w:rPr>
              <w:t>动人，共同掌握公司的实际控制权，暨为公司的实际控制人。除此之外，公司未知其他</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股东是否存在关联关系或一致行动人的关系。</w:t>
            </w:r>
          </w:p>
        </w:tc>
      </w:tr>
      <w:tr>
        <w:trPr>
          <w:trHeight w:val="715" w:hRule="exact"/>
        </w:trPr>
        <w:tc>
          <w:tcPr>
            <w:tcW w:w="3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参</w:t>
            </w:r>
            <w:r>
              <w:rPr>
                <w:rFonts w:ascii="宋体" w:hAnsi="宋体" w:cs="宋体" w:eastAsia="宋体" w:hint="default"/>
                <w:spacing w:val="-5"/>
                <w:w w:val="101"/>
                <w:sz w:val="18"/>
                <w:szCs w:val="18"/>
              </w:rPr>
              <w:t>与</w:t>
            </w:r>
            <w:r>
              <w:rPr>
                <w:rFonts w:ascii="宋体" w:hAnsi="宋体" w:cs="宋体" w:eastAsia="宋体" w:hint="default"/>
                <w:w w:val="101"/>
                <w:sz w:val="18"/>
                <w:szCs w:val="18"/>
              </w:rPr>
              <w:t>融</w:t>
            </w:r>
            <w:r>
              <w:rPr>
                <w:rFonts w:ascii="宋体" w:hAnsi="宋体" w:cs="宋体" w:eastAsia="宋体" w:hint="default"/>
                <w:spacing w:val="-5"/>
                <w:w w:val="101"/>
                <w:sz w:val="18"/>
                <w:szCs w:val="18"/>
              </w:rPr>
              <w:t>资</w:t>
            </w:r>
            <w:r>
              <w:rPr>
                <w:rFonts w:ascii="宋体" w:hAnsi="宋体" w:cs="宋体" w:eastAsia="宋体" w:hint="default"/>
                <w:w w:val="101"/>
                <w:sz w:val="18"/>
                <w:szCs w:val="18"/>
              </w:rPr>
              <w:t>融</w:t>
            </w:r>
            <w:r>
              <w:rPr>
                <w:rFonts w:ascii="宋体" w:hAnsi="宋体" w:cs="宋体" w:eastAsia="宋体" w:hint="default"/>
                <w:spacing w:val="-5"/>
                <w:w w:val="101"/>
                <w:sz w:val="18"/>
                <w:szCs w:val="18"/>
              </w:rPr>
              <w:t>券</w:t>
            </w:r>
            <w:r>
              <w:rPr>
                <w:rFonts w:ascii="宋体" w:hAnsi="宋体" w:cs="宋体" w:eastAsia="宋体" w:hint="default"/>
                <w:w w:val="101"/>
                <w:sz w:val="18"/>
                <w:szCs w:val="18"/>
              </w:rPr>
              <w:t>业</w:t>
            </w:r>
            <w:r>
              <w:rPr>
                <w:rFonts w:ascii="宋体" w:hAnsi="宋体" w:cs="宋体" w:eastAsia="宋体" w:hint="default"/>
                <w:spacing w:val="-5"/>
                <w:w w:val="101"/>
                <w:sz w:val="18"/>
                <w:szCs w:val="18"/>
              </w:rPr>
              <w:t>务</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说</w:t>
            </w:r>
            <w:r>
              <w:rPr>
                <w:rFonts w:ascii="宋体" w:hAnsi="宋体" w:cs="宋体" w:eastAsia="宋体" w:hint="default"/>
                <w:spacing w:val="-87"/>
                <w:w w:val="101"/>
                <w:sz w:val="18"/>
                <w:szCs w:val="18"/>
              </w:rPr>
              <w:t>明</w:t>
            </w:r>
            <w:r>
              <w:rPr>
                <w:rFonts w:ascii="宋体" w:hAnsi="宋体" w:cs="宋体" w:eastAsia="宋体" w:hint="default"/>
                <w:spacing w:val="-5"/>
                <w:w w:val="101"/>
                <w:sz w:val="18"/>
                <w:szCs w:val="18"/>
              </w:rPr>
              <w:t>（</w:t>
            </w:r>
            <w:r>
              <w:rPr>
                <w:rFonts w:ascii="宋体" w:hAnsi="宋体" w:cs="宋体" w:eastAsia="宋体" w:hint="default"/>
                <w:w w:val="101"/>
                <w:sz w:val="18"/>
                <w:szCs w:val="18"/>
              </w:rPr>
              <w:t>如有</w:t>
            </w:r>
            <w:r>
              <w:rPr>
                <w:rFonts w:ascii="宋体" w:hAnsi="宋体" w:cs="宋体" w:eastAsia="宋体" w:hint="default"/>
                <w:sz w:val="18"/>
                <w:szCs w:val="18"/>
              </w:rPr>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94"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
        </w:tc>
      </w:tr>
    </w:tbl>
    <w:p>
      <w:pPr>
        <w:pStyle w:val="BodyText"/>
        <w:spacing w:line="240" w:lineRule="auto" w:before="53"/>
        <w:ind w:left="293" w:right="299"/>
        <w:jc w:val="left"/>
      </w:pPr>
      <w:r>
        <w:rPr/>
        <w:pict>
          <v:shape style="position:absolute;margin-left:197.804169pt;margin-top:-35.798283pt;width:350.1pt;height:35.3pt;mso-position-horizontal-relative:page;mso-position-vertical-relative:paragraph;z-index:-1200352"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group style="position:absolute;margin-left:203.830002pt;margin-top:-35.798283pt;width:344.1pt;height:7.95pt;mso-position-horizontal-relative:page;mso-position-vertical-relative:paragraph;z-index:-1200280" coordorigin="4077,-716" coordsize="6882,159">
            <v:shape style="position:absolute;left:4077;top:-716;width:6882;height:159" coordorigin="4077,-716" coordsize="6882,159" path="m4077,-557l10958,-557,10958,-716,4077,-716,4077,-557xe" filled="true" fillcolor="#ffffff" stroked="false">
              <v:path arrowok="t"/>
              <v:fill type="solid"/>
            </v:shape>
            <w10:wrap type="none"/>
          </v:group>
        </w:pict>
      </w:r>
      <w:r>
        <w:rPr/>
        <w:pict>
          <v:group style="position:absolute;margin-left:203.830002pt;margin-top:-8.434281pt;width:344.1pt;height:7.95pt;mso-position-horizontal-relative:page;mso-position-vertical-relative:paragraph;z-index:-1200256" coordorigin="4077,-169" coordsize="6882,159">
            <v:shape style="position:absolute;left:4077;top:-169;width:6882;height:159" coordorigin="4077,-169" coordsize="6882,159" path="m4077,-10l10958,-10,10958,-169,4077,-169,4077,-10xe" filled="true" fillcolor="#ffffff" stroked="false">
              <v:path arrowok="t"/>
              <v:fill type="solid"/>
            </v:shape>
            <w10:wrap type="none"/>
          </v:group>
        </w:pict>
      </w: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spacing w:after="0" w:line="240" w:lineRule="auto"/>
        <w:jc w:val="left"/>
        <w:sectPr>
          <w:pgSz w:w="11910" w:h="16840"/>
          <w:pgMar w:header="741" w:footer="979" w:top="1060" w:bottom="1160" w:left="84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控股股东性质：自然人控股</w:t>
      </w:r>
      <w:r>
        <w:rPr>
          <w:spacing w:val="-51"/>
        </w:rPr>
        <w:t> </w:t>
      </w:r>
      <w:r>
        <w:rPr>
          <w:spacing w:val="-51"/>
        </w:rPr>
      </w:r>
      <w:r>
        <w:rPr>
          <w:spacing w:val="-3"/>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127"/>
        <w:jc w:val="right"/>
      </w:pPr>
      <w:r>
        <w:rPr/>
        <w:pict>
          <v:shape style="position:absolute;margin-left:56.424pt;margin-top:-101.138313pt;width:479.25pt;height:295.0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1"/>
                    <w:gridCol w:w="1594"/>
                    <w:gridCol w:w="1758"/>
                    <w:gridCol w:w="2228"/>
                  </w:tblGrid>
                  <w:tr>
                    <w:trPr>
                      <w:trHeight w:val="71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801" w:right="45"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4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81"/>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限公司</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913201006946478016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实业投资；投资管理；预包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装食品兼散装食品、日用百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货批发与零售；初级农产品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初加工及销售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电子产品、建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9"/>
                            <w:w w:val="101"/>
                            <w:sz w:val="18"/>
                            <w:szCs w:val="18"/>
                          </w:rPr>
                          <w:t>材销售；电子产品技术研发</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电子产品加工</w:t>
                        </w:r>
                        <w:r>
                          <w:rPr>
                            <w:rFonts w:ascii="Times New Roman" w:hAnsi="Times New Roman" w:cs="Times New Roman" w:eastAsia="Times New Roman" w:hint="default"/>
                            <w:sz w:val="18"/>
                            <w:szCs w:val="18"/>
                          </w:rPr>
                          <w:t>;</w:t>
                        </w:r>
                        <w:r>
                          <w:rPr>
                            <w:rFonts w:ascii="宋体" w:hAnsi="宋体" w:cs="宋体" w:eastAsia="宋体" w:hint="default"/>
                            <w:sz w:val="18"/>
                            <w:szCs w:val="18"/>
                          </w:rPr>
                          <w:t>建筑工程设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计、施工；自营和代理各类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商品及技术的进出口业务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国家限定公司经营或禁止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进出口的商品和技术除外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51"/>
                            <w:sz w:val="18"/>
                            <w:szCs w:val="18"/>
                          </w:rPr>
                          <w:t> </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依法须经批准的项目，经相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关部门批准后方可开展经营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活动</w:t>
                        </w:r>
                        <w:r>
                          <w:rPr>
                            <w:rFonts w:ascii="Times New Roman" w:hAnsi="Times New Roman" w:cs="Times New Roman" w:eastAsia="Times New Roman" w:hint="default"/>
                            <w:sz w:val="18"/>
                            <w:szCs w:val="18"/>
                          </w:rPr>
                          <w:t>)</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1"/>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司的股权情况</w:t>
                        </w:r>
                      </w:p>
                    </w:tc>
                    <w:tc>
                      <w:tcPr>
                        <w:tcW w:w="73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6"/>
        <w:ind w:right="0"/>
        <w:jc w:val="left"/>
      </w:pPr>
      <w:r>
        <w:rPr/>
        <w:t>控股股东报告期内变更</w:t>
      </w:r>
    </w:p>
    <w:p>
      <w:pPr>
        <w:pStyle w:val="BodyText"/>
        <w:spacing w:line="343" w:lineRule="auto" w:before="115"/>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实际控制人性质：境内自然人</w:t>
      </w:r>
      <w:r>
        <w:rPr>
          <w:spacing w:val="-50"/>
        </w:rPr>
        <w:t> </w:t>
      </w:r>
      <w:r>
        <w:rPr>
          <w:spacing w:val="-50"/>
        </w:rPr>
      </w:r>
      <w:r>
        <w:rPr>
          <w:spacing w:val="-3"/>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6"/>
        <w:ind w:left="0" w:right="1132"/>
        <w:jc w:val="right"/>
      </w:pPr>
      <w:r>
        <w:rPr/>
        <w:pict>
          <v:shape style="position:absolute;margin-left:56.424pt;margin-top:-92.338257pt;width:479.25pt;height:147.6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3" w:right="104"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9"/>
                            <w:sz w:val="18"/>
                            <w:szCs w:val="18"/>
                          </w:rPr>
                          <w:t>周红卫：</w:t>
                        </w:r>
                        <w:r>
                          <w:rPr>
                            <w:rFonts w:ascii="Times New Roman" w:hAnsi="Times New Roman" w:cs="Times New Roman" w:eastAsia="Times New Roman" w:hint="default"/>
                            <w:spacing w:val="-9"/>
                            <w:sz w:val="18"/>
                            <w:szCs w:val="18"/>
                          </w:rPr>
                          <w:t>2006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pacing w:val="-6"/>
                            <w:sz w:val="18"/>
                            <w:szCs w:val="18"/>
                          </w:rPr>
                          <w:t>月担任润和软件总裁，</w:t>
                        </w:r>
                        <w:r>
                          <w:rPr>
                            <w:rFonts w:ascii="Times New Roman" w:hAnsi="Times New Roman" w:cs="Times New Roman" w:eastAsia="Times New Roman" w:hint="default"/>
                            <w:spacing w:val="-6"/>
                            <w:sz w:val="18"/>
                            <w:szCs w:val="18"/>
                          </w:rPr>
                          <w:t>2006</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年至今担任润和软件董事长；姚宁</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年至今历任润和软件董事、高级副总裁，现担任润和软件副董事长。</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年曾控股的境内外上</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6"/>
        <w:rPr>
          <w:rFonts w:ascii="宋体" w:hAnsi="宋体" w:cs="宋体" w:eastAsia="宋体" w:hint="default"/>
          <w:sz w:val="28"/>
          <w:szCs w:val="28"/>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pt;mso-position-horizontal-relative:char;mso-position-vertical-relative:line" coordorigin="0,0" coordsize="9580,380">
            <v:group style="position:absolute;left:2372;top:14;width:24;height:351" coordorigin="2372,14" coordsize="24,351">
              <v:shape style="position:absolute;left:2372;top:14;width:24;height:351" coordorigin="2372,14" coordsize="24,351" path="m2372,365l2396,365,2396,14,2372,14,2372,365xe" filled="true" fillcolor="#d2d2d2" stroked="false">
                <v:path arrowok="t"/>
                <v:fill type="solid"/>
              </v:shape>
            </v:group>
            <v:group style="position:absolute;left:10;top:14;width:24;height:351" coordorigin="10,14" coordsize="24,351">
              <v:shape style="position:absolute;left:10;top:14;width:24;height:351" coordorigin="10,14" coordsize="24,351" path="m10,365l34,365,34,14,10,14,10,365xe" filled="true" fillcolor="#d2d2d2" stroked="false">
                <v:path arrowok="t"/>
                <v:fill type="solid"/>
              </v:shape>
            </v:group>
            <v:group style="position:absolute;left:34;top:14;width:2339;height:351" coordorigin="34,14" coordsize="2339,351">
              <v:shape style="position:absolute;left:34;top:14;width:2339;height:351" coordorigin="34,14" coordsize="2339,351" path="m34,365l2372,365,2372,14,34,14,34,365xe" filled="true" fillcolor="#d2d2d2" stroked="false">
                <v:path arrowok="t"/>
                <v:fill type="solid"/>
              </v:shape>
            </v:group>
            <v:group style="position:absolute;left:10;top:10;width:2382;height:2" coordorigin="10,10" coordsize="2382,2">
              <v:shape style="position:absolute;left:10;top:10;width:2382;height:2" coordorigin="10,10" coordsize="2382,0" path="m10,10l2391,10e" filled="false" stroked="true" strokeweight=".48pt" strokecolor="#000000">
                <v:path arrowok="t"/>
              </v:shape>
            </v:group>
            <v:group style="position:absolute;left:2401;top:10;width:7170;height:2" coordorigin="2401,10" coordsize="7170,2">
              <v:shape style="position:absolute;left:2401;top:10;width:7170;height:2" coordorigin="2401,10" coordsize="7170,0" path="m2401,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2382;height:2" coordorigin="10,370" coordsize="2382,2">
              <v:shape style="position:absolute;left:10;top:370;width:2382;height:2" coordorigin="10,370" coordsize="2382,0" path="m10,370l2391,370e" filled="false" stroked="true" strokeweight=".48pt" strokecolor="#000000">
                <v:path arrowok="t"/>
              </v:shape>
            </v:group>
            <v:group style="position:absolute;left:2396;top:5;width:2;height:370" coordorigin="2396,5" coordsize="2,370">
              <v:shape style="position:absolute;left:2396;top:5;width:2;height:370" coordorigin="2396,5" coordsize="0,370" path="m2396,5l2396,374e" filled="false" stroked="true" strokeweight=".48pt" strokecolor="#000000">
                <v:path arrowok="t"/>
              </v:shape>
            </v:group>
            <v:group style="position:absolute;left:2401;top:370;width:7170;height:2" coordorigin="2401,370" coordsize="7170,2">
              <v:shape style="position:absolute;left:2401;top:370;width:7170;height:2" coordorigin="2401,370" coordsize="7170,0" path="m2401,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7998pt" strokecolor="#000000">
                <v:path arrowok="t"/>
              </v:shape>
              <v:shape style="position:absolute;left:5;top:10;width:2392;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z w:val="18"/>
                          <w:szCs w:val="18"/>
                        </w:rPr>
                        <w:t>市公司情况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spacing w:val="-3"/>
        </w:rPr>
        <w:t>实际控制人报告期内变更</w:t>
      </w:r>
    </w:p>
    <w:p>
      <w:pPr>
        <w:pStyle w:val="BodyText"/>
        <w:spacing w:line="350" w:lineRule="auto" w:before="120"/>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10"/>
        <w:rPr>
          <w:rFonts w:ascii="宋体" w:hAnsi="宋体" w:cs="宋体" w:eastAsia="宋体" w:hint="default"/>
          <w:sz w:val="21"/>
          <w:szCs w:val="21"/>
        </w:rPr>
      </w:pPr>
    </w:p>
    <w:p>
      <w:pPr>
        <w:spacing w:line="4455" w:lineRule="exact"/>
        <w:ind w:left="1358"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0810" cy="28289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810" cy="282892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7"/>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3"/>
        </w:rPr>
        <w:t> </w:t>
      </w:r>
      <w:r>
        <w:rPr>
          <w:rFonts w:ascii="Times New Roman" w:hAnsi="Times New Roman" w:cs="Times New Roman" w:eastAsia="Times New Roman" w:hint="default"/>
        </w:rPr>
        <w:t>10%</w:t>
      </w:r>
      <w:r>
        <w:rPr/>
        <w:t>以上的法人股东</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79"/>
        <w:gridCol w:w="1820"/>
        <w:gridCol w:w="1412"/>
        <w:gridCol w:w="1637"/>
        <w:gridCol w:w="2123"/>
      </w:tblGrid>
      <w:tr>
        <w:trPr>
          <w:trHeight w:val="71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816" w:right="65" w:hanging="75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102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3"/>
                <w:sz w:val="18"/>
                <w:szCs w:val="18"/>
              </w:rPr>
              <w:t>宁波宏创股权投资合伙企业（有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限合伙）</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pacing w:val="-6"/>
                <w:sz w:val="18"/>
                <w:szCs w:val="18"/>
              </w:rPr>
              <w:t>执行事务合伙人：北京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华扬普泰投资管理有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限公司、陈宁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股权投资、股权投资管理</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283" w:right="0"/>
        <w:jc w:val="left"/>
        <w:rPr>
          <w:b w:val="0"/>
          <w:bCs w:val="0"/>
        </w:rPr>
      </w:pPr>
      <w:bookmarkStart w:name="_bookmark5" w:id="6"/>
      <w:bookmarkEnd w:id="6"/>
      <w:r>
        <w:rPr>
          <w:b w:val="0"/>
          <w:bCs w:val="0"/>
        </w:rPr>
      </w:r>
      <w:r>
        <w:rPr/>
        <w:t>第七节 </w:t>
      </w:r>
      <w:r>
        <w:rPr>
          <w:spacing w:val="15"/>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6"/>
        <w:ind w:right="76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1680" w:right="0"/>
        <w:jc w:val="left"/>
        <w:rPr>
          <w:b w:val="0"/>
          <w:bCs w:val="0"/>
        </w:rPr>
      </w:pPr>
      <w:bookmarkStart w:name="_bookmark6" w:id="7"/>
      <w:bookmarkEnd w:id="7"/>
      <w:r>
        <w:rPr>
          <w:b w:val="0"/>
          <w:bCs w:val="0"/>
        </w:rPr>
      </w:r>
      <w:r>
        <w:rPr/>
        <w:t>第八节 </w:t>
      </w:r>
      <w:r>
        <w:rPr>
          <w:spacing w:val="25"/>
        </w:rPr>
        <w:t> </w:t>
      </w:r>
      <w:r>
        <w:rPr/>
        <w:t>董事、监事、高级管理人员和员工情况</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90.007599pt;margin-top:37.269638pt;width:45.2pt;height:50.7pt;mso-position-horizontal-relative:page;mso-position-vertical-relative:paragraph;z-index:-120013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w w:val="101"/>
                    </w:rPr>
                    <w:t>）</w:t>
                  </w:r>
                  <w:r>
                    <w:rPr/>
                  </w:r>
                </w:p>
              </w:txbxContent>
            </v:textbox>
            <w10:wrap type="none"/>
          </v:shape>
        </w:pict>
      </w: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4" w:right="26"/>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3" w:right="27"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18"/>
                <w:w w:val="101"/>
                <w:sz w:val="18"/>
                <w:szCs w:val="18"/>
              </w:rPr>
              <w:t>变动（股</w:t>
            </w:r>
            <w:r>
              <w:rPr>
                <w:rFonts w:ascii="宋体" w:hAnsi="宋体" w:cs="宋体" w:eastAsia="宋体" w:hint="default"/>
                <w:spacing w:val="-18"/>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3" w:right="2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44,242,06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44,242,06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20,918,00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20,918,00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4"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21,400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71,101,46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71,101,46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50"/>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董事、董事会秘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三、任职情况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公司现任董事、监事、高级管理人员专业背景、主要工作经历以及目前在公司的主要职责</w:t>
      </w:r>
    </w:p>
    <w:p>
      <w:pPr>
        <w:pStyle w:val="BodyText"/>
        <w:spacing w:line="300" w:lineRule="auto" w:before="114"/>
        <w:ind w:right="0"/>
        <w:jc w:val="left"/>
      </w:pPr>
      <w:r>
        <w:rPr>
          <w:rFonts w:ascii="Times New Roman" w:hAnsi="Times New Roman" w:cs="Times New Roman" w:eastAsia="Times New Roman" w:hint="default"/>
          <w:spacing w:val="-3"/>
        </w:rPr>
        <w:t>1</w:t>
      </w:r>
      <w:r>
        <w:rPr>
          <w:spacing w:val="-3"/>
        </w:rPr>
        <w:t>、周红卫先生，</w:t>
      </w:r>
      <w:r>
        <w:rPr>
          <w:rFonts w:ascii="Times New Roman" w:hAnsi="Times New Roman" w:cs="Times New Roman" w:eastAsia="Times New Roman" w:hint="default"/>
          <w:spacing w:val="-3"/>
        </w:rPr>
        <w:t>1967</w:t>
      </w:r>
      <w:r>
        <w:rPr>
          <w:spacing w:val="-3"/>
        </w:rPr>
        <w:t>年出生，本科学历，中国国籍，无永久境外居留权，曾担任日本恒星（南京）电脑系统有限公司项目</w:t>
      </w:r>
      <w:r>
        <w:rPr>
          <w:spacing w:val="75"/>
        </w:rPr>
        <w:t> </w:t>
      </w:r>
      <w:r>
        <w:rPr>
          <w:spacing w:val="75"/>
        </w:rPr>
      </w:r>
      <w:r>
        <w:rPr>
          <w:spacing w:val="-4"/>
        </w:rPr>
        <w:t>经理及部门总经理、宏图东方信息系统有限公司副总经理、本公司总裁等职。周红卫先生担任政协南京市第十三届委员、江</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spacing w:val="-4"/>
        </w:rPr>
        <w:t>苏省软件行业协会理事会副理事长、外包分会副会长、南京市软件行业协会副秘书长、</w:t>
      </w:r>
      <w:r>
        <w:rPr>
          <w:rFonts w:ascii="Times New Roman" w:hAnsi="Times New Roman" w:cs="Times New Roman" w:eastAsia="Times New Roman" w:hint="default"/>
          <w:spacing w:val="-4"/>
        </w:rPr>
        <w:t>2012</w:t>
      </w:r>
      <w:r>
        <w:rPr>
          <w:spacing w:val="-4"/>
        </w:rPr>
        <w:t>年任南京市工商联副主席。</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6</w:t>
      </w:r>
      <w:r>
        <w:rPr/>
        <w:t>月至今任本公司董事长。</w:t>
      </w:r>
      <w:r>
        <w:rPr>
          <w:spacing w:val="-85"/>
        </w:rPr>
        <w:t> </w:t>
      </w:r>
      <w:r>
        <w:rPr>
          <w:spacing w:val="-85"/>
        </w:rPr>
      </w:r>
      <w:r>
        <w:rPr>
          <w:rFonts w:ascii="Times New Roman" w:hAnsi="Times New Roman" w:cs="Times New Roman" w:eastAsia="Times New Roman" w:hint="default"/>
          <w:spacing w:val="-3"/>
        </w:rPr>
        <w:t>2</w:t>
      </w:r>
      <w:r>
        <w:rPr>
          <w:spacing w:val="-3"/>
        </w:rPr>
        <w:t>、姚宁先生，</w:t>
      </w:r>
      <w:r>
        <w:rPr>
          <w:rFonts w:ascii="Times New Roman" w:hAnsi="Times New Roman" w:cs="Times New Roman" w:eastAsia="Times New Roman" w:hint="default"/>
          <w:spacing w:val="-3"/>
        </w:rPr>
        <w:t>1968</w:t>
      </w:r>
      <w:r>
        <w:rPr>
          <w:spacing w:val="-3"/>
        </w:rPr>
        <w:t>年出生，本科学历，中国国籍，无永久境外居留权，曾担任日本恒星（南京）电脑系统有限公司项目经</w:t>
      </w:r>
      <w:r>
        <w:rPr>
          <w:spacing w:val="76"/>
        </w:rPr>
        <w:t> </w:t>
      </w:r>
      <w:r>
        <w:rPr>
          <w:spacing w:val="76"/>
        </w:rPr>
      </w:r>
      <w:r>
        <w:rPr>
          <w:spacing w:val="-4"/>
        </w:rPr>
        <w:t>理、开发部部长，宏图东方信息系统有限公司副总经理、本公司常务副总裁、技术总监、高级副总裁等职。姚宁先生曾参与</w:t>
      </w:r>
      <w:r>
        <w:rPr>
          <w:spacing w:val="41"/>
        </w:rPr>
        <w:t> </w:t>
      </w:r>
      <w:r>
        <w:rPr>
          <w:spacing w:val="41"/>
        </w:rPr>
      </w:r>
      <w:r>
        <w:rPr>
          <w:spacing w:val="-3"/>
        </w:rPr>
        <w:t>领导苏州市委市政府园区骨干网系统集成项目、江苏省委办公厅办公自动化系统集成项目、日本 </w:t>
      </w:r>
      <w:r>
        <w:rPr>
          <w:rFonts w:ascii="Times New Roman" w:hAnsi="Times New Roman" w:cs="Times New Roman" w:eastAsia="Times New Roman" w:hint="default"/>
        </w:rPr>
        <w:t>DOCOMO </w:t>
      </w:r>
      <w:r>
        <w:rPr>
          <w:spacing w:val="-3"/>
        </w:rPr>
        <w:t>公司的核心无</w:t>
      </w:r>
      <w:r>
        <w:rPr>
          <w:spacing w:val="-28"/>
        </w:rPr>
        <w:t> </w:t>
      </w:r>
      <w:r>
        <w:rPr>
          <w:spacing w:val="-28"/>
        </w:rPr>
      </w:r>
      <w:r>
        <w:rPr>
          <w:spacing w:val="-3"/>
        </w:rPr>
        <w:t>线电运营管理系统开发项目等多个项目。</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月至今任本公司董事，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月至今任本公司副董事长。</w:t>
      </w:r>
      <w:r>
        <w:rPr>
          <w:spacing w:val="68"/>
        </w:rPr>
        <w:t> </w:t>
      </w:r>
      <w:r>
        <w:rPr>
          <w:spacing w:val="68"/>
        </w:rPr>
      </w:r>
      <w:r>
        <w:rPr>
          <w:rFonts w:ascii="Times New Roman" w:hAnsi="Times New Roman" w:cs="Times New Roman" w:eastAsia="Times New Roman" w:hint="default"/>
          <w:spacing w:val="-3"/>
        </w:rPr>
        <w:t>3</w:t>
      </w:r>
      <w:r>
        <w:rPr>
          <w:spacing w:val="-3"/>
        </w:rPr>
        <w:t>、陈斌先生，</w:t>
      </w:r>
      <w:r>
        <w:rPr>
          <w:rFonts w:ascii="Times New Roman" w:hAnsi="Times New Roman" w:cs="Times New Roman" w:eastAsia="Times New Roman" w:hint="default"/>
          <w:spacing w:val="-3"/>
        </w:rPr>
        <w:t>1965</w:t>
      </w:r>
      <w:r>
        <w:rPr>
          <w:spacing w:val="-3"/>
        </w:rPr>
        <w:t>年出生，硕士学历，中国国籍，无境外永久居留权。曾担任嘉腾系统有限公司中国区总经理、江苏宏图</w:t>
      </w:r>
      <w:r>
        <w:rPr>
          <w:spacing w:val="76"/>
        </w:rPr>
        <w:t> </w:t>
      </w:r>
      <w:r>
        <w:rPr>
          <w:spacing w:val="76"/>
        </w:rPr>
      </w:r>
      <w:r>
        <w:rPr>
          <w:spacing w:val="-4"/>
        </w:rPr>
        <w:t>高科技股份有限公司总裁、宏图三胞高科技术有限公司总裁、三胞集团有限公司高级副总裁、江苏宏图高科技股份有限公司</w:t>
      </w:r>
      <w:r>
        <w:rPr>
          <w:spacing w:val="43"/>
        </w:rPr>
        <w:t> </w:t>
      </w:r>
      <w:r>
        <w:rPr>
          <w:spacing w:val="43"/>
        </w:rPr>
      </w:r>
      <w:r>
        <w:rPr>
          <w:spacing w:val="-3"/>
        </w:rPr>
        <w:t>董事、麦考林有限公司董事长。</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月任本公司副总裁，</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月任任本公司高级副总裁，</w:t>
      </w:r>
      <w:r>
        <w:rPr>
          <w:spacing w:val="9"/>
        </w:rPr>
        <w:t> </w:t>
      </w:r>
      <w:r>
        <w:rPr>
          <w:spacing w:val="9"/>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月至今任本公司董事，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月至今任本公司总裁。</w:t>
      </w:r>
    </w:p>
    <w:p>
      <w:pPr>
        <w:pStyle w:val="BodyText"/>
        <w:spacing w:line="304" w:lineRule="auto" w:before="9"/>
        <w:ind w:right="1026"/>
        <w:jc w:val="left"/>
      </w:pPr>
      <w:r>
        <w:rPr>
          <w:rFonts w:ascii="Times New Roman" w:hAnsi="Times New Roman" w:cs="Times New Roman" w:eastAsia="Times New Roman" w:hint="default"/>
          <w:spacing w:val="-3"/>
        </w:rPr>
        <w:t>4</w:t>
      </w:r>
      <w:r>
        <w:rPr>
          <w:spacing w:val="-3"/>
        </w:rPr>
        <w:t>、刘延新先生，</w:t>
      </w:r>
      <w:r>
        <w:rPr>
          <w:rFonts w:ascii="Times New Roman" w:hAnsi="Times New Roman" w:cs="Times New Roman" w:eastAsia="Times New Roman" w:hint="default"/>
          <w:spacing w:val="-3"/>
        </w:rPr>
        <w:t>1968</w:t>
      </w:r>
      <w:r>
        <w:rPr>
          <w:spacing w:val="-3"/>
        </w:rPr>
        <w:t>年出生，硕士学历，中国国籍，无境外永久居留权。曾担任中国建设银行山西分行信息技术管理部、</w:t>
      </w:r>
      <w:r>
        <w:rPr>
          <w:spacing w:val="75"/>
        </w:rPr>
        <w:t> </w:t>
      </w:r>
      <w:r>
        <w:rPr>
          <w:spacing w:val="75"/>
        </w:rPr>
      </w:r>
      <w:r>
        <w:rPr>
          <w:spacing w:val="-4"/>
        </w:rPr>
        <w:t>国际业务部总经理，迎泽支行、长治分行行长，中国建设银行信息技术管理部副总经理。现任公司董事、高级副总裁。</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3"/>
        </w:rPr>
        <w:t>年</w:t>
      </w:r>
      <w:r>
        <w:rPr>
          <w:rFonts w:ascii="Times New Roman" w:hAnsi="Times New Roman" w:cs="Times New Roman" w:eastAsia="Times New Roman" w:hint="default"/>
          <w:spacing w:val="-3"/>
        </w:rPr>
        <w:t>5</w:t>
      </w:r>
      <w:r>
        <w:rPr>
          <w:spacing w:val="-3"/>
        </w:rPr>
        <w:t>月至今任本公司高级副总裁，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月至今任本公司董事。</w:t>
      </w:r>
      <w:r>
        <w:rPr/>
        <w:t> </w:t>
      </w:r>
      <w:r>
        <w:rPr/>
      </w:r>
      <w:r>
        <w:rPr>
          <w:rFonts w:ascii="Times New Roman" w:hAnsi="Times New Roman" w:cs="Times New Roman" w:eastAsia="Times New Roman" w:hint="default"/>
          <w:spacing w:val="-3"/>
        </w:rPr>
        <w:t>5</w:t>
      </w:r>
      <w:r>
        <w:rPr>
          <w:spacing w:val="-3"/>
        </w:rPr>
        <w:t>、潘晓虎先生，</w:t>
      </w:r>
      <w:r>
        <w:rPr>
          <w:rFonts w:ascii="Times New Roman" w:hAnsi="Times New Roman" w:cs="Times New Roman" w:eastAsia="Times New Roman" w:hint="default"/>
          <w:spacing w:val="-3"/>
        </w:rPr>
        <w:t>1971</w:t>
      </w:r>
      <w:r>
        <w:rPr>
          <w:spacing w:val="-3"/>
        </w:rPr>
        <w:t>年出生，研究生学历，中国国籍，无境外永久居留权，曾任江苏省创业投资有限公司部门经理、鼎晖</w:t>
      </w:r>
      <w:r>
        <w:rPr>
          <w:spacing w:val="75"/>
        </w:rPr>
        <w:t> </w:t>
      </w:r>
      <w:r>
        <w:rPr>
          <w:spacing w:val="75"/>
        </w:rPr>
      </w:r>
      <w:r>
        <w:rPr>
          <w:spacing w:val="-3"/>
        </w:rPr>
        <w:t>投资助理副总裁、瑞华投资投资总监等职务，现任江苏瑞华创业投资管理有限公司资深合伙人。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月至今任本公司董</w:t>
      </w:r>
      <w:r>
        <w:rPr>
          <w:spacing w:val="76"/>
        </w:rPr>
        <w:t> </w:t>
      </w:r>
      <w:r>
        <w:rPr>
          <w:spacing w:val="76"/>
        </w:rPr>
      </w:r>
      <w:r>
        <w:rPr/>
        <w:t>事。</w:t>
      </w:r>
      <w:r>
        <w:rPr>
          <w:spacing w:val="-86"/>
        </w:rPr>
        <w:t> </w:t>
      </w:r>
      <w:r>
        <w:rPr>
          <w:rFonts w:ascii="Times New Roman" w:hAnsi="Times New Roman" w:cs="Times New Roman" w:eastAsia="Times New Roman" w:hint="default"/>
          <w:spacing w:val="-5"/>
        </w:rPr>
        <w:t>6</w:t>
      </w:r>
      <w:r>
        <w:rPr>
          <w:spacing w:val="-5"/>
        </w:rPr>
        <w:t>、朱超先生，</w:t>
      </w:r>
      <w:r>
        <w:rPr>
          <w:rFonts w:ascii="Times New Roman" w:hAnsi="Times New Roman" w:cs="Times New Roman" w:eastAsia="Times New Roman" w:hint="default"/>
          <w:spacing w:val="-5"/>
        </w:rPr>
        <w:t>1980</w:t>
      </w:r>
      <w:r>
        <w:rPr>
          <w:spacing w:val="-5"/>
        </w:rPr>
        <w:t>年出生，硕士学历</w:t>
      </w:r>
      <w:r>
        <w:rPr>
          <w:rFonts w:ascii="Times New Roman" w:hAnsi="Times New Roman" w:cs="Times New Roman" w:eastAsia="Times New Roman" w:hint="default"/>
          <w:spacing w:val="-5"/>
        </w:rPr>
        <w:t>,</w:t>
      </w:r>
      <w:r>
        <w:rPr>
          <w:spacing w:val="-5"/>
        </w:rPr>
        <w:t>中国国籍，曾担任中国国际金融股份有限公司投资银行部经理、高级经理、副总经理、</w:t>
      </w:r>
      <w:r>
        <w:rPr>
          <w:spacing w:val="69"/>
        </w:rPr>
        <w:t> </w:t>
      </w:r>
      <w:r>
        <w:rPr>
          <w:spacing w:val="69"/>
        </w:rPr>
      </w:r>
      <w:r>
        <w:rPr>
          <w:spacing w:val="-4"/>
        </w:rPr>
        <w:t>执行总经理，浙江蚂蚁小微金融服务集团股份有限公司投资部资深总监，现任浙江蚂蚁小微金融服务集团股份有限公司企业</w:t>
      </w:r>
      <w:r>
        <w:rPr>
          <w:spacing w:val="43"/>
        </w:rPr>
        <w:t> </w:t>
      </w:r>
      <w:r>
        <w:rPr>
          <w:spacing w:val="43"/>
        </w:rPr>
      </w:r>
      <w:r>
        <w:rPr>
          <w:spacing w:val="-3"/>
        </w:rPr>
        <w:t>发展部资深总监、浙江蚂蚁小微金融服务集团股份有限公司部分附属企业及其投资的部分企业的董事。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月至今任本</w:t>
      </w:r>
      <w:r>
        <w:rPr>
          <w:spacing w:val="78"/>
        </w:rPr>
        <w:t> </w:t>
      </w:r>
      <w:r>
        <w:rPr>
          <w:spacing w:val="78"/>
        </w:rPr>
      </w:r>
      <w:r>
        <w:rPr/>
        <w:t>公司董事。</w:t>
      </w:r>
      <w:r>
        <w:rPr>
          <w:w w:val="101"/>
        </w:rPr>
        <w:t> </w:t>
      </w:r>
      <w:r>
        <w:rPr>
          <w:rFonts w:ascii="Times New Roman" w:hAnsi="Times New Roman" w:cs="Times New Roman" w:eastAsia="Times New Roman" w:hint="default"/>
          <w:spacing w:val="-4"/>
        </w:rPr>
        <w:t>7</w:t>
      </w:r>
      <w:r>
        <w:rPr>
          <w:spacing w:val="-4"/>
        </w:rPr>
        <w:t>、洪磊先生，</w:t>
      </w:r>
      <w:r>
        <w:rPr>
          <w:rFonts w:ascii="Times New Roman" w:hAnsi="Times New Roman" w:cs="Times New Roman" w:eastAsia="Times New Roman" w:hint="default"/>
          <w:spacing w:val="-4"/>
        </w:rPr>
        <w:t>1970</w:t>
      </w:r>
      <w:r>
        <w:rPr>
          <w:spacing w:val="-4"/>
        </w:rPr>
        <w:t>年出生，大学本科学历，中国国籍，无境外永久居留权</w:t>
      </w:r>
      <w:r>
        <w:rPr>
          <w:rFonts w:ascii="Times New Roman" w:hAnsi="Times New Roman" w:cs="Times New Roman" w:eastAsia="Times New Roman" w:hint="default"/>
          <w:spacing w:val="-4"/>
        </w:rPr>
        <w:t>,</w:t>
      </w:r>
      <w:r>
        <w:rPr>
          <w:spacing w:val="-4"/>
        </w:rPr>
        <w:t>曾担任南京会计师事务所项目经理、南京市注册</w:t>
      </w:r>
      <w:r>
        <w:rPr>
          <w:spacing w:val="8"/>
        </w:rPr>
        <w:t> </w:t>
      </w:r>
      <w:r>
        <w:rPr>
          <w:spacing w:val="8"/>
        </w:rPr>
      </w:r>
      <w:r>
        <w:rPr>
          <w:spacing w:val="-4"/>
        </w:rPr>
        <w:t>会计师协会监管培训部主任、江苏天宏华信会计师事务所副所长、南京华信融资租赁有限公司董事等职。现任上会会计师事</w:t>
      </w:r>
      <w:r>
        <w:rPr>
          <w:spacing w:val="43"/>
        </w:rPr>
        <w:t> </w:t>
      </w:r>
      <w:r>
        <w:rPr>
          <w:spacing w:val="43"/>
        </w:rPr>
      </w:r>
      <w:r>
        <w:rPr>
          <w:spacing w:val="-3"/>
        </w:rPr>
        <w:t>务所南京分所副所长、江苏太平洋石英股份有限公司独立董事。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月至今任本公司独立董事。</w:t>
      </w:r>
      <w:r>
        <w:rPr>
          <w:spacing w:val="47"/>
        </w:rPr>
        <w:t> </w:t>
      </w:r>
      <w:r>
        <w:rPr>
          <w:spacing w:val="47"/>
        </w:rPr>
      </w:r>
      <w:r>
        <w:rPr>
          <w:rFonts w:ascii="Times New Roman" w:hAnsi="Times New Roman" w:cs="Times New Roman" w:eastAsia="Times New Roman" w:hint="default"/>
          <w:spacing w:val="-4"/>
        </w:rPr>
        <w:t>8</w:t>
      </w:r>
      <w:r>
        <w:rPr>
          <w:spacing w:val="-4"/>
        </w:rPr>
        <w:t>、刘晓星先生，</w:t>
      </w:r>
      <w:r>
        <w:rPr>
          <w:rFonts w:ascii="Times New Roman" w:hAnsi="Times New Roman" w:cs="Times New Roman" w:eastAsia="Times New Roman" w:hint="default"/>
          <w:spacing w:val="-4"/>
        </w:rPr>
        <w:t>1970</w:t>
      </w:r>
      <w:r>
        <w:rPr>
          <w:spacing w:val="-4"/>
        </w:rPr>
        <w:t>年出生，博士研究生学历，中国国籍，无境外永久居留权。曾担任太原钢铁股份有限公司助理工程师、</w:t>
      </w:r>
      <w:r>
        <w:rPr>
          <w:spacing w:val="54"/>
        </w:rPr>
        <w:t> </w:t>
      </w:r>
      <w:r>
        <w:rPr>
          <w:spacing w:val="54"/>
        </w:rPr>
      </w:r>
      <w:r>
        <w:rPr>
          <w:spacing w:val="-3"/>
        </w:rPr>
        <w:t>广东财经大学金融学院教授。现任中国金融学年会理事，中国金融工程年会理事，江苏省金融青联常委委员，江苏省</w:t>
      </w:r>
      <w:r>
        <w:rPr>
          <w:rFonts w:ascii="Times New Roman" w:hAnsi="Times New Roman" w:cs="Times New Roman" w:eastAsia="Times New Roman" w:hint="default"/>
          <w:spacing w:val="-3"/>
        </w:rPr>
        <w:t>“</w:t>
      </w:r>
      <w:r>
        <w:rPr>
          <w:spacing w:val="-3"/>
        </w:rPr>
        <w:t>青蓝</w:t>
      </w:r>
      <w:r>
        <w:rPr>
          <w:spacing w:val="61"/>
        </w:rPr>
        <w:t> </w:t>
      </w:r>
      <w:r>
        <w:rPr>
          <w:spacing w:val="-4"/>
        </w:rPr>
        <w:t>工程</w:t>
      </w:r>
      <w:r>
        <w:rPr>
          <w:rFonts w:ascii="Times New Roman" w:hAnsi="Times New Roman" w:cs="Times New Roman" w:eastAsia="Times New Roman" w:hint="default"/>
          <w:spacing w:val="-4"/>
        </w:rPr>
        <w:t>”</w:t>
      </w:r>
      <w:r>
        <w:rPr>
          <w:spacing w:val="-4"/>
        </w:rPr>
        <w:t>中青年学术带头人，江苏省科技创业导师。</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月至今任东南大学经济管理学院金融系主任、教授，金融学专业博</w:t>
      </w:r>
      <w:r>
        <w:rPr>
          <w:spacing w:val="64"/>
        </w:rPr>
        <w:t> </w:t>
      </w:r>
      <w:r>
        <w:rPr>
          <w:spacing w:val="64"/>
        </w:rPr>
      </w:r>
      <w:r>
        <w:rPr/>
        <w:t>士生导师。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月至今任本公司独立董事。</w:t>
      </w:r>
      <w:r>
        <w:rPr>
          <w:spacing w:val="-87"/>
        </w:rPr>
        <w:t> </w:t>
      </w:r>
      <w:r>
        <w:rPr>
          <w:spacing w:val="-87"/>
        </w:rPr>
      </w:r>
      <w:r>
        <w:rPr>
          <w:rFonts w:ascii="Times New Roman" w:hAnsi="Times New Roman" w:cs="Times New Roman" w:eastAsia="Times New Roman" w:hint="default"/>
          <w:spacing w:val="-3"/>
        </w:rPr>
        <w:t>9</w:t>
      </w:r>
      <w:r>
        <w:rPr>
          <w:spacing w:val="-3"/>
        </w:rPr>
        <w:t>、杨春福先生，</w:t>
      </w:r>
      <w:r>
        <w:rPr>
          <w:rFonts w:ascii="Times New Roman" w:hAnsi="Times New Roman" w:cs="Times New Roman" w:eastAsia="Times New Roman" w:hint="default"/>
          <w:spacing w:val="-3"/>
        </w:rPr>
        <w:t>1967</w:t>
      </w:r>
      <w:r>
        <w:rPr>
          <w:spacing w:val="-3"/>
        </w:rPr>
        <w:t>年出生，研究生学历，中国国籍，无境外永久居留权</w:t>
      </w:r>
      <w:r>
        <w:rPr>
          <w:rFonts w:ascii="Times New Roman" w:hAnsi="Times New Roman" w:cs="Times New Roman" w:eastAsia="Times New Roman" w:hint="default"/>
          <w:spacing w:val="-3"/>
        </w:rPr>
        <w:t>,</w:t>
      </w:r>
      <w:r>
        <w:rPr>
          <w:spacing w:val="-3"/>
        </w:rPr>
        <w:t>曾担任南京大学法学院副院长、法学院教授、博</w:t>
      </w:r>
      <w:r>
        <w:rPr>
          <w:spacing w:val="42"/>
        </w:rPr>
        <w:t> </w:t>
      </w:r>
      <w:r>
        <w:rPr>
          <w:spacing w:val="42"/>
        </w:rPr>
      </w:r>
      <w:r>
        <w:rPr>
          <w:spacing w:val="-4"/>
        </w:rPr>
        <w:t>士生导师等职。现任河海大学法学院教授、博士生导师，南京新街口百货商店股份有限公司独立董事、江苏凯伦建材股份有</w:t>
      </w:r>
      <w:r>
        <w:rPr>
          <w:spacing w:val="40"/>
        </w:rPr>
        <w:t> </w:t>
      </w:r>
      <w:r>
        <w:rPr>
          <w:spacing w:val="40"/>
        </w:rPr>
      </w:r>
      <w:r>
        <w:rPr>
          <w:spacing w:val="-3"/>
        </w:rPr>
        <w:t>限公司独立董事、江苏德纳化学股份有限公司独立董事。</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月至今任本公司独立董事。</w:t>
      </w:r>
      <w:r>
        <w:rPr>
          <w:spacing w:val="37"/>
        </w:rPr>
        <w:t> </w:t>
      </w:r>
      <w:r>
        <w:rPr>
          <w:spacing w:val="37"/>
        </w:rPr>
      </w:r>
      <w:r>
        <w:rPr>
          <w:rFonts w:ascii="Times New Roman" w:hAnsi="Times New Roman" w:cs="Times New Roman" w:eastAsia="Times New Roman" w:hint="default"/>
          <w:spacing w:val="-3"/>
        </w:rPr>
        <w:t>10</w:t>
      </w:r>
      <w:r>
        <w:rPr>
          <w:spacing w:val="-3"/>
        </w:rPr>
        <w:t>、周斌先生，</w:t>
      </w:r>
      <w:r>
        <w:rPr>
          <w:rFonts w:ascii="Times New Roman" w:hAnsi="Times New Roman" w:cs="Times New Roman" w:eastAsia="Times New Roman" w:hint="default"/>
          <w:spacing w:val="-3"/>
        </w:rPr>
        <w:t>1972</w:t>
      </w:r>
      <w:r>
        <w:rPr>
          <w:spacing w:val="-3"/>
        </w:rPr>
        <w:t>年出生，大学研究生学历，中国国籍，无境外永久居留权</w:t>
      </w:r>
      <w:r>
        <w:rPr>
          <w:rFonts w:ascii="Times New Roman" w:hAnsi="Times New Roman" w:cs="Times New Roman" w:eastAsia="Times New Roman" w:hint="default"/>
          <w:spacing w:val="-3"/>
        </w:rPr>
        <w:t>,</w:t>
      </w:r>
      <w:r>
        <w:rPr>
          <w:spacing w:val="-3"/>
        </w:rPr>
        <w:t>曾任电子科技大学党委宣传部干事、北京世</w:t>
      </w:r>
      <w:r>
        <w:rPr>
          <w:spacing w:val="75"/>
        </w:rPr>
        <w:t> </w:t>
      </w:r>
      <w:r>
        <w:rPr>
          <w:spacing w:val="75"/>
        </w:rPr>
      </w:r>
      <w:r>
        <w:rPr>
          <w:spacing w:val="-4"/>
        </w:rPr>
        <w:t>联新纪元律师事务所律师、北京市中伦金通律师事务所律师、北京市君合律师事务所律师、北京市中伦律师事务所合伙人律</w:t>
      </w:r>
      <w:r>
        <w:rPr>
          <w:spacing w:val="43"/>
        </w:rPr>
        <w:t> </w:t>
      </w:r>
      <w:r>
        <w:rPr>
          <w:spacing w:val="43"/>
        </w:rPr>
      </w:r>
      <w:r>
        <w:rPr>
          <w:spacing w:val="-3"/>
        </w:rPr>
        <w:t>师，现任北京中伦（成都）律师事务所合伙人律师、牡丹江恒丰纸业股份有限公司独立董事、清华大学经管学院</w:t>
      </w:r>
      <w:r>
        <w:rPr>
          <w:rFonts w:ascii="Times New Roman" w:hAnsi="Times New Roman" w:cs="Times New Roman" w:eastAsia="Times New Roman" w:hint="default"/>
          <w:spacing w:val="-3"/>
        </w:rPr>
        <w:t>MBA</w:t>
      </w:r>
      <w:r>
        <w:rPr>
          <w:spacing w:val="-3"/>
        </w:rPr>
        <w:t>校友</w:t>
      </w:r>
      <w:r>
        <w:rPr>
          <w:spacing w:val="67"/>
        </w:rPr>
        <w:t> </w:t>
      </w:r>
      <w:r>
        <w:rPr>
          <w:spacing w:val="-3"/>
        </w:rPr>
        <w:t>导师、中国人民大学财金学院专硕校外导师。</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月至今任本公司独立董事。</w:t>
      </w:r>
      <w:r>
        <w:rPr>
          <w:spacing w:val="25"/>
        </w:rPr>
        <w:t> </w:t>
      </w:r>
      <w:r>
        <w:rPr>
          <w:spacing w:val="25"/>
        </w:rPr>
      </w:r>
      <w:r>
        <w:rPr>
          <w:rFonts w:ascii="Times New Roman" w:hAnsi="Times New Roman" w:cs="Times New Roman" w:eastAsia="Times New Roman" w:hint="default"/>
          <w:spacing w:val="-3"/>
        </w:rPr>
        <w:t>11</w:t>
      </w:r>
      <w:r>
        <w:rPr>
          <w:spacing w:val="-3"/>
        </w:rPr>
        <w:t>、桑传刚先生，</w:t>
      </w:r>
      <w:r>
        <w:rPr>
          <w:rFonts w:ascii="Times New Roman" w:hAnsi="Times New Roman" w:cs="Times New Roman" w:eastAsia="Times New Roman" w:hint="default"/>
          <w:spacing w:val="-3"/>
        </w:rPr>
        <w:t>1975</w:t>
      </w:r>
      <w:r>
        <w:rPr>
          <w:spacing w:val="-3"/>
        </w:rPr>
        <w:t>年出生，硕士学历，中国国籍，无境外永久居留权，曾担任江苏省常州监狱宣教科长、办公室主任、</w:t>
      </w:r>
      <w:r>
        <w:rPr>
          <w:spacing w:val="76"/>
        </w:rPr>
        <w:t> </w:t>
      </w:r>
      <w:r>
        <w:rPr>
          <w:spacing w:val="76"/>
        </w:rPr>
      </w:r>
      <w:r>
        <w:rPr>
          <w:spacing w:val="-3"/>
        </w:rPr>
        <w:t>政治处主任、晶昇服饰有限公司总经理，江苏省监狱管理局行政处副处长、江苏金源置业有限公司董事长兼总经理。</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年</w:t>
      </w:r>
      <w:r>
        <w:rPr>
          <w:rFonts w:ascii="Times New Roman" w:hAnsi="Times New Roman" w:cs="Times New Roman" w:eastAsia="Times New Roman" w:hint="default"/>
          <w:spacing w:val="-3"/>
        </w:rPr>
        <w:t>4</w:t>
      </w:r>
      <w:r>
        <w:rPr>
          <w:spacing w:val="-3"/>
        </w:rPr>
        <w:t>月至今担任公司行政总监。</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月至今任本公司监事会主席。</w:t>
      </w:r>
      <w:r>
        <w:rPr>
          <w:spacing w:val="5"/>
        </w:rPr>
        <w:t> </w:t>
      </w:r>
      <w:r>
        <w:rPr>
          <w:spacing w:val="5"/>
        </w:rPr>
      </w:r>
      <w:r>
        <w:rPr>
          <w:rFonts w:ascii="Times New Roman" w:hAnsi="Times New Roman" w:cs="Times New Roman" w:eastAsia="Times New Roman" w:hint="default"/>
          <w:spacing w:val="-3"/>
        </w:rPr>
        <w:t>12</w:t>
      </w:r>
      <w:r>
        <w:rPr>
          <w:spacing w:val="-3"/>
        </w:rPr>
        <w:t>、赵澍先生，</w:t>
      </w:r>
      <w:r>
        <w:rPr>
          <w:rFonts w:ascii="Times New Roman" w:hAnsi="Times New Roman" w:cs="Times New Roman" w:eastAsia="Times New Roman" w:hint="default"/>
          <w:spacing w:val="-3"/>
        </w:rPr>
        <w:t>1974</w:t>
      </w:r>
      <w:r>
        <w:rPr>
          <w:spacing w:val="-3"/>
        </w:rPr>
        <w:t>年出生，硕士学历，中国国籍，曾担任捷开通讯（深圳）有限公司，运营中心总经理</w:t>
      </w:r>
      <w:r>
        <w:rPr>
          <w:rFonts w:ascii="Times New Roman" w:hAnsi="Times New Roman" w:cs="Times New Roman" w:eastAsia="Times New Roman" w:hint="default"/>
          <w:spacing w:val="-3"/>
        </w:rPr>
        <w:t>/TCL </w:t>
      </w:r>
      <w:r>
        <w:rPr/>
        <w:t>品牌执委会</w:t>
      </w:r>
      <w:r>
        <w:rPr>
          <w:spacing w:val="8"/>
        </w:rPr>
        <w:t> </w:t>
      </w:r>
      <w:r>
        <w:rPr>
          <w:spacing w:val="8"/>
        </w:rPr>
      </w:r>
      <w:r>
        <w:rPr>
          <w:spacing w:val="-3"/>
        </w:rPr>
        <w:t>委员。</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月至今任公司智能终端事业部销售总监。</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月至今任本公司监事。</w:t>
      </w:r>
      <w:r>
        <w:rPr>
          <w:spacing w:val="40"/>
        </w:rPr>
        <w:t> </w:t>
      </w:r>
      <w:r>
        <w:rPr>
          <w:spacing w:val="40"/>
        </w:rPr>
      </w:r>
      <w:r>
        <w:rPr>
          <w:rFonts w:ascii="Times New Roman" w:hAnsi="Times New Roman" w:cs="Times New Roman" w:eastAsia="Times New Roman" w:hint="default"/>
          <w:spacing w:val="-4"/>
        </w:rPr>
        <w:t>13</w:t>
      </w:r>
      <w:r>
        <w:rPr>
          <w:spacing w:val="-4"/>
        </w:rPr>
        <w:t>、王媛媛女士，</w:t>
      </w:r>
      <w:r>
        <w:rPr>
          <w:rFonts w:ascii="Times New Roman" w:hAnsi="Times New Roman" w:cs="Times New Roman" w:eastAsia="Times New Roman" w:hint="default"/>
          <w:spacing w:val="-4"/>
        </w:rPr>
        <w:t>1980</w:t>
      </w:r>
      <w:r>
        <w:rPr>
          <w:spacing w:val="-4"/>
        </w:rPr>
        <w:t>年出生，本科学历，中国国籍，无境外永久居留权，曾担任南京艾克丝兰特服饰有限公司业务员，南</w:t>
      </w:r>
      <w:r>
        <w:rPr>
          <w:spacing w:val="48"/>
        </w:rPr>
        <w:t> </w:t>
      </w:r>
      <w:r>
        <w:rPr>
          <w:spacing w:val="48"/>
        </w:rPr>
      </w:r>
      <w:r>
        <w:rPr>
          <w:spacing w:val="-4"/>
        </w:rPr>
        <w:t>京华瑞服装有限公司外贸业务员。</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4</w:t>
      </w:r>
      <w:r>
        <w:rPr>
          <w:spacing w:val="-4"/>
        </w:rPr>
        <w:t>月至今，担任本公司企宣主管、党委委员、党群部副部长。</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月至今任本公</w:t>
      </w:r>
      <w:r>
        <w:rPr>
          <w:spacing w:val="62"/>
        </w:rPr>
        <w:t> </w:t>
      </w:r>
      <w:r>
        <w:rPr>
          <w:spacing w:val="62"/>
        </w:rPr>
      </w:r>
      <w:r>
        <w:rPr/>
        <w:t>司监事。</w:t>
      </w:r>
      <w:r>
        <w:rPr>
          <w:spacing w:val="-86"/>
        </w:rPr>
        <w:t> </w:t>
      </w:r>
      <w:r>
        <w:rPr>
          <w:spacing w:val="-86"/>
        </w:rPr>
      </w:r>
      <w:r>
        <w:rPr>
          <w:rFonts w:ascii="Times New Roman" w:hAnsi="Times New Roman" w:cs="Times New Roman" w:eastAsia="Times New Roman" w:hint="default"/>
          <w:spacing w:val="-4"/>
        </w:rPr>
        <w:t>14</w:t>
      </w:r>
      <w:r>
        <w:rPr>
          <w:spacing w:val="-4"/>
        </w:rPr>
        <w:t>、邵峰先生，</w:t>
      </w:r>
      <w:r>
        <w:rPr>
          <w:rFonts w:ascii="Times New Roman" w:hAnsi="Times New Roman" w:cs="Times New Roman" w:eastAsia="Times New Roman" w:hint="default"/>
          <w:spacing w:val="-4"/>
        </w:rPr>
        <w:t>1980</w:t>
      </w:r>
      <w:r>
        <w:rPr>
          <w:spacing w:val="-4"/>
        </w:rPr>
        <w:t>年出生，大学专科学历，中国国籍，无境外永久居留权。曾担任江苏苏源高科技有限公司软件开发项目</w:t>
      </w:r>
      <w:r>
        <w:rPr>
          <w:spacing w:val="48"/>
        </w:rPr>
        <w:t> </w:t>
      </w:r>
      <w:r>
        <w:rPr>
          <w:spacing w:val="48"/>
        </w:rPr>
      </w:r>
      <w:r>
        <w:rPr>
          <w:spacing w:val="-3"/>
        </w:rPr>
        <w:t>经理、项目管理部部长，本公司项目管理部经理、经营计划部经理、财务部副部长等职务。</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月至今任本公司财务总</w:t>
      </w:r>
    </w:p>
    <w:p>
      <w:pPr>
        <w:spacing w:after="0" w:line="30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r>
        <w:rPr/>
        <w:pict>
          <v:group style="position:absolute;margin-left:329.880005pt;margin-top:520.226013pt;width:59.35pt;height:35.1pt;mso-position-horizontal-relative:page;mso-position-vertical-relative:page;z-index:-1200112" coordorigin="6598,10405" coordsize="1187,702">
            <v:group style="position:absolute;left:6598;top:10405;width:1187;height:702" coordorigin="6598,10405" coordsize="1187,702">
              <v:shape style="position:absolute;left:6598;top:10405;width:1187;height:702" coordorigin="6598,10405" coordsize="1187,702" path="m6598,11106l7784,11106,7784,10405,6598,10405,6598,11106xe" filled="true" fillcolor="#ffffff" stroked="false">
                <v:path arrowok="t"/>
                <v:fill type="solid"/>
              </v:shape>
            </v:group>
            <v:group style="position:absolute;left:6617;top:10405;width:1143;height:351" coordorigin="6617,10405" coordsize="1143,351">
              <v:shape style="position:absolute;left:6617;top:10405;width:1143;height:351" coordorigin="6617,10405" coordsize="1143,351" path="m6617,10755l7760,10755,7760,10405,6617,10405,6617,10755xe" filled="true" fillcolor="#ffffff" stroked="false">
                <v:path arrowok="t"/>
                <v:fill type="solid"/>
              </v:shape>
            </v:group>
            <v:group style="position:absolute;left:6617;top:10755;width:1143;height:351" coordorigin="6617,10755" coordsize="1143,351">
              <v:shape style="position:absolute;left:6617;top:10755;width:1143;height:351" coordorigin="6617,10755" coordsize="1143,351" path="m6617,11106l7760,11106,7760,10755,6617,10755,6617,11106xe" filled="true" fillcolor="#ffffff" stroked="false">
                <v:path arrowok="t"/>
                <v:fill type="solid"/>
              </v:shape>
            </v:group>
            <w10:wrap type="none"/>
          </v:group>
        </w:pict>
      </w:r>
    </w:p>
    <w:p>
      <w:pPr>
        <w:pStyle w:val="BodyText"/>
        <w:spacing w:line="362" w:lineRule="auto" w:before="46"/>
        <w:ind w:right="8838"/>
        <w:jc w:val="left"/>
      </w:pPr>
      <w:r>
        <w:rPr/>
        <w:t>监。</w:t>
      </w:r>
      <w:r>
        <w:rPr>
          <w:spacing w:val="-86"/>
        </w:rPr>
        <w:t> </w:t>
      </w:r>
      <w:r>
        <w:rPr>
          <w:spacing w:val="-3"/>
        </w:rPr>
        <w:t>在股东单位任职情况</w:t>
      </w:r>
    </w:p>
    <w:p>
      <w:pPr>
        <w:pStyle w:val="BodyText"/>
        <w:spacing w:line="240" w:lineRule="auto" w:before="28"/>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5"/>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69"/>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6" w:right="69"/>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41"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北京联创智融信息技术有限公司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西安润和软件信息技术有限公司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江苏软信和熙信息科技有限公司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江苏润和捷诚科技产业投资有限公司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武汉宁润软件信息技术有限公司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株式会社ホープラン東京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4"/>
              <w:jc w:val="left"/>
              <w:rPr>
                <w:rFonts w:ascii="宋体" w:hAnsi="宋体" w:cs="宋体" w:eastAsia="宋体" w:hint="default"/>
                <w:sz w:val="18"/>
                <w:szCs w:val="18"/>
              </w:rPr>
            </w:pPr>
            <w:r>
              <w:rPr>
                <w:rFonts w:ascii="宋体" w:hAnsi="宋体" w:cs="宋体" w:eastAsia="宋体" w:hint="default"/>
                <w:spacing w:val="-6"/>
                <w:sz w:val="18"/>
                <w:szCs w:val="18"/>
              </w:rPr>
              <w:t>代表取缔役、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HopeRun </w:t>
            </w:r>
            <w:r>
              <w:rPr>
                <w:rFonts w:ascii="Times New Roman"/>
                <w:spacing w:val="-3"/>
                <w:sz w:val="18"/>
              </w:rPr>
              <w:t>Technology</w:t>
            </w:r>
            <w:r>
              <w:rPr>
                <w:rFonts w:ascii="Times New Roman"/>
                <w:spacing w:val="5"/>
                <w:sz w:val="18"/>
              </w:rPr>
              <w:t> </w:t>
            </w:r>
            <w:r>
              <w:rPr>
                <w:rFonts w:ascii="Times New Roman"/>
                <w:sz w:val="18"/>
              </w:rPr>
              <w:t>Corporation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董事长、总经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江苏润联信息技术有限公司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南京市润企科技小额贷款有限公司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江苏红土软件创业投资有限公司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虹软科技股份有限公司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福州捷科智诚信息科技有限公司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上海润和信息技术服务有限公司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润和云（上海）科技有限公司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西安润和软件信息技术有限公司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武汉宁润软件信息技术有限公司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总</w:t>
            </w:r>
            <w:r>
              <w:rPr>
                <w:rFonts w:ascii="宋体" w:hAnsi="宋体" w:cs="宋体" w:eastAsia="宋体" w:hint="default"/>
                <w:w w:val="101"/>
                <w:sz w:val="18"/>
                <w:szCs w:val="18"/>
              </w:rPr>
              <w:t>经理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广州润和颐能软件技术有限公司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香港润和信息技术投资有限公司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HopeRun Software Singapore </w:t>
            </w:r>
            <w:r>
              <w:rPr>
                <w:rFonts w:ascii="Times New Roman"/>
                <w:spacing w:val="-3"/>
                <w:sz w:val="18"/>
              </w:rPr>
              <w:t>Pte.</w:t>
            </w:r>
            <w:r>
              <w:rPr>
                <w:rFonts w:ascii="Times New Roman"/>
                <w:spacing w:val="8"/>
                <w:sz w:val="18"/>
              </w:rPr>
              <w:t> </w:t>
            </w:r>
            <w:r>
              <w:rPr>
                <w:rFonts w:ascii="Times New Roman"/>
                <w:spacing w:val="-3"/>
                <w:sz w:val="18"/>
              </w:rPr>
              <w:t>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株式会社ホープラン東京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HopeRun </w:t>
            </w:r>
            <w:r>
              <w:rPr>
                <w:rFonts w:ascii="Times New Roman"/>
                <w:spacing w:val="-3"/>
                <w:sz w:val="18"/>
              </w:rPr>
              <w:t>Technology</w:t>
            </w:r>
            <w:r>
              <w:rPr>
                <w:rFonts w:ascii="Times New Roman"/>
                <w:spacing w:val="5"/>
                <w:sz w:val="18"/>
              </w:rPr>
              <w:t> </w:t>
            </w:r>
            <w:r>
              <w:rPr>
                <w:rFonts w:ascii="Times New Roman"/>
                <w:sz w:val="18"/>
              </w:rPr>
              <w:t>Corporation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董事、副总经</w:t>
            </w:r>
            <w:r>
              <w:rPr>
                <w:rFonts w:ascii="宋体" w:hAnsi="宋体" w:cs="宋体" w:eastAsia="宋体" w:hint="default"/>
                <w:w w:val="101"/>
                <w:sz w:val="18"/>
                <w:szCs w:val="18"/>
              </w:rPr>
              <w:t> </w:t>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南京润和润云科技有限公司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江苏润和南京软件外包园置业有限公司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上海润舸投资管理有限公司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南京泉创信息科技有限公司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南京润林网络科技有限公司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北京联创智融信息技术有限公司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江苏泰乐城医疗投资股份有限公司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南京贝元铭企业管理咨询有限公司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南京顿益科技有限公司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长</w:t>
            </w:r>
            <w:r>
              <w:rPr>
                <w:rFonts w:ascii="宋体" w:hAnsi="宋体" w:cs="宋体" w:eastAsia="宋体" w:hint="default"/>
                <w:spacing w:val="-77"/>
                <w:w w:val="101"/>
                <w:sz w:val="18"/>
                <w:szCs w:val="18"/>
              </w:rPr>
              <w:t>、</w:t>
            </w:r>
            <w:r>
              <w:rPr>
                <w:rFonts w:ascii="宋体" w:hAnsi="宋体" w:cs="宋体" w:eastAsia="宋体" w:hint="default"/>
                <w:w w:val="101"/>
                <w:sz w:val="18"/>
                <w:szCs w:val="18"/>
              </w:rPr>
              <w:t>经理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执行董事、经</w:t>
            </w:r>
            <w:r>
              <w:rPr>
                <w:rFonts w:ascii="宋体" w:hAnsi="宋体" w:cs="宋体" w:eastAsia="宋体" w:hint="default"/>
                <w:w w:val="101"/>
                <w:sz w:val="18"/>
                <w:szCs w:val="18"/>
              </w:rPr>
              <w:t> </w:t>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润和云（上海）科技有限公司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福州捷科智诚信息科技有限公司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执行董事、经</w:t>
            </w:r>
            <w:r>
              <w:rPr>
                <w:rFonts w:ascii="宋体" w:hAnsi="宋体" w:cs="宋体" w:eastAsia="宋体" w:hint="default"/>
                <w:w w:val="101"/>
                <w:sz w:val="18"/>
                <w:szCs w:val="18"/>
              </w:rPr>
              <w:t> </w:t>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880005pt;margin-top:715.415955pt;width:59.35pt;height:48.75pt;mso-position-horizontal-relative:page;mso-position-vertical-relative:page;z-index:-1200088" coordorigin="6598,14308" coordsize="1187,975">
            <v:group style="position:absolute;left:6598;top:14308;width:1187;height:975" coordorigin="6598,14308" coordsize="1187,975">
              <v:shape style="position:absolute;left:6598;top:14308;width:1187;height:975" coordorigin="6598,14308" coordsize="1187,975" path="m6598,15283l7784,15283,7784,14308,6598,14308,6598,15283xe" filled="true" fillcolor="#ffffff" stroked="false">
                <v:path arrowok="t"/>
                <v:fill type="solid"/>
              </v:shape>
            </v:group>
            <v:group style="position:absolute;left:6617;top:14443;width:1143;height:351" coordorigin="6617,14443" coordsize="1143,351">
              <v:shape style="position:absolute;left:6617;top:14443;width:1143;height:351" coordorigin="6617,14443" coordsize="1143,351" path="m6617,14793l7760,14793,7760,14443,6617,14443,6617,14793xe" filled="true" fillcolor="#ffffff" stroked="false">
                <v:path arrowok="t"/>
                <v:fill type="solid"/>
              </v:shape>
            </v:group>
            <v:group style="position:absolute;left:6617;top:14793;width:1143;height:356" coordorigin="6617,14793" coordsize="1143,356">
              <v:shape style="position:absolute;left:6617;top:14793;width:1143;height:356" coordorigin="6617,14793" coordsize="1143,356" path="m6617,15148l7760,15148,7760,14793,6617,14793,6617,1514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长</w:t>
            </w:r>
            <w:r>
              <w:rPr>
                <w:rFonts w:ascii="宋体" w:hAnsi="宋体" w:cs="宋体" w:eastAsia="宋体" w:hint="default"/>
                <w:spacing w:val="-77"/>
                <w:w w:val="101"/>
                <w:sz w:val="18"/>
                <w:szCs w:val="18"/>
              </w:rPr>
              <w:t>、</w:t>
            </w:r>
            <w:r>
              <w:rPr>
                <w:rFonts w:ascii="宋体" w:hAnsi="宋体" w:cs="宋体" w:eastAsia="宋体" w:hint="default"/>
                <w:w w:val="101"/>
                <w:sz w:val="18"/>
                <w:szCs w:val="18"/>
              </w:rPr>
              <w:t>经理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江苏润申信息科技有限公司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南京东方颐年养老服务有限公司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江苏柯菲平医药股份有限公司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南京创业投资管理有限公司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南京智真电子科技股份有限公司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南京中源创业投资有限公司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永安行科技股份有限公司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江苏永安行低碳科技有限公司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北京快乐时代科技发展有限公司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赣州趣校园科技发展有限公司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江苏太平洋石英股份有限公司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上会会计师事务所南京分所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南京新工投资集团有限责任公司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南京华信融资租赁有限公司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98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东南大学经济管理学院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3" w:right="12"/>
              <w:jc w:val="left"/>
              <w:rPr>
                <w:rFonts w:ascii="宋体" w:hAnsi="宋体" w:cs="宋体" w:eastAsia="宋体" w:hint="default"/>
                <w:sz w:val="18"/>
                <w:szCs w:val="18"/>
              </w:rPr>
            </w:pPr>
            <w:r>
              <w:rPr>
                <w:rFonts w:ascii="宋体" w:hAnsi="宋体" w:cs="宋体" w:eastAsia="宋体" w:hint="default"/>
                <w:sz w:val="18"/>
                <w:szCs w:val="18"/>
              </w:rPr>
              <w:t>金融系主任</w:t>
            </w:r>
            <w:r>
              <w:rPr>
                <w:rFonts w:ascii="宋体" w:hAnsi="宋体" w:cs="宋体" w:eastAsia="宋体" w:hint="default"/>
                <w:w w:val="101"/>
                <w:sz w:val="18"/>
                <w:szCs w:val="18"/>
              </w:rPr>
              <w:t> </w:t>
            </w:r>
            <w:r>
              <w:rPr>
                <w:rFonts w:ascii="宋体" w:hAnsi="宋体" w:cs="宋体" w:eastAsia="宋体" w:hint="default"/>
                <w:spacing w:val="-14"/>
                <w:w w:val="101"/>
                <w:sz w:val="18"/>
                <w:szCs w:val="18"/>
              </w:rPr>
              <w:t>教授，金融学</w:t>
            </w:r>
            <w:r>
              <w:rPr>
                <w:rFonts w:ascii="宋体" w:hAnsi="宋体" w:cs="宋体" w:eastAsia="宋体" w:hint="default"/>
                <w:w w:val="101"/>
                <w:sz w:val="18"/>
                <w:szCs w:val="18"/>
              </w:rPr>
              <w:t> </w:t>
            </w:r>
            <w:r>
              <w:rPr>
                <w:rFonts w:ascii="宋体" w:hAnsi="宋体" w:cs="宋体" w:eastAsia="宋体" w:hint="default"/>
                <w:sz w:val="18"/>
                <w:szCs w:val="18"/>
              </w:rPr>
              <w:t>专业博士生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江苏宁沪高速公路股份有限公司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教育部高等学校金融类专业教学指导委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员会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江苏凯伦建材股份有限公司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江苏德纳化学股份有限公司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南京新街口百货商店股份有限公司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河海大学法学院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教授、博士生</w:t>
            </w:r>
            <w:r>
              <w:rPr>
                <w:rFonts w:ascii="宋体" w:hAnsi="宋体" w:cs="宋体" w:eastAsia="宋体" w:hint="default"/>
                <w:w w:val="101"/>
                <w:sz w:val="18"/>
                <w:szCs w:val="18"/>
              </w:rPr>
              <w:t> </w:t>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牡丹江恒丰纸业股份有限公司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松原市善德农业有限公司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深圳阳煤金陵产业投资基金有限公司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盘锦中泽电子产业投资管理有限公司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成都市破产管理人协会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北京联创智融信息技术有限公司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上海捷科智诚科技有限公司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福州捷科智诚信息科技有限公司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上海润和信息技术服务有限公司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润和云（上海）科技有限公司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武汉宁润软件信息技术有限公司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5"/>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西安润和软件信息技术有限公司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江苏软信和熙信息科技有限公司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江苏润和捷诚科技产业投资有限公司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江苏润和智融科技有限公司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新维数联（北京）科技有限公司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南京润和润云科技有限公司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上海润宁信息科技有限公司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南京淳泰投资管理有限公司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南京澜和电子商务有限公司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深圳润和汇智信息技术有限公司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润和云（上海）科技有限公司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新维数联（北京）科技有限公司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董事、监事、高级管理人员报酬的决策程序、确定依据、实际支付情况</w:t>
      </w:r>
    </w:p>
    <w:p>
      <w:pPr>
        <w:pStyle w:val="BodyText"/>
        <w:spacing w:line="240" w:lineRule="auto" w:before="110"/>
        <w:ind w:right="0"/>
        <w:jc w:val="left"/>
      </w:pPr>
      <w:r>
        <w:rPr>
          <w:rFonts w:ascii="Times New Roman" w:hAnsi="Times New Roman" w:cs="Times New Roman" w:eastAsia="Times New Roman" w:hint="default"/>
          <w:spacing w:val="-3"/>
        </w:rPr>
        <w:t>1</w:t>
      </w:r>
      <w:r>
        <w:rPr>
          <w:spacing w:val="-3"/>
        </w:rPr>
        <w:t>、董事、监事、高级管理人员报酬的决策程序：公司董事、监事报酬由股东大会决定，高级管理人员报酬由董事会决定；</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在公司担任职务的董事、监事和高级管理人员报酬由公司支付，董事、监事不另外支付津贴。独立董事津贴依据股东大会决</w:t>
      </w:r>
      <w:r>
        <w:rPr>
          <w:spacing w:val="41"/>
        </w:rPr>
        <w:t> </w:t>
      </w:r>
      <w:r>
        <w:rPr>
          <w:spacing w:val="41"/>
        </w:rPr>
      </w:r>
      <w:r>
        <w:rPr>
          <w:spacing w:val="-3"/>
        </w:rPr>
        <w:t>议支付，独立董事会务费据实报销。</w:t>
      </w:r>
      <w:r>
        <w:rPr>
          <w:spacing w:val="-39"/>
        </w:rPr>
        <w:t> </w:t>
      </w:r>
      <w:r>
        <w:rPr>
          <w:spacing w:val="-39"/>
        </w:rPr>
      </w:r>
      <w:r>
        <w:rPr>
          <w:rFonts w:ascii="Times New Roman" w:hAnsi="Times New Roman" w:cs="Times New Roman" w:eastAsia="Times New Roman" w:hint="default"/>
          <w:spacing w:val="-4"/>
        </w:rPr>
        <w:t>2</w:t>
      </w:r>
      <w:r>
        <w:rPr>
          <w:spacing w:val="-4"/>
        </w:rPr>
        <w:t>、董事、监事、高级管理人员报酬的确定依据：依据公司盈利水平及各董事、监事、高级管理人员的分工及履行情况确定。</w:t>
      </w:r>
    </w:p>
    <w:p>
      <w:pPr>
        <w:pStyle w:val="BodyText"/>
        <w:spacing w:line="249"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3</w:t>
      </w:r>
      <w:r>
        <w:rPr>
          <w:spacing w:val="-6"/>
        </w:rPr>
        <w:t>、董事、监事、高级管理人员报酬的实际支付情况：公司报告期内董事、监事、高级管理人员共</w:t>
      </w:r>
      <w:r>
        <w:rPr>
          <w:rFonts w:ascii="Times New Roman" w:hAnsi="Times New Roman" w:cs="Times New Roman" w:eastAsia="Times New Roman" w:hint="default"/>
          <w:spacing w:val="-6"/>
        </w:rPr>
        <w:t>17</w:t>
      </w:r>
      <w:r>
        <w:rPr>
          <w:spacing w:val="-6"/>
        </w:rPr>
        <w:t>人（含离任人员），</w:t>
      </w:r>
      <w:r>
        <w:rPr>
          <w:rFonts w:ascii="Times New Roman" w:hAnsi="Times New Roman" w:cs="Times New Roman" w:eastAsia="Times New Roman" w:hint="default"/>
          <w:spacing w:val="-6"/>
        </w:rPr>
        <w:t>2018</w:t>
      </w:r>
    </w:p>
    <w:p>
      <w:pPr>
        <w:pStyle w:val="BodyText"/>
        <w:spacing w:line="343" w:lineRule="auto" w:before="63"/>
        <w:ind w:right="6287"/>
        <w:jc w:val="left"/>
      </w:pPr>
      <w:r>
        <w:rPr/>
        <w:t>年实际支付</w:t>
      </w:r>
      <w:r>
        <w:rPr>
          <w:rFonts w:ascii="Times New Roman" w:hAnsi="Times New Roman" w:cs="Times New Roman" w:eastAsia="Times New Roman" w:hint="default"/>
        </w:rPr>
        <w:t>642.07</w:t>
      </w:r>
      <w:r>
        <w:rPr/>
        <w:t>万元。</w:t>
      </w:r>
      <w:r>
        <w:rPr>
          <w:spacing w:val="-88"/>
        </w:rPr>
        <w:t> </w:t>
      </w:r>
      <w:r>
        <w:rPr>
          <w:spacing w:val="-88"/>
        </w:rPr>
      </w:r>
      <w:r>
        <w:rPr>
          <w:spacing w:val="-3"/>
        </w:rPr>
        <w:t>公司报告期内董事、监事和高级管理人员报酬情况</w:t>
      </w:r>
    </w:p>
    <w:p>
      <w:pPr>
        <w:pStyle w:val="BodyText"/>
        <w:spacing w:line="240" w:lineRule="auto" w:before="42"/>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董事、高级副总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董事、董事会秘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642.07</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五、公司员工情况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2,274</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6,370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8,644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8,644</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142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7,992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462</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
              <w:jc w:val="right"/>
              <w:rPr>
                <w:rFonts w:ascii="Times New Roman" w:hAnsi="Times New Roman" w:cs="Times New Roman" w:eastAsia="Times New Roman" w:hint="default"/>
                <w:sz w:val="18"/>
                <w:szCs w:val="18"/>
              </w:rPr>
            </w:pPr>
            <w:r>
              <w:rPr>
                <w:rFonts w:ascii="Times New Roman"/>
                <w:spacing w:val="-1"/>
                <w:sz w:val="18"/>
              </w:rPr>
              <w:t>8,644</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硕士及以上学历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251</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5,933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大专及以下学历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8,644</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2"/>
        <w:jc w:val="both"/>
      </w:pPr>
      <w:r>
        <w:rPr>
          <w:spacing w:val="-4"/>
        </w:rPr>
        <w:t>公司的薪酬战略以公司总体经营发展战略为基础，并结合公司年度的营运目标、市场竞争状况，分解确立为年度管理目标和</w:t>
      </w:r>
      <w:r>
        <w:rPr>
          <w:spacing w:val="44"/>
        </w:rPr>
        <w:t> </w:t>
      </w:r>
      <w:r>
        <w:rPr>
          <w:spacing w:val="44"/>
        </w:rPr>
      </w:r>
      <w:r>
        <w:rPr>
          <w:spacing w:val="-4"/>
        </w:rPr>
        <w:t>策略。同时，通过建立以岗位价值和绩效为导向形成的薪酬分配体系，采用股权支付等薪酬方式，对核心管理人员、技术人</w:t>
      </w:r>
      <w:r>
        <w:rPr>
          <w:spacing w:val="40"/>
        </w:rPr>
        <w:t> </w:t>
      </w:r>
      <w:r>
        <w:rPr>
          <w:spacing w:val="40"/>
        </w:rPr>
      </w:r>
      <w:r>
        <w:rPr>
          <w:spacing w:val="-4"/>
        </w:rPr>
        <w:t>员通过股权激励、员工持股计划等薪酬方案，保障核心管理人员和技术人员的稳定性；以及科学的薪酬结构、带宽设置，规</w:t>
      </w:r>
      <w:r>
        <w:rPr>
          <w:spacing w:val="40"/>
        </w:rPr>
        <w:t> </w:t>
      </w:r>
      <w:r>
        <w:rPr>
          <w:spacing w:val="40"/>
        </w:rPr>
      </w:r>
      <w:r>
        <w:rPr>
          <w:spacing w:val="-4"/>
        </w:rPr>
        <w:t>范的调整、计发规则，形成责权利相统一，报酬、贡献及风险相对称的激励约束机制，以提高员工的工作积极性，促进员工</w:t>
      </w:r>
      <w:r>
        <w:rPr>
          <w:spacing w:val="40"/>
        </w:rPr>
        <w:t> </w:t>
      </w:r>
      <w:r>
        <w:rPr>
          <w:spacing w:val="40"/>
        </w:rPr>
      </w:r>
      <w:r>
        <w:rPr>
          <w:spacing w:val="-3"/>
        </w:rPr>
        <w:t>工作业绩与素质的提高，实现公司效益的增长。</w:t>
      </w:r>
    </w:p>
    <w:p>
      <w:pPr>
        <w:pStyle w:val="BodyText"/>
        <w:spacing w:line="319" w:lineRule="auto" w:before="60"/>
        <w:ind w:right="0"/>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11"/>
        </w:rPr>
        <w:t> </w:t>
      </w:r>
      <w:r>
        <w:rPr>
          <w:spacing w:val="11"/>
        </w:rPr>
      </w:r>
      <w:r>
        <w:rPr>
          <w:spacing w:val="-3"/>
        </w:rPr>
        <w:t>职工薪酬总额（计入成本部分）为</w:t>
      </w:r>
      <w:r>
        <w:rPr>
          <w:rFonts w:ascii="Times New Roman" w:hAnsi="Times New Roman" w:cs="Times New Roman" w:eastAsia="Times New Roman" w:hint="default"/>
          <w:spacing w:val="-3"/>
        </w:rPr>
        <w:t>72,846.21</w:t>
      </w:r>
      <w:r>
        <w:rPr>
          <w:spacing w:val="-3"/>
        </w:rPr>
        <w:t>万元</w:t>
      </w:r>
      <w:r>
        <w:rPr>
          <w:rFonts w:ascii="Times New Roman" w:hAnsi="Times New Roman" w:cs="Times New Roman" w:eastAsia="Times New Roman" w:hint="default"/>
          <w:spacing w:val="-3"/>
        </w:rPr>
        <w:t>,</w:t>
      </w:r>
      <w:r>
        <w:rPr>
          <w:spacing w:val="-3"/>
        </w:rPr>
        <w:t>职工薪酬总额（计入成本部分）及占公司成本总额的比重为</w:t>
      </w:r>
      <w:r>
        <w:rPr>
          <w:rFonts w:ascii="Times New Roman" w:hAnsi="Times New Roman" w:cs="Times New Roman" w:eastAsia="Times New Roman" w:hint="default"/>
          <w:spacing w:val="-3"/>
        </w:rPr>
        <w:t>60.56%</w:t>
      </w:r>
      <w:r>
        <w:rPr>
          <w:spacing w:val="-3"/>
        </w:rPr>
        <w:t>；归母</w:t>
      </w:r>
      <w:r>
        <w:rPr>
          <w:spacing w:val="6"/>
        </w:rPr>
        <w:t> </w:t>
      </w:r>
      <w:r>
        <w:rPr>
          <w:spacing w:val="6"/>
        </w:rPr>
      </w:r>
      <w:r>
        <w:rPr>
          <w:spacing w:val="-3"/>
        </w:rPr>
        <w:t>净利润较上年增长</w:t>
      </w:r>
      <w:r>
        <w:rPr>
          <w:rFonts w:ascii="Times New Roman" w:hAnsi="Times New Roman" w:cs="Times New Roman" w:eastAsia="Times New Roman" w:hint="default"/>
          <w:spacing w:val="-3"/>
        </w:rPr>
        <w:t>26.05%</w:t>
      </w:r>
      <w:r>
        <w:rPr>
          <w:spacing w:val="-3"/>
        </w:rPr>
        <w:t>，职工薪酬总额（计入成本部分）较上增长</w:t>
      </w:r>
      <w:r>
        <w:rPr>
          <w:rFonts w:ascii="Times New Roman" w:hAnsi="Times New Roman" w:cs="Times New Roman" w:eastAsia="Times New Roman" w:hint="default"/>
          <w:spacing w:val="-3"/>
        </w:rPr>
        <w:t>31.31%</w:t>
      </w:r>
      <w:r>
        <w:rPr>
          <w:spacing w:val="-3"/>
        </w:rPr>
        <w:t>，归母净利润增长幅度小于职工薪酬总额（计</w:t>
      </w:r>
    </w:p>
    <w:p>
      <w:pPr>
        <w:pStyle w:val="BodyText"/>
        <w:spacing w:line="309" w:lineRule="auto"/>
        <w:ind w:right="0"/>
        <w:jc w:val="left"/>
      </w:pPr>
      <w:r>
        <w:rPr>
          <w:spacing w:val="-3"/>
        </w:rPr>
        <w:t>入成本部分）增长幅度。</w:t>
      </w:r>
      <w:r>
        <w:rPr>
          <w:spacing w:val="-56"/>
        </w:rPr>
        <w:t> </w:t>
      </w:r>
      <w:r>
        <w:rPr>
          <w:spacing w:val="-56"/>
        </w:rPr>
      </w:r>
      <w:r>
        <w:rPr>
          <w:rFonts w:ascii="Times New Roman" w:hAnsi="Times New Roman" w:cs="Times New Roman" w:eastAsia="Times New Roman" w:hint="default"/>
          <w:spacing w:val="-3"/>
        </w:rPr>
        <w:t>2018</w:t>
      </w:r>
      <w:r>
        <w:rPr>
          <w:spacing w:val="-3"/>
        </w:rPr>
        <w:t>年核心技术人员数量占技术人员数量比重为</w:t>
      </w:r>
      <w:r>
        <w:rPr>
          <w:rFonts w:ascii="Times New Roman" w:hAnsi="Times New Roman" w:cs="Times New Roman" w:eastAsia="Times New Roman" w:hint="default"/>
          <w:spacing w:val="-3"/>
        </w:rPr>
        <w:t>1.74%</w:t>
      </w:r>
      <w:r>
        <w:rPr>
          <w:spacing w:val="-3"/>
        </w:rPr>
        <w:t>，职工薪酬（计入成本部分）占比</w:t>
      </w:r>
      <w:r>
        <w:rPr>
          <w:rFonts w:ascii="Times New Roman" w:hAnsi="Times New Roman" w:cs="Times New Roman" w:eastAsia="Times New Roman" w:hint="default"/>
          <w:spacing w:val="-3"/>
        </w:rPr>
        <w:t>5.03%</w:t>
      </w:r>
      <w:r>
        <w:rPr>
          <w:spacing w:val="-3"/>
        </w:rPr>
        <w:t>，</w:t>
      </w:r>
      <w:r>
        <w:rPr>
          <w:rFonts w:ascii="Times New Roman" w:hAnsi="Times New Roman" w:cs="Times New Roman" w:eastAsia="Times New Roman" w:hint="default"/>
          <w:spacing w:val="-3"/>
        </w:rPr>
        <w:t>2017</w:t>
      </w:r>
      <w:r>
        <w:rPr>
          <w:spacing w:val="-3"/>
        </w:rPr>
        <w:t>年核心技术人员数量</w:t>
      </w:r>
      <w:r>
        <w:rPr>
          <w:spacing w:val="8"/>
        </w:rPr>
        <w:t> </w:t>
      </w:r>
      <w:r>
        <w:rPr>
          <w:spacing w:val="8"/>
        </w:rPr>
      </w:r>
      <w:r>
        <w:rPr>
          <w:spacing w:val="-3"/>
        </w:rPr>
        <w:t>占技术人员数量比重为</w:t>
      </w:r>
      <w:r>
        <w:rPr>
          <w:rFonts w:ascii="Times New Roman" w:hAnsi="Times New Roman" w:cs="Times New Roman" w:eastAsia="Times New Roman" w:hint="default"/>
          <w:spacing w:val="-3"/>
        </w:rPr>
        <w:t>1.75%</w:t>
      </w:r>
      <w:r>
        <w:rPr>
          <w:spacing w:val="-3"/>
        </w:rPr>
        <w:t>，薪酬占比</w:t>
      </w:r>
      <w:r>
        <w:rPr>
          <w:rFonts w:ascii="Times New Roman" w:hAnsi="Times New Roman" w:cs="Times New Roman" w:eastAsia="Times New Roman" w:hint="default"/>
          <w:spacing w:val="-3"/>
        </w:rPr>
        <w:t>4.89%</w:t>
      </w:r>
      <w:r>
        <w:rPr>
          <w:spacing w:val="-3"/>
        </w:rPr>
        <w:t>，变动较小。</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23"/>
        <w:jc w:val="both"/>
      </w:pPr>
      <w:r>
        <w:rPr>
          <w:spacing w:val="-5"/>
        </w:rPr>
        <w:t>公司以绩效改进和行动学习为核心，以提升员工职业技能、职业素养和公司绩效为目标，建立了以</w:t>
      </w:r>
      <w:r>
        <w:rPr>
          <w:rFonts w:ascii="Times New Roman" w:hAnsi="Times New Roman" w:cs="Times New Roman" w:eastAsia="Times New Roman" w:hint="default"/>
          <w:spacing w:val="-5"/>
        </w:rPr>
        <w:t>“</w:t>
      </w:r>
      <w:r>
        <w:rPr>
          <w:spacing w:val="-5"/>
        </w:rPr>
        <w:t>岗前培训</w:t>
      </w:r>
      <w:r>
        <w:rPr>
          <w:rFonts w:ascii="Times New Roman" w:hAnsi="Times New Roman" w:cs="Times New Roman" w:eastAsia="Times New Roman" w:hint="default"/>
          <w:spacing w:val="-5"/>
        </w:rPr>
        <w:t>+</w:t>
      </w:r>
      <w:r>
        <w:rPr>
          <w:spacing w:val="-5"/>
        </w:rPr>
        <w:t>在岗培训， </w:t>
      </w:r>
      <w:r>
        <w:rPr/>
        <w:t>通</w:t>
      </w:r>
      <w:r>
        <w:rPr>
          <w:spacing w:val="5"/>
        </w:rPr>
        <w:t> </w:t>
      </w:r>
      <w:r>
        <w:rPr>
          <w:spacing w:val="5"/>
        </w:rPr>
      </w:r>
      <w:r>
        <w:rPr>
          <w:spacing w:val="-4"/>
        </w:rPr>
        <w:t>用技能</w:t>
      </w:r>
      <w:r>
        <w:rPr>
          <w:rFonts w:ascii="Times New Roman" w:hAnsi="Times New Roman" w:cs="Times New Roman" w:eastAsia="Times New Roman" w:hint="default"/>
          <w:spacing w:val="-4"/>
        </w:rPr>
        <w:t>+</w:t>
      </w:r>
      <w:r>
        <w:rPr>
          <w:spacing w:val="-4"/>
        </w:rPr>
        <w:t>专业技能</w:t>
      </w:r>
      <w:r>
        <w:rPr>
          <w:rFonts w:ascii="Times New Roman" w:hAnsi="Times New Roman" w:cs="Times New Roman" w:eastAsia="Times New Roman" w:hint="default"/>
          <w:spacing w:val="-4"/>
        </w:rPr>
        <w:t>”</w:t>
      </w:r>
      <w:r>
        <w:rPr>
          <w:spacing w:val="-4"/>
        </w:rPr>
        <w:t>为基础的培训总体架构，并按照《年度培训计划》持续实施培训和相应的管理工作。目前，公司培训主要</w:t>
      </w:r>
      <w:r>
        <w:rPr>
          <w:spacing w:val="40"/>
        </w:rPr>
        <w:t> </w:t>
      </w:r>
      <w:r>
        <w:rPr>
          <w:spacing w:val="40"/>
        </w:rPr>
      </w:r>
      <w:r>
        <w:rPr>
          <w:spacing w:val="-4"/>
        </w:rPr>
        <w:t>分为新人导引类、管理干部类、项目管理类和技术类，并秉持资源充分利用的原则，合理开发内部培训资源和课程，建立了</w:t>
      </w:r>
      <w:r>
        <w:rPr>
          <w:spacing w:val="40"/>
        </w:rPr>
        <w:t> </w:t>
      </w:r>
      <w:r>
        <w:rPr>
          <w:spacing w:val="40"/>
        </w:rPr>
      </w:r>
      <w:r>
        <w:rPr>
          <w:spacing w:val="-4"/>
        </w:rPr>
        <w:t>科学的知识分享体系；在培训效果评估的基础上，对培训效果进行持续跟踪，并在此基础上，进行持续改进，以从培训效果</w:t>
      </w:r>
      <w:r>
        <w:rPr>
          <w:spacing w:val="40"/>
        </w:rPr>
        <w:t> </w:t>
      </w:r>
      <w:r>
        <w:rPr>
          <w:spacing w:val="40"/>
        </w:rPr>
      </w:r>
      <w:r>
        <w:rPr>
          <w:spacing w:val="-3"/>
        </w:rPr>
        <w:t>转化上，对公司各层次的人员培养提供有力地支撑。</w:t>
      </w:r>
    </w:p>
    <w:p>
      <w:pPr>
        <w:spacing w:after="0" w:line="309"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483"/>
        <w:jc w:val="center"/>
        <w:rPr>
          <w:b w:val="0"/>
          <w:bCs w:val="0"/>
        </w:rPr>
      </w:pPr>
      <w:bookmarkStart w:name="_bookmark7" w:id="8"/>
      <w:bookmarkEnd w:id="8"/>
      <w:r>
        <w:rPr>
          <w:b w:val="0"/>
          <w:bCs w:val="0"/>
        </w:rPr>
      </w:r>
      <w:r>
        <w:rPr/>
        <w:t>第九节 </w:t>
      </w:r>
      <w:r>
        <w:rPr>
          <w:spacing w:val="9"/>
        </w:rPr>
        <w:t> </w:t>
      </w:r>
      <w:r>
        <w:rPr/>
        <w:t>公司治理</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9" w:lineRule="auto"/>
        <w:ind w:right="1123"/>
        <w:jc w:val="both"/>
      </w:pPr>
      <w:r>
        <w:rPr>
          <w:spacing w:val="-8"/>
        </w:rPr>
        <w:t>报告期内，公司严格按照《公司法》、《证券法》、《上市公司治理准则》、《深圳证券交易所创业板股票上市规则》、《深</w:t>
      </w:r>
      <w:r>
        <w:rPr>
          <w:spacing w:val="-1"/>
        </w:rPr>
        <w:t> </w:t>
      </w:r>
      <w:r>
        <w:rPr>
          <w:spacing w:val="-1"/>
        </w:rPr>
      </w:r>
      <w:r>
        <w:rPr>
          <w:spacing w:val="-4"/>
        </w:rPr>
        <w:t>圳证券交易所创业板上市公司规范运作指引》和其他有关法律法规的要求，不断完善公司法人治理结构，进一步规范公司法</w:t>
      </w:r>
      <w:r>
        <w:rPr>
          <w:spacing w:val="43"/>
        </w:rPr>
        <w:t> </w:t>
      </w:r>
      <w:r>
        <w:rPr>
          <w:spacing w:val="43"/>
        </w:rPr>
      </w:r>
      <w:r>
        <w:rPr>
          <w:spacing w:val="-4"/>
        </w:rPr>
        <w:t>人治理结构，建立健全公司内部管理和控制制度。公司本着对投资者高度负责的精神，诚信经营并规范运作，提高公司治理</w:t>
      </w:r>
      <w:r>
        <w:rPr>
          <w:spacing w:val="40"/>
        </w:rPr>
        <w:t> </w:t>
      </w:r>
      <w:r>
        <w:rPr>
          <w:spacing w:val="40"/>
        </w:rPr>
      </w:r>
      <w:r>
        <w:rPr>
          <w:spacing w:val="-4"/>
        </w:rPr>
        <w:t>水平，切实履行上市公司义务，促进公司健康发展。截至报告期末，公司治理结构的实际情况符合中国证监会发布的有关上</w:t>
      </w:r>
      <w:r>
        <w:rPr>
          <w:spacing w:val="40"/>
        </w:rPr>
        <w:t> </w:t>
      </w:r>
      <w:r>
        <w:rPr>
          <w:spacing w:val="40"/>
        </w:rPr>
      </w:r>
      <w:r>
        <w:rPr>
          <w:spacing w:val="-3"/>
        </w:rPr>
        <w:t>市公司治理规范性文件的要求。</w:t>
      </w:r>
    </w:p>
    <w:p>
      <w:pPr>
        <w:pStyle w:val="BodyText"/>
        <w:spacing w:line="309" w:lineRule="auto" w:before="17"/>
        <w:ind w:right="0" w:firstLine="76"/>
        <w:jc w:val="left"/>
      </w:pPr>
      <w:r>
        <w:rPr>
          <w:rFonts w:ascii="Times New Roman" w:hAnsi="Times New Roman" w:cs="Times New Roman" w:eastAsia="Times New Roman" w:hint="default"/>
          <w:spacing w:val="-3"/>
        </w:rPr>
        <w:t>1</w:t>
      </w:r>
      <w:r>
        <w:rPr>
          <w:spacing w:val="-3"/>
        </w:rPr>
        <w:t>、关于股东和股东大会</w:t>
      </w:r>
      <w:r>
        <w:rPr>
          <w:w w:val="101"/>
        </w:rPr>
        <w:t> </w:t>
      </w:r>
      <w:r>
        <w:rPr>
          <w:spacing w:val="-3"/>
        </w:rPr>
        <w:t>公司严格按照《公司法》、《公司章程》和《股东大会议事规则》等法律、法规要求，规范股东大会召集、召开、表决程</w:t>
      </w:r>
      <w:r>
        <w:rPr>
          <w:spacing w:val="61"/>
        </w:rPr>
        <w:t> </w:t>
      </w:r>
      <w:r>
        <w:rPr>
          <w:spacing w:val="61"/>
        </w:rPr>
      </w:r>
      <w:r>
        <w:rPr>
          <w:spacing w:val="-3"/>
        </w:rPr>
        <w:t>序，确保所有股东享有平等地位、平等权利，充分行使自己的权利，并承担相应的义务。</w:t>
      </w:r>
    </w:p>
    <w:p>
      <w:pPr>
        <w:pStyle w:val="BodyText"/>
        <w:spacing w:line="309" w:lineRule="auto" w:before="24"/>
        <w:ind w:right="0" w:firstLine="76"/>
        <w:jc w:val="left"/>
      </w:pPr>
      <w:r>
        <w:rPr>
          <w:rFonts w:ascii="Times New Roman" w:hAnsi="Times New Roman" w:cs="Times New Roman" w:eastAsia="Times New Roman" w:hint="default"/>
          <w:spacing w:val="-3"/>
        </w:rPr>
        <w:t>2</w:t>
      </w:r>
      <w:r>
        <w:rPr>
          <w:spacing w:val="-3"/>
        </w:rPr>
        <w:t>、关于公司与控股股东</w:t>
      </w:r>
      <w:r>
        <w:rPr>
          <w:w w:val="101"/>
        </w:rPr>
        <w:t> </w:t>
      </w:r>
      <w:r>
        <w:rPr>
          <w:spacing w:val="-4"/>
        </w:rPr>
        <w:t>公司控股股东严格规范自身行为，没有直接或间接干预公司的决策和经营活动。公司具有独立的经营能力，在业务、人员、</w:t>
      </w:r>
      <w:r>
        <w:rPr>
          <w:spacing w:val="55"/>
        </w:rPr>
        <w:t> </w:t>
      </w:r>
      <w:r>
        <w:rPr>
          <w:spacing w:val="55"/>
        </w:rPr>
      </w:r>
      <w:r>
        <w:rPr>
          <w:spacing w:val="-3"/>
        </w:rPr>
        <w:t>资产、机构、财务上独立于控股股东，公司董事会、监事会和内部机构能够独立运作。</w:t>
      </w:r>
    </w:p>
    <w:p>
      <w:pPr>
        <w:pStyle w:val="BodyText"/>
        <w:spacing w:line="307" w:lineRule="auto" w:before="24"/>
        <w:ind w:right="0" w:firstLine="76"/>
        <w:jc w:val="left"/>
      </w:pPr>
      <w:r>
        <w:rPr>
          <w:rFonts w:ascii="Times New Roman" w:hAnsi="Times New Roman" w:cs="Times New Roman" w:eastAsia="Times New Roman" w:hint="default"/>
          <w:spacing w:val="-3"/>
        </w:rPr>
        <w:t>3</w:t>
      </w:r>
      <w:r>
        <w:rPr>
          <w:spacing w:val="-3"/>
        </w:rPr>
        <w:t>、关于董事与董事会</w:t>
      </w:r>
      <w:r>
        <w:rPr>
          <w:w w:val="101"/>
        </w:rPr>
        <w:t> </w:t>
      </w:r>
      <w:r>
        <w:rPr>
          <w:spacing w:val="-4"/>
        </w:rPr>
        <w:t>公司董事会设董事</w:t>
      </w:r>
      <w:r>
        <w:rPr>
          <w:rFonts w:ascii="Times New Roman" w:hAnsi="Times New Roman" w:cs="Times New Roman" w:eastAsia="Times New Roman" w:hint="default"/>
          <w:spacing w:val="-4"/>
        </w:rPr>
        <w:t>11</w:t>
      </w:r>
      <w:r>
        <w:rPr>
          <w:spacing w:val="-4"/>
        </w:rPr>
        <w:t>名，其中独立董事</w:t>
      </w:r>
      <w:r>
        <w:rPr>
          <w:rFonts w:ascii="Times New Roman" w:hAnsi="Times New Roman" w:cs="Times New Roman" w:eastAsia="Times New Roman" w:hint="default"/>
          <w:spacing w:val="-4"/>
        </w:rPr>
        <w:t>4</w:t>
      </w:r>
      <w:r>
        <w:rPr>
          <w:spacing w:val="-4"/>
        </w:rPr>
        <w:t>名，董事会的人数及人员构成符合法律、法规和《公司章程》的要求。各位董事能</w:t>
      </w:r>
      <w:r>
        <w:rPr>
          <w:spacing w:val="54"/>
        </w:rPr>
        <w:t> </w:t>
      </w:r>
      <w:r>
        <w:rPr>
          <w:spacing w:val="54"/>
        </w:rPr>
      </w:r>
      <w:r>
        <w:rPr>
          <w:spacing w:val="-5"/>
        </w:rPr>
        <w:t>够严格按照《公司法》、《公司章程》和《董事会议事规则》等法律、法规开展工作，诚信、勤勉地履行职责，出席董事会</w:t>
      </w:r>
      <w:r>
        <w:rPr>
          <w:spacing w:val="4"/>
        </w:rPr>
        <w:t> </w:t>
      </w:r>
      <w:r>
        <w:rPr>
          <w:spacing w:val="4"/>
        </w:rPr>
      </w:r>
      <w:r>
        <w:rPr>
          <w:spacing w:val="-3"/>
        </w:rPr>
        <w:t>会议和股东大会，勤勉尽责地履行职责和义务，同时积极参加有关培训，熟悉有关法律法规。</w:t>
      </w:r>
    </w:p>
    <w:p>
      <w:pPr>
        <w:pStyle w:val="BodyText"/>
        <w:spacing w:line="300" w:lineRule="auto" w:before="26"/>
        <w:ind w:left="230" w:right="1026"/>
        <w:jc w:val="left"/>
      </w:pPr>
      <w:r>
        <w:rPr>
          <w:rFonts w:ascii="Times New Roman" w:hAnsi="Times New Roman" w:cs="Times New Roman" w:eastAsia="Times New Roman" w:hint="default"/>
          <w:spacing w:val="-3"/>
        </w:rPr>
        <w:t>4</w:t>
      </w:r>
      <w:r>
        <w:rPr>
          <w:spacing w:val="-3"/>
        </w:rPr>
        <w:t>、监事与监事会</w:t>
      </w:r>
      <w:r>
        <w:rPr>
          <w:spacing w:val="-68"/>
        </w:rPr>
        <w:t> </w:t>
      </w:r>
      <w:r>
        <w:rPr>
          <w:spacing w:val="-68"/>
        </w:rPr>
      </w:r>
      <w:r>
        <w:rPr>
          <w:spacing w:val="-3"/>
        </w:rPr>
        <w:t>公司监事会设监事</w:t>
      </w:r>
      <w:r>
        <w:rPr>
          <w:rFonts w:ascii="Times New Roman" w:hAnsi="Times New Roman" w:cs="Times New Roman" w:eastAsia="Times New Roman" w:hint="default"/>
          <w:spacing w:val="-3"/>
        </w:rPr>
        <w:t>3</w:t>
      </w:r>
      <w:r>
        <w:rPr>
          <w:spacing w:val="-3"/>
        </w:rPr>
        <w:t>名，其中职工监事</w:t>
      </w:r>
      <w:r>
        <w:rPr>
          <w:rFonts w:ascii="Times New Roman" w:hAnsi="Times New Roman" w:cs="Times New Roman" w:eastAsia="Times New Roman" w:hint="default"/>
          <w:spacing w:val="-3"/>
        </w:rPr>
        <w:t>1</w:t>
      </w:r>
      <w:r>
        <w:rPr>
          <w:spacing w:val="-3"/>
        </w:rPr>
        <w:t>名，监事会的人数和构成符合法律、法规的要求。各位监事严格按照《公司法》、</w:t>
      </w:r>
    </w:p>
    <w:p>
      <w:pPr>
        <w:pStyle w:val="BodyText"/>
        <w:spacing w:line="316" w:lineRule="auto" w:before="13"/>
        <w:ind w:right="0"/>
        <w:jc w:val="left"/>
      </w:pPr>
      <w:r>
        <w:rPr>
          <w:spacing w:val="-4"/>
        </w:rPr>
        <w:t>《公司章程》和《监事会议事规则》的有关规定认真履行职责，对公司财务状况、重大事项、关联交易以及公司董事及高级</w:t>
      </w:r>
      <w:r>
        <w:rPr>
          <w:spacing w:val="40"/>
        </w:rPr>
        <w:t> </w:t>
      </w:r>
      <w:r>
        <w:rPr>
          <w:spacing w:val="40"/>
        </w:rPr>
      </w:r>
      <w:r>
        <w:rPr>
          <w:spacing w:val="-3"/>
        </w:rPr>
        <w:t>管理人员履行职责的合法合规性进行监督，维护公司及股东的合法权益。</w:t>
      </w:r>
    </w:p>
    <w:p>
      <w:pPr>
        <w:pStyle w:val="BodyText"/>
        <w:spacing w:line="309" w:lineRule="auto" w:before="19"/>
        <w:ind w:right="0" w:firstLine="76"/>
        <w:jc w:val="left"/>
      </w:pPr>
      <w:r>
        <w:rPr>
          <w:rFonts w:ascii="Times New Roman" w:hAnsi="Times New Roman" w:cs="Times New Roman" w:eastAsia="Times New Roman" w:hint="default"/>
          <w:spacing w:val="-3"/>
        </w:rPr>
        <w:t>5</w:t>
      </w:r>
      <w:r>
        <w:rPr>
          <w:spacing w:val="-3"/>
        </w:rPr>
        <w:t>、关于绩效评价与激励约束机制</w:t>
      </w:r>
      <w:r>
        <w:rPr>
          <w:w w:val="101"/>
        </w:rPr>
        <w:t> </w:t>
      </w:r>
      <w:r>
        <w:rPr>
          <w:spacing w:val="-3"/>
        </w:rPr>
        <w:t>公司董事会下设的薪酬与考核委员会负责对公司的董事、监事、高级管理人员进行绩效考核，公司现有的考核及激励约束</w:t>
      </w:r>
      <w:r>
        <w:rPr>
          <w:spacing w:val="61"/>
        </w:rPr>
        <w:t> </w:t>
      </w:r>
      <w:r>
        <w:rPr>
          <w:spacing w:val="61"/>
        </w:rPr>
      </w:r>
      <w:r>
        <w:rPr>
          <w:spacing w:val="-3"/>
        </w:rPr>
        <w:t>机制符合公司的发展现状。</w:t>
      </w:r>
    </w:p>
    <w:p>
      <w:pPr>
        <w:pStyle w:val="BodyText"/>
        <w:spacing w:line="307" w:lineRule="auto" w:before="25"/>
        <w:ind w:right="1026" w:firstLine="76"/>
        <w:jc w:val="left"/>
      </w:pPr>
      <w:r>
        <w:rPr>
          <w:rFonts w:ascii="Times New Roman" w:hAnsi="Times New Roman" w:cs="Times New Roman" w:eastAsia="Times New Roman" w:hint="default"/>
          <w:spacing w:val="-3"/>
        </w:rPr>
        <w:t>6</w:t>
      </w:r>
      <w:r>
        <w:rPr>
          <w:spacing w:val="-3"/>
        </w:rPr>
        <w:t>、关于信息披露与透明度</w:t>
      </w:r>
      <w:r>
        <w:rPr>
          <w:w w:val="101"/>
        </w:rPr>
        <w:t> </w:t>
      </w:r>
      <w:r>
        <w:rPr>
          <w:spacing w:val="-3"/>
        </w:rPr>
        <w:t>公司严格按照有关法律法规以及《信息披露管理制度》、《投资者关系管理制度》等的要求，真实、准确、及时、公平、</w:t>
      </w:r>
      <w:r>
        <w:rPr>
          <w:spacing w:val="61"/>
        </w:rPr>
        <w:t> </w:t>
      </w:r>
      <w:r>
        <w:rPr>
          <w:spacing w:val="61"/>
        </w:rPr>
      </w:r>
      <w:r>
        <w:rPr>
          <w:spacing w:val="-3"/>
        </w:rPr>
        <w:t>完整地披露有关信息；并指定公司董事会秘书负责信息披露工作，协调公司与投资者的关系，接待股东来访</w:t>
      </w:r>
      <w:r>
        <w:rPr>
          <w:rFonts w:ascii="Times New Roman" w:hAnsi="Times New Roman" w:cs="Times New Roman" w:eastAsia="Times New Roman" w:hint="default"/>
          <w:spacing w:val="-3"/>
        </w:rPr>
        <w:t>,</w:t>
      </w:r>
      <w:r>
        <w:rPr>
          <w:spacing w:val="-3"/>
        </w:rPr>
        <w:t>回答投资者咨</w:t>
      </w:r>
      <w:r>
        <w:rPr>
          <w:spacing w:val="68"/>
        </w:rPr>
        <w:t> </w:t>
      </w:r>
      <w:r>
        <w:rPr>
          <w:spacing w:val="68"/>
        </w:rPr>
      </w:r>
      <w:r>
        <w:rPr>
          <w:spacing w:val="-4"/>
        </w:rPr>
        <w:t>询，向投资者提供公司已披露的资料；并指定《证券时报》、《中国证券报》、《上海证券报》、《证券日报》和巨潮资讯</w:t>
      </w:r>
      <w:r>
        <w:rPr>
          <w:spacing w:val="43"/>
        </w:rPr>
        <w:t> </w:t>
      </w:r>
      <w:r>
        <w:rPr>
          <w:spacing w:val="43"/>
        </w:rPr>
      </w:r>
      <w:r>
        <w:rPr>
          <w:spacing w:val="-3"/>
        </w:rPr>
        <w:t>网（</w:t>
      </w:r>
      <w:hyperlink r:id="rId11">
        <w:r>
          <w:rPr>
            <w:rFonts w:ascii="Times New Roman" w:hAnsi="Times New Roman" w:cs="Times New Roman" w:eastAsia="Times New Roman" w:hint="default"/>
            <w:spacing w:val="-3"/>
          </w:rPr>
          <w:t>www.cninfo.com.cn</w:t>
        </w:r>
      </w:hyperlink>
      <w:r>
        <w:rPr>
          <w:spacing w:val="-3"/>
        </w:rPr>
        <w:t>）为公司信息披露的指定报纸和网站，确保公司所有股东能够以平等的机会获得信息。</w:t>
      </w:r>
      <w:r>
        <w:rPr>
          <w:spacing w:val="71"/>
        </w:rPr>
        <w:t> </w:t>
      </w:r>
      <w:r>
        <w:rPr>
          <w:spacing w:val="71"/>
        </w:rPr>
      </w:r>
      <w:r>
        <w:rPr>
          <w:rFonts w:ascii="Times New Roman" w:hAnsi="Times New Roman" w:cs="Times New Roman" w:eastAsia="Times New Roman" w:hint="default"/>
          <w:spacing w:val="-3"/>
        </w:rPr>
        <w:t>7</w:t>
      </w:r>
      <w:r>
        <w:rPr>
          <w:spacing w:val="-3"/>
        </w:rPr>
        <w:t>、关于相关利益者</w:t>
      </w:r>
      <w:r>
        <w:rPr>
          <w:spacing w:val="-63"/>
        </w:rPr>
        <w:t> </w:t>
      </w:r>
      <w:r>
        <w:rPr>
          <w:spacing w:val="-63"/>
        </w:rPr>
      </w:r>
      <w:r>
        <w:rPr>
          <w:spacing w:val="-3"/>
        </w:rPr>
        <w:t>公司能够充分尊重和维护相关利益者的合法权益，积极与相关利益者合作，加强与各方的沟通和交流，实现股东、员工、</w:t>
      </w:r>
      <w:r>
        <w:rPr>
          <w:spacing w:val="61"/>
        </w:rPr>
        <w:t> </w:t>
      </w:r>
      <w:r>
        <w:rPr>
          <w:spacing w:val="61"/>
        </w:rPr>
      </w:r>
      <w:r>
        <w:rPr>
          <w:spacing w:val="-3"/>
        </w:rPr>
        <w:t>社会等各方面的均衡，共同推动公司持续、稳定、健康地发展。</w:t>
      </w:r>
    </w:p>
    <w:p>
      <w:pPr>
        <w:pStyle w:val="BodyText"/>
        <w:spacing w:line="240" w:lineRule="auto" w:before="69"/>
        <w:ind w:right="0"/>
        <w:jc w:val="left"/>
      </w:pPr>
      <w:r>
        <w:rPr>
          <w:spacing w:val="-3"/>
        </w:rPr>
        <w:t>公司治理的实际状况与中国证监会发布的有关上市公司治理的规范性文件是否存在重大差异</w:t>
      </w:r>
    </w:p>
    <w:p>
      <w:pPr>
        <w:pStyle w:val="BodyText"/>
        <w:spacing w:line="343" w:lineRule="auto" w:before="115"/>
        <w:ind w:right="356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pStyle w:val="Heading2"/>
        <w:spacing w:line="240" w:lineRule="auto" w:before="160"/>
        <w:ind w:right="0"/>
        <w:jc w:val="left"/>
        <w:rPr>
          <w:b w:val="0"/>
          <w:bCs w:val="0"/>
        </w:rPr>
      </w:pPr>
      <w:r>
        <w:rPr/>
        <w:t>二、公司相对于控股股东在业务、人员、资产、机构、财务等方面的独立情况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0"/>
        <w:jc w:val="left"/>
      </w:pPr>
      <w:r>
        <w:rPr>
          <w:spacing w:val="-6"/>
        </w:rPr>
        <w:t>公司自成立以来严格按照《公司法》、《证券法》等有关法律、法规和《公司章程》的要求规范运作，在业务、资产、人员、</w:t>
      </w:r>
      <w:r>
        <w:rPr>
          <w:spacing w:val="63"/>
        </w:rPr>
        <w:t> </w:t>
      </w:r>
      <w:r>
        <w:rPr>
          <w:spacing w:val="63"/>
        </w:rPr>
      </w:r>
      <w:r>
        <w:rPr>
          <w:spacing w:val="-3"/>
        </w:rPr>
        <w:t>机构和财务等方面相互独立，具有完整的业务系统及面向市场独立经营的能力，具体情况如下：</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1026"/>
        <w:jc w:val="left"/>
      </w:pPr>
      <w:r>
        <w:rPr>
          <w:rFonts w:ascii="Times New Roman" w:hAnsi="Times New Roman" w:cs="Times New Roman" w:eastAsia="Times New Roman" w:hint="default"/>
        </w:rPr>
        <w:t>1</w:t>
      </w:r>
      <w:r>
        <w:rPr/>
        <w:t>、资产独立</w:t>
      </w:r>
      <w:r>
        <w:rPr>
          <w:spacing w:val="-87"/>
        </w:rPr>
        <w:t> </w:t>
      </w:r>
      <w:r>
        <w:rPr>
          <w:spacing w:val="-87"/>
        </w:rPr>
      </w:r>
      <w:r>
        <w:rPr>
          <w:spacing w:val="-6"/>
        </w:rPr>
        <w:t>公司拥有独立固定的生产经营场所，拥有独立完整的研发、设计、采购、生产和销售配套设施及资产，对相关的设备、厂房、</w:t>
      </w:r>
      <w:r>
        <w:rPr>
          <w:spacing w:val="63"/>
        </w:rPr>
        <w:t> </w:t>
      </w:r>
      <w:r>
        <w:rPr>
          <w:spacing w:val="63"/>
        </w:rPr>
      </w:r>
      <w:r>
        <w:rPr>
          <w:spacing w:val="-3"/>
        </w:rPr>
        <w:t>土地、以及商标、非专利技术等资产均拥有合法的所有权或使用权，不存在依靠股东的生产经营场所进行生产经营的情况，</w:t>
      </w:r>
      <w:r>
        <w:rPr>
          <w:spacing w:val="66"/>
        </w:rPr>
        <w:t> </w:t>
      </w:r>
      <w:r>
        <w:rPr>
          <w:spacing w:val="66"/>
        </w:rPr>
      </w:r>
      <w:r>
        <w:rPr>
          <w:spacing w:val="-3"/>
        </w:rPr>
        <w:t>不存在以公司资产、权益或信誉为股东提供担保的情况，不存在资产、资金被控股股东占用而损害公司利益的情况。</w:t>
      </w:r>
      <w:r>
        <w:rPr>
          <w:spacing w:val="61"/>
        </w:rPr>
        <w:t> </w:t>
      </w:r>
      <w:r>
        <w:rPr>
          <w:spacing w:val="61"/>
        </w:rPr>
      </w:r>
      <w:r>
        <w:rPr>
          <w:rFonts w:ascii="Times New Roman" w:hAnsi="Times New Roman" w:cs="Times New Roman" w:eastAsia="Times New Roman" w:hint="default"/>
        </w:rPr>
        <w:t>2</w:t>
      </w:r>
      <w:r>
        <w:rPr/>
        <w:t>、人员独立</w:t>
      </w:r>
      <w:r>
        <w:rPr>
          <w:spacing w:val="-87"/>
        </w:rPr>
        <w:t> </w:t>
      </w:r>
      <w:r>
        <w:rPr>
          <w:spacing w:val="-87"/>
        </w:rPr>
      </w:r>
      <w:r>
        <w:rPr>
          <w:spacing w:val="-4"/>
        </w:rPr>
        <w:t>公司董事、监事、高级管理人员均严格按照《公司法》、《公司章程》等规定的程序选举或聘任产生；公司高级管理人员不</w:t>
      </w:r>
      <w:r>
        <w:rPr>
          <w:spacing w:val="40"/>
        </w:rPr>
        <w:t> </w:t>
      </w:r>
      <w:r>
        <w:rPr>
          <w:spacing w:val="40"/>
        </w:rPr>
      </w:r>
      <w:r>
        <w:rPr>
          <w:spacing w:val="-4"/>
        </w:rPr>
        <w:t>存在在控股股东、实际控制人及其控制的其他企业中担任除董事、监事以外的其他职务，或在控股股东、实际控制人及其控</w:t>
      </w:r>
      <w:r>
        <w:rPr>
          <w:spacing w:val="40"/>
        </w:rPr>
        <w:t> </w:t>
      </w:r>
      <w:r>
        <w:rPr>
          <w:spacing w:val="40"/>
        </w:rPr>
      </w:r>
      <w:r>
        <w:rPr>
          <w:spacing w:val="-6"/>
        </w:rPr>
        <w:t>制的其他企业领薪的情形；公司财务人员不存在在控股股东、实际控制人及其控制的其他企业中兼职的情形。公司拥有独立、</w:t>
      </w:r>
      <w:r>
        <w:rPr>
          <w:spacing w:val="63"/>
        </w:rPr>
        <w:t> </w:t>
      </w:r>
      <w:r>
        <w:rPr>
          <w:spacing w:val="63"/>
        </w:rPr>
      </w:r>
      <w:r>
        <w:rPr>
          <w:spacing w:val="-3"/>
        </w:rPr>
        <w:t>完整的人事管理体系，制定了独立的劳动人事管理制度，由公司独立与员工签订劳动合同。</w:t>
      </w:r>
    </w:p>
    <w:p>
      <w:pPr>
        <w:pStyle w:val="BodyText"/>
        <w:spacing w:line="314" w:lineRule="auto" w:before="20"/>
        <w:ind w:right="1026"/>
        <w:jc w:val="left"/>
      </w:pPr>
      <w:r>
        <w:rPr>
          <w:rFonts w:ascii="Times New Roman" w:hAnsi="Times New Roman" w:cs="Times New Roman" w:eastAsia="Times New Roman" w:hint="default"/>
        </w:rPr>
        <w:t>3</w:t>
      </w:r>
      <w:r>
        <w:rPr/>
        <w:t>、财务独立</w:t>
      </w:r>
      <w:r>
        <w:rPr>
          <w:spacing w:val="-87"/>
        </w:rPr>
        <w:t> </w:t>
      </w:r>
      <w:r>
        <w:rPr>
          <w:spacing w:val="-87"/>
        </w:rPr>
      </w:r>
      <w:r>
        <w:rPr>
          <w:spacing w:val="-4"/>
        </w:rPr>
        <w:t>公司设立了独立的财务会计部门，配备了专职的财务人员，建立了独立的会计核算体系，制定了独立的财务管理制度及各项</w:t>
      </w:r>
      <w:r>
        <w:rPr>
          <w:spacing w:val="43"/>
        </w:rPr>
        <w:t> </w:t>
      </w:r>
      <w:r>
        <w:rPr>
          <w:spacing w:val="43"/>
        </w:rPr>
      </w:r>
      <w:r>
        <w:rPr>
          <w:spacing w:val="-4"/>
        </w:rPr>
        <w:t>内部控制制度，独立进行会计核算和财务决策。公司拥有独立银行账户，依法独立纳税。公司不存在与控股股东、实际控制</w:t>
      </w:r>
      <w:r>
        <w:rPr>
          <w:spacing w:val="40"/>
        </w:rPr>
        <w:t> </w:t>
      </w:r>
      <w:r>
        <w:rPr>
          <w:spacing w:val="40"/>
        </w:rPr>
      </w:r>
      <w:r>
        <w:rPr>
          <w:spacing w:val="-3"/>
        </w:rPr>
        <w:t>人及其控制的其他企业共用银行账户的情形；不存在资金被控股股东、实际控制人及其控制的其他企业以借款、代偿债务、</w:t>
      </w:r>
      <w:r>
        <w:rPr>
          <w:spacing w:val="66"/>
        </w:rPr>
        <w:t> </w:t>
      </w:r>
      <w:r>
        <w:rPr>
          <w:spacing w:val="66"/>
        </w:rPr>
      </w:r>
      <w:r>
        <w:rPr>
          <w:spacing w:val="-3"/>
        </w:rPr>
        <w:t>代垫款项或者其他方式占用的情形。</w:t>
      </w:r>
    </w:p>
    <w:p>
      <w:pPr>
        <w:pStyle w:val="BodyText"/>
        <w:spacing w:line="312" w:lineRule="auto" w:before="20"/>
        <w:ind w:right="1026"/>
        <w:jc w:val="left"/>
      </w:pPr>
      <w:r>
        <w:rPr>
          <w:rFonts w:ascii="Times New Roman" w:hAnsi="Times New Roman" w:cs="Times New Roman" w:eastAsia="Times New Roman" w:hint="default"/>
        </w:rPr>
        <w:t>4</w:t>
      </w:r>
      <w:r>
        <w:rPr/>
        <w:t>、机构独立</w:t>
      </w:r>
      <w:r>
        <w:rPr>
          <w:spacing w:val="-87"/>
        </w:rPr>
        <w:t> </w:t>
      </w:r>
      <w:r>
        <w:rPr>
          <w:spacing w:val="-87"/>
        </w:rPr>
      </w:r>
      <w:r>
        <w:rPr>
          <w:spacing w:val="-5"/>
        </w:rPr>
        <w:t>公司根据《公司法》和《公司章程》的要求，设置股东大会作为最高权力机构、设置董事会为决策机构、设置监事会为监督</w:t>
      </w:r>
      <w:r>
        <w:rPr>
          <w:spacing w:val="4"/>
        </w:rPr>
        <w:t> </w:t>
      </w:r>
      <w:r>
        <w:rPr>
          <w:spacing w:val="4"/>
        </w:rPr>
      </w:r>
      <w:r>
        <w:rPr>
          <w:spacing w:val="-4"/>
        </w:rPr>
        <w:t>机构，并设有相应的办公机构和经营部门，各职能部门分工协作，形成有机的独立运营主体，不受控股股东和实际控制人的</w:t>
      </w:r>
      <w:r>
        <w:rPr>
          <w:spacing w:val="41"/>
        </w:rPr>
        <w:t> </w:t>
      </w:r>
      <w:r>
        <w:rPr>
          <w:spacing w:val="41"/>
        </w:rPr>
      </w:r>
      <w:r>
        <w:rPr>
          <w:spacing w:val="-3"/>
        </w:rPr>
        <w:t>干预，与控股股东在机构设置、人员及办公场所等方面完全分开，不存在混合经营、合署办公的情形。</w:t>
      </w:r>
    </w:p>
    <w:p>
      <w:pPr>
        <w:pStyle w:val="BodyText"/>
        <w:spacing w:line="312" w:lineRule="auto" w:before="23"/>
        <w:ind w:right="1026"/>
        <w:jc w:val="left"/>
      </w:pPr>
      <w:r>
        <w:rPr>
          <w:rFonts w:ascii="Times New Roman" w:hAnsi="Times New Roman" w:cs="Times New Roman" w:eastAsia="Times New Roman" w:hint="default"/>
        </w:rPr>
        <w:t>5</w:t>
      </w:r>
      <w:r>
        <w:rPr/>
        <w:t>、业务独立</w:t>
      </w:r>
      <w:r>
        <w:rPr>
          <w:spacing w:val="-87"/>
        </w:rPr>
        <w:t> </w:t>
      </w:r>
      <w:r>
        <w:rPr>
          <w:spacing w:val="-87"/>
        </w:rPr>
      </w:r>
      <w:r>
        <w:rPr>
          <w:spacing w:val="-3"/>
        </w:rPr>
        <w:t>公司主要从事面向国际、国内客户提供软件和信息技术服务，在业务上独立于股东和其他关联方，拥有独立完整的产、供、</w:t>
      </w:r>
      <w:r>
        <w:rPr>
          <w:spacing w:val="66"/>
        </w:rPr>
        <w:t> </w:t>
      </w:r>
      <w:r>
        <w:rPr>
          <w:spacing w:val="66"/>
        </w:rPr>
      </w:r>
      <w:r>
        <w:rPr>
          <w:spacing w:val="-4"/>
        </w:rPr>
        <w:t>销系统和研发业务环节，独立开展业务，与控股股东、实际控制人及其控制的其他企业之间不存在同业竞争或显失公平的关</w:t>
      </w:r>
      <w:r>
        <w:rPr>
          <w:spacing w:val="38"/>
        </w:rPr>
        <w:t> </w:t>
      </w:r>
      <w:r>
        <w:rPr>
          <w:spacing w:val="38"/>
        </w:rPr>
      </w:r>
      <w:r>
        <w:rPr>
          <w:spacing w:val="-3"/>
        </w:rPr>
        <w:t>联交易，具备直接面向市场的独立经营能力。</w:t>
      </w:r>
    </w:p>
    <w:p>
      <w:pPr>
        <w:spacing w:line="240" w:lineRule="auto" w:before="10"/>
        <w:rPr>
          <w:rFonts w:ascii="宋体" w:hAnsi="宋体" w:cs="宋体" w:eastAsia="宋体" w:hint="default"/>
          <w:sz w:val="14"/>
          <w:szCs w:val="14"/>
        </w:rPr>
      </w:pPr>
    </w:p>
    <w:p>
      <w:pPr>
        <w:pStyle w:val="Heading2"/>
        <w:spacing w:line="240" w:lineRule="auto"/>
        <w:ind w:right="0"/>
        <w:jc w:val="left"/>
        <w:rPr>
          <w:b w:val="0"/>
          <w:bCs w:val="0"/>
        </w:rPr>
      </w:pPr>
      <w:r>
        <w:rPr/>
        <w:t>三、同业竞争情况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Microsoft JhengHei" w:hAnsi="Microsoft JhengHei" w:cs="Microsoft JhengHei" w:eastAsia="Microsoft JhengHei" w:hint="default"/>
          <w:b/>
          <w:bCs/>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4"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6"/>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未亲自参加董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03" w:right="27"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362" w:lineRule="auto" w:before="53"/>
        <w:ind w:right="7956"/>
        <w:jc w:val="left"/>
      </w:pPr>
      <w:r>
        <w:rPr>
          <w:spacing w:val="-3"/>
        </w:rPr>
        <w:t>连续两次未亲自出席董事会的说明</w:t>
      </w:r>
      <w:r>
        <w:rPr>
          <w:spacing w:val="-44"/>
        </w:rPr>
        <w:t> </w:t>
      </w:r>
      <w:r>
        <w:rPr>
          <w:spacing w:val="-44"/>
        </w:rPr>
      </w:r>
      <w:r>
        <w:rPr/>
        <w:t>无</w:t>
      </w: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独立董事对公司有关事项是否提出异议</w:t>
      </w:r>
    </w:p>
    <w:p>
      <w:pPr>
        <w:pStyle w:val="BodyText"/>
        <w:spacing w:line="338" w:lineRule="auto" w:before="120"/>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独立董事对公司有关建议是否被采纳</w:t>
      </w:r>
    </w:p>
    <w:p>
      <w:pPr>
        <w:pStyle w:val="BodyText"/>
        <w:spacing w:line="338" w:lineRule="auto" w:before="119"/>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36"/>
        <w:ind w:right="0"/>
        <w:jc w:val="left"/>
      </w:pPr>
      <w:r>
        <w:rPr>
          <w:spacing w:val="-4"/>
        </w:rPr>
        <w:t>报告期内，公司独立董事勤勉尽责，严格按照中国证监会的相关法规、《公司章程》、《董事会议事规则》及《独立董事工</w:t>
      </w:r>
      <w:r>
        <w:rPr>
          <w:spacing w:val="40"/>
        </w:rPr>
        <w:t> </w:t>
      </w:r>
      <w:r>
        <w:rPr>
          <w:spacing w:val="40"/>
        </w:rPr>
      </w:r>
      <w:r>
        <w:rPr>
          <w:spacing w:val="-3"/>
        </w:rPr>
        <w:t>作规则》等开展工作，积极参加报告期内的历次会议，了解和关注公司生产经营和依法运作情况，对公司的内部控制建设、</w:t>
      </w:r>
      <w:r>
        <w:rPr>
          <w:spacing w:val="66"/>
        </w:rPr>
        <w:t> </w:t>
      </w:r>
      <w:r>
        <w:rPr>
          <w:spacing w:val="66"/>
        </w:rPr>
      </w:r>
      <w:r>
        <w:rPr>
          <w:spacing w:val="-4"/>
        </w:rPr>
        <w:t>管理体系建设和重大决策提出了专业性建议，对公司财务及经营活动进行了有效监督，促进公司董事会决策及决策程序的科</w:t>
      </w:r>
      <w:r>
        <w:rPr>
          <w:spacing w:val="43"/>
        </w:rPr>
        <w:t> </w:t>
      </w:r>
      <w:r>
        <w:rPr>
          <w:spacing w:val="43"/>
        </w:rPr>
      </w:r>
      <w:r>
        <w:rPr>
          <w:spacing w:val="-3"/>
        </w:rPr>
        <w:t>学化，为完善公司监督机制，维护公司和全体股东的合法权益发挥了积极的作用。</w:t>
      </w:r>
    </w:p>
    <w:p>
      <w:pPr>
        <w:spacing w:line="240" w:lineRule="auto" w:before="4"/>
        <w:rPr>
          <w:rFonts w:ascii="宋体" w:hAnsi="宋体" w:cs="宋体" w:eastAsia="宋体" w:hint="default"/>
          <w:sz w:val="14"/>
          <w:szCs w:val="14"/>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314" w:lineRule="auto"/>
        <w:ind w:right="0"/>
        <w:jc w:val="left"/>
      </w:pPr>
      <w:r>
        <w:rPr>
          <w:rFonts w:ascii="Times New Roman" w:hAnsi="Times New Roman" w:cs="Times New Roman" w:eastAsia="Times New Roman" w:hint="default"/>
        </w:rPr>
        <w:t>1</w:t>
      </w:r>
      <w:r>
        <w:rPr/>
        <w:t>、战略委员会履职情况</w:t>
      </w:r>
      <w:r>
        <w:rPr>
          <w:spacing w:val="-85"/>
        </w:rPr>
        <w:t> </w:t>
      </w:r>
      <w:r>
        <w:rPr>
          <w:spacing w:val="-85"/>
        </w:rPr>
      </w:r>
      <w:r>
        <w:rPr>
          <w:spacing w:val="-4"/>
        </w:rPr>
        <w:t>报告期内，战略与投资委员会根据公司《章程》、《董事会战略委员会工作细则》等有关规定，积极履行职责，在充分分析</w:t>
      </w:r>
      <w:r>
        <w:rPr>
          <w:spacing w:val="41"/>
        </w:rPr>
        <w:t> </w:t>
      </w:r>
      <w:r>
        <w:rPr>
          <w:spacing w:val="41"/>
        </w:rPr>
      </w:r>
      <w:r>
        <w:rPr>
          <w:spacing w:val="-4"/>
        </w:rPr>
        <w:t>行业环境、市场形势及公司实际经营情况等的前提下及时进行战略规划研究，对增资参股奥特酷、新维数联及苏民投、投资</w:t>
      </w:r>
      <w:r>
        <w:rPr>
          <w:spacing w:val="40"/>
        </w:rPr>
        <w:t> </w:t>
      </w:r>
      <w:r>
        <w:rPr>
          <w:spacing w:val="40"/>
        </w:rPr>
      </w:r>
      <w:r>
        <w:rPr>
          <w:spacing w:val="-4"/>
        </w:rPr>
        <w:t>设立润和润云及润辰科技、对控股子公司增资等重大投资事项进行了充分的讨论与论证，并报董事会审议，为公司持续稳定</w:t>
      </w:r>
      <w:r>
        <w:rPr>
          <w:spacing w:val="43"/>
        </w:rPr>
        <w:t> </w:t>
      </w:r>
      <w:r>
        <w:rPr>
          <w:spacing w:val="43"/>
        </w:rPr>
      </w:r>
      <w:r>
        <w:rPr>
          <w:spacing w:val="-3"/>
        </w:rPr>
        <w:t>发展提出了宝贵的意见和建议。</w:t>
      </w:r>
    </w:p>
    <w:p>
      <w:pPr>
        <w:spacing w:after="0" w:line="31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1026"/>
        <w:jc w:val="left"/>
      </w:pPr>
      <w:r>
        <w:rPr>
          <w:rFonts w:ascii="Times New Roman" w:hAnsi="Times New Roman" w:cs="Times New Roman" w:eastAsia="Times New Roman" w:hint="default"/>
        </w:rPr>
        <w:t>2</w:t>
      </w:r>
      <w:r>
        <w:rPr/>
        <w:t>、审计委员会履职情况</w:t>
      </w:r>
      <w:r>
        <w:rPr>
          <w:spacing w:val="-85"/>
        </w:rPr>
        <w:t> </w:t>
      </w:r>
      <w:r>
        <w:rPr>
          <w:spacing w:val="-85"/>
        </w:rPr>
      </w:r>
      <w:r>
        <w:rPr>
          <w:spacing w:val="-6"/>
        </w:rPr>
        <w:t>报告期内，审计委员会根据公司《章程》、《董事会审计委员会工作细则》、《内部审计制度》等有关规定，认真履行职责，</w:t>
      </w:r>
      <w:r>
        <w:rPr>
          <w:spacing w:val="59"/>
        </w:rPr>
        <w:t> </w:t>
      </w:r>
      <w:r>
        <w:rPr>
          <w:spacing w:val="59"/>
        </w:rPr>
      </w:r>
      <w:r>
        <w:rPr>
          <w:spacing w:val="-4"/>
        </w:rPr>
        <w:t>积极开展工作，主要对公司年度审计工作和公司内审部门工作进行了沟通、监督和核查。审计委员会与年审注册会计师就审</w:t>
      </w:r>
      <w:r>
        <w:rPr>
          <w:spacing w:val="44"/>
        </w:rPr>
        <w:t> </w:t>
      </w:r>
      <w:r>
        <w:rPr>
          <w:spacing w:val="44"/>
        </w:rPr>
      </w:r>
      <w:r>
        <w:rPr>
          <w:spacing w:val="-3"/>
        </w:rPr>
        <w:t>计计划、业务约定书、风险和控制等事项进行了充分的沟通；审阅了年审注册会计师出具的审计意见及公司财务会计报表，</w:t>
      </w:r>
      <w:r>
        <w:rPr>
          <w:spacing w:val="66"/>
        </w:rPr>
        <w:t> </w:t>
      </w:r>
      <w:r>
        <w:rPr>
          <w:spacing w:val="66"/>
        </w:rPr>
      </w:r>
      <w:r>
        <w:rPr>
          <w:spacing w:val="-4"/>
        </w:rPr>
        <w:t>督促其在约定时限内提交审计报告；对年度审计机构的年报审计工作进行总结和评价。审计委员会认真审阅公司内审部门提</w:t>
      </w:r>
      <w:r>
        <w:rPr>
          <w:spacing w:val="43"/>
        </w:rPr>
        <w:t> </w:t>
      </w:r>
      <w:r>
        <w:rPr>
          <w:spacing w:val="43"/>
        </w:rPr>
      </w:r>
      <w:r>
        <w:rPr>
          <w:spacing w:val="-4"/>
        </w:rPr>
        <w:t>交的公司审计报告，督促内审部门严格执行年度审计工作计划，并持续关注公司募集资金存放与使用、对外担保等事项的进</w:t>
      </w:r>
      <w:r>
        <w:rPr>
          <w:spacing w:val="43"/>
        </w:rPr>
        <w:t> </w:t>
      </w:r>
      <w:r>
        <w:rPr>
          <w:spacing w:val="43"/>
        </w:rPr>
      </w:r>
      <w:r>
        <w:rPr/>
        <w:t>展情况等。</w:t>
      </w:r>
    </w:p>
    <w:p>
      <w:pPr>
        <w:pStyle w:val="BodyText"/>
        <w:spacing w:line="312" w:lineRule="auto" w:before="20"/>
        <w:ind w:right="1026"/>
        <w:jc w:val="left"/>
      </w:pPr>
      <w:r>
        <w:rPr>
          <w:rFonts w:ascii="Times New Roman" w:hAnsi="Times New Roman" w:cs="Times New Roman" w:eastAsia="Times New Roman" w:hint="default"/>
        </w:rPr>
        <w:t>3</w:t>
      </w:r>
      <w:r>
        <w:rPr/>
        <w:t>、提名委员会履职情况</w:t>
      </w:r>
      <w:r>
        <w:rPr>
          <w:spacing w:val="-85"/>
        </w:rPr>
        <w:t> </w:t>
      </w:r>
      <w:r>
        <w:rPr>
          <w:spacing w:val="-85"/>
        </w:rPr>
      </w:r>
      <w:r>
        <w:rPr>
          <w:spacing w:val="-4"/>
        </w:rPr>
        <w:t>报告期内，提名委员会根据公司《章程》、《董事会提名委员会工作细则》等有关规定，积极履行职责，主要对提名非独立</w:t>
      </w:r>
      <w:r>
        <w:rPr>
          <w:spacing w:val="40"/>
        </w:rPr>
        <w:t> </w:t>
      </w:r>
      <w:r>
        <w:rPr>
          <w:spacing w:val="40"/>
        </w:rPr>
      </w:r>
      <w:r>
        <w:rPr>
          <w:spacing w:val="-3"/>
        </w:rPr>
        <w:t>董事、提名总裁等事宜进行提名并形成决议同意提交公司董事会审议，为公司管理层提供了宝贵意见和建议。</w:t>
      </w:r>
      <w:r>
        <w:rPr>
          <w:spacing w:val="49"/>
        </w:rPr>
        <w:t> </w:t>
      </w:r>
      <w:r>
        <w:rPr>
          <w:spacing w:val="49"/>
        </w:rPr>
      </w:r>
      <w:r>
        <w:rPr>
          <w:rFonts w:ascii="Times New Roman" w:hAnsi="Times New Roman" w:cs="Times New Roman" w:eastAsia="Times New Roman" w:hint="default"/>
        </w:rPr>
        <w:t>4</w:t>
      </w:r>
      <w:r>
        <w:rPr/>
        <w:t>、薪酬与考核委员会</w:t>
      </w:r>
      <w:r>
        <w:rPr>
          <w:spacing w:val="-88"/>
        </w:rPr>
        <w:t> </w:t>
      </w:r>
      <w:r>
        <w:rPr>
          <w:spacing w:val="-88"/>
        </w:rPr>
      </w:r>
      <w:r>
        <w:rPr>
          <w:spacing w:val="-4"/>
        </w:rPr>
        <w:t>报告期内，薪酬与考核委员会根据公司《章程》、《董事会薪酬与考核委员会工作细则》的规定，认真履行职责，对公司董</w:t>
      </w:r>
      <w:r>
        <w:rPr>
          <w:spacing w:val="40"/>
        </w:rPr>
        <w:t> </w:t>
      </w:r>
      <w:r>
        <w:rPr>
          <w:spacing w:val="40"/>
        </w:rPr>
      </w:r>
      <w:r>
        <w:rPr>
          <w:spacing w:val="-4"/>
        </w:rPr>
        <w:t>事、高管的薪酬及绩效考核情况进行监督和审查，并提交公司董事会审议，促进公司在规范运作的基础上，进一步提高在薪</w:t>
      </w:r>
      <w:r>
        <w:rPr>
          <w:spacing w:val="40"/>
        </w:rPr>
        <w:t> </w:t>
      </w:r>
      <w:r>
        <w:rPr>
          <w:spacing w:val="40"/>
        </w:rPr>
      </w:r>
      <w:r>
        <w:rPr/>
        <w:t>酬考核方面的科学性。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监事会在报告期内的监督活动中发现公司是否存在风险</w:t>
      </w:r>
    </w:p>
    <w:p>
      <w:pPr>
        <w:pStyle w:val="BodyText"/>
        <w:spacing w:line="338" w:lineRule="auto" w:before="119"/>
        <w:ind w:right="696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316" w:lineRule="auto"/>
        <w:ind w:right="0"/>
        <w:jc w:val="left"/>
      </w:pPr>
      <w:r>
        <w:rPr>
          <w:spacing w:val="-3"/>
        </w:rPr>
        <w:t>公司董事会薪酬与考核委员会根据公司实际经营指标的完成情况以及高级管理人员的工作业绩来执行对高级管理人员的年</w:t>
      </w:r>
      <w:r>
        <w:rPr>
          <w:spacing w:val="66"/>
        </w:rPr>
        <w:t> </w:t>
      </w:r>
      <w:r>
        <w:rPr>
          <w:spacing w:val="66"/>
        </w:rPr>
      </w:r>
      <w:r>
        <w:rPr>
          <w:spacing w:val="-4"/>
        </w:rPr>
        <w:t>度绩效考核，并严格监督薪酬制度的执行情况。公司组织高级管理人员开展工作述职活动，公司董事会薪酬与考核委员会对</w:t>
      </w:r>
      <w:r>
        <w:rPr>
          <w:spacing w:val="43"/>
        </w:rPr>
        <w:t> </w:t>
      </w:r>
      <w:r>
        <w:rPr>
          <w:spacing w:val="43"/>
        </w:rPr>
      </w:r>
      <w:r>
        <w:rPr>
          <w:spacing w:val="-4"/>
        </w:rPr>
        <w:t>其工作能力、工作业绩、创新与学习等指标情况进行考核。高级管理人员薪酬与其所任岗位和绩效挂钩，符合有关法律、法</w:t>
      </w:r>
      <w:r>
        <w:rPr>
          <w:spacing w:val="40"/>
        </w:rPr>
        <w:t> </w:t>
      </w:r>
      <w:r>
        <w:rPr>
          <w:spacing w:val="40"/>
        </w:rPr>
      </w:r>
      <w:r>
        <w:rPr>
          <w:spacing w:val="-3"/>
        </w:rPr>
        <w:t>规和《公司章程》等规定的要求。</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4"/>
        <w:gridCol w:w="6377"/>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hyperlink r:id="rId11">
              <w:r>
                <w:rPr>
                  <w:rFonts w:ascii="Times New Roman" w:hAnsi="Times New Roman" w:cs="Times New Roman" w:eastAsia="Times New Roman" w:hint="default"/>
                  <w:spacing w:val="-3"/>
                  <w:sz w:val="18"/>
                  <w:szCs w:val="18"/>
                </w:rPr>
                <w:t>http://www.cninfo.com.cn</w:t>
              </w:r>
            </w:hyperlink>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5"/>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99.07%</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5"/>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8"/>
          <w:szCs w:val="28"/>
        </w:rPr>
      </w:pPr>
    </w:p>
    <w:p>
      <w:pPr>
        <w:spacing w:line="153" w:lineRule="exact"/>
        <w:ind w:left="6678" w:right="0" w:firstLine="0"/>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position w:val="-2"/>
          <w:sz w:val="15"/>
          <w:szCs w:val="15"/>
        </w:rPr>
        <w:pict>
          <v:group style="width:152.25pt;height:7.7pt;mso-position-horizontal-relative:char;mso-position-vertical-relative:line" coordorigin="0,0" coordsize="3045,154">
            <v:group style="position:absolute;left:0;top:0;width:3045;height:154" coordorigin="0,0" coordsize="3045,154">
              <v:shape style="position:absolute;left:0;top:0;width:3045;height:154" coordorigin="0,0" coordsize="3045,154" path="m0,154l3045,154,3045,0,0,0,0,154xe" filled="true" fillcolor="#ffffff" stroked="false">
                <v:path arrowok="t"/>
                <v:fill type="solid"/>
              </v:shape>
            </v:group>
          </v:group>
        </w:pict>
      </w:r>
      <w:r>
        <w:rPr>
          <w:rFonts w:ascii="Microsoft JhengHei" w:hAnsi="Microsoft JhengHei" w:cs="Microsoft JhengHei" w:eastAsia="Microsoft JhengHei" w:hint="default"/>
          <w:position w:val="-2"/>
          <w:sz w:val="15"/>
          <w:szCs w:val="1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7"/>
          <w:szCs w:val="17"/>
        </w:rPr>
      </w:pPr>
    </w:p>
    <w:p>
      <w:pPr>
        <w:pStyle w:val="BodyText"/>
        <w:spacing w:line="240" w:lineRule="auto" w:before="46"/>
        <w:ind w:left="0" w:right="1151"/>
        <w:jc w:val="right"/>
      </w:pPr>
      <w:r>
        <w:rPr/>
        <w:pict>
          <v:shape style="position:absolute;margin-left:376.924011pt;margin-top:-179.508255pt;width:158.25pt;height:347.2pt;mso-position-horizontal-relative:page;mso-position-vertical-relative:paragraph;z-index:-1200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w w:val="101"/>
                    </w:rPr>
                    <w:t>；</w:t>
                  </w:r>
                  <w:r>
                    <w:rPr/>
                  </w:r>
                </w:p>
              </w:txbxContent>
            </v:textbox>
            <w10:wrap type="none"/>
          </v:shape>
        </w:pict>
      </w:r>
      <w:r>
        <w:rPr/>
        <w:pict>
          <v:shape style="position:absolute;margin-left:56.424pt;margin-top:-220.308258pt;width:479.25pt;height:535.8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7"/>
                    <w:gridCol w:w="3050"/>
                  </w:tblGrid>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4"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2" w:lineRule="auto" w:before="59"/>
                          <w:ind w:left="24" w:right="17"/>
                          <w:jc w:val="left"/>
                          <w:rPr>
                            <w:rFonts w:ascii="宋体" w:hAnsi="宋体" w:cs="宋体" w:eastAsia="宋体" w:hint="default"/>
                            <w:sz w:val="18"/>
                            <w:szCs w:val="18"/>
                          </w:rPr>
                        </w:pPr>
                        <w:r>
                          <w:rPr>
                            <w:rFonts w:ascii="宋体" w:hAnsi="宋体" w:cs="宋体" w:eastAsia="宋体" w:hint="default"/>
                            <w:spacing w:val="-3"/>
                            <w:sz w:val="18"/>
                            <w:szCs w:val="18"/>
                          </w:rPr>
                          <w:t>公司确定的财务报告内部控制缺陷评价的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定性标准如下：①重大缺陷：是指一个或</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多个控制缺陷的组合，可能导致企业严重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偏离控制目标。出现下列特征的，认定为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重大缺陷：</w:t>
                        </w:r>
                        <w:r>
                          <w:rPr>
                            <w:rFonts w:ascii="Times New Roman" w:hAnsi="Times New Roman" w:cs="Times New Roman" w:eastAsia="Times New Roman" w:hint="default"/>
                            <w:spacing w:val="-6"/>
                            <w:sz w:val="18"/>
                            <w:szCs w:val="18"/>
                          </w:rPr>
                          <w:t>i.</w:t>
                        </w:r>
                        <w:r>
                          <w:rPr>
                            <w:rFonts w:ascii="宋体" w:hAnsi="宋体" w:cs="宋体" w:eastAsia="宋体" w:hint="default"/>
                            <w:spacing w:val="-6"/>
                            <w:sz w:val="18"/>
                            <w:szCs w:val="18"/>
                          </w:rPr>
                          <w:t>公司董事、监事或高管人员的</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舞弊行为；</w:t>
                        </w:r>
                        <w:r>
                          <w:rPr>
                            <w:rFonts w:ascii="Times New Roman" w:hAnsi="Times New Roman" w:cs="Times New Roman" w:eastAsia="Times New Roman" w:hint="default"/>
                            <w:spacing w:val="-3"/>
                            <w:sz w:val="18"/>
                            <w:szCs w:val="18"/>
                          </w:rPr>
                          <w:t>ii.</w:t>
                        </w:r>
                        <w:r>
                          <w:rPr>
                            <w:rFonts w:ascii="宋体" w:hAnsi="宋体" w:cs="宋体" w:eastAsia="宋体" w:hint="default"/>
                            <w:spacing w:val="-3"/>
                            <w:sz w:val="18"/>
                            <w:szCs w:val="18"/>
                          </w:rPr>
                          <w:t>发现当期财务报表的重大错</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6"/>
                            <w:sz w:val="18"/>
                            <w:szCs w:val="18"/>
                          </w:rPr>
                          <w:t>报，而管理层未能在内控运行过程中发现</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内部控制评价的结果，重大缺陷未得到</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整改；</w:t>
                        </w:r>
                        <w:r>
                          <w:rPr>
                            <w:rFonts w:ascii="Times New Roman" w:hAnsi="Times New Roman" w:cs="Times New Roman" w:eastAsia="Times New Roman" w:hint="default"/>
                            <w:spacing w:val="-3"/>
                            <w:sz w:val="18"/>
                            <w:szCs w:val="18"/>
                          </w:rPr>
                          <w:t>iv.</w:t>
                        </w:r>
                        <w:r>
                          <w:rPr>
                            <w:rFonts w:ascii="宋体" w:hAnsi="宋体" w:cs="宋体" w:eastAsia="宋体" w:hint="default"/>
                            <w:spacing w:val="-3"/>
                            <w:sz w:val="18"/>
                            <w:szCs w:val="18"/>
                          </w:rPr>
                          <w:t>审计委员会和内部审计机构对内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部控制的监督无效。②重要缺陷：是指一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个或多个控制缺陷的组合，其严重程度和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经济后果低于重大缺陷但仍有可能导致企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业偏离控制目标。出现以下特征的，认定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w w:val="101"/>
                            <w:sz w:val="18"/>
                            <w:szCs w:val="18"/>
                          </w:rPr>
                          <w:t>为重要缺陷：</w:t>
                        </w:r>
                        <w:r>
                          <w:rPr>
                            <w:rFonts w:ascii="Times New Roman" w:hAnsi="Times New Roman" w:cs="Times New Roman" w:eastAsia="Times New Roman" w:hint="default"/>
                            <w:spacing w:val="-6"/>
                            <w:w w:val="101"/>
                            <w:sz w:val="18"/>
                            <w:szCs w:val="18"/>
                          </w:rPr>
                          <w:t>i.</w:t>
                        </w:r>
                        <w:r>
                          <w:rPr>
                            <w:rFonts w:ascii="宋体" w:hAnsi="宋体" w:cs="宋体" w:eastAsia="宋体" w:hint="default"/>
                            <w:spacing w:val="-6"/>
                            <w:w w:val="101"/>
                            <w:sz w:val="18"/>
                            <w:szCs w:val="18"/>
                          </w:rPr>
                          <w:t>未依照公认会计准则选择和</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应用会计政策；</w:t>
                        </w:r>
                        <w:r>
                          <w:rPr>
                            <w:rFonts w:ascii="Times New Roman" w:hAnsi="Times New Roman" w:cs="Times New Roman" w:eastAsia="Times New Roman" w:hint="default"/>
                            <w:sz w:val="18"/>
                            <w:szCs w:val="18"/>
                          </w:rPr>
                          <w:t>ii.</w:t>
                        </w:r>
                        <w:r>
                          <w:rPr>
                            <w:rFonts w:ascii="宋体" w:hAnsi="宋体" w:cs="宋体" w:eastAsia="宋体" w:hint="default"/>
                            <w:sz w:val="18"/>
                            <w:szCs w:val="18"/>
                          </w:rPr>
                          <w:t>未建立反舞弊程序和控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制措施；</w:t>
                        </w: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对于非常规或特殊交易的账务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处理没有建立相应的控制机制或没有实施</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且没有相应的补偿性控制；</w:t>
                        </w:r>
                        <w:r>
                          <w:rPr>
                            <w:rFonts w:ascii="Times New Roman" w:hAnsi="Times New Roman" w:cs="Times New Roman" w:eastAsia="Times New Roman" w:hint="default"/>
                            <w:spacing w:val="-3"/>
                            <w:sz w:val="18"/>
                            <w:szCs w:val="18"/>
                          </w:rPr>
                          <w:t>iv.</w:t>
                        </w:r>
                        <w:r>
                          <w:rPr>
                            <w:rFonts w:ascii="宋体" w:hAnsi="宋体" w:cs="宋体" w:eastAsia="宋体" w:hint="default"/>
                            <w:spacing w:val="-3"/>
                            <w:sz w:val="18"/>
                            <w:szCs w:val="18"/>
                          </w:rPr>
                          <w:t>对于期末财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务报告过程的控制存在一项或多项缺陷且</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不能合理保证编制的财务报表达到真实、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准确的目标。③一般缺陷：是指除上述重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大缺陷、重要缺陷之外的其他控制缺陷。</w:t>
                        </w:r>
                      </w:p>
                    </w:tc>
                    <w:tc>
                      <w:tcPr>
                        <w:tcW w:w="3050"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公司确定的非财务报告内部控制缺陷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评价的定性标准如下：①具有以下特征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6"/>
                            <w:sz w:val="18"/>
                            <w:szCs w:val="18"/>
                          </w:rPr>
                          <w:t>的缺陷，认定为重大缺陷： </w:t>
                        </w:r>
                        <w:r>
                          <w:rPr>
                            <w:rFonts w:ascii="Times New Roman" w:hAnsi="Times New Roman" w:cs="Times New Roman" w:eastAsia="Times New Roman" w:hint="default"/>
                            <w:sz w:val="18"/>
                            <w:szCs w:val="18"/>
                          </w:rPr>
                          <w:t>i.</w:t>
                        </w:r>
                        <w:r>
                          <w:rPr>
                            <w:rFonts w:ascii="宋体" w:hAnsi="宋体" w:cs="宋体" w:eastAsia="宋体" w:hint="default"/>
                            <w:sz w:val="18"/>
                            <w:szCs w:val="18"/>
                          </w:rPr>
                          <w:t>缺乏民主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决策程序、决策程序不科学，出现重大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失误，给公司造成重大财产损失；</w:t>
                        </w:r>
                        <w:r>
                          <w:rPr>
                            <w:rFonts w:ascii="Times New Roman" w:hAnsi="Times New Roman" w:cs="Times New Roman" w:eastAsia="Times New Roman" w:hint="default"/>
                            <w:spacing w:val="-3"/>
                            <w:sz w:val="18"/>
                            <w:szCs w:val="18"/>
                          </w:rPr>
                          <w:t>ii.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9"/>
                            <w:sz w:val="18"/>
                            <w:szCs w:val="18"/>
                          </w:rPr>
                        </w:r>
                        <w:r>
                          <w:rPr>
                            <w:rFonts w:ascii="宋体" w:hAnsi="宋体" w:cs="宋体" w:eastAsia="宋体" w:hint="default"/>
                            <w:spacing w:val="-6"/>
                            <w:w w:val="101"/>
                            <w:sz w:val="18"/>
                            <w:szCs w:val="18"/>
                          </w:rPr>
                          <w:t>严重违反国家法律法规；</w:t>
                        </w:r>
                        <w:r>
                          <w:rPr>
                            <w:rFonts w:ascii="Times New Roman" w:hAnsi="Times New Roman" w:cs="Times New Roman" w:eastAsia="Times New Roman" w:hint="default"/>
                            <w:spacing w:val="-6"/>
                            <w:w w:val="101"/>
                            <w:sz w:val="18"/>
                            <w:szCs w:val="18"/>
                          </w:rPr>
                          <w:t>iii.</w:t>
                        </w:r>
                        <w:r>
                          <w:rPr>
                            <w:rFonts w:ascii="宋体" w:hAnsi="宋体" w:cs="宋体" w:eastAsia="宋体" w:hint="default"/>
                            <w:spacing w:val="-6"/>
                            <w:w w:val="101"/>
                            <w:sz w:val="18"/>
                            <w:szCs w:val="18"/>
                          </w:rPr>
                          <w:t>媒体频现负</w:t>
                        </w:r>
                        <w:r>
                          <w:rPr>
                            <w:rFonts w:ascii="宋体" w:hAnsi="宋体" w:cs="宋体" w:eastAsia="宋体" w:hint="default"/>
                            <w:w w:val="101"/>
                            <w:sz w:val="18"/>
                            <w:szCs w:val="18"/>
                          </w:rPr>
                          <w:t> </w:t>
                        </w:r>
                        <w:r>
                          <w:rPr>
                            <w:rFonts w:ascii="宋体" w:hAnsi="宋体" w:cs="宋体" w:eastAsia="宋体" w:hint="default"/>
                            <w:spacing w:val="-7"/>
                            <w:sz w:val="18"/>
                            <w:szCs w:val="18"/>
                          </w:rPr>
                          <w:t>面新闻，涉及面广且负面影响一直未能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消除；</w:t>
                        </w:r>
                        <w:r>
                          <w:rPr>
                            <w:rFonts w:ascii="Times New Roman" w:hAnsi="Times New Roman" w:cs="Times New Roman" w:eastAsia="Times New Roman" w:hint="default"/>
                            <w:spacing w:val="-6"/>
                            <w:sz w:val="18"/>
                            <w:szCs w:val="18"/>
                          </w:rPr>
                          <w:t>iv.</w:t>
                        </w:r>
                        <w:r>
                          <w:rPr>
                            <w:rFonts w:ascii="宋体" w:hAnsi="宋体" w:cs="宋体" w:eastAsia="宋体" w:hint="default"/>
                            <w:spacing w:val="-6"/>
                            <w:sz w:val="18"/>
                            <w:szCs w:val="18"/>
                          </w:rPr>
                          <w:t>缺乏重要的业务管理制度或制</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4"/>
                            <w:sz w:val="18"/>
                            <w:szCs w:val="18"/>
                          </w:rPr>
                          <w:t>度运行系统性失效；</w:t>
                        </w:r>
                        <w:r>
                          <w:rPr>
                            <w:rFonts w:ascii="Times New Roman" w:hAnsi="Times New Roman" w:cs="Times New Roman" w:eastAsia="Times New Roman" w:hint="default"/>
                            <w:spacing w:val="-4"/>
                            <w:sz w:val="18"/>
                            <w:szCs w:val="18"/>
                          </w:rPr>
                          <w:t>v.</w:t>
                        </w:r>
                        <w:r>
                          <w:rPr>
                            <w:rFonts w:ascii="宋体" w:hAnsi="宋体" w:cs="宋体" w:eastAsia="宋体" w:hint="default"/>
                            <w:spacing w:val="-4"/>
                            <w:sz w:val="18"/>
                            <w:szCs w:val="18"/>
                          </w:rPr>
                          <w:t>公司的重大或重</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要内控缺陷不能得到及时整改；</w:t>
                        </w:r>
                        <w:r>
                          <w:rPr>
                            <w:rFonts w:ascii="Times New Roman" w:hAnsi="Times New Roman" w:cs="Times New Roman" w:eastAsia="Times New Roman" w:hint="default"/>
                            <w:spacing w:val="-6"/>
                            <w:w w:val="101"/>
                            <w:sz w:val="18"/>
                            <w:szCs w:val="18"/>
                          </w:rPr>
                          <w:t>vi.</w:t>
                        </w:r>
                        <w:r>
                          <w:rPr>
                            <w:rFonts w:ascii="宋体" w:hAnsi="宋体" w:cs="宋体" w:eastAsia="宋体" w:hint="default"/>
                            <w:spacing w:val="-6"/>
                            <w:w w:val="101"/>
                            <w:sz w:val="18"/>
                            <w:szCs w:val="18"/>
                          </w:rPr>
                          <w:t>公司</w:t>
                        </w:r>
                        <w:r>
                          <w:rPr>
                            <w:rFonts w:ascii="宋体" w:hAnsi="宋体" w:cs="宋体" w:eastAsia="宋体" w:hint="default"/>
                            <w:spacing w:val="-87"/>
                            <w:w w:val="101"/>
                            <w:sz w:val="18"/>
                            <w:szCs w:val="18"/>
                          </w:rPr>
                          <w:t> </w:t>
                        </w:r>
                        <w:r>
                          <w:rPr>
                            <w:rFonts w:ascii="宋体" w:hAnsi="宋体" w:cs="宋体" w:eastAsia="宋体" w:hint="default"/>
                            <w:spacing w:val="-3"/>
                            <w:sz w:val="18"/>
                            <w:szCs w:val="18"/>
                          </w:rPr>
                          <w:t>持续或大量出现重要内控缺陷；</w:t>
                        </w:r>
                        <w:r>
                          <w:rPr>
                            <w:rFonts w:ascii="Times New Roman" w:hAnsi="Times New Roman" w:cs="Times New Roman" w:eastAsia="Times New Roman" w:hint="default"/>
                            <w:spacing w:val="-3"/>
                            <w:sz w:val="18"/>
                            <w:szCs w:val="18"/>
                          </w:rPr>
                          <w:t>vii.</w:t>
                        </w:r>
                        <w:r>
                          <w:rPr>
                            <w:rFonts w:ascii="宋体" w:hAnsi="宋体" w:cs="宋体" w:eastAsia="宋体" w:hint="default"/>
                            <w:spacing w:val="-3"/>
                            <w:sz w:val="18"/>
                            <w:szCs w:val="18"/>
                          </w:rPr>
                          <w:t>公</w:t>
                        </w:r>
                        <w:r>
                          <w:rPr>
                            <w:rFonts w:ascii="宋体" w:hAnsi="宋体" w:cs="宋体" w:eastAsia="宋体" w:hint="default"/>
                            <w:spacing w:val="-32"/>
                            <w:sz w:val="18"/>
                            <w:szCs w:val="18"/>
                          </w:rPr>
                          <w:t> </w:t>
                        </w:r>
                        <w:r>
                          <w:rPr>
                            <w:rFonts w:ascii="宋体" w:hAnsi="宋体" w:cs="宋体" w:eastAsia="宋体" w:hint="default"/>
                            <w:spacing w:val="-3"/>
                            <w:sz w:val="18"/>
                            <w:szCs w:val="18"/>
                          </w:rPr>
                          <w:t>司遭受证监会处罚或证券交易所警告</w:t>
                        </w:r>
                      </w:p>
                      <w:p>
                        <w:pPr>
                          <w:pStyle w:val="TableParagraph"/>
                          <w:spacing w:line="307" w:lineRule="auto" w:before="26"/>
                          <w:ind w:left="23" w:right="-38"/>
                          <w:jc w:val="left"/>
                          <w:rPr>
                            <w:rFonts w:ascii="宋体" w:hAnsi="宋体" w:cs="宋体" w:eastAsia="宋体" w:hint="default"/>
                            <w:sz w:val="18"/>
                            <w:szCs w:val="18"/>
                          </w:rPr>
                        </w:pPr>
                        <w:r>
                          <w:rPr>
                            <w:rFonts w:ascii="宋体" w:hAnsi="宋体" w:cs="宋体" w:eastAsia="宋体" w:hint="default"/>
                            <w:spacing w:val="-6"/>
                            <w:w w:val="101"/>
                            <w:sz w:val="18"/>
                            <w:szCs w:val="18"/>
                          </w:rPr>
                          <w:t>②具有以下特征的缺陷，认定为重要缺</w:t>
                        </w:r>
                        <w:r>
                          <w:rPr>
                            <w:rFonts w:ascii="宋体" w:hAnsi="宋体" w:cs="宋体" w:eastAsia="宋体" w:hint="default"/>
                            <w:w w:val="101"/>
                            <w:sz w:val="18"/>
                            <w:szCs w:val="18"/>
                          </w:rPr>
                          <w:t> </w:t>
                        </w:r>
                        <w:r>
                          <w:rPr>
                            <w:rFonts w:ascii="宋体" w:hAnsi="宋体" w:cs="宋体" w:eastAsia="宋体" w:hint="default"/>
                            <w:spacing w:val="-6"/>
                            <w:w w:val="101"/>
                            <w:sz w:val="18"/>
                            <w:szCs w:val="18"/>
                          </w:rPr>
                          <w:t>陷：</w:t>
                        </w:r>
                        <w:r>
                          <w:rPr>
                            <w:rFonts w:ascii="Times New Roman" w:hAnsi="Times New Roman" w:cs="Times New Roman" w:eastAsia="Times New Roman" w:hint="default"/>
                            <w:spacing w:val="-6"/>
                            <w:w w:val="101"/>
                            <w:sz w:val="18"/>
                            <w:szCs w:val="18"/>
                          </w:rPr>
                          <w:t>i.</w:t>
                        </w:r>
                        <w:r>
                          <w:rPr>
                            <w:rFonts w:ascii="宋体" w:hAnsi="宋体" w:cs="宋体" w:eastAsia="宋体" w:hint="default"/>
                            <w:spacing w:val="-6"/>
                            <w:w w:val="101"/>
                            <w:sz w:val="18"/>
                            <w:szCs w:val="18"/>
                          </w:rPr>
                          <w:t>公司决策程序导致出现一般失误</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ii.</w:t>
                        </w:r>
                        <w:r>
                          <w:rPr>
                            <w:rFonts w:ascii="宋体" w:hAnsi="宋体" w:cs="宋体" w:eastAsia="宋体" w:hint="default"/>
                            <w:spacing w:val="-3"/>
                            <w:sz w:val="18"/>
                            <w:szCs w:val="18"/>
                          </w:rPr>
                          <w:t>公司违反企业内部规章，形成损失；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z w:val="18"/>
                            <w:szCs w:val="18"/>
                          </w:rPr>
                          <w:t>iii.</w:t>
                        </w:r>
                        <w:r>
                          <w:rPr>
                            <w:rFonts w:ascii="宋体" w:hAnsi="宋体" w:cs="宋体" w:eastAsia="宋体" w:hint="default"/>
                            <w:sz w:val="18"/>
                            <w:szCs w:val="18"/>
                          </w:rPr>
                          <w:t>公司关键岗位业务人员流失严重；</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iv.</w:t>
                        </w:r>
                        <w:r>
                          <w:rPr>
                            <w:rFonts w:ascii="宋体" w:hAnsi="宋体" w:cs="宋体" w:eastAsia="宋体" w:hint="default"/>
                            <w:spacing w:val="-3"/>
                            <w:sz w:val="18"/>
                            <w:szCs w:val="18"/>
                          </w:rPr>
                          <w:t>公司重要业务制度或系统存在缺陷；</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3"/>
                            <w:sz w:val="18"/>
                            <w:szCs w:val="18"/>
                          </w:rPr>
                          <w:t>v.</w:t>
                        </w:r>
                        <w:r>
                          <w:rPr>
                            <w:rFonts w:ascii="宋体" w:hAnsi="宋体" w:cs="宋体" w:eastAsia="宋体" w:hint="default"/>
                            <w:spacing w:val="-3"/>
                            <w:sz w:val="18"/>
                            <w:szCs w:val="18"/>
                          </w:rPr>
                          <w:t>公司的重要或一般缺陷不能得到及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时整改。 </w:t>
                        </w:r>
                        <w:r>
                          <w:rPr>
                            <w:rFonts w:ascii="宋体" w:hAnsi="宋体" w:cs="宋体" w:eastAsia="宋体" w:hint="default"/>
                            <w:spacing w:val="-3"/>
                            <w:sz w:val="18"/>
                            <w:szCs w:val="18"/>
                          </w:rPr>
                          <w:t>③具有以下特征的缺陷，认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定为一般缺陷：除上述重大缺陷、重要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缺陷之外的其他缺陷。</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0" w:type="dxa"/>
                        <w:vMerge/>
                        <w:tcBorders>
                          <w:left w:val="single" w:sz="4" w:space="0" w:color="000000"/>
                          <w:right w:val="nil" w:sz="6" w:space="0" w:color="auto"/>
                        </w:tcBorders>
                      </w:tcPr>
                      <w:p>
                        <w:pPr/>
                      </w:p>
                    </w:tc>
                  </w:tr>
                  <w:tr>
                    <w:trPr>
                      <w:trHeight w:val="3279"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nil" w:sz="6" w:space="0" w:color="auto"/>
                        </w:tcBorders>
                      </w:tcPr>
                      <w:p>
                        <w:pPr/>
                      </w:p>
                    </w:tc>
                  </w:tr>
                  <w:tr>
                    <w:trPr>
                      <w:trHeight w:val="475"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、重大缺陷：财务报表的错报金额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w:t>
                        </w:r>
                        <w:r>
                          <w:rPr>
                            <w:rFonts w:ascii="宋体" w:hAnsi="宋体" w:cs="宋体" w:eastAsia="宋体" w:hint="default"/>
                            <w:spacing w:val="-30"/>
                            <w:sz w:val="18"/>
                            <w:szCs w:val="18"/>
                          </w:rPr>
                          <w:t> </w:t>
                        </w:r>
                        <w:r>
                          <w:rPr>
                            <w:rFonts w:ascii="宋体" w:hAnsi="宋体" w:cs="宋体" w:eastAsia="宋体" w:hint="default"/>
                            <w:sz w:val="18"/>
                            <w:szCs w:val="18"/>
                          </w:rPr>
                          <w:t>总额的</w:t>
                        </w:r>
                        <w:r>
                          <w:rPr>
                            <w:rFonts w:ascii="宋体" w:hAnsi="宋体" w:cs="宋体" w:eastAsia="宋体" w:hint="default"/>
                            <w:spacing w:val="-26"/>
                            <w:sz w:val="18"/>
                            <w:szCs w:val="18"/>
                          </w:rPr>
                          <w:t> </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、重要缺陷：利润总额的</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12"/>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、一般缺陷：错报</w:t>
                        </w:r>
                      </w:p>
                      <w:p>
                        <w:pPr>
                          <w:pStyle w:val="TableParagraph"/>
                          <w:spacing w:line="240" w:lineRule="auto" w:before="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c>
                      <w:tcPr>
                        <w:tcW w:w="3050" w:type="dxa"/>
                        <w:vMerge w:val="restart"/>
                        <w:tcBorders>
                          <w:top w:val="single" w:sz="4" w:space="0" w:color="000000"/>
                          <w:left w:val="single" w:sz="4" w:space="0" w:color="000000"/>
                          <w:right w:val="single" w:sz="4" w:space="0" w:color="000000"/>
                        </w:tcBorders>
                      </w:tcPr>
                      <w:p>
                        <w:pPr>
                          <w:pStyle w:val="TableParagraph"/>
                          <w:spacing w:line="302"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利润总额的</w:t>
                        </w:r>
                        <w:r>
                          <w:rPr>
                            <w:rFonts w:ascii="宋体" w:hAnsi="宋体" w:cs="宋体" w:eastAsia="宋体" w:hint="default"/>
                            <w:spacing w:val="-17"/>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、重要缺陷：利润总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w:t>
                        </w:r>
                        <w:r>
                          <w:rPr>
                            <w:rFonts w:ascii="宋体" w:hAnsi="宋体" w:cs="宋体" w:eastAsia="宋体" w:hint="default"/>
                            <w:spacing w:val="-85"/>
                            <w:sz w:val="18"/>
                            <w:szCs w:val="18"/>
                          </w:rPr>
                          <w:t> </w:t>
                        </w:r>
                        <w:r>
                          <w:rPr>
                            <w:rFonts w:ascii="宋体" w:hAnsi="宋体" w:cs="宋体" w:eastAsia="宋体" w:hint="default"/>
                            <w:sz w:val="18"/>
                            <w:szCs w:val="18"/>
                          </w:rPr>
                          <w:t>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r>
                  <w:tr>
                    <w:trPr>
                      <w:trHeight w:val="389"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476"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128"/>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53" w:lineRule="exact"/>
        <w:ind w:left="6678"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2.25pt;height:7.7pt;mso-position-horizontal-relative:char;mso-position-vertical-relative:line" coordorigin="0,0" coordsize="3045,154">
            <v:group style="position:absolute;left:0;top:0;width:3045;height:154" coordorigin="0,0" coordsize="3045,154">
              <v:shape style="position:absolute;left:0;top:0;width:3045;height:154" coordorigin="0,0" coordsize="3045,154" path="m0,154l3045,154,3045,0,0,0,0,154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125" w:right="0"/>
        <w:jc w:val="left"/>
        <w:rPr>
          <w:b w:val="0"/>
          <w:bCs w:val="0"/>
        </w:rPr>
      </w:pPr>
      <w:bookmarkStart w:name="_bookmark8" w:id="9"/>
      <w:bookmarkEnd w:id="9"/>
      <w:r>
        <w:rPr>
          <w:b w:val="0"/>
          <w:bCs w:val="0"/>
        </w:rPr>
      </w:r>
      <w:r>
        <w:rPr/>
        <w:t>第十节 </w:t>
      </w:r>
      <w:r>
        <w:rPr>
          <w:spacing w:val="16"/>
        </w:rPr>
        <w:t> </w:t>
      </w:r>
      <w:r>
        <w:rPr/>
        <w:t>公司债券相关情况</w:t>
      </w:r>
      <w:r>
        <w:rPr>
          <w:b w:val="0"/>
          <w:bCs w:val="0"/>
        </w:rPr>
      </w:r>
    </w:p>
    <w:p>
      <w:pPr>
        <w:spacing w:line="240" w:lineRule="auto" w:before="3"/>
        <w:rPr>
          <w:rFonts w:ascii="Microsoft JhengHei" w:hAnsi="Microsoft JhengHei" w:cs="Microsoft JhengHei" w:eastAsia="Microsoft JhengHei" w:hint="default"/>
          <w:b/>
          <w:bCs/>
          <w:sz w:val="30"/>
          <w:szCs w:val="30"/>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606" w:right="0"/>
        <w:jc w:val="left"/>
        <w:rPr>
          <w:b w:val="0"/>
          <w:bCs w:val="0"/>
        </w:rPr>
      </w:pPr>
      <w:bookmarkStart w:name="_bookmark9" w:id="10"/>
      <w:bookmarkEnd w:id="10"/>
      <w:r>
        <w:rPr>
          <w:b w:val="0"/>
          <w:bCs w:val="0"/>
        </w:rPr>
      </w:r>
      <w:r>
        <w:rPr/>
        <w:t>第十一节 </w:t>
      </w:r>
      <w:r>
        <w:rPr>
          <w:spacing w:val="10"/>
        </w:rPr>
        <w:t> </w:t>
      </w:r>
      <w:r>
        <w:rPr/>
        <w:t>财务报告</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华普天健会计师事务所（特殊普通合伙）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[2019]2535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bl>
    <w:p>
      <w:pPr>
        <w:pStyle w:val="BodyText"/>
        <w:spacing w:line="240" w:lineRule="auto" w:before="54"/>
        <w:ind w:left="510" w:right="1483"/>
        <w:jc w:val="center"/>
      </w:pPr>
      <w:r>
        <w:rPr/>
        <w:t>审计报告正文</w:t>
      </w:r>
    </w:p>
    <w:p>
      <w:pPr>
        <w:spacing w:line="240" w:lineRule="auto" w:before="1"/>
        <w:rPr>
          <w:rFonts w:ascii="宋体" w:hAnsi="宋体" w:cs="宋体" w:eastAsia="宋体" w:hint="default"/>
          <w:sz w:val="29"/>
          <w:szCs w:val="29"/>
        </w:rPr>
      </w:pPr>
    </w:p>
    <w:p>
      <w:pPr>
        <w:pStyle w:val="BodyText"/>
        <w:spacing w:line="240" w:lineRule="auto" w:before="46"/>
        <w:ind w:right="0"/>
        <w:jc w:val="left"/>
      </w:pPr>
      <w:r>
        <w:rPr/>
        <w:t>会审字</w:t>
      </w:r>
      <w:r>
        <w:rPr>
          <w:rFonts w:ascii="Times New Roman" w:hAnsi="Times New Roman" w:cs="Times New Roman" w:eastAsia="Times New Roman" w:hint="default"/>
        </w:rPr>
        <w:t>[2019]2535</w:t>
      </w:r>
      <w:r>
        <w:rPr/>
        <w:t>号</w:t>
      </w:r>
    </w:p>
    <w:p>
      <w:pPr>
        <w:spacing w:line="240" w:lineRule="auto" w:before="1"/>
        <w:rPr>
          <w:rFonts w:ascii="宋体" w:hAnsi="宋体" w:cs="宋体" w:eastAsia="宋体" w:hint="default"/>
          <w:sz w:val="25"/>
          <w:szCs w:val="25"/>
        </w:rPr>
      </w:pPr>
    </w:p>
    <w:p>
      <w:pPr>
        <w:pStyle w:val="BodyText"/>
        <w:spacing w:line="240" w:lineRule="auto" w:before="46"/>
        <w:ind w:left="8815" w:right="0"/>
        <w:jc w:val="left"/>
      </w:pPr>
      <w:r>
        <w:rPr/>
        <w:t>审 计 报</w:t>
      </w:r>
      <w:r>
        <w:rPr>
          <w:spacing w:val="-50"/>
        </w:rPr>
        <w:t> </w:t>
      </w:r>
      <w:r>
        <w:rPr/>
        <w:t>告</w:t>
      </w:r>
    </w:p>
    <w:p>
      <w:pPr>
        <w:spacing w:line="240" w:lineRule="auto" w:before="0"/>
        <w:rPr>
          <w:rFonts w:ascii="宋体" w:hAnsi="宋体" w:cs="宋体" w:eastAsia="宋体" w:hint="default"/>
          <w:sz w:val="18"/>
          <w:szCs w:val="18"/>
        </w:rPr>
      </w:pPr>
    </w:p>
    <w:p>
      <w:pPr>
        <w:pStyle w:val="BodyText"/>
        <w:spacing w:line="316" w:lineRule="auto" w:before="153"/>
        <w:ind w:left="662" w:right="7602" w:hanging="509"/>
        <w:jc w:val="left"/>
      </w:pPr>
      <w:r>
        <w:rPr>
          <w:spacing w:val="-3"/>
        </w:rPr>
        <w:t>江苏润和软件股份有限公司全体股东：</w:t>
      </w:r>
      <w:r>
        <w:rPr>
          <w:spacing w:val="-39"/>
        </w:rPr>
        <w:t> </w:t>
      </w:r>
      <w:r>
        <w:rPr>
          <w:spacing w:val="-39"/>
        </w:rPr>
      </w:r>
      <w:r>
        <w:rPr>
          <w:spacing w:val="-3"/>
        </w:rPr>
        <w:t>一、审计意见</w:t>
      </w:r>
    </w:p>
    <w:p>
      <w:pPr>
        <w:pStyle w:val="BodyText"/>
        <w:spacing w:line="300" w:lineRule="auto" w:before="19"/>
        <w:ind w:right="0" w:firstLine="508"/>
        <w:jc w:val="left"/>
      </w:pPr>
      <w:r>
        <w:rPr>
          <w:spacing w:val="-4"/>
        </w:rPr>
        <w:t>我们审计了江苏润和软件股份有限公司（以下简称润和软件）财务报表，包括</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日的合并及母公司资产负</w:t>
      </w:r>
      <w:r>
        <w:rPr>
          <w:w w:val="101"/>
        </w:rPr>
        <w:t> </w:t>
      </w:r>
      <w:r>
        <w:rPr>
          <w:spacing w:val="-6"/>
        </w:rPr>
        <w:t>债表，</w:t>
      </w:r>
      <w:r>
        <w:rPr>
          <w:rFonts w:ascii="Times New Roman" w:hAnsi="Times New Roman" w:cs="Times New Roman" w:eastAsia="Times New Roman" w:hint="default"/>
          <w:spacing w:val="-6"/>
        </w:rPr>
        <w:t>2018</w:t>
      </w:r>
      <w:r>
        <w:rPr>
          <w:spacing w:val="-6"/>
        </w:rPr>
        <w:t>年度的合并及母公司利润表、合并及母公司现金流量表、合并及母公司所有者权益变动表以及相关财务报表附注。</w:t>
      </w:r>
    </w:p>
    <w:p>
      <w:pPr>
        <w:pStyle w:val="BodyText"/>
        <w:spacing w:line="300" w:lineRule="auto" w:before="13"/>
        <w:ind w:right="0" w:firstLine="508"/>
        <w:jc w:val="left"/>
      </w:pPr>
      <w:r>
        <w:rPr>
          <w:spacing w:val="-4"/>
        </w:rPr>
        <w:t>我们认为，后附的财务报表在所有重大方面按照企业会计准则的规定编制，公允反映了润和软件</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w:t>
      </w:r>
      <w:r>
        <w:rPr>
          <w:w w:val="101"/>
        </w:rPr>
        <w:t> </w:t>
      </w:r>
      <w:r>
        <w:rPr>
          <w:spacing w:val="-3"/>
        </w:rPr>
        <w:t>并及母公司财务状况以及</w:t>
      </w:r>
      <w:r>
        <w:rPr>
          <w:rFonts w:ascii="Times New Roman" w:hAnsi="Times New Roman" w:cs="Times New Roman" w:eastAsia="Times New Roman" w:hint="default"/>
          <w:spacing w:val="-3"/>
        </w:rPr>
        <w:t>2018</w:t>
      </w:r>
      <w:r>
        <w:rPr>
          <w:spacing w:val="-3"/>
        </w:rPr>
        <w:t>年度的合并及母公司经营成果和现金流量。</w:t>
      </w:r>
    </w:p>
    <w:p>
      <w:pPr>
        <w:pStyle w:val="BodyText"/>
        <w:spacing w:line="316" w:lineRule="auto" w:before="13"/>
        <w:ind w:left="662" w:right="0"/>
        <w:jc w:val="left"/>
      </w:pPr>
      <w:r>
        <w:rPr>
          <w:spacing w:val="-3"/>
        </w:rPr>
        <w:t>二、形成审计意见的基础</w:t>
      </w:r>
      <w:r>
        <w:rPr>
          <w:spacing w:val="-56"/>
        </w:rPr>
        <w:t> </w:t>
      </w:r>
      <w:r>
        <w:rPr>
          <w:spacing w:val="-56"/>
        </w:rPr>
      </w:r>
      <w:r>
        <w:rPr>
          <w:spacing w:val="-3"/>
        </w:rPr>
        <w:t>我们按照中国注册会计师审计准则的规定执行了审计工作。审计报告的</w:t>
      </w:r>
      <w:r>
        <w:rPr>
          <w:rFonts w:ascii="Times New Roman" w:hAnsi="Times New Roman" w:cs="Times New Roman" w:eastAsia="Times New Roman" w:hint="default"/>
          <w:spacing w:val="-3"/>
        </w:rPr>
        <w:t>“</w:t>
      </w:r>
      <w:r>
        <w:rPr>
          <w:spacing w:val="-3"/>
        </w:rPr>
        <w:t>注册会计师对财务报表审计的责任</w:t>
      </w:r>
      <w:r>
        <w:rPr>
          <w:rFonts w:ascii="Times New Roman" w:hAnsi="Times New Roman" w:cs="Times New Roman" w:eastAsia="Times New Roman" w:hint="default"/>
          <w:spacing w:val="-3"/>
        </w:rPr>
        <w:t>”</w:t>
      </w:r>
      <w:r>
        <w:rPr>
          <w:spacing w:val="-3"/>
        </w:rPr>
        <w:t>部分进一</w:t>
      </w:r>
    </w:p>
    <w:p>
      <w:pPr>
        <w:pStyle w:val="BodyText"/>
        <w:spacing w:line="316" w:lineRule="auto"/>
        <w:ind w:right="0"/>
        <w:jc w:val="left"/>
      </w:pPr>
      <w:r>
        <w:rPr>
          <w:spacing w:val="-4"/>
        </w:rPr>
        <w:t>步阐述了我们在这些准则下的责任。按照中国注册会计师职业道德守则，我们独立于润和软件，并履行了职业道德方面的其</w:t>
      </w:r>
      <w:r>
        <w:rPr>
          <w:spacing w:val="43"/>
        </w:rPr>
        <w:t> </w:t>
      </w:r>
      <w:r>
        <w:rPr>
          <w:spacing w:val="43"/>
        </w:rPr>
      </w:r>
      <w:r>
        <w:rPr>
          <w:spacing w:val="-3"/>
        </w:rPr>
        <w:t>他责任。我们相信，我们获取的审计证据是充分、适当的，为发表审计意见提供了基础。</w:t>
      </w:r>
    </w:p>
    <w:p>
      <w:pPr>
        <w:pStyle w:val="BodyText"/>
        <w:spacing w:line="316" w:lineRule="auto" w:before="19"/>
        <w:ind w:left="662" w:right="0"/>
        <w:jc w:val="left"/>
      </w:pPr>
      <w:r>
        <w:rPr>
          <w:spacing w:val="-3"/>
        </w:rPr>
        <w:t>三、关键审计事项</w:t>
      </w:r>
      <w:r>
        <w:rPr>
          <w:spacing w:val="-67"/>
        </w:rPr>
        <w:t> </w:t>
      </w:r>
      <w:r>
        <w:rPr>
          <w:spacing w:val="-67"/>
        </w:rPr>
      </w:r>
      <w:r>
        <w:rPr>
          <w:spacing w:val="-4"/>
        </w:rPr>
        <w:t>关键审计事项是我们根据职业判断，认为对本期财务报表审计最为重要的事项。这些事项的应对以对财务报表整体进</w:t>
      </w:r>
    </w:p>
    <w:p>
      <w:pPr>
        <w:pStyle w:val="BodyText"/>
        <w:spacing w:line="240" w:lineRule="auto" w:before="19"/>
        <w:ind w:right="0"/>
        <w:jc w:val="left"/>
      </w:pPr>
      <w:r>
        <w:rPr>
          <w:spacing w:val="-3"/>
        </w:rPr>
        <w:t>行审计并形成审计意见为背景，我们不对这些事项单独发表意见。</w:t>
      </w:r>
    </w:p>
    <w:p>
      <w:pPr>
        <w:pStyle w:val="BodyText"/>
        <w:spacing w:line="240" w:lineRule="auto" w:before="76"/>
        <w:ind w:left="518" w:right="0"/>
        <w:jc w:val="left"/>
      </w:pPr>
      <w:r>
        <w:rPr>
          <w:spacing w:val="-3"/>
        </w:rPr>
        <w:t>（一）收入确认</w:t>
      </w:r>
    </w:p>
    <w:p>
      <w:pPr>
        <w:pStyle w:val="BodyText"/>
        <w:spacing w:line="300" w:lineRule="auto" w:before="76"/>
        <w:ind w:left="662" w:right="1026"/>
        <w:jc w:val="left"/>
      </w:pPr>
      <w:r>
        <w:rPr>
          <w:rFonts w:ascii="Times New Roman" w:hAnsi="Times New Roman" w:cs="Times New Roman" w:eastAsia="Times New Roman" w:hint="default"/>
          <w:spacing w:val="-4"/>
        </w:rPr>
        <w:t>1.</w:t>
      </w:r>
      <w:r>
        <w:rPr>
          <w:spacing w:val="-4"/>
        </w:rPr>
        <w:t>事项描述</w:t>
      </w:r>
      <w:r>
        <w:rPr>
          <w:spacing w:val="-73"/>
        </w:rPr>
        <w:t> </w:t>
      </w:r>
      <w:r>
        <w:rPr>
          <w:spacing w:val="-73"/>
        </w:rPr>
      </w:r>
      <w:r>
        <w:rPr>
          <w:spacing w:val="-3"/>
        </w:rPr>
        <w:t>参见财务报表附注三、重要会计政策及会计估计</w:t>
      </w:r>
      <w:r>
        <w:rPr>
          <w:rFonts w:ascii="Times New Roman" w:hAnsi="Times New Roman" w:cs="Times New Roman" w:eastAsia="Times New Roman" w:hint="default"/>
          <w:spacing w:val="-3"/>
        </w:rPr>
        <w:t>25</w:t>
      </w:r>
      <w:r>
        <w:rPr>
          <w:spacing w:val="-3"/>
        </w:rPr>
        <w:t>，润和软件的主要收入分为软件开发业务及外购产品销售业务。</w:t>
      </w:r>
      <w:r>
        <w:rPr>
          <w:spacing w:val="59"/>
        </w:rPr>
        <w:t> </w:t>
      </w:r>
      <w:r>
        <w:rPr>
          <w:spacing w:val="59"/>
        </w:rPr>
      </w:r>
      <w:r>
        <w:rPr>
          <w:spacing w:val="-3"/>
        </w:rPr>
        <w:t>软件开发业务分为以下两类：</w:t>
      </w:r>
      <w:r>
        <w:rPr>
          <w:rFonts w:ascii="Times New Roman" w:hAnsi="Times New Roman" w:cs="Times New Roman" w:eastAsia="Times New Roman" w:hint="default"/>
          <w:spacing w:val="-3"/>
        </w:rPr>
        <w:t>a.</w:t>
      </w:r>
      <w:r>
        <w:rPr>
          <w:spacing w:val="-3"/>
        </w:rPr>
        <w:t>软件外包业务：软件外包业务分为软件定制业务和技术服务业务，其中软件定制业务</w:t>
      </w:r>
    </w:p>
    <w:p>
      <w:pPr>
        <w:pStyle w:val="BodyText"/>
        <w:spacing w:line="240" w:lineRule="auto" w:before="13"/>
        <w:ind w:right="0"/>
        <w:jc w:val="left"/>
      </w:pPr>
      <w:r>
        <w:rPr>
          <w:spacing w:val="-3"/>
        </w:rPr>
        <w:t>按照合同约定提交软件开发成果并经客户验收后确认收入；技术服务业务按照合同约定提供服务并经客户确认后确认收入；</w:t>
      </w:r>
    </w:p>
    <w:p>
      <w:pPr>
        <w:pStyle w:val="BodyText"/>
        <w:spacing w:line="300" w:lineRule="auto" w:before="76"/>
        <w:ind w:left="662" w:right="0" w:hanging="509"/>
        <w:jc w:val="left"/>
      </w:pPr>
      <w:r>
        <w:rPr>
          <w:rFonts w:ascii="Times New Roman" w:hAnsi="Times New Roman" w:cs="Times New Roman" w:eastAsia="Times New Roman" w:hint="default"/>
          <w:spacing w:val="-3"/>
        </w:rPr>
        <w:t>b.</w:t>
      </w:r>
      <w:r>
        <w:rPr>
          <w:spacing w:val="-3"/>
        </w:rPr>
        <w:t>自主软件产品销售业务：按照合同约定在产品交付并经客户验收后确认收入。</w:t>
      </w:r>
      <w:r>
        <w:rPr>
          <w:spacing w:val="18"/>
        </w:rPr>
        <w:t> </w:t>
      </w:r>
      <w:r>
        <w:rPr>
          <w:spacing w:val="18"/>
        </w:rPr>
      </w:r>
      <w:r>
        <w:rPr>
          <w:spacing w:val="-4"/>
        </w:rPr>
        <w:t>外购产品销售业务中，合同约定需要安装的于产品安装完成并经客户验收后确认收入，合同约定不需要安装的以产品</w:t>
      </w:r>
    </w:p>
    <w:p>
      <w:pPr>
        <w:pStyle w:val="BodyText"/>
        <w:spacing w:line="316" w:lineRule="auto" w:before="32"/>
        <w:ind w:left="662" w:right="0" w:hanging="509"/>
        <w:jc w:val="left"/>
      </w:pPr>
      <w:r>
        <w:rPr>
          <w:spacing w:val="-3"/>
        </w:rPr>
        <w:t>交付并经客户验收后确认收入。</w:t>
      </w:r>
      <w:r>
        <w:rPr>
          <w:spacing w:val="-45"/>
        </w:rPr>
        <w:t> </w:t>
      </w:r>
      <w:r>
        <w:rPr>
          <w:spacing w:val="-45"/>
        </w:rPr>
      </w:r>
      <w:r>
        <w:rPr>
          <w:spacing w:val="-4"/>
        </w:rPr>
        <w:t>由于收入是公司的关键业绩指标之一，从而存在管理层为了达到特定目标或期望而操纵收入确认时点的固有风险，我</w:t>
      </w:r>
    </w:p>
    <w:p>
      <w:pPr>
        <w:pStyle w:val="BodyText"/>
        <w:spacing w:line="309" w:lineRule="auto" w:before="19"/>
        <w:ind w:left="662" w:right="6967" w:hanging="509"/>
        <w:jc w:val="left"/>
      </w:pPr>
      <w:r>
        <w:rPr>
          <w:spacing w:val="-3"/>
        </w:rPr>
        <w:t>们将公司收入确认识别为关键审计事项。</w:t>
      </w:r>
      <w:r>
        <w:rPr>
          <w:spacing w:val="-33"/>
        </w:rPr>
        <w:t> </w:t>
      </w:r>
      <w:r>
        <w:rPr>
          <w:spacing w:val="-33"/>
        </w:rPr>
      </w:r>
      <w:r>
        <w:rPr>
          <w:rFonts w:ascii="Times New Roman" w:hAnsi="Times New Roman" w:cs="Times New Roman" w:eastAsia="Times New Roman" w:hint="default"/>
          <w:spacing w:val="-3"/>
        </w:rPr>
        <w:t>2.</w:t>
      </w:r>
      <w:r>
        <w:rPr>
          <w:spacing w:val="-3"/>
        </w:rPr>
        <w:t>审计应对</w:t>
      </w:r>
      <w:r>
        <w:rPr>
          <w:w w:val="101"/>
        </w:rPr>
        <w:t> </w:t>
      </w:r>
      <w:r>
        <w:rPr>
          <w:spacing w:val="-3"/>
        </w:rPr>
        <w:t>我们实施的审计程序主要包括：</w:t>
      </w:r>
    </w:p>
    <w:p>
      <w:pPr>
        <w:spacing w:after="0" w:line="309"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8" w:right="0"/>
        <w:jc w:val="left"/>
      </w:pPr>
      <w:r>
        <w:rPr>
          <w:spacing w:val="-3"/>
        </w:rPr>
        <w:t>（</w:t>
      </w:r>
      <w:r>
        <w:rPr>
          <w:rFonts w:ascii="Times New Roman" w:hAnsi="Times New Roman" w:cs="Times New Roman" w:eastAsia="Times New Roman" w:hint="default"/>
          <w:spacing w:val="-3"/>
        </w:rPr>
        <w:t>1</w:t>
      </w:r>
      <w:r>
        <w:rPr>
          <w:spacing w:val="-3"/>
        </w:rPr>
        <w:t>）评估并测试了公司在收入和成本确认流程中的关键控制；</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）执行分析性复核程序，判断销售收入和毛利变动的合理性，与前期指标进行对比分析；</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3</w:t>
      </w:r>
      <w:r>
        <w:rPr>
          <w:spacing w:val="-3"/>
        </w:rPr>
        <w:t>）使用抽样方法选取了部分合同，对收入的确认进行检查：</w:t>
      </w:r>
    </w:p>
    <w:p>
      <w:pPr>
        <w:pStyle w:val="BodyText"/>
        <w:spacing w:line="240" w:lineRule="auto" w:before="63"/>
        <w:ind w:left="662" w:right="0"/>
        <w:jc w:val="left"/>
      </w:pPr>
      <w:r>
        <w:rPr>
          <w:spacing w:val="-3"/>
        </w:rPr>
        <w:t>①检查合同条款，核对合同金额的准确性；</w:t>
      </w:r>
    </w:p>
    <w:p>
      <w:pPr>
        <w:pStyle w:val="BodyText"/>
        <w:spacing w:line="240" w:lineRule="auto" w:before="76"/>
        <w:ind w:left="662" w:right="0"/>
        <w:jc w:val="left"/>
      </w:pPr>
      <w:r>
        <w:rPr>
          <w:spacing w:val="-3"/>
        </w:rPr>
        <w:t>②检查重要项目客户签收的合同收入进度确认单；</w:t>
      </w:r>
    </w:p>
    <w:p>
      <w:pPr>
        <w:pStyle w:val="BodyText"/>
        <w:spacing w:line="240" w:lineRule="auto" w:before="76"/>
        <w:ind w:left="662" w:right="0"/>
        <w:jc w:val="left"/>
      </w:pPr>
      <w:r>
        <w:rPr>
          <w:spacing w:val="-3"/>
        </w:rPr>
        <w:t>③重新计算公司账面收入确认的准确性；</w:t>
      </w:r>
    </w:p>
    <w:p>
      <w:pPr>
        <w:pStyle w:val="BodyText"/>
        <w:spacing w:line="240" w:lineRule="auto" w:before="76"/>
        <w:ind w:left="662" w:right="0"/>
        <w:jc w:val="left"/>
      </w:pPr>
      <w:r>
        <w:rPr>
          <w:spacing w:val="-3"/>
        </w:rPr>
        <w:t>④针对</w:t>
      </w:r>
      <w:r>
        <w:rPr>
          <w:rFonts w:ascii="Times New Roman" w:hAnsi="Times New Roman" w:cs="Times New Roman" w:eastAsia="Times New Roman" w:hint="default"/>
          <w:spacing w:val="-3"/>
        </w:rPr>
        <w:t>2018</w:t>
      </w:r>
      <w:r>
        <w:rPr>
          <w:spacing w:val="-3"/>
        </w:rPr>
        <w:t>年度销售金额较大的客户执行函证程序；</w:t>
      </w:r>
    </w:p>
    <w:p>
      <w:pPr>
        <w:pStyle w:val="BodyText"/>
        <w:spacing w:line="240" w:lineRule="auto" w:before="63"/>
        <w:ind w:left="662" w:right="0"/>
        <w:jc w:val="left"/>
      </w:pPr>
      <w:r>
        <w:rPr>
          <w:spacing w:val="-3"/>
        </w:rPr>
        <w:t>⑤结合函证程序，对重点客户执行走访核查程序。</w:t>
      </w:r>
    </w:p>
    <w:p>
      <w:pPr>
        <w:pStyle w:val="BodyText"/>
        <w:spacing w:line="240" w:lineRule="auto" w:before="77"/>
        <w:ind w:left="518" w:right="0"/>
        <w:jc w:val="left"/>
      </w:pPr>
      <w:r>
        <w:rPr>
          <w:spacing w:val="-3"/>
        </w:rPr>
        <w:t>（二）应收账款坏账准备</w:t>
      </w:r>
    </w:p>
    <w:p>
      <w:pPr>
        <w:pStyle w:val="BodyText"/>
        <w:spacing w:line="300" w:lineRule="auto" w:before="76"/>
        <w:ind w:left="662" w:right="1026"/>
        <w:jc w:val="left"/>
      </w:pPr>
      <w:r>
        <w:rPr>
          <w:rFonts w:ascii="Times New Roman" w:hAnsi="Times New Roman" w:cs="Times New Roman" w:eastAsia="Times New Roman" w:hint="default"/>
          <w:spacing w:val="-3"/>
        </w:rPr>
        <w:t>1.</w:t>
      </w:r>
      <w:r>
        <w:rPr>
          <w:spacing w:val="-3"/>
        </w:rPr>
        <w:t>事项描述</w:t>
      </w:r>
      <w:r>
        <w:rPr>
          <w:spacing w:val="-74"/>
        </w:rPr>
        <w:t> </w:t>
      </w:r>
      <w:r>
        <w:rPr>
          <w:spacing w:val="-74"/>
        </w:rPr>
      </w:r>
      <w:r>
        <w:rPr>
          <w:spacing w:val="-3"/>
        </w:rPr>
        <w:t>参见财务报表附注五、</w:t>
      </w:r>
      <w:r>
        <w:rPr>
          <w:rFonts w:ascii="Times New Roman" w:hAnsi="Times New Roman" w:cs="Times New Roman" w:eastAsia="Times New Roman" w:hint="default"/>
          <w:spacing w:val="-3"/>
        </w:rPr>
        <w:t>2</w:t>
      </w:r>
      <w:r>
        <w:rPr>
          <w:spacing w:val="-3"/>
        </w:rPr>
        <w:t>，截止至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日，润和软件应收账款余额</w:t>
      </w:r>
      <w:r>
        <w:rPr>
          <w:rFonts w:ascii="Times New Roman" w:hAnsi="Times New Roman" w:cs="Times New Roman" w:eastAsia="Times New Roman" w:hint="default"/>
          <w:spacing w:val="-3"/>
        </w:rPr>
        <w:t>130,060.51</w:t>
      </w:r>
      <w:r>
        <w:rPr>
          <w:spacing w:val="-3"/>
        </w:rPr>
        <w:t>万元，坏账准备金额</w:t>
      </w:r>
      <w:r>
        <w:rPr>
          <w:rFonts w:ascii="Times New Roman" w:hAnsi="Times New Roman" w:cs="Times New Roman" w:eastAsia="Times New Roman" w:hint="default"/>
          <w:spacing w:val="-3"/>
        </w:rPr>
        <w:t>9,127.05</w:t>
      </w:r>
      <w:r>
        <w:rPr>
          <w:spacing w:val="-3"/>
        </w:rPr>
        <w:t>万</w:t>
      </w:r>
    </w:p>
    <w:p>
      <w:pPr>
        <w:pStyle w:val="BodyText"/>
        <w:spacing w:line="240" w:lineRule="auto" w:before="13"/>
        <w:ind w:right="0"/>
        <w:jc w:val="both"/>
      </w:pPr>
      <w:r>
        <w:rPr>
          <w:spacing w:val="-3"/>
        </w:rPr>
        <w:t>元，账面价值较高。</w:t>
      </w:r>
    </w:p>
    <w:p>
      <w:pPr>
        <w:pStyle w:val="BodyText"/>
        <w:spacing w:line="319" w:lineRule="auto" w:before="76"/>
        <w:ind w:right="1026" w:firstLine="508"/>
        <w:jc w:val="left"/>
      </w:pPr>
      <w:r>
        <w:rPr>
          <w:spacing w:val="-4"/>
        </w:rPr>
        <w:t>由于应收账款不能按期收回或无法收回而发生坏账对财务报表影响较为重大，我们将应收账款的坏账准备确定为关键</w:t>
      </w:r>
      <w:r>
        <w:rPr>
          <w:w w:val="101"/>
        </w:rPr>
        <w:t> </w:t>
      </w:r>
      <w:r>
        <w:rPr/>
        <w:t>审计事项。</w:t>
      </w:r>
    </w:p>
    <w:p>
      <w:pPr>
        <w:pStyle w:val="BodyText"/>
        <w:spacing w:line="300" w:lineRule="auto" w:before="17"/>
        <w:ind w:left="662" w:right="6287"/>
        <w:jc w:val="left"/>
      </w:pPr>
      <w:r>
        <w:rPr>
          <w:rFonts w:ascii="Times New Roman" w:hAnsi="Times New Roman" w:cs="Times New Roman" w:eastAsia="Times New Roman" w:hint="default"/>
          <w:spacing w:val="-3"/>
        </w:rPr>
        <w:t>2.</w:t>
      </w:r>
      <w:r>
        <w:rPr>
          <w:spacing w:val="-3"/>
        </w:rPr>
        <w:t>审计应对</w:t>
      </w:r>
      <w:r>
        <w:rPr>
          <w:spacing w:val="-74"/>
        </w:rPr>
        <w:t> </w:t>
      </w:r>
      <w:r>
        <w:rPr>
          <w:spacing w:val="-74"/>
        </w:rPr>
      </w:r>
      <w:r>
        <w:rPr>
          <w:spacing w:val="-3"/>
        </w:rPr>
        <w:t>我们对应收账款坏账准备实施的程序主要包括：</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1</w:t>
      </w:r>
      <w:r>
        <w:rPr>
          <w:spacing w:val="-3"/>
        </w:rPr>
        <w:t>）获取润和软件销售与应收账款管理相关的内部控制制度，了解和评价内部控制的设计并实施穿行测试检查相关内</w:t>
      </w:r>
      <w:r>
        <w:rPr>
          <w:w w:val="101"/>
        </w:rPr>
        <w:t> </w:t>
      </w:r>
      <w:r>
        <w:rPr>
          <w:spacing w:val="-3"/>
        </w:rPr>
        <w:t>控制度是否得到有效执行；</w:t>
      </w:r>
    </w:p>
    <w:p>
      <w:pPr>
        <w:pStyle w:val="BodyText"/>
        <w:spacing w:line="240" w:lineRule="auto" w:before="32"/>
        <w:ind w:left="518" w:right="0"/>
        <w:jc w:val="left"/>
      </w:pPr>
      <w:r>
        <w:rPr>
          <w:spacing w:val="-3"/>
        </w:rPr>
        <w:t>（</w:t>
      </w:r>
      <w:r>
        <w:rPr>
          <w:rFonts w:ascii="Times New Roman" w:hAnsi="Times New Roman" w:cs="Times New Roman" w:eastAsia="Times New Roman" w:hint="default"/>
          <w:spacing w:val="-3"/>
        </w:rPr>
        <w:t>2</w:t>
      </w:r>
      <w:r>
        <w:rPr>
          <w:spacing w:val="-3"/>
        </w:rPr>
        <w:t>）分析润和软件应收账款坏账准备会计估计的合理性：</w:t>
      </w:r>
    </w:p>
    <w:p>
      <w:pPr>
        <w:pStyle w:val="BodyText"/>
        <w:spacing w:line="240" w:lineRule="auto" w:before="63"/>
        <w:ind w:left="662" w:right="0"/>
        <w:jc w:val="left"/>
      </w:pPr>
      <w:r>
        <w:rPr>
          <w:spacing w:val="-3"/>
        </w:rPr>
        <w:t>①确定应收账款组合的依据、金额重大的判断、单独计提坏账准备的判断等；</w:t>
      </w:r>
    </w:p>
    <w:p>
      <w:pPr>
        <w:pStyle w:val="BodyText"/>
        <w:spacing w:line="240" w:lineRule="auto" w:before="76"/>
        <w:ind w:left="662" w:right="0"/>
        <w:jc w:val="left"/>
      </w:pPr>
      <w:r>
        <w:rPr>
          <w:spacing w:val="-3"/>
        </w:rPr>
        <w:t>②与同行业应收账款坏账政策对比，分析公司坏账政策的合理性；</w:t>
      </w:r>
    </w:p>
    <w:p>
      <w:pPr>
        <w:pStyle w:val="BodyText"/>
        <w:spacing w:line="300" w:lineRule="auto" w:before="76"/>
        <w:ind w:right="0" w:firstLine="364"/>
        <w:jc w:val="left"/>
      </w:pPr>
      <w:r>
        <w:rPr>
          <w:spacing w:val="-3"/>
        </w:rPr>
        <w:t>（</w:t>
      </w:r>
      <w:r>
        <w:rPr>
          <w:rFonts w:ascii="Times New Roman" w:hAnsi="Times New Roman" w:cs="Times New Roman" w:eastAsia="Times New Roman" w:hint="default"/>
          <w:spacing w:val="-3"/>
        </w:rPr>
        <w:t>3</w:t>
      </w:r>
      <w:r>
        <w:rPr>
          <w:spacing w:val="-3"/>
        </w:rPr>
        <w:t>）获取并检查应收账款明细表和账龄分析表、坏账准备计提表并结合应收账款函证及期后回款检查，确认应收账款</w:t>
      </w:r>
      <w:r>
        <w:rPr>
          <w:w w:val="101"/>
        </w:rPr>
        <w:t> </w:t>
      </w:r>
      <w:r>
        <w:rPr>
          <w:spacing w:val="-3"/>
        </w:rPr>
        <w:t>坏账准备计提的合理性；</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4</w:t>
      </w:r>
      <w:r>
        <w:rPr>
          <w:spacing w:val="-3"/>
        </w:rPr>
        <w:t>）了解逾期款项客户欠款原因，检查报告期内润和软件涉及诉讼的全部资料，核查润和软件报告期末是否存在交易</w:t>
      </w:r>
      <w:r>
        <w:rPr>
          <w:w w:val="101"/>
        </w:rPr>
        <w:t> </w:t>
      </w:r>
      <w:r>
        <w:rPr>
          <w:spacing w:val="-3"/>
        </w:rPr>
        <w:t>争议的应收账款，核查应收账款坏账计提充分性；</w:t>
      </w:r>
    </w:p>
    <w:p>
      <w:pPr>
        <w:pStyle w:val="BodyText"/>
        <w:spacing w:line="300" w:lineRule="auto" w:before="31"/>
        <w:ind w:right="1026" w:firstLine="364"/>
        <w:jc w:val="left"/>
      </w:pPr>
      <w:r>
        <w:rPr>
          <w:spacing w:val="-3"/>
        </w:rPr>
        <w:t>（</w:t>
      </w:r>
      <w:r>
        <w:rPr>
          <w:rFonts w:ascii="Times New Roman" w:hAnsi="Times New Roman" w:cs="Times New Roman" w:eastAsia="Times New Roman" w:hint="default"/>
          <w:spacing w:val="-3"/>
        </w:rPr>
        <w:t>5</w:t>
      </w:r>
      <w:r>
        <w:rPr>
          <w:spacing w:val="-3"/>
        </w:rPr>
        <w:t>）查询客户的工商资料，并对重要客户进行实地走访，了解重要客户的经营状况及持续经营能力，评估客户的回款</w:t>
      </w:r>
      <w:r>
        <w:rPr>
          <w:w w:val="101"/>
        </w:rPr>
        <w:t> </w:t>
      </w:r>
      <w:r>
        <w:rPr/>
        <w:t>意愿和能力；</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6</w:t>
      </w:r>
      <w:r>
        <w:rPr>
          <w:spacing w:val="-3"/>
        </w:rPr>
        <w:t>）以抽样方式向主要客户实施函证以确认应收账款余额。</w:t>
      </w:r>
    </w:p>
    <w:p>
      <w:pPr>
        <w:pStyle w:val="BodyText"/>
        <w:spacing w:line="240" w:lineRule="auto" w:before="63"/>
        <w:ind w:left="518" w:right="0"/>
        <w:jc w:val="left"/>
      </w:pPr>
      <w:r>
        <w:rPr>
          <w:spacing w:val="-3"/>
        </w:rPr>
        <w:t>（三）商誉减值</w:t>
      </w:r>
    </w:p>
    <w:p>
      <w:pPr>
        <w:pStyle w:val="BodyText"/>
        <w:spacing w:line="300" w:lineRule="auto" w:before="77"/>
        <w:ind w:left="662" w:right="1026"/>
        <w:jc w:val="left"/>
      </w:pPr>
      <w:r>
        <w:rPr>
          <w:rFonts w:ascii="Times New Roman" w:hAnsi="Times New Roman" w:cs="Times New Roman" w:eastAsia="Times New Roman" w:hint="default"/>
          <w:spacing w:val="-3"/>
        </w:rPr>
        <w:t>1.</w:t>
      </w:r>
      <w:r>
        <w:rPr>
          <w:spacing w:val="-3"/>
        </w:rPr>
        <w:t>事项描述</w:t>
      </w:r>
      <w:r>
        <w:rPr>
          <w:spacing w:val="-74"/>
        </w:rPr>
        <w:t> </w:t>
      </w:r>
      <w:r>
        <w:rPr>
          <w:spacing w:val="-74"/>
        </w:rPr>
      </w:r>
      <w:r>
        <w:rPr>
          <w:spacing w:val="-3"/>
        </w:rPr>
        <w:t>参见财务报表附注五、</w:t>
      </w:r>
      <w:r>
        <w:rPr>
          <w:rFonts w:ascii="Times New Roman" w:hAnsi="Times New Roman" w:cs="Times New Roman" w:eastAsia="Times New Roman" w:hint="default"/>
          <w:spacing w:val="-3"/>
        </w:rPr>
        <w:t>12</w:t>
      </w:r>
      <w:r>
        <w:rPr>
          <w:spacing w:val="-3"/>
        </w:rPr>
        <w:t>，截止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日，润和软件商誉的账面价值为</w:t>
      </w:r>
      <w:r>
        <w:rPr>
          <w:rFonts w:ascii="Times New Roman" w:hAnsi="Times New Roman" w:cs="Times New Roman" w:eastAsia="Times New Roman" w:hint="default"/>
          <w:spacing w:val="-3"/>
        </w:rPr>
        <w:t>263,802.47</w:t>
      </w:r>
      <w:r>
        <w:rPr>
          <w:spacing w:val="-3"/>
        </w:rPr>
        <w:t>万元，占总资产的</w:t>
      </w:r>
      <w:r>
        <w:rPr>
          <w:rFonts w:ascii="Times New Roman" w:hAnsi="Times New Roman" w:cs="Times New Roman" w:eastAsia="Times New Roman" w:hint="default"/>
          <w:spacing w:val="-3"/>
        </w:rPr>
        <w:t>41.51%</w:t>
      </w:r>
      <w:r>
        <w:rPr>
          <w:spacing w:val="-3"/>
        </w:rPr>
        <w:t>，</w:t>
      </w:r>
    </w:p>
    <w:p>
      <w:pPr>
        <w:pStyle w:val="BodyText"/>
        <w:spacing w:line="312" w:lineRule="auto" w:before="13"/>
        <w:ind w:right="1123"/>
        <w:jc w:val="both"/>
      </w:pPr>
      <w:r>
        <w:rPr>
          <w:spacing w:val="-3"/>
        </w:rPr>
        <w:t>相应的减值准备余额为</w:t>
      </w:r>
      <w:r>
        <w:rPr>
          <w:rFonts w:ascii="Times New Roman" w:hAnsi="Times New Roman" w:cs="Times New Roman" w:eastAsia="Times New Roman" w:hint="default"/>
          <w:spacing w:val="-3"/>
        </w:rPr>
        <w:t>29.60</w:t>
      </w:r>
      <w:r>
        <w:rPr>
          <w:spacing w:val="-3"/>
        </w:rPr>
        <w:t>万元。管理层聘请第三方评估机构对收购的子公司的股东权益价值进行评估，以协助管理层对</w:t>
      </w:r>
      <w:r>
        <w:rPr>
          <w:spacing w:val="77"/>
        </w:rPr>
        <w:t> </w:t>
      </w:r>
      <w:r>
        <w:rPr>
          <w:spacing w:val="77"/>
        </w:rPr>
      </w:r>
      <w:r>
        <w:rPr>
          <w:spacing w:val="-4"/>
        </w:rPr>
        <w:t>公司商誉进行减值测试。管理层根据包含分摊的商誉的资产组或资产组组合的可收回金额低于其账面价值的部分，确认相应</w:t>
      </w:r>
      <w:r>
        <w:rPr>
          <w:spacing w:val="44"/>
        </w:rPr>
        <w:t> </w:t>
      </w:r>
      <w:r>
        <w:rPr>
          <w:spacing w:val="44"/>
        </w:rPr>
      </w:r>
      <w:r>
        <w:rPr>
          <w:spacing w:val="-4"/>
        </w:rPr>
        <w:t>的减值准备。商誉减值评估涉及的关键假设包括收入增长率、毛利率、费用率及折现率。由于相关减值评估与测试需要管理</w:t>
      </w:r>
      <w:r>
        <w:rPr>
          <w:spacing w:val="41"/>
        </w:rPr>
        <w:t> </w:t>
      </w:r>
      <w:r>
        <w:rPr>
          <w:spacing w:val="41"/>
        </w:rPr>
      </w:r>
      <w:r>
        <w:rPr>
          <w:spacing w:val="-3"/>
        </w:rPr>
        <w:t>层作出重大判断，因此我们将该类资产的减值评估确认为关键审计事项。</w:t>
      </w:r>
    </w:p>
    <w:p>
      <w:pPr>
        <w:pStyle w:val="BodyText"/>
        <w:spacing w:line="300" w:lineRule="auto" w:before="22"/>
        <w:ind w:left="662" w:right="7602"/>
        <w:jc w:val="left"/>
      </w:pPr>
      <w:r>
        <w:rPr>
          <w:rFonts w:ascii="Times New Roman" w:hAnsi="Times New Roman" w:cs="Times New Roman" w:eastAsia="Times New Roman" w:hint="default"/>
          <w:spacing w:val="-3"/>
        </w:rPr>
        <w:t>2.</w:t>
      </w:r>
      <w:r>
        <w:rPr>
          <w:spacing w:val="-3"/>
        </w:rPr>
        <w:t>审计应对</w:t>
      </w:r>
      <w:r>
        <w:rPr>
          <w:spacing w:val="-74"/>
        </w:rPr>
        <w:t> </w:t>
      </w:r>
      <w:r>
        <w:rPr>
          <w:spacing w:val="-74"/>
        </w:rPr>
      </w:r>
      <w:r>
        <w:rPr>
          <w:spacing w:val="-3"/>
        </w:rPr>
        <w:t>我们实施的审计程序主要包括：</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1</w:t>
      </w:r>
      <w:r>
        <w:rPr>
          <w:spacing w:val="-3"/>
        </w:rPr>
        <w:t>）了解公司与商誉评估相关的内部控制的设计及运行有效性；</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）了解并评价管理层聘用的外部估值专家的胜任能力、专业素质和客观性；</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3</w:t>
      </w:r>
      <w:r>
        <w:rPr>
          <w:spacing w:val="-3"/>
        </w:rPr>
        <w:t>）与外部专家进行沟通，判断对商誉减值测试所依据的评估和预测采用的相关假设是否合理，评估方法是否恰当；</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4</w:t>
      </w:r>
      <w:r>
        <w:rPr>
          <w:spacing w:val="-3"/>
        </w:rPr>
        <w:t>）复核管理层以前年度对未来现金流量现值的预测和实际经营结果，评价管理层过往预测的准确性；</w:t>
      </w:r>
    </w:p>
    <w:p>
      <w:pPr>
        <w:pStyle w:val="BodyText"/>
        <w:spacing w:line="300" w:lineRule="auto" w:before="63"/>
        <w:ind w:left="662" w:right="6287" w:hanging="144"/>
        <w:jc w:val="left"/>
      </w:pPr>
      <w:r>
        <w:rPr>
          <w:spacing w:val="-3"/>
        </w:rPr>
        <w:t>（</w:t>
      </w:r>
      <w:r>
        <w:rPr>
          <w:rFonts w:ascii="Times New Roman" w:hAnsi="Times New Roman" w:cs="Times New Roman" w:eastAsia="Times New Roman" w:hint="default"/>
          <w:spacing w:val="-3"/>
        </w:rPr>
        <w:t>5</w:t>
      </w:r>
      <w:r>
        <w:rPr>
          <w:spacing w:val="-3"/>
        </w:rPr>
        <w:t>）评估管理层对商誉的财务报表披露是否恰当。</w:t>
      </w:r>
      <w:r>
        <w:rPr>
          <w:spacing w:val="-22"/>
        </w:rPr>
        <w:t> </w:t>
      </w:r>
      <w:r>
        <w:rPr>
          <w:spacing w:val="-22"/>
        </w:rPr>
      </w:r>
      <w:r>
        <w:rPr>
          <w:spacing w:val="-3"/>
        </w:rPr>
        <w:t>四、其他信息</w:t>
      </w:r>
    </w:p>
    <w:p>
      <w:pPr>
        <w:pStyle w:val="BodyText"/>
        <w:spacing w:line="240" w:lineRule="auto" w:before="31"/>
        <w:ind w:left="662" w:right="0"/>
        <w:jc w:val="left"/>
      </w:pPr>
      <w:r>
        <w:rPr>
          <w:spacing w:val="-4"/>
        </w:rPr>
        <w:t>润和软件管理层（以下简称管理层）对其他信息负责。其他信息包括润和软件</w:t>
      </w:r>
      <w:r>
        <w:rPr>
          <w:rFonts w:ascii="Times New Roman" w:hAnsi="Times New Roman" w:cs="Times New Roman" w:eastAsia="Times New Roman" w:hint="default"/>
          <w:spacing w:val="-4"/>
        </w:rPr>
        <w:t>2018</w:t>
      </w:r>
      <w:r>
        <w:rPr>
          <w:spacing w:val="-4"/>
        </w:rPr>
        <w:t>年度报告中涵盖的信息，但不包括</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662" w:right="1026" w:hanging="509"/>
        <w:jc w:val="left"/>
      </w:pPr>
      <w:r>
        <w:rPr>
          <w:spacing w:val="-3"/>
        </w:rPr>
        <w:t>财务报表和我们的审计报告。</w:t>
      </w:r>
      <w:r>
        <w:rPr>
          <w:spacing w:val="-50"/>
        </w:rPr>
        <w:t> </w:t>
      </w:r>
      <w:r>
        <w:rPr>
          <w:spacing w:val="-50"/>
        </w:rPr>
      </w:r>
      <w:r>
        <w:rPr>
          <w:spacing w:val="-3"/>
        </w:rPr>
        <w:t>我们对财务报表发表的审计意见不涵盖其他信息，我们也不对其他信息发表任何形式的鉴证结论。</w:t>
      </w:r>
      <w:r>
        <w:rPr>
          <w:w w:val="101"/>
        </w:rPr>
        <w:t> </w:t>
      </w:r>
      <w:r>
        <w:rPr>
          <w:spacing w:val="-4"/>
        </w:rPr>
        <w:t>结合我们对财务报表的审计，我们的责任是阅读其他信息，在此过程中，考虑其他信息是否与财务报表或我们在审计</w:t>
      </w:r>
    </w:p>
    <w:p>
      <w:pPr>
        <w:pStyle w:val="BodyText"/>
        <w:spacing w:line="316" w:lineRule="auto" w:before="19"/>
        <w:ind w:left="662" w:right="0" w:hanging="509"/>
        <w:jc w:val="left"/>
      </w:pPr>
      <w:r>
        <w:rPr>
          <w:spacing w:val="-3"/>
        </w:rPr>
        <w:t>过程中了解到的情况存在重大不一致或者似乎存在重大错报。</w:t>
      </w:r>
      <w:r>
        <w:rPr>
          <w:spacing w:val="-10"/>
        </w:rPr>
        <w:t> </w:t>
      </w:r>
      <w:r>
        <w:rPr>
          <w:spacing w:val="-10"/>
        </w:rPr>
      </w:r>
      <w:r>
        <w:rPr>
          <w:spacing w:val="-4"/>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pStyle w:val="BodyText"/>
        <w:spacing w:line="316" w:lineRule="auto" w:before="76"/>
        <w:ind w:left="662" w:right="0"/>
        <w:jc w:val="left"/>
      </w:pPr>
      <w:r>
        <w:rPr>
          <w:spacing w:val="-3"/>
        </w:rPr>
        <w:t>五、管理层和治理层对财务报表的责任</w:t>
      </w:r>
      <w:r>
        <w:rPr>
          <w:spacing w:val="-39"/>
        </w:rPr>
        <w:t> </w:t>
      </w:r>
      <w:r>
        <w:rPr>
          <w:spacing w:val="-39"/>
        </w:rPr>
      </w:r>
      <w:r>
        <w:rPr>
          <w:spacing w:val="-4"/>
        </w:rPr>
        <w:t>润和软件管理层负责按照企业会计准则的规定编制财务报表，使其实现公允反映，并设计、执行和维护必要的内部控</w:t>
      </w:r>
    </w:p>
    <w:p>
      <w:pPr>
        <w:pStyle w:val="BodyText"/>
        <w:spacing w:line="316" w:lineRule="auto" w:before="19"/>
        <w:ind w:left="662" w:right="0" w:hanging="509"/>
        <w:jc w:val="left"/>
      </w:pPr>
      <w:r>
        <w:rPr>
          <w:spacing w:val="-3"/>
        </w:rPr>
        <w:t>制，以使财务报表不存在由于舞弊或错误导致的重大错报。</w:t>
      </w:r>
      <w:r>
        <w:rPr>
          <w:spacing w:val="-10"/>
        </w:rPr>
        <w:t> </w:t>
      </w:r>
      <w:r>
        <w:rPr>
          <w:spacing w:val="-10"/>
        </w:rPr>
      </w:r>
      <w:r>
        <w:rPr>
          <w:spacing w:val="-3"/>
        </w:rPr>
        <w:t>在编制财务报表时，管理层负责评估润和软件的持续经营能力，披露与持续经营相关的事项，并运用持续经营假设，</w:t>
      </w:r>
    </w:p>
    <w:p>
      <w:pPr>
        <w:pStyle w:val="BodyText"/>
        <w:spacing w:line="316" w:lineRule="auto" w:before="19"/>
        <w:ind w:left="662" w:right="5503" w:hanging="509"/>
        <w:jc w:val="left"/>
      </w:pPr>
      <w:r>
        <w:rPr>
          <w:spacing w:val="-3"/>
        </w:rPr>
        <w:t>除非管理层计划清算润和软件、终止运营或别无其他现实的选择。</w:t>
      </w:r>
      <w:r>
        <w:rPr>
          <w:spacing w:val="-4"/>
        </w:rPr>
        <w:t> </w:t>
      </w:r>
      <w:r>
        <w:rPr>
          <w:spacing w:val="-4"/>
        </w:rPr>
      </w:r>
      <w:r>
        <w:rPr>
          <w:spacing w:val="-3"/>
        </w:rPr>
        <w:t>治理层负责监督润和软件的财务报告过程。</w:t>
      </w:r>
      <w:r>
        <w:rPr>
          <w:w w:val="101"/>
        </w:rPr>
        <w:t> </w:t>
      </w:r>
      <w:r>
        <w:rPr>
          <w:spacing w:val="-3"/>
        </w:rPr>
        <w:t>六、注册会计师对财务报表审计的责任</w:t>
      </w:r>
    </w:p>
    <w:p>
      <w:pPr>
        <w:pStyle w:val="BodyText"/>
        <w:spacing w:line="316" w:lineRule="auto" w:before="19"/>
        <w:ind w:right="1124" w:firstLine="508"/>
        <w:jc w:val="both"/>
      </w:pPr>
      <w:r>
        <w:rPr>
          <w:spacing w:val="-4"/>
        </w:rPr>
        <w:t>我们的目标是对财务报表整体是否不存在由于舞弊或错误导致的重大错报获取合理保证，并出具包含审计意见的审计</w:t>
      </w:r>
      <w:r>
        <w:rPr>
          <w:w w:val="101"/>
        </w:rPr>
        <w:t> </w:t>
      </w: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3"/>
        </w:rPr>
        <w:t> </w:t>
      </w:r>
      <w:r>
        <w:rPr>
          <w:spacing w:val="43"/>
        </w:rPr>
      </w:r>
      <w:r>
        <w:rPr>
          <w:spacing w:val="-4"/>
        </w:rPr>
        <w:t>是重大的。</w:t>
      </w:r>
      <w:r>
        <w:rPr/>
      </w:r>
    </w:p>
    <w:p>
      <w:pPr>
        <w:pStyle w:val="BodyText"/>
        <w:spacing w:line="240" w:lineRule="auto" w:before="19"/>
        <w:ind w:left="662" w:right="0"/>
        <w:jc w:val="left"/>
      </w:pPr>
      <w:r>
        <w:rPr>
          <w:spacing w:val="-3"/>
        </w:rPr>
        <w:t>在按照审计准则执行审计工作的过程中，我们运用职业判断，并保持职业怀疑。同时，我们也执行以下工作：</w:t>
      </w:r>
    </w:p>
    <w:p>
      <w:pPr>
        <w:pStyle w:val="BodyText"/>
        <w:spacing w:line="309" w:lineRule="auto" w:before="77"/>
        <w:ind w:right="0" w:firstLine="364"/>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24"/>
        <w:ind w:left="518" w:right="0"/>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）了解与审计相关的内部控制，以设计恰当的审计程序，但目的并非对内部控制的有效性发表意见。</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3</w:t>
      </w:r>
      <w:r>
        <w:rPr>
          <w:spacing w:val="-3"/>
        </w:rPr>
        <w:t>）评价管理层选用会计政策的恰当性和作出会计估计及相关披露的合理性。</w:t>
      </w:r>
    </w:p>
    <w:p>
      <w:pPr>
        <w:pStyle w:val="BodyText"/>
        <w:spacing w:line="312" w:lineRule="auto" w:before="63"/>
        <w:ind w:right="1124" w:firstLine="364"/>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）对管理层使用持续经营假设的恰当性得出结论。同时，根据获取的审计证据，就可能导致对润和软件持续经营能</w:t>
      </w:r>
      <w:r>
        <w:rPr>
          <w:w w:val="101"/>
        </w:rPr>
        <w:t> </w:t>
      </w:r>
      <w:r>
        <w:rPr>
          <w:spacing w:val="-4"/>
        </w:rPr>
        <w:t>力产生重大疑虑的事项或情况是否存在重大不确定性得出结论。如果我们得出结论认为存在重大不确定性，审计准则要求我</w:t>
      </w:r>
      <w:r>
        <w:rPr>
          <w:spacing w:val="38"/>
        </w:rPr>
        <w:t> </w:t>
      </w:r>
      <w:r>
        <w:rPr>
          <w:spacing w:val="38"/>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于截至审计报告日可获得的信息。然而，未来的事项或情况可能导致润和软件不能持续经营。</w:t>
      </w:r>
    </w:p>
    <w:p>
      <w:pPr>
        <w:pStyle w:val="BodyText"/>
        <w:spacing w:line="240" w:lineRule="auto" w:before="22"/>
        <w:ind w:left="518" w:right="0"/>
        <w:jc w:val="left"/>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）评价财务报表的总体列报、结构和内容（包括披露），并评价财务报表是否公允反映相关交易和事项。</w:t>
      </w:r>
    </w:p>
    <w:p>
      <w:pPr>
        <w:pStyle w:val="BodyText"/>
        <w:spacing w:line="300" w:lineRule="auto" w:before="63"/>
        <w:ind w:right="0" w:firstLine="364"/>
        <w:jc w:val="left"/>
      </w:pPr>
      <w:r>
        <w:rPr>
          <w:spacing w:val="-3"/>
        </w:rPr>
        <w:t>（</w:t>
      </w:r>
      <w:r>
        <w:rPr>
          <w:rFonts w:ascii="Times New Roman" w:hAnsi="Times New Roman" w:cs="Times New Roman" w:eastAsia="Times New Roman" w:hint="default"/>
          <w:spacing w:val="-3"/>
        </w:rPr>
        <w:t>6</w:t>
      </w:r>
      <w:r>
        <w:rPr>
          <w:spacing w:val="-3"/>
        </w:rPr>
        <w:t>）就润和软件中实体或业务活动的财务信息获取充分、适当的审计证据，以对财务报表发表审计意见。我们负责指</w:t>
      </w:r>
      <w:r>
        <w:rPr>
          <w:w w:val="101"/>
        </w:rPr>
        <w:t> </w:t>
      </w:r>
      <w:r>
        <w:rPr>
          <w:spacing w:val="-3"/>
        </w:rPr>
        <w:t>导、监督和执行集团审计，并对审计意见承担全部责任。</w:t>
      </w:r>
    </w:p>
    <w:p>
      <w:pPr>
        <w:pStyle w:val="BodyText"/>
        <w:spacing w:line="316" w:lineRule="auto" w:before="31"/>
        <w:ind w:right="1128" w:firstLine="508"/>
        <w:jc w:val="both"/>
      </w:pPr>
      <w:r>
        <w:rPr>
          <w:spacing w:val="-4"/>
        </w:rPr>
        <w:t>我们与治理层就计划的审计范围、时间安排和重大审计发现等事项进行沟通，包括沟通我们在审计中识别出的值得关</w:t>
      </w:r>
      <w:r>
        <w:rPr>
          <w:w w:val="101"/>
        </w:rPr>
        <w:t> </w:t>
      </w:r>
      <w:r>
        <w:rPr>
          <w:spacing w:val="-3"/>
        </w:rPr>
        <w:t>注的内部控制缺陷。</w:t>
      </w:r>
    </w:p>
    <w:p>
      <w:pPr>
        <w:pStyle w:val="BodyText"/>
        <w:spacing w:line="316" w:lineRule="auto" w:before="19"/>
        <w:ind w:right="1122" w:firstLine="508"/>
        <w:jc w:val="both"/>
      </w:pPr>
      <w:r>
        <w:rPr>
          <w:spacing w:val="-4"/>
        </w:rPr>
        <w:t>我们还就已遵守与独立性相关的职业道德要求向治理层提供声明，并与治理层沟通可能被合理认为影响我们独立性的</w:t>
      </w:r>
      <w:r>
        <w:rPr>
          <w:w w:val="101"/>
        </w:rPr>
        <w:t> </w:t>
      </w:r>
      <w:r>
        <w:rPr>
          <w:spacing w:val="-3"/>
        </w:rPr>
        <w:t>所有关系和其他事项，以及相关的防范措施。</w:t>
      </w:r>
    </w:p>
    <w:p>
      <w:pPr>
        <w:pStyle w:val="BodyText"/>
        <w:spacing w:line="316" w:lineRule="auto" w:before="19"/>
        <w:ind w:right="1124" w:firstLine="508"/>
        <w:jc w:val="both"/>
      </w:pPr>
      <w:r>
        <w:rPr>
          <w:spacing w:val="-4"/>
        </w:rPr>
        <w:t>从与治理层沟通过的事项中，我们确定哪些事项对本期财务报表审计最为重要，因而构成关键审计事项。我们在审计</w:t>
      </w:r>
      <w:r>
        <w:rPr>
          <w:w w:val="101"/>
        </w:rPr>
        <w:t> </w:t>
      </w:r>
      <w:r>
        <w:rPr>
          <w:spacing w:val="-4"/>
        </w:rPr>
        <w:t>报告中描述这些事项，除非法律法规禁止公开披露这些事项，或在极少数情形下，如果合理预期在审计报告中沟通某事项造</w:t>
      </w:r>
      <w:r>
        <w:rPr>
          <w:spacing w:val="43"/>
        </w:rPr>
        <w:t> </w:t>
      </w:r>
      <w:r>
        <w:rPr>
          <w:spacing w:val="43"/>
        </w:rPr>
      </w:r>
      <w:r>
        <w:rPr>
          <w:spacing w:val="-3"/>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7840" w:val="left" w:leader="none"/>
          <w:tab w:pos="8604" w:val="left" w:leader="none"/>
        </w:tabs>
        <w:spacing w:line="319" w:lineRule="auto"/>
        <w:ind w:left="1325" w:right="1054" w:hanging="951"/>
        <w:jc w:val="left"/>
      </w:pPr>
      <w:r>
        <w:rPr>
          <w:spacing w:val="-5"/>
        </w:rPr>
        <w:t>华普天健会计师事务所（特殊普通合伙）</w:t>
        <w:tab/>
        <w:t>中国注册会计师：汪玉寿</w:t>
      </w:r>
      <w:r>
        <w:rPr>
          <w:spacing w:val="-63"/>
        </w:rPr>
        <w:t> </w:t>
      </w:r>
      <w:r>
        <w:rPr>
          <w:spacing w:val="-63"/>
        </w:rPr>
      </w:r>
      <w:r>
        <w:rPr>
          <w:spacing w:val="-2"/>
        </w:rPr>
        <w:t>中国</w:t>
      </w:r>
      <w:r>
        <w:rPr>
          <w:rFonts w:ascii="Times New Roman" w:hAnsi="Times New Roman" w:cs="Times New Roman" w:eastAsia="Times New Roman" w:hint="default"/>
          <w:spacing w:val="-2"/>
        </w:rPr>
        <w:t>·</w:t>
      </w:r>
      <w:r>
        <w:rPr>
          <w:spacing w:val="-2"/>
        </w:rPr>
        <w:t>北京</w:t>
        <w:tab/>
        <w:tab/>
      </w:r>
      <w:r>
        <w:rPr>
          <w:spacing w:val="-3"/>
        </w:rPr>
        <w:t>（项目合伙人）</w:t>
      </w:r>
    </w:p>
    <w:p>
      <w:pPr>
        <w:pStyle w:val="BodyText"/>
        <w:spacing w:line="316" w:lineRule="auto"/>
        <w:ind w:left="8023" w:right="1121" w:hanging="207"/>
        <w:jc w:val="right"/>
      </w:pPr>
      <w:r>
        <w:rPr>
          <w:spacing w:val="-3"/>
        </w:rPr>
        <w:t>中国注册会计师：孔令莉</w:t>
      </w:r>
      <w:r>
        <w:rPr>
          <w:spacing w:val="-68"/>
        </w:rPr>
        <w:t> </w:t>
      </w:r>
      <w:r>
        <w:rPr>
          <w:spacing w:val="-68"/>
        </w:rPr>
      </w:r>
      <w:r>
        <w:rPr>
          <w:spacing w:val="-5"/>
        </w:rPr>
        <w:t>中国注册会计师：李丹</w:t>
      </w:r>
    </w:p>
    <w:p>
      <w:pPr>
        <w:spacing w:line="240" w:lineRule="auto" w:before="4"/>
        <w:rPr>
          <w:rFonts w:ascii="宋体" w:hAnsi="宋体" w:cs="宋体" w:eastAsia="宋体" w:hint="default"/>
          <w:sz w:val="25"/>
          <w:szCs w:val="25"/>
        </w:rPr>
      </w:pPr>
    </w:p>
    <w:p>
      <w:pPr>
        <w:pStyle w:val="BodyText"/>
        <w:spacing w:line="240" w:lineRule="auto"/>
        <w:ind w:left="0" w:right="1121"/>
        <w:jc w:val="righ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w:t>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85"/>
        <w:ind w:right="0"/>
        <w:jc w:val="left"/>
        <w:rPr>
          <w:b w:val="0"/>
          <w:bCs w:val="0"/>
        </w:rPr>
      </w:pPr>
      <w:r>
        <w:rPr/>
        <w:t>二、财务报表</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财务附注中报表的单位为：人民币元</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0"/>
        </w:sectPr>
      </w:pPr>
    </w:p>
    <w:p>
      <w:pPr>
        <w:pStyle w:val="BodyText"/>
        <w:spacing w:line="240" w:lineRule="auto" w:before="46"/>
        <w:ind w:right="0"/>
        <w:jc w:val="left"/>
      </w:pPr>
      <w:r>
        <w:rPr>
          <w:spacing w:val="-3"/>
        </w:rPr>
        <w:t>编制单位：江苏润和软件股份有限公司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7" w:space="860"/>
            <w:col w:w="1642" w:space="3203"/>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1,252,551,826.69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882,943,137.49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9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w w:val="101"/>
                <w:sz w:val="18"/>
                <w:szCs w:val="18"/>
              </w:rPr>
              <w:t> </w:t>
            </w:r>
            <w:r>
              <w:rPr>
                <w:rFonts w:ascii="宋体" w:hAnsi="宋体" w:cs="宋体" w:eastAsia="宋体" w:hint="default"/>
                <w:spacing w:val="-3"/>
                <w:sz w:val="18"/>
                <w:szCs w:val="18"/>
              </w:rPr>
              <w:t>损益的金融资产</w:t>
            </w:r>
          </w:p>
        </w:tc>
        <w:tc>
          <w:tcPr>
            <w:tcW w:w="3409" w:type="dxa"/>
            <w:tcBorders>
              <w:top w:val="single" w:sz="4" w:space="0" w:color="000000"/>
              <w:left w:val="single" w:sz="10"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1,226,078,619.17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1,041,076,682.10</w:t>
            </w: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其中：应收票据</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11,921,522.74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1,209,334,647.06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1,029,155,159.36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9,582,685.90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18,885,374.85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29,220,197.73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55,684,852.76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391,111.11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278,361,508.40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4,710,552.21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2,795,794,837.89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2,003,300,599.41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20,892,385.13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12,938,355.32</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46,858,875.12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14,404,988.54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630,185,392.19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608,629,342.95</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14,552,771.28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87,916,054.97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99,389,910.19</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60,442,202.13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14,060,060.43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2,638,024,655.66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2,615,847,954.50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9,580,254.46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13,917,694.97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65,700,603.40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49,237,574.08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3,559,659,960.99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3,442,978,652.26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6,355,454,798.88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5,446,279,251.67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890,000,000.00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710,000,000.00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5"/>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9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w w:val="101"/>
                <w:sz w:val="18"/>
                <w:szCs w:val="18"/>
              </w:rPr>
              <w:t> </w:t>
            </w:r>
            <w:r>
              <w:rPr>
                <w:rFonts w:ascii="宋体" w:hAnsi="宋体" w:cs="宋体" w:eastAsia="宋体" w:hint="default"/>
                <w:spacing w:val="-3"/>
                <w:sz w:val="18"/>
                <w:szCs w:val="18"/>
              </w:rPr>
              <w:t>损益的金融负债</w:t>
            </w:r>
          </w:p>
        </w:tc>
        <w:tc>
          <w:tcPr>
            <w:tcW w:w="3409" w:type="dxa"/>
            <w:tcBorders>
              <w:top w:val="single" w:sz="4" w:space="0" w:color="000000"/>
              <w:left w:val="single" w:sz="10"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5"/>
              <w:jc w:val="righ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32,568,373.74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44,193,756.16</w:t>
            </w: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5,098,770.22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5,448,995.91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75"/>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119,714,775.59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77,473,598.32</w:t>
            </w:r>
          </w:p>
        </w:tc>
      </w:tr>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40,185,803.35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36,504,723.23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21,772,945.85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33,481,706.99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2,034,038.71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1,869,099.44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71,874,092.70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60,947,371.45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1,591,214,761.45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1,038,050,152.06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16,172,500.00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11,362,500.00</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1,220,862.16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2,620,561.79</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117,393,362.16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673,983,061.79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1,708,608,123.61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1,712,033,213.85</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796,410,841.00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715,466,700.00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2,877,828,295.13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2,158,045,926.73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148,976,163.45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-1,757,368.61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-7,822,153.99</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79,632,498.72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62,954,020.27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1,022,608,372.38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804,550,016.65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4,625,746,475.17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3,733,194,509.66</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21,100,200.10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1,051,528.16</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4,646,846,675.27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3,734,246,037.82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6,355,454,798.88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5,446,279,251.67</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567" w:val="left" w:leader="none"/>
        </w:tabs>
        <w:spacing w:line="240" w:lineRule="auto" w:before="46"/>
        <w:ind w:left="0" w:right="1218"/>
        <w:jc w:val="right"/>
      </w:pPr>
      <w:r>
        <w:rPr>
          <w:spacing w:val="-3"/>
        </w:rPr>
        <w:t>法定代表人：周红卫</w:t>
        <w:tab/>
        <w:t>主管会计工作负责人：邵峰</w:t>
        <w:tab/>
        <w:t>会计机构负责人：张新宇</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436,310,814.07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274,566,821.48</w:t>
            </w:r>
          </w:p>
        </w:tc>
      </w:tr>
      <w:tr>
        <w:trPr>
          <w:trHeight w:val="710"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3"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w w:val="101"/>
                <w:sz w:val="18"/>
                <w:szCs w:val="18"/>
              </w:rPr>
              <w:t> </w:t>
            </w:r>
            <w:r>
              <w:rPr>
                <w:rFonts w:ascii="宋体" w:hAnsi="宋体" w:cs="宋体" w:eastAsia="宋体" w:hint="default"/>
                <w:sz w:val="18"/>
                <w:szCs w:val="18"/>
              </w:rPr>
              <w:t>益的金融资产</w:t>
            </w:r>
          </w:p>
        </w:tc>
        <w:tc>
          <w:tcPr>
            <w:tcW w:w="329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429,033,398.51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348,217,851.80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其中：应收票据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16,743,972.11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11,771,522.74</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412,289,426.40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336,446,329.06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3,788,983.99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6,203,491.36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648,446,514.66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343,665,274.04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277,262,513.12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5,983,114.20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1,794,842,224.35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978,636,552.88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14,008,355.32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12,938,355.32</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3,370,110,481.95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3,433,110,595.37</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32,972,568.63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30,326,874.03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42,880,154.38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39,994,775.67</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60,442,202.13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15,241,858.81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2,168,774.71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7,487,595.58</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45,025,092.63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35,422,708.69</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3,567,607,629.75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3,574,522,763.47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5,362,449,854.10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4,553,159,316.35</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720,000,000.00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560,000,000.00</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23"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w w:val="101"/>
                <w:sz w:val="18"/>
                <w:szCs w:val="18"/>
              </w:rPr>
              <w:t> </w:t>
            </w:r>
            <w:r>
              <w:rPr>
                <w:rFonts w:ascii="宋体" w:hAnsi="宋体" w:cs="宋体" w:eastAsia="宋体" w:hint="default"/>
                <w:sz w:val="18"/>
                <w:szCs w:val="18"/>
              </w:rPr>
              <w:t>益的金融负债</w:t>
            </w:r>
          </w:p>
        </w:tc>
        <w:tc>
          <w:tcPr>
            <w:tcW w:w="329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65,201,367.00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49,989,836.87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32,306,719.86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25,481,541.08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3,872,390.83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3,396,448.51</w:t>
            </w: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79,730,350.48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29,521,865.88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1,675,272.98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1,490,162.43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11,447,426.57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8,922,070.98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1,262,658,254.74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697,311,763.32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107,500,000.00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602,450,000.00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1,370,158,254.74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1,299,761,763.32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796,410,841.00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715,466,700.00</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2,891,486,208.31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2,171,703,839.91</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148,976,163.45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79,512,634.75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62,834,156.30</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373,858,078.75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303,392,856.82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3,992,291,599.36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3,253,397,553.03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5,362,449,854.10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4,553,159,316.35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2,037,713,936.33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1,611,974,436.67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2,037,713,936.33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1,611,974,436.67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1,752,182,799.64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1,374,999,034.83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1,202,806,187.26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908,111,909.75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22,137,191.35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15,774,735.59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70,002,961.69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48,258,780.76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150,158,425.30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128,379,552.05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231,799,180.39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176,523,289.90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66,268,200.59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70,251,069.09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81,443,987.59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70,231,229.51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6,071,749.14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3,530,686.82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9,010,653.06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27,699,697.69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18,524,094.87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7,741,922.54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11,894,455.33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5,750,002.16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82,530.00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-1,819,641.61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585,062.18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464,759.69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316,534,749.07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250,932,086.23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11,031,309.71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18,560,931.77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1,630,487.37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312,346.67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65"/>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325,935,571.41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269,180,671.33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18,024,964.62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20,524,306.96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307,910,606.79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248,656,364.37</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307,910,606.79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248,656,364.37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314,377,918.28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249,411,156.16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-6,467,311.49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-754,791.79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6,076,754.84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-3,524,161.68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6,064,785.38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-3,531,632.02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6,064,785.38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-3,531,632.02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外币财务报表折算差额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6,064,785.38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-3,531,632.02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3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11,969.46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7,470.34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313,987,361.63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245,132,202.69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5"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3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320,442,703.66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245,879,524.14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-6,455,342.03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-747,321.45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0.35</w:t>
            </w:r>
          </w:p>
        </w:tc>
      </w:tr>
    </w:tbl>
    <w:p>
      <w:pPr>
        <w:pStyle w:val="BodyText"/>
        <w:tabs>
          <w:tab w:pos="3668" w:val="left" w:leader="none"/>
          <w:tab w:pos="7720" w:val="left" w:leader="none"/>
        </w:tabs>
        <w:spacing w:line="621" w:lineRule="auto" w:before="53"/>
        <w:ind w:right="1218"/>
        <w:jc w:val="left"/>
      </w:pPr>
      <w:r>
        <w:rPr>
          <w:spacing w:val="-3"/>
        </w:rPr>
        <w:t>本期发生同一控制下企业合并的，被合并方在合并前实现的净利润为：元，上期被合并方实现的净利润为：元。</w:t>
      </w:r>
      <w:r>
        <w:rPr>
          <w:spacing w:val="54"/>
        </w:rPr>
        <w:t> </w:t>
      </w:r>
      <w:r>
        <w:rPr>
          <w:spacing w:val="54"/>
        </w:rPr>
      </w:r>
      <w:r>
        <w:rPr>
          <w:spacing w:val="-3"/>
        </w:rPr>
        <w:t>法定代表人：周红卫</w:t>
        <w:tab/>
        <w:t>主管会计工作负责人：邵峰</w:t>
        <w:tab/>
        <w:t>会计机构负责人：张新宇</w:t>
      </w:r>
    </w:p>
    <w:p>
      <w:pPr>
        <w:pStyle w:val="Heading3"/>
        <w:spacing w:line="361" w:lineRule="exact"/>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94"/>
              <w:jc w:val="right"/>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799,189,754.94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587,285,829.02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599,990,067.89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427,613,194.55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308"/>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2,156,430.45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2,934,613.80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26,066,540.26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17,335,652.39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57,746,547.69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44,411,661.33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87,000,518.83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71,476,192.54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43,614,927.18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56,189,767.32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69,357,023.50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56,529,291.92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23,223,733.31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2,665,180.69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1,396,007.29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-3,436,917.25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6,730,038.02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161,894,455.33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237,417,050.02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82,530.00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393,442.51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149,843,208.70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210,072,156.87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8,929,241.11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14,966,439.10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1,590,049.27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217,102.74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157,182,400.54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224,821,493.23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-9,602,383.94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-1,314,620.59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166,784,784.48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226,136,113.82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166,784,784.48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226,136,113.82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166,784,784.48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226,136,113.82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0.32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1,983,481,796.16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1,508,517,489.41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11,790,552.81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5,213,564.48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35,944,174.83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21,117,474.58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2,031,216,523.80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1,534,848,528.47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515,014,032.66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370,944,966.96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1,009,116,492.89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812,991,373.68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137,880,171.64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125,775,825.49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93,942,194.94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80,496,567.93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1,755,952,892.13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1,390,208,734.06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275,263,631.67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144,639,794.41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57,169,300.00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11,811,925.33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4,038,688.59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30,589,373.20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70,759,336.41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5,680,638.03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4,536,149.82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1,420,631,251.95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164,584,159.43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97,846,457.89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144,894,986.61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1,677,839,030.55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24,408,901.38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1,800,094,389.82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159,184,986.61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-379,463,137.87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5,399,172.82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803,301,513.96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8,249,650.00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1,743,501,513.96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1,349,800,000.00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1,072,000,000.00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152,473,311.55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147,040,572.63</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12,928,500.00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156,143,794.88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7,796,990.00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1,288,617,106.43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1,226,837,562.63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454,884,407.53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122,962,437.37</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15,501,508.58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-6,734,856.32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366,186,409.91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266,266,548.28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880,390,258.78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614,123,710.50</w:t>
            </w:r>
            <w:r>
              <w:rPr>
                <w:rFonts w:ascii="Times New Roman"/>
                <w:sz w:val="18"/>
              </w:rPr>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1,246,576,668.69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880,390,258.78</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2"/>
        <w:jc w:val="right"/>
      </w:pPr>
      <w:r>
        <w:rPr>
          <w:spacing w:val="-2"/>
        </w:rPr>
        <w:t>单位：元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759,529,184.20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494,751,972.53</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272,454.68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29,179,049.13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26,372,267.14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788,980,688.01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521,124,239.67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436,732,824.97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266,952,807.72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279,578,100.88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236,448,931.02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16,321,201.88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24,711,687.46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33,592,057.35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24,981,804.52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766,224,185.08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553,095,230.72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22,756,502.93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-31,970,991.05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1,518,804,000.00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161,811,925.33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237,601,500.00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16,925.80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460,730.49</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77,504,640.00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931,781,506.45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2,665,180.69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2,631,514,357.58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359,032,051.18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67,466,518.34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23,974,455.95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1,699,420,000.00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197,180,600.00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1,207,921,642.23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167,190,799.59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2,984,808,160.57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398,345,855.54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-353,293,802.99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-39,313,804.36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795,051,863.96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1,140,000,000.00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1,565,251,863.96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842,000,000.00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140,366,176.18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121,067,213.26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155,514,549.59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7,016,990.00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1,075,880,725.77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970,084,203.26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489,371,138.19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169,915,796.74</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2,884,654.46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-2,267,990.30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161,718,492.59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96,363,011.03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273,914,821.48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177,551,810.45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435,633,314.07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273,914,821.48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t>本期金额</w:t>
      </w:r>
    </w:p>
    <w:p>
      <w:pPr>
        <w:pStyle w:val="BodyText"/>
        <w:spacing w:line="240" w:lineRule="auto" w:before="114"/>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7"/>
        <w:gridCol w:w="668"/>
        <w:gridCol w:w="663"/>
        <w:gridCol w:w="662"/>
        <w:gridCol w:w="668"/>
        <w:gridCol w:w="662"/>
        <w:gridCol w:w="663"/>
      </w:tblGrid>
      <w:tr>
        <w:trPr>
          <w:trHeight w:val="403"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1"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62" w:right="46"/>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1" w:hRule="exact"/>
        </w:trPr>
        <w:tc>
          <w:tcPr>
            <w:tcW w:w="1441"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240" w:right="51"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5"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2"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2,158,0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45,926.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-7,822,1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53.99</w:t>
            </w: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62,954,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020.27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804,550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,016.65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1,051,5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28.16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3,734,2</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46,037.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82</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2,158,0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45,926.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-7,822,1</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53.99</w:t>
            </w: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62,954,</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020.27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804,550</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,016.65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1,051,5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28.16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3,734,2</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46,037.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82</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80,944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719,782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,368.40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,163.45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6,064,7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85.38</w:t>
            </w: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478.45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218,058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,355.73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20,048,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671.94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912,600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,637.45</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6,064,7</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85.38</w:t>
            </w: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314,377</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,918.28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-6,455,3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42.03</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313,987</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,361.63</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707,411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,011.82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,163.45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26,504,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013.97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665,883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,003.34</w:t>
            </w:r>
          </w:p>
        </w:tc>
      </w:tr>
      <w:tr>
        <w:trPr>
          <w:trHeight w:val="10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81,326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709,408</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,071.82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18,249,</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650.00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808,983</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,862.82</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-1,997,0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,163.45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8,254,3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63.97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-143,10</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0,859.4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478.45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-96,319,</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562.55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084.10</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7"/>
        <w:gridCol w:w="668"/>
        <w:gridCol w:w="663"/>
        <w:gridCol w:w="662"/>
        <w:gridCol w:w="668"/>
        <w:gridCol w:w="662"/>
        <w:gridCol w:w="663"/>
      </w:tblGrid>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478.45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478.45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 w:right="0"/>
              <w:jc w:val="center"/>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084.10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084.10</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356.58</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356.58</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1"/>
              <w:ind w:left="76" w:right="0"/>
              <w:jc w:val="left"/>
              <w:rPr>
                <w:rFonts w:ascii="Times New Roman" w:hAnsi="Times New Roman" w:cs="Times New Roman" w:eastAsia="Times New Roman" w:hint="default"/>
                <w:sz w:val="18"/>
                <w:szCs w:val="18"/>
              </w:rPr>
            </w:pPr>
            <w:r>
              <w:rPr>
                <w:rFonts w:ascii="Times New Roman"/>
                <w:sz w:val="18"/>
              </w:rPr>
              <w:t>0,841.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2,877,8</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28,295.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13</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,163.45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-1,757,3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68.61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79,632,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498.72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1,022,6</w:t>
            </w:r>
          </w:p>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2"/>
                <w:sz w:val="18"/>
              </w:rPr>
              <w:t>08,372.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21,100,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200.10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4,646,8</w:t>
            </w:r>
          </w:p>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pacing w:val="-2"/>
                <w:sz w:val="18"/>
              </w:rPr>
              <w:t>46,675.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27</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404"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436" w:type="dxa"/>
            <w:vMerge/>
            <w:tcBorders>
              <w:left w:val="single" w:sz="4" w:space="0" w:color="000000"/>
              <w:right w:val="single" w:sz="4" w:space="0" w:color="000000"/>
            </w:tcBorders>
            <w:shd w:val="clear" w:color="auto" w:fill="D2D2D2"/>
          </w:tcPr>
          <w:p>
            <w:pPr/>
          </w:p>
        </w:tc>
        <w:tc>
          <w:tcPr>
            <w:tcW w:w="68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52"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8"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6"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1"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7"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357,85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1,850.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27,027.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50,758,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-4,290,5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21.97</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40,340,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408.89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649,299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,141.87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35,481,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431.70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51,258.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2"/>
              <w:jc w:val="right"/>
              <w:rPr>
                <w:rFonts w:ascii="宋体" w:hAnsi="宋体" w:cs="宋体" w:eastAsia="宋体" w:hint="default"/>
                <w:sz w:val="18"/>
                <w:szCs w:val="18"/>
              </w:rPr>
            </w:pPr>
            <w:r>
              <w:rPr>
                <w:rFonts w:ascii="宋体" w:hAnsi="宋体" w:cs="宋体" w:eastAsia="宋体" w:hint="default"/>
                <w:spacing w:val="-12"/>
                <w:sz w:val="18"/>
                <w:szCs w:val="18"/>
              </w:rPr>
              <w:t>加：会计政策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36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7"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357,85</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1,850.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2,531,0</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27,027.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50,758,</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080.00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-4,290,5</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21.97</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40,340,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408.89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649,299</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,141.87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35,481,</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431.70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3,558,9</w:t>
            </w:r>
          </w:p>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51,258.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36</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357,61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4,850.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1,101.1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-50,758,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080.00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-3,531,6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32.02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611.38</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155,250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,874.78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-34,429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,903.54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175,294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,779.46</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-3,531,6</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32.02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249,411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,156.16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-747,32</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1.45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245,132</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,202.69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-118,5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-592,26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0.75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-46,611,</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082.09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-47,321,</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842.84</w:t>
            </w: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841,229</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841,229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-118,5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-1,433,4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90.00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-47,411,</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082.09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-48,963,</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072.09</w:t>
            </w: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611.38</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-94,160,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281.38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12,928,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-58,618,</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170.00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611.38</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611.38</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670.00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12,928,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-58,618,</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170.00</w:t>
            </w:r>
          </w:p>
        </w:tc>
      </w:tr>
      <w:tr>
        <w:trPr>
          <w:trHeight w:val="3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357,73</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3,350.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3,350.0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357,73</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3,350.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-357,73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3,350.0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36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490.39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-50,758,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080.00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36,102,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589.61</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45,926.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73</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-7,822,1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53.99</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62,954,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020.27</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804,550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,016.65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1,051,5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28.16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46,037.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98"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8"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398"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700.00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center"/>
              <w:rPr>
                <w:rFonts w:ascii="Times New Roman" w:hAnsi="Times New Roman" w:cs="Times New Roman" w:eastAsia="Times New Roman" w:hint="default"/>
                <w:sz w:val="18"/>
                <w:szCs w:val="18"/>
              </w:rPr>
            </w:pPr>
            <w:r>
              <w:rPr>
                <w:rFonts w:ascii="Times New Roman"/>
                <w:sz w:val="18"/>
              </w:rPr>
              <w:t>2,171,703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,839.91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62,834,15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 w:right="0"/>
              <w:jc w:val="left"/>
              <w:rPr>
                <w:rFonts w:ascii="Times New Roman" w:hAnsi="Times New Roman" w:cs="Times New Roman" w:eastAsia="Times New Roman" w:hint="default"/>
                <w:sz w:val="18"/>
                <w:szCs w:val="18"/>
              </w:rPr>
            </w:pPr>
            <w:r>
              <w:rPr>
                <w:rFonts w:ascii="Times New Roman"/>
                <w:sz w:val="18"/>
              </w:rPr>
              <w:t>303,392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,856.82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 w:right="0"/>
              <w:jc w:val="center"/>
              <w:rPr>
                <w:rFonts w:ascii="Times New Roman" w:hAnsi="Times New Roman" w:cs="Times New Roman" w:eastAsia="Times New Roman" w:hint="default"/>
                <w:sz w:val="18"/>
                <w:szCs w:val="18"/>
              </w:rPr>
            </w:pPr>
            <w:r>
              <w:rPr>
                <w:rFonts w:ascii="Times New Roman"/>
                <w:sz w:val="18"/>
              </w:rPr>
              <w:t>3,253,397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,553.03</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700.00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2,171,703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,839.91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62,834,15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303,392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,856.82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3,253,397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,553.03</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80,944,1</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41.00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719,782,3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148,976,1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63.45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16,678,47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70,465,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221.93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738,894,0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46.33</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pacing w:val="-10"/>
                <w:sz w:val="18"/>
                <w:szCs w:val="18"/>
              </w:rPr>
              <w:t>（一）综合收益总</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166,784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166,784,7</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6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Times New Roman" w:hAnsi="Times New Roman" w:cs="Times New Roman" w:eastAsia="Times New Roman" w:hint="default"/>
                <w:sz w:val="18"/>
                <w:szCs w:val="18"/>
              </w:rPr>
            </w:pPr>
            <w:r>
              <w:rPr>
                <w:rFonts w:ascii="Times New Roman"/>
                <w:sz w:val="18"/>
              </w:rPr>
              <w:t>,784.48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5" w:right="0"/>
              <w:jc w:val="left"/>
              <w:rPr>
                <w:rFonts w:ascii="Times New Roman" w:hAnsi="Times New Roman" w:cs="Times New Roman" w:eastAsia="Times New Roman" w:hint="default"/>
                <w:sz w:val="18"/>
                <w:szCs w:val="18"/>
              </w:rPr>
            </w:pPr>
            <w:r>
              <w:rPr>
                <w:rFonts w:ascii="Times New Roman"/>
                <w:sz w:val="18"/>
              </w:rPr>
              <w:t>84.48</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80,944,1</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41.00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707,411,0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11.82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148,976,1</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63.45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639,378,9</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89.37</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81,326,1</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41.00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709,408,0</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790,734,2</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12.82</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-382,00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-1,997,06</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148,976,1</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63.45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-151,355,</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223.45</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16,678,47</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-96,319,</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562.55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-79,641,0</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84.10</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16,678,47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478.45</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084.10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-79,641,0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84.10</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6.58</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796,410,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841.00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2,891,486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,208.31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148,976,1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63.45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79,512,63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373,858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,078.75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3,992,291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,599.36</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94"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8"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357,851,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850.00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2,544,684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40,220,54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171,417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,024.38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3,063,416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,280.35</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357,851,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850.00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2,544,684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40,220,54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171,417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,024.38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3,063,416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,280.35</w:t>
            </w:r>
          </w:p>
        </w:tc>
      </w:tr>
      <w:tr>
        <w:trPr>
          <w:trHeight w:val="10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357,614,</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850.00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-372,981,</w:t>
            </w:r>
          </w:p>
          <w:p>
            <w:pPr>
              <w:pStyle w:val="TableParagraph"/>
              <w:spacing w:line="240" w:lineRule="auto" w:before="110"/>
              <w:ind w:left="269" w:right="0"/>
              <w:jc w:val="left"/>
              <w:rPr>
                <w:rFonts w:ascii="Times New Roman" w:hAnsi="Times New Roman" w:cs="Times New Roman" w:eastAsia="Times New Roman" w:hint="default"/>
                <w:sz w:val="18"/>
                <w:szCs w:val="18"/>
              </w:rPr>
            </w:pPr>
            <w:r>
              <w:rPr>
                <w:rFonts w:ascii="Times New Roman"/>
                <w:sz w:val="18"/>
              </w:rPr>
              <w:t>101.14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-50,758,0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131,975</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,832.44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189,981,2</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72.68</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226,136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,113.82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13.82</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-118,50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-592,260.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-710,760.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841,229.2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841,229.2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-118,50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-1,433,49</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-1,551,99</w:t>
            </w:r>
          </w:p>
          <w:p>
            <w:pPr>
              <w:pStyle w:val="TableParagraph"/>
              <w:spacing w:line="240" w:lineRule="auto" w:before="110"/>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-94,160,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281.38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70.00</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611.38</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670.00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0"/>
                <w:sz w:val="18"/>
                <w:szCs w:val="18"/>
              </w:rPr>
              <w:t>（四）所有者权益</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357,733,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-357,733,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6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3" w:right="0"/>
              <w:jc w:val="left"/>
              <w:rPr>
                <w:rFonts w:ascii="Times New Roman" w:hAnsi="Times New Roman" w:cs="Times New Roman" w:eastAsia="Times New Roman" w:hint="default"/>
                <w:sz w:val="18"/>
                <w:szCs w:val="18"/>
              </w:rPr>
            </w:pPr>
            <w:r>
              <w:rPr>
                <w:rFonts w:ascii="Times New Roman"/>
                <w:sz w:val="18"/>
              </w:rPr>
              <w:t>350.00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9" w:right="0"/>
              <w:jc w:val="left"/>
              <w:rPr>
                <w:rFonts w:ascii="Times New Roman" w:hAnsi="Times New Roman" w:cs="Times New Roman" w:eastAsia="Times New Roman" w:hint="default"/>
                <w:sz w:val="18"/>
                <w:szCs w:val="18"/>
              </w:rPr>
            </w:pPr>
            <w:r>
              <w:rPr>
                <w:rFonts w:ascii="Times New Roman"/>
                <w:sz w:val="18"/>
              </w:rPr>
              <w:t>350.00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350.00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10"/>
              <w:ind w:left="250" w:right="0"/>
              <w:jc w:val="center"/>
              <w:rPr>
                <w:rFonts w:ascii="Times New Roman" w:hAnsi="Times New Roman" w:cs="Times New Roman" w:eastAsia="Times New Roman" w:hint="default"/>
                <w:sz w:val="18"/>
                <w:szCs w:val="18"/>
              </w:rPr>
            </w:pPr>
            <w:r>
              <w:rPr>
                <w:rFonts w:ascii="Times New Roman"/>
                <w:sz w:val="18"/>
              </w:rPr>
              <w:t>350.00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-14,655,4</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90.39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-50,758,0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36,102,58</w:t>
            </w:r>
          </w:p>
          <w:p>
            <w:pPr>
              <w:pStyle w:val="TableParagraph"/>
              <w:spacing w:line="240" w:lineRule="auto" w:before="110"/>
              <w:ind w:left="432" w:right="0"/>
              <w:jc w:val="left"/>
              <w:rPr>
                <w:rFonts w:ascii="Times New Roman" w:hAnsi="Times New Roman" w:cs="Times New Roman" w:eastAsia="Times New Roman" w:hint="default"/>
                <w:sz w:val="18"/>
                <w:szCs w:val="18"/>
              </w:rPr>
            </w:pPr>
            <w:r>
              <w:rPr>
                <w:rFonts w:ascii="Times New Roman"/>
                <w:sz w:val="18"/>
              </w:rPr>
              <w:t>9.61</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700.00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2,171,703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,839.91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62,834,15</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6.30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303,392</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,856.82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3,253,397</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,553.03</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三、公司基本情况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300" w:lineRule="auto"/>
        <w:ind w:left="662" w:right="1026"/>
        <w:jc w:val="left"/>
      </w:pPr>
      <w:r>
        <w:rPr>
          <w:rFonts w:ascii="Times New Roman" w:hAnsi="Times New Roman" w:cs="Times New Roman" w:eastAsia="Times New Roman" w:hint="default"/>
          <w:spacing w:val="-3"/>
        </w:rPr>
        <w:t>1.</w:t>
      </w:r>
      <w:r>
        <w:rPr>
          <w:spacing w:val="-3"/>
        </w:rPr>
        <w:t>公司概况</w:t>
      </w:r>
      <w:r>
        <w:rPr>
          <w:spacing w:val="-74"/>
        </w:rPr>
        <w:t> </w:t>
      </w:r>
      <w:r>
        <w:rPr>
          <w:spacing w:val="-74"/>
        </w:rPr>
      </w:r>
      <w:r>
        <w:rPr>
          <w:spacing w:val="-5"/>
        </w:rPr>
        <w:t>江苏润和软件股份有限公司（以下简称</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w:t>
      </w:r>
      <w:r>
        <w:rPr>
          <w:spacing w:val="-5"/>
        </w:rPr>
        <w:t>）系周红卫、姚宁、孙强、周庆、隋宏旭、马玉峰、蒋志坚、</w:t>
      </w:r>
    </w:p>
    <w:p>
      <w:pPr>
        <w:pStyle w:val="BodyText"/>
        <w:spacing w:line="300" w:lineRule="auto" w:before="13"/>
        <w:ind w:right="0"/>
        <w:jc w:val="left"/>
      </w:pPr>
      <w:r>
        <w:rPr>
          <w:spacing w:val="-3"/>
        </w:rPr>
        <w:t>殷则堂等八位自然人共同发起设立的股份有限公司，于</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日取得江苏省工商行政管理局核准登记。公司设立时注</w:t>
      </w:r>
      <w:r>
        <w:rPr>
          <w:spacing w:val="79"/>
        </w:rPr>
        <w:t> </w:t>
      </w:r>
      <w:r>
        <w:rPr>
          <w:spacing w:val="79"/>
        </w:rPr>
      </w:r>
      <w:r>
        <w:rPr>
          <w:spacing w:val="-3"/>
        </w:rPr>
        <w:t>册资本为人民币</w:t>
      </w:r>
      <w:r>
        <w:rPr>
          <w:rFonts w:ascii="Times New Roman" w:hAnsi="Times New Roman" w:cs="Times New Roman" w:eastAsia="Times New Roman" w:hint="default"/>
          <w:spacing w:val="-3"/>
        </w:rPr>
        <w:t>1,000</w:t>
      </w:r>
      <w:r>
        <w:rPr>
          <w:spacing w:val="-3"/>
        </w:rPr>
        <w:t>万元，经历次变更后公司注册资本为人民币</w:t>
      </w:r>
      <w:r>
        <w:rPr>
          <w:rFonts w:ascii="Times New Roman" w:hAnsi="Times New Roman" w:cs="Times New Roman" w:eastAsia="Times New Roman" w:hint="default"/>
          <w:spacing w:val="-3"/>
        </w:rPr>
        <w:t>5,755</w:t>
      </w:r>
      <w:r>
        <w:rPr>
          <w:spacing w:val="-3"/>
        </w:rPr>
        <w:t>万元。</w:t>
      </w:r>
    </w:p>
    <w:p>
      <w:pPr>
        <w:pStyle w:val="BodyText"/>
        <w:spacing w:line="300" w:lineRule="auto" w:before="13"/>
        <w:ind w:right="1126" w:firstLine="508"/>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日，经中国证券监督管理委员会《关于核准江苏润和软件股份有限公司首次公开发行股票并在创业板上</w:t>
      </w:r>
      <w:r>
        <w:rPr>
          <w:w w:val="101"/>
        </w:rPr>
        <w:t> </w:t>
      </w:r>
      <w:r>
        <w:rPr>
          <w:spacing w:val="-4"/>
        </w:rPr>
        <w:t>市的批复》证监许可</w:t>
      </w:r>
      <w:r>
        <w:rPr>
          <w:rFonts w:ascii="Times New Roman" w:hAnsi="Times New Roman" w:cs="Times New Roman" w:eastAsia="Times New Roman" w:hint="default"/>
          <w:spacing w:val="-4"/>
        </w:rPr>
        <w:t>[2012]812</w:t>
      </w:r>
      <w:r>
        <w:rPr>
          <w:spacing w:val="-4"/>
        </w:rPr>
        <w:t>号文核准，本公司首次向社会公开发行人民币普通股</w:t>
      </w:r>
      <w:r>
        <w:rPr>
          <w:rFonts w:ascii="Times New Roman" w:hAnsi="Times New Roman" w:cs="Times New Roman" w:eastAsia="Times New Roman" w:hint="default"/>
          <w:spacing w:val="-4"/>
        </w:rPr>
        <w:t>1,919</w:t>
      </w:r>
      <w:r>
        <w:rPr>
          <w:spacing w:val="-4"/>
        </w:rPr>
        <w:t>万股，并于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18</w:t>
      </w:r>
      <w:r>
        <w:rPr>
          <w:spacing w:val="-4"/>
        </w:rPr>
        <w:t>日在深圳证</w:t>
      </w:r>
      <w:r>
        <w:rPr>
          <w:spacing w:val="10"/>
        </w:rPr>
        <w:t> </w:t>
      </w:r>
      <w:r>
        <w:rPr>
          <w:spacing w:val="10"/>
        </w:rPr>
      </w:r>
      <w:r>
        <w:rPr>
          <w:spacing w:val="-3"/>
        </w:rPr>
        <w:t>券交易所创业板上市交易（股票简称</w:t>
      </w:r>
      <w:r>
        <w:rPr>
          <w:rFonts w:ascii="Times New Roman" w:hAnsi="Times New Roman" w:cs="Times New Roman" w:eastAsia="Times New Roman" w:hint="default"/>
          <w:spacing w:val="-3"/>
        </w:rPr>
        <w:t>“</w:t>
      </w:r>
      <w:r>
        <w:rPr>
          <w:spacing w:val="-3"/>
        </w:rPr>
        <w:t>润和软件</w:t>
      </w:r>
      <w:r>
        <w:rPr>
          <w:rFonts w:ascii="Times New Roman" w:hAnsi="Times New Roman" w:cs="Times New Roman" w:eastAsia="Times New Roman" w:hint="default"/>
          <w:spacing w:val="-3"/>
        </w:rPr>
        <w:t>”</w:t>
      </w:r>
      <w:r>
        <w:rPr>
          <w:spacing w:val="-3"/>
        </w:rPr>
        <w:t>，股票代码</w:t>
      </w:r>
      <w:r>
        <w:rPr>
          <w:rFonts w:ascii="Times New Roman" w:hAnsi="Times New Roman" w:cs="Times New Roman" w:eastAsia="Times New Roman" w:hint="default"/>
          <w:spacing w:val="-3"/>
        </w:rPr>
        <w:t>“300339”</w:t>
      </w:r>
      <w:r>
        <w:rPr>
          <w:spacing w:val="-3"/>
        </w:rPr>
        <w:t>），发行后注册资本变更为人民币</w:t>
      </w:r>
      <w:r>
        <w:rPr>
          <w:rFonts w:ascii="Times New Roman" w:hAnsi="Times New Roman" w:cs="Times New Roman" w:eastAsia="Times New Roman" w:hint="default"/>
          <w:spacing w:val="-3"/>
        </w:rPr>
        <w:t>7,674</w:t>
      </w:r>
      <w:r>
        <w:rPr>
          <w:spacing w:val="-3"/>
        </w:rPr>
        <w:t>万元。</w:t>
      </w:r>
    </w:p>
    <w:p>
      <w:pPr>
        <w:pStyle w:val="BodyText"/>
        <w:spacing w:line="300" w:lineRule="auto" w:before="13"/>
        <w:ind w:right="0" w:firstLine="508"/>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9</w:t>
      </w:r>
      <w:r>
        <w:rPr>
          <w:spacing w:val="-3"/>
        </w:rPr>
        <w:t>日，经公司</w:t>
      </w:r>
      <w:r>
        <w:rPr>
          <w:rFonts w:ascii="Times New Roman" w:hAnsi="Times New Roman" w:cs="Times New Roman" w:eastAsia="Times New Roman" w:hint="default"/>
          <w:spacing w:val="-3"/>
        </w:rPr>
        <w:t>2012</w:t>
      </w:r>
      <w:r>
        <w:rPr>
          <w:spacing w:val="-3"/>
        </w:rPr>
        <w:t>年度股东大会决议审议通过，决议以</w:t>
      </w:r>
      <w:r>
        <w:rPr>
          <w:rFonts w:ascii="Times New Roman" w:hAnsi="Times New Roman" w:cs="Times New Roman" w:eastAsia="Times New Roman" w:hint="default"/>
          <w:spacing w:val="-3"/>
        </w:rPr>
        <w:t>2012</w:t>
      </w:r>
      <w:r>
        <w:rPr>
          <w:spacing w:val="-3"/>
        </w:rPr>
        <w:t>年末公司总股本</w:t>
      </w:r>
      <w:r>
        <w:rPr>
          <w:rFonts w:ascii="Times New Roman" w:hAnsi="Times New Roman" w:cs="Times New Roman" w:eastAsia="Times New Roman" w:hint="default"/>
          <w:spacing w:val="-3"/>
        </w:rPr>
        <w:t>7,674</w:t>
      </w:r>
      <w:r>
        <w:rPr>
          <w:spacing w:val="-3"/>
        </w:rPr>
        <w:t>万股为基数，用资本公积</w:t>
      </w:r>
      <w:r>
        <w:rPr>
          <w:w w:val="101"/>
        </w:rPr>
        <w:t>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7,674</w:t>
      </w:r>
      <w:r>
        <w:rPr>
          <w:spacing w:val="-2"/>
        </w:rPr>
        <w:t>万股，转增后公司注册资本变更为人民币</w:t>
      </w:r>
      <w:r>
        <w:rPr>
          <w:rFonts w:ascii="Times New Roman" w:hAnsi="Times New Roman" w:cs="Times New Roman" w:eastAsia="Times New Roman" w:hint="default"/>
          <w:spacing w:val="-2"/>
        </w:rPr>
        <w:t>15,348</w:t>
      </w:r>
      <w:r>
        <w:rPr>
          <w:spacing w:val="-2"/>
        </w:rPr>
        <w:t>万元。</w:t>
      </w:r>
    </w:p>
    <w:p>
      <w:pPr>
        <w:pStyle w:val="BodyText"/>
        <w:spacing w:line="300" w:lineRule="auto" w:before="13"/>
        <w:ind w:right="0" w:firstLine="508"/>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日，经公司</w:t>
      </w:r>
      <w:r>
        <w:rPr>
          <w:rFonts w:ascii="Times New Roman" w:hAnsi="Times New Roman" w:cs="Times New Roman" w:eastAsia="Times New Roman" w:hint="default"/>
          <w:spacing w:val="-3"/>
        </w:rPr>
        <w:t>2013</w:t>
      </w:r>
      <w:r>
        <w:rPr>
          <w:spacing w:val="-3"/>
        </w:rPr>
        <w:t>年度股东大会决议审议通过，以</w:t>
      </w:r>
      <w:r>
        <w:rPr>
          <w:rFonts w:ascii="Times New Roman" w:hAnsi="Times New Roman" w:cs="Times New Roman" w:eastAsia="Times New Roman" w:hint="default"/>
          <w:spacing w:val="-3"/>
        </w:rPr>
        <w:t>2013</w:t>
      </w:r>
      <w:r>
        <w:rPr>
          <w:spacing w:val="-3"/>
        </w:rPr>
        <w:t>年末总股本</w:t>
      </w:r>
      <w:r>
        <w:rPr>
          <w:rFonts w:ascii="Times New Roman" w:hAnsi="Times New Roman" w:cs="Times New Roman" w:eastAsia="Times New Roman" w:hint="default"/>
          <w:spacing w:val="-3"/>
        </w:rPr>
        <w:t>15,348</w:t>
      </w:r>
      <w:r>
        <w:rPr>
          <w:spacing w:val="-3"/>
        </w:rPr>
        <w:t>万股为基数，以资本公积转增股</w:t>
      </w:r>
      <w:r>
        <w:rPr>
          <w:w w:val="101"/>
        </w:rPr>
        <w:t> </w:t>
      </w:r>
      <w:r>
        <w:rPr>
          <w:spacing w:val="-3"/>
        </w:rPr>
        <w:t>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股，共转增股本</w:t>
      </w:r>
      <w:r>
        <w:rPr>
          <w:rFonts w:ascii="Times New Roman" w:hAnsi="Times New Roman" w:cs="Times New Roman" w:eastAsia="Times New Roman" w:hint="default"/>
          <w:spacing w:val="-3"/>
        </w:rPr>
        <w:t>7,674</w:t>
      </w:r>
      <w:r>
        <w:rPr>
          <w:spacing w:val="-3"/>
        </w:rPr>
        <w:t>万股，转增后注册资本变更为人民币</w:t>
      </w:r>
      <w:r>
        <w:rPr>
          <w:rFonts w:ascii="Times New Roman" w:hAnsi="Times New Roman" w:cs="Times New Roman" w:eastAsia="Times New Roman" w:hint="default"/>
          <w:spacing w:val="-3"/>
        </w:rPr>
        <w:t>23,022</w:t>
      </w:r>
      <w:r>
        <w:rPr>
          <w:spacing w:val="-3"/>
        </w:rPr>
        <w:t>万元。</w:t>
      </w:r>
    </w:p>
    <w:p>
      <w:pPr>
        <w:pStyle w:val="BodyText"/>
        <w:spacing w:line="300" w:lineRule="auto" w:before="13"/>
        <w:ind w:right="0" w:firstLine="508"/>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18</w:t>
      </w:r>
      <w:r>
        <w:rPr>
          <w:spacing w:val="-3"/>
        </w:rPr>
        <w:t>日，经公司</w:t>
      </w:r>
      <w:r>
        <w:rPr>
          <w:rFonts w:ascii="Times New Roman" w:hAnsi="Times New Roman" w:cs="Times New Roman" w:eastAsia="Times New Roman" w:hint="default"/>
          <w:spacing w:val="-3"/>
        </w:rPr>
        <w:t>2014</w:t>
      </w:r>
      <w:r>
        <w:rPr>
          <w:spacing w:val="-3"/>
        </w:rPr>
        <w:t>年度第二次临时股东大会决议和修改后的章程规定，并经中国证券监督管理委员会《关</w:t>
      </w:r>
      <w:r>
        <w:rPr>
          <w:w w:val="101"/>
        </w:rPr>
        <w:t> </w:t>
      </w:r>
      <w:r>
        <w:rPr>
          <w:spacing w:val="-3"/>
        </w:rPr>
        <w:t>于核准江苏润和软件股份有限公司向王杰等发行股份购买资产并募集配套资金的批复》（证监许可</w:t>
      </w:r>
      <w:r>
        <w:rPr>
          <w:rFonts w:ascii="Times New Roman" w:hAnsi="Times New Roman" w:cs="Times New Roman" w:eastAsia="Times New Roman" w:hint="default"/>
          <w:spacing w:val="-3"/>
        </w:rPr>
        <w:t>[2014]747</w:t>
      </w:r>
      <w:r>
        <w:rPr>
          <w:spacing w:val="-3"/>
        </w:rPr>
        <w:t>号文）的核准，</w:t>
      </w:r>
      <w:r>
        <w:rPr>
          <w:spacing w:val="60"/>
        </w:rPr>
        <w:t> </w:t>
      </w:r>
      <w:r>
        <w:rPr>
          <w:spacing w:val="60"/>
        </w:rPr>
      </w:r>
      <w:r>
        <w:rPr>
          <w:spacing w:val="-3"/>
        </w:rPr>
        <w:t>由公司向王杰等</w:t>
      </w:r>
      <w:r>
        <w:rPr>
          <w:rFonts w:ascii="Times New Roman" w:hAnsi="Times New Roman" w:cs="Times New Roman" w:eastAsia="Times New Roman" w:hint="default"/>
          <w:spacing w:val="-3"/>
        </w:rPr>
        <w:t>6</w:t>
      </w:r>
      <w:r>
        <w:rPr>
          <w:spacing w:val="-3"/>
        </w:rPr>
        <w:t>名发行对象发行人民币普通股</w:t>
      </w:r>
      <w:r>
        <w:rPr>
          <w:rFonts w:ascii="Times New Roman" w:hAnsi="Times New Roman" w:cs="Times New Roman" w:eastAsia="Times New Roman" w:hint="default"/>
          <w:spacing w:val="-3"/>
        </w:rPr>
        <w:t>26,068,064</w:t>
      </w:r>
      <w:r>
        <w:rPr>
          <w:spacing w:val="-3"/>
        </w:rPr>
        <w:t>股（每股发行价均为人民币</w:t>
      </w:r>
      <w:r>
        <w:rPr>
          <w:rFonts w:ascii="Times New Roman" w:hAnsi="Times New Roman" w:cs="Times New Roman" w:eastAsia="Times New Roman" w:hint="default"/>
          <w:spacing w:val="-3"/>
        </w:rPr>
        <w:t>13.81</w:t>
      </w:r>
      <w:r>
        <w:rPr>
          <w:spacing w:val="-3"/>
        </w:rPr>
        <w:t>元）购买相关资产；同时，由公</w:t>
      </w:r>
      <w:r>
        <w:rPr>
          <w:spacing w:val="2"/>
        </w:rPr>
        <w:t> </w:t>
      </w:r>
      <w:r>
        <w:rPr>
          <w:spacing w:val="2"/>
        </w:rPr>
      </w:r>
      <w:r>
        <w:rPr>
          <w:spacing w:val="-3"/>
        </w:rPr>
        <w:t>司向特定投资者周红卫发行人民币普通股</w:t>
      </w:r>
      <w:r>
        <w:rPr>
          <w:rFonts w:ascii="Times New Roman" w:hAnsi="Times New Roman" w:cs="Times New Roman" w:eastAsia="Times New Roman" w:hint="default"/>
          <w:spacing w:val="-3"/>
        </w:rPr>
        <w:t>13,034,033</w:t>
      </w:r>
      <w:r>
        <w:rPr>
          <w:spacing w:val="-3"/>
        </w:rPr>
        <w:t>股、向浙江海宁嘉慧投资合伙企业（有限合伙）发行人民币普通股</w:t>
      </w:r>
      <w:r>
        <w:rPr>
          <w:spacing w:val="79"/>
        </w:rPr>
        <w:t> </w:t>
      </w:r>
      <w:r>
        <w:rPr>
          <w:spacing w:val="79"/>
        </w:rPr>
      </w:r>
      <w:r>
        <w:rPr>
          <w:rFonts w:ascii="Times New Roman" w:hAnsi="Times New Roman" w:cs="Times New Roman" w:eastAsia="Times New Roman" w:hint="default"/>
          <w:spacing w:val="-4"/>
        </w:rPr>
        <w:t>4,344,677</w:t>
      </w:r>
      <w:r>
        <w:rPr>
          <w:spacing w:val="-4"/>
        </w:rPr>
        <w:t>股（每股发行价均为人民币</w:t>
      </w:r>
      <w:r>
        <w:rPr>
          <w:rFonts w:ascii="Times New Roman" w:hAnsi="Times New Roman" w:cs="Times New Roman" w:eastAsia="Times New Roman" w:hint="default"/>
          <w:spacing w:val="-4"/>
        </w:rPr>
        <w:t>13.81</w:t>
      </w:r>
      <w:r>
        <w:rPr>
          <w:spacing w:val="-4"/>
        </w:rPr>
        <w:t>元）募集配套资金，以上合计申请增加注册资本及股本人民币</w:t>
      </w:r>
      <w:r>
        <w:rPr>
          <w:rFonts w:ascii="Times New Roman" w:hAnsi="Times New Roman" w:cs="Times New Roman" w:eastAsia="Times New Roman" w:hint="default"/>
          <w:spacing w:val="-4"/>
        </w:rPr>
        <w:t>43,446,774.00</w:t>
      </w:r>
      <w:r>
        <w:rPr>
          <w:spacing w:val="-4"/>
        </w:rPr>
        <w:t>元，变</w:t>
      </w:r>
      <w:r>
        <w:rPr>
          <w:spacing w:val="12"/>
        </w:rPr>
        <w:t> </w:t>
      </w:r>
      <w:r>
        <w:rPr>
          <w:spacing w:val="12"/>
        </w:rPr>
      </w:r>
      <w:r>
        <w:rPr>
          <w:spacing w:val="-3"/>
        </w:rPr>
        <w:t>更后的注册资本及股本为人民币</w:t>
      </w:r>
      <w:r>
        <w:rPr>
          <w:rFonts w:ascii="Times New Roman" w:hAnsi="Times New Roman" w:cs="Times New Roman" w:eastAsia="Times New Roman" w:hint="default"/>
          <w:spacing w:val="-3"/>
        </w:rPr>
        <w:t>273,666,774.00</w:t>
      </w:r>
      <w:r>
        <w:rPr>
          <w:spacing w:val="-3"/>
        </w:rPr>
        <w:t>元。</w:t>
      </w:r>
      <w:r>
        <w:rPr/>
      </w:r>
    </w:p>
    <w:p>
      <w:pPr>
        <w:pStyle w:val="BodyText"/>
        <w:spacing w:line="309" w:lineRule="auto" w:before="13"/>
        <w:ind w:right="0" w:firstLine="508"/>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日，经公司</w:t>
      </w:r>
      <w:r>
        <w:rPr>
          <w:rFonts w:ascii="Times New Roman" w:hAnsi="Times New Roman" w:cs="Times New Roman" w:eastAsia="Times New Roman" w:hint="default"/>
          <w:spacing w:val="-3"/>
        </w:rPr>
        <w:t>2014</w:t>
      </w:r>
      <w:r>
        <w:rPr>
          <w:spacing w:val="-3"/>
        </w:rPr>
        <w:t>年度第五次临时股东大会审议通过的《江苏润和软件股份有限公司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5"/>
        </w:rPr>
        <w:t> </w:t>
      </w:r>
      <w:r>
        <w:rPr/>
        <w:t>年限制性股票</w:t>
      </w:r>
      <w:r>
        <w:rPr>
          <w:w w:val="101"/>
        </w:rPr>
        <w:t> </w:t>
      </w:r>
      <w:r>
        <w:rPr>
          <w:spacing w:val="-6"/>
        </w:rPr>
        <w:t>激励计划（草案修订稿）》、第四届董事会第二十三次会议决议、第四届董事会第二十四次会议决议以及修改后的章程规定，</w:t>
      </w:r>
      <w:r>
        <w:rPr>
          <w:spacing w:val="62"/>
        </w:rPr>
        <w:t> </w:t>
      </w:r>
      <w:r>
        <w:rPr>
          <w:spacing w:val="62"/>
        </w:rPr>
      </w:r>
      <w:r>
        <w:rPr>
          <w:spacing w:val="-3"/>
        </w:rPr>
        <w:t>公司对钟峻等</w:t>
      </w:r>
      <w:r>
        <w:rPr>
          <w:rFonts w:ascii="Times New Roman" w:hAnsi="Times New Roman" w:cs="Times New Roman" w:eastAsia="Times New Roman" w:hint="default"/>
          <w:spacing w:val="-3"/>
        </w:rPr>
        <w:t>300</w:t>
      </w:r>
      <w:r>
        <w:rPr>
          <w:spacing w:val="-3"/>
        </w:rPr>
        <w:t>名激励对象授予限制性股票，公司申请增加股本及注册资本人民币</w:t>
      </w:r>
      <w:r>
        <w:rPr>
          <w:rFonts w:ascii="Times New Roman" w:hAnsi="Times New Roman" w:cs="Times New Roman" w:eastAsia="Times New Roman" w:hint="default"/>
          <w:spacing w:val="-3"/>
        </w:rPr>
        <w:t>10,950,000.00</w:t>
      </w:r>
      <w:r>
        <w:rPr>
          <w:spacing w:val="-3"/>
        </w:rPr>
        <w:t>元，变更后注册资本为人</w:t>
      </w:r>
    </w:p>
    <w:p>
      <w:pPr>
        <w:spacing w:after="0" w:line="309"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民币</w:t>
      </w:r>
      <w:r>
        <w:rPr>
          <w:rFonts w:ascii="Times New Roman" w:hAnsi="Times New Roman" w:cs="Times New Roman" w:eastAsia="Times New Roman" w:hint="default"/>
        </w:rPr>
        <w:t>284,616,774.00</w:t>
      </w:r>
      <w:r>
        <w:rPr/>
        <w:t>元。</w:t>
      </w:r>
    </w:p>
    <w:p>
      <w:pPr>
        <w:pStyle w:val="BodyText"/>
        <w:spacing w:line="302" w:lineRule="auto" w:before="63"/>
        <w:ind w:right="0" w:firstLine="508"/>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10</w:t>
      </w:r>
      <w:r>
        <w:rPr>
          <w:spacing w:val="-5"/>
        </w:rPr>
        <w:t>日，经公司</w:t>
      </w:r>
      <w:r>
        <w:rPr>
          <w:rFonts w:ascii="Times New Roman" w:hAnsi="Times New Roman" w:cs="Times New Roman" w:eastAsia="Times New Roman" w:hint="default"/>
          <w:spacing w:val="-5"/>
        </w:rPr>
        <w:t>2015</w:t>
      </w:r>
      <w:r>
        <w:rPr>
          <w:spacing w:val="-5"/>
        </w:rPr>
        <w:t>年度第二次临时股东大会决议和修改后的章程规定，并经过中国证券监督管理委员会《关</w:t>
      </w:r>
      <w:r>
        <w:rPr>
          <w:w w:val="101"/>
        </w:rPr>
        <w:t> </w:t>
      </w:r>
      <w:r>
        <w:rPr>
          <w:spacing w:val="-8"/>
          <w:w w:val="101"/>
        </w:rPr>
        <w:t>于核准江苏润和软件股份有限公司向宁波宏创股权投资合伙企业（有限合伙）发行股份购买资产并募集配套资金的批复》（证</w:t>
      </w:r>
      <w:r>
        <w:rPr>
          <w:spacing w:val="-54"/>
          <w:w w:val="101"/>
        </w:rPr>
        <w:t> </w:t>
      </w:r>
      <w:r>
        <w:rPr>
          <w:spacing w:val="-54"/>
          <w:w w:val="101"/>
        </w:rPr>
      </w:r>
      <w:r>
        <w:rPr>
          <w:spacing w:val="-3"/>
        </w:rPr>
        <w:t>监许可</w:t>
      </w:r>
      <w:r>
        <w:rPr>
          <w:rFonts w:ascii="Times New Roman" w:hAnsi="Times New Roman" w:cs="Times New Roman" w:eastAsia="Times New Roman" w:hint="default"/>
          <w:spacing w:val="-3"/>
        </w:rPr>
        <w:t>[2015]1856</w:t>
      </w:r>
      <w:r>
        <w:rPr>
          <w:spacing w:val="-3"/>
        </w:rPr>
        <w:t>号）的核准，由公司向宁波宏创股权投资合伙企业（有限合伙）发行人民币普通股</w:t>
      </w:r>
      <w:r>
        <w:rPr>
          <w:rFonts w:ascii="Times New Roman" w:hAnsi="Times New Roman" w:cs="Times New Roman" w:eastAsia="Times New Roman" w:hint="default"/>
          <w:spacing w:val="-3"/>
        </w:rPr>
        <w:t>48,124,698</w:t>
      </w:r>
      <w:r>
        <w:rPr>
          <w:spacing w:val="-3"/>
        </w:rPr>
        <w:t>股（每股发</w:t>
      </w:r>
      <w:r>
        <w:rPr>
          <w:spacing w:val="13"/>
        </w:rPr>
        <w:t> </w:t>
      </w:r>
      <w:r>
        <w:rPr>
          <w:spacing w:val="13"/>
        </w:rPr>
      </w:r>
      <w:r>
        <w:rPr>
          <w:spacing w:val="-3"/>
        </w:rPr>
        <w:t>行价格为人民币</w:t>
      </w:r>
      <w:r>
        <w:rPr>
          <w:rFonts w:ascii="Times New Roman" w:hAnsi="Times New Roman" w:cs="Times New Roman" w:eastAsia="Times New Roman" w:hint="default"/>
          <w:spacing w:val="-3"/>
        </w:rPr>
        <w:t>22.39</w:t>
      </w:r>
      <w:r>
        <w:rPr>
          <w:spacing w:val="-3"/>
        </w:rPr>
        <w:t>元）购买相关资产，同时，由公司向特定对象西藏瑞华投资发展有限公司发行人民币普通股</w:t>
      </w:r>
      <w:r>
        <w:rPr>
          <w:rFonts w:ascii="Times New Roman" w:hAnsi="Times New Roman" w:cs="Times New Roman" w:eastAsia="Times New Roman" w:hint="default"/>
          <w:spacing w:val="-3"/>
        </w:rPr>
        <w:t>11,165,698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3"/>
        </w:rPr>
        <w:t>股、向黄学军发行人民币普通股</w:t>
      </w:r>
      <w:r>
        <w:rPr>
          <w:rFonts w:ascii="Times New Roman" w:hAnsi="Times New Roman" w:cs="Times New Roman" w:eastAsia="Times New Roman" w:hint="default"/>
          <w:spacing w:val="-3"/>
        </w:rPr>
        <w:t>5,582,849</w:t>
      </w:r>
      <w:r>
        <w:rPr>
          <w:spacing w:val="-3"/>
        </w:rPr>
        <w:t>股、向曹荣发行人民币普通股</w:t>
      </w:r>
      <w:r>
        <w:rPr>
          <w:rFonts w:ascii="Times New Roman" w:hAnsi="Times New Roman" w:cs="Times New Roman" w:eastAsia="Times New Roman" w:hint="default"/>
          <w:spacing w:val="-3"/>
        </w:rPr>
        <w:t>5,582,849</w:t>
      </w:r>
      <w:r>
        <w:rPr>
          <w:spacing w:val="-3"/>
        </w:rPr>
        <w:t>股、向南京泰瑞投资管理中心（有限合伙）</w:t>
      </w:r>
      <w:r>
        <w:rPr>
          <w:spacing w:val="7"/>
        </w:rPr>
        <w:t> </w:t>
      </w:r>
      <w:r>
        <w:rPr>
          <w:spacing w:val="7"/>
        </w:rPr>
      </w:r>
      <w:r>
        <w:rPr>
          <w:spacing w:val="-3"/>
        </w:rPr>
        <w:t>发行人民币普通股</w:t>
      </w:r>
      <w:r>
        <w:rPr>
          <w:rFonts w:ascii="Times New Roman" w:hAnsi="Times New Roman" w:cs="Times New Roman" w:eastAsia="Times New Roman" w:hint="default"/>
          <w:spacing w:val="-3"/>
        </w:rPr>
        <w:t>2,207,982</w:t>
      </w:r>
      <w:r>
        <w:rPr>
          <w:spacing w:val="-3"/>
        </w:rPr>
        <w:t>股（以上每股发行价格为人民币</w:t>
      </w:r>
      <w:r>
        <w:rPr>
          <w:rFonts w:ascii="Times New Roman" w:hAnsi="Times New Roman" w:cs="Times New Roman" w:eastAsia="Times New Roman" w:hint="default"/>
          <w:spacing w:val="-3"/>
        </w:rPr>
        <w:t>22.39</w:t>
      </w:r>
      <w:r>
        <w:rPr>
          <w:spacing w:val="-3"/>
        </w:rPr>
        <w:t>元）募集配套资金，以上合计申请增加注册资本及股本人</w:t>
      </w:r>
      <w:r>
        <w:rPr>
          <w:spacing w:val="3"/>
        </w:rPr>
        <w:t> </w:t>
      </w:r>
      <w:r>
        <w:rPr>
          <w:spacing w:val="3"/>
        </w:rPr>
      </w:r>
      <w:r>
        <w:rPr/>
        <w:t>民币</w:t>
      </w:r>
      <w:r>
        <w:rPr>
          <w:rFonts w:ascii="Times New Roman" w:hAnsi="Times New Roman" w:cs="Times New Roman" w:eastAsia="Times New Roman" w:hint="default"/>
        </w:rPr>
        <w:t>72,664,076.00</w:t>
      </w:r>
      <w:r>
        <w:rPr/>
        <w:t>元，变更后的注册资本及股本为人民币</w:t>
      </w:r>
      <w:r>
        <w:rPr>
          <w:rFonts w:ascii="Times New Roman" w:hAnsi="Times New Roman" w:cs="Times New Roman" w:eastAsia="Times New Roman" w:hint="default"/>
        </w:rPr>
        <w:t>357,280,850.00</w:t>
      </w:r>
      <w:r>
        <w:rPr/>
        <w:t>元。</w:t>
      </w:r>
    </w:p>
    <w:p>
      <w:pPr>
        <w:pStyle w:val="BodyText"/>
        <w:spacing w:line="307" w:lineRule="auto" w:before="11"/>
        <w:ind w:right="0" w:firstLine="508"/>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6"/>
        </w:rPr>
        <w:t> </w:t>
      </w:r>
      <w:r>
        <w:rPr>
          <w:spacing w:val="-3"/>
        </w:rPr>
        <w:t>年限制性股票激</w:t>
      </w:r>
      <w:r>
        <w:rPr>
          <w:w w:val="101"/>
        </w:rPr>
        <w:t> </w:t>
      </w:r>
      <w:r>
        <w:rPr>
          <w:spacing w:val="-6"/>
        </w:rPr>
        <w:t>励计划（草案修订稿）》、第四届董事会第三十二次会议决议和修改后的章程规定，公司对张传位、范蕾、孙明志、王继伟、</w:t>
      </w:r>
      <w:r>
        <w:rPr>
          <w:spacing w:val="56"/>
        </w:rPr>
        <w:t> </w:t>
      </w:r>
      <w:r>
        <w:rPr>
          <w:spacing w:val="56"/>
        </w:rPr>
      </w:r>
      <w:r>
        <w:rPr>
          <w:spacing w:val="-3"/>
        </w:rPr>
        <w:t>王莹、顾进峰、蒋新星、吴茵、戴岱、涂庆红、陈立菲已获授但尚未解锁的限制性股票股本人民币</w:t>
      </w:r>
      <w:r>
        <w:rPr>
          <w:rFonts w:ascii="Times New Roman" w:hAnsi="Times New Roman" w:cs="Times New Roman" w:eastAsia="Times New Roman" w:hint="default"/>
          <w:spacing w:val="-3"/>
        </w:rPr>
        <w:t>185,000.00</w:t>
      </w:r>
      <w:r>
        <w:rPr>
          <w:spacing w:val="-3"/>
        </w:rPr>
        <w:t>元进行回购注</w:t>
      </w:r>
      <w:r>
        <w:rPr>
          <w:spacing w:val="-2"/>
        </w:rPr>
        <w:t> </w:t>
      </w:r>
      <w:r>
        <w:rPr>
          <w:spacing w:val="-2"/>
        </w:rPr>
      </w:r>
      <w:r>
        <w:rPr/>
        <w:t>销，申请减少注册资本及股本人民币</w:t>
      </w:r>
      <w:r>
        <w:rPr>
          <w:rFonts w:ascii="Times New Roman" w:hAnsi="Times New Roman" w:cs="Times New Roman" w:eastAsia="Times New Roman" w:hint="default"/>
        </w:rPr>
        <w:t>185,000.00</w:t>
      </w:r>
      <w:r>
        <w:rPr/>
        <w:t>元，变更后的注册资本及股本为人民币</w:t>
      </w:r>
      <w:r>
        <w:rPr>
          <w:rFonts w:ascii="Times New Roman" w:hAnsi="Times New Roman" w:cs="Times New Roman" w:eastAsia="Times New Roman" w:hint="default"/>
        </w:rPr>
        <w:t>357,095,850.00</w:t>
      </w:r>
      <w:r>
        <w:rPr/>
        <w:t>元。</w:t>
      </w:r>
    </w:p>
    <w:p>
      <w:pPr>
        <w:pStyle w:val="BodyText"/>
        <w:spacing w:line="300" w:lineRule="auto" w:before="7"/>
        <w:ind w:right="1122" w:firstLine="508"/>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4"/>
        </w:rPr>
        <w:t> </w:t>
      </w:r>
      <w:r>
        <w:rPr/>
        <w:t>年限制性股票激励</w:t>
      </w:r>
      <w:r>
        <w:rPr>
          <w:w w:val="101"/>
        </w:rPr>
        <w:t> </w:t>
      </w:r>
      <w:r>
        <w:rPr>
          <w:spacing w:val="-4"/>
        </w:rPr>
        <w:t>计划（草案修订稿）》、第四届董事会第三十七次会议决议和修改后的章程规定，公司对董必华等</w:t>
      </w:r>
      <w:r>
        <w:rPr>
          <w:rFonts w:ascii="Times New Roman" w:hAnsi="Times New Roman" w:cs="Times New Roman" w:eastAsia="Times New Roman" w:hint="default"/>
          <w:spacing w:val="-4"/>
        </w:rPr>
        <w:t>91</w:t>
      </w:r>
      <w:r>
        <w:rPr>
          <w:spacing w:val="-4"/>
        </w:rPr>
        <w:t>名激励对象授予限制性</w:t>
      </w:r>
      <w:r>
        <w:rPr>
          <w:spacing w:val="45"/>
        </w:rPr>
        <w:t> </w:t>
      </w:r>
      <w:r>
        <w:rPr>
          <w:spacing w:val="45"/>
        </w:rPr>
      </w:r>
      <w:r>
        <w:rPr/>
        <w:t>股票，公司申请增加注册资本及股本人民币</w:t>
      </w:r>
      <w:r>
        <w:rPr>
          <w:rFonts w:ascii="Times New Roman" w:hAnsi="Times New Roman" w:cs="Times New Roman" w:eastAsia="Times New Roman" w:hint="default"/>
        </w:rPr>
        <w:t>1,080,000.00</w:t>
      </w:r>
      <w:r>
        <w:rPr/>
        <w:t>元，变更后注册资本及股本为人民币</w:t>
      </w:r>
      <w:r>
        <w:rPr>
          <w:rFonts w:ascii="Times New Roman" w:hAnsi="Times New Roman" w:cs="Times New Roman" w:eastAsia="Times New Roman" w:hint="default"/>
        </w:rPr>
        <w:t>358,175,850.00</w:t>
      </w:r>
      <w:r>
        <w:rPr/>
        <w:t>元。</w:t>
      </w:r>
    </w:p>
    <w:p>
      <w:pPr>
        <w:pStyle w:val="BodyText"/>
        <w:spacing w:line="307" w:lineRule="auto" w:before="13"/>
        <w:ind w:right="0" w:firstLine="508"/>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4"/>
        </w:rPr>
        <w:t> </w:t>
      </w:r>
      <w:r>
        <w:rPr/>
        <w:t>年限制性股票激励</w:t>
      </w:r>
      <w:r>
        <w:rPr>
          <w:w w:val="101"/>
        </w:rPr>
        <w:t> </w:t>
      </w:r>
      <w:r>
        <w:rPr>
          <w:spacing w:val="-3"/>
        </w:rPr>
        <w:t>计划（草案修订稿）》、第四届董事会第三十九次会议决议和修改后的章程，公司对张峥、邓一波、强征、杨凡、韩孝阳、</w:t>
      </w:r>
      <w:r>
        <w:rPr>
          <w:spacing w:val="66"/>
        </w:rPr>
        <w:t> </w:t>
      </w:r>
      <w:r>
        <w:rPr>
          <w:spacing w:val="66"/>
        </w:rPr>
      </w:r>
      <w:r>
        <w:rPr>
          <w:spacing w:val="-4"/>
        </w:rPr>
        <w:t>杨斌已获授但尚未解锁的限制性股票股本人民币</w:t>
      </w:r>
      <w:r>
        <w:rPr>
          <w:rFonts w:ascii="Times New Roman" w:hAnsi="Times New Roman" w:cs="Times New Roman" w:eastAsia="Times New Roman" w:hint="default"/>
          <w:spacing w:val="-4"/>
        </w:rPr>
        <w:t>74,500.00</w:t>
      </w:r>
      <w:r>
        <w:rPr>
          <w:spacing w:val="-4"/>
        </w:rPr>
        <w:t>元进行回购注销，申请减少注册资本及股本人民币</w:t>
      </w:r>
      <w:r>
        <w:rPr>
          <w:rFonts w:ascii="Times New Roman" w:hAnsi="Times New Roman" w:cs="Times New Roman" w:eastAsia="Times New Roman" w:hint="default"/>
          <w:spacing w:val="-4"/>
        </w:rPr>
        <w:t>74,500.00</w:t>
      </w:r>
      <w:r>
        <w:rPr>
          <w:spacing w:val="-4"/>
        </w:rPr>
        <w:t>元，变</w:t>
      </w:r>
      <w:r>
        <w:rPr>
          <w:spacing w:val="76"/>
        </w:rPr>
        <w:t> </w:t>
      </w:r>
      <w:r>
        <w:rPr>
          <w:spacing w:val="76"/>
        </w:rPr>
      </w:r>
      <w:r>
        <w:rPr>
          <w:spacing w:val="-3"/>
        </w:rPr>
        <w:t>更后的注册资本及股本为人民币</w:t>
      </w:r>
      <w:r>
        <w:rPr>
          <w:rFonts w:ascii="Times New Roman" w:hAnsi="Times New Roman" w:cs="Times New Roman" w:eastAsia="Times New Roman" w:hint="default"/>
          <w:spacing w:val="-3"/>
        </w:rPr>
        <w:t>358,101,350.00</w:t>
      </w:r>
      <w:r>
        <w:rPr>
          <w:spacing w:val="-3"/>
        </w:rPr>
        <w:t>元。</w:t>
      </w:r>
      <w:r>
        <w:rPr/>
      </w:r>
    </w:p>
    <w:p>
      <w:pPr>
        <w:pStyle w:val="BodyText"/>
        <w:spacing w:line="309" w:lineRule="auto" w:before="7"/>
        <w:ind w:right="1122" w:firstLine="508"/>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6</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年限制性股票激励</w:t>
      </w:r>
      <w:r>
        <w:rPr>
          <w:w w:val="101"/>
        </w:rPr>
        <w:t> </w:t>
      </w:r>
      <w:r>
        <w:rPr>
          <w:spacing w:val="-5"/>
        </w:rPr>
        <w:t>计划（草案修订稿）》、第五届董事会第四次会议决议和修改后的章程，公司对钱罡、仇释、张凯、田勇、韩静、强征，孙</w:t>
      </w:r>
      <w:r>
        <w:rPr>
          <w:spacing w:val="4"/>
        </w:rPr>
        <w:t> </w:t>
      </w:r>
      <w:r>
        <w:rPr>
          <w:spacing w:val="4"/>
        </w:rPr>
      </w:r>
      <w:r>
        <w:rPr>
          <w:spacing w:val="-4"/>
        </w:rPr>
        <w:t>剑峰、顾凯、徐远、查维强、甘明春、孙国卿、陈磊、李华、秦智超、翁存中、徐仙仙、陈守章、孙月军已获授但尚未解锁</w:t>
      </w:r>
      <w:r>
        <w:rPr>
          <w:spacing w:val="40"/>
        </w:rPr>
        <w:t> </w:t>
      </w:r>
      <w:r>
        <w:rPr>
          <w:spacing w:val="40"/>
        </w:rPr>
      </w:r>
      <w:r>
        <w:rPr>
          <w:spacing w:val="-4"/>
        </w:rPr>
        <w:t>的限制性股票股本人民币</w:t>
      </w:r>
      <w:r>
        <w:rPr>
          <w:rFonts w:ascii="Times New Roman" w:hAnsi="Times New Roman" w:cs="Times New Roman" w:eastAsia="Times New Roman" w:hint="default"/>
          <w:spacing w:val="-4"/>
        </w:rPr>
        <w:t>249,500.00</w:t>
      </w:r>
      <w:r>
        <w:rPr>
          <w:spacing w:val="-4"/>
        </w:rPr>
        <w:t>元进行回购注销，申请减少注册资本及股本人民币</w:t>
      </w:r>
      <w:r>
        <w:rPr>
          <w:rFonts w:ascii="Times New Roman" w:hAnsi="Times New Roman" w:cs="Times New Roman" w:eastAsia="Times New Roman" w:hint="default"/>
          <w:spacing w:val="-4"/>
        </w:rPr>
        <w:t>249,500.00</w:t>
      </w:r>
      <w:r>
        <w:rPr>
          <w:spacing w:val="-4"/>
        </w:rPr>
        <w:t>元，变更后的注册资本及股</w:t>
      </w:r>
      <w:r>
        <w:rPr>
          <w:spacing w:val="-1"/>
        </w:rPr>
        <w:t> </w:t>
      </w:r>
      <w:r>
        <w:rPr>
          <w:spacing w:val="-1"/>
        </w:rPr>
      </w:r>
      <w:r>
        <w:rPr/>
        <w:t>本为人民币</w:t>
      </w:r>
      <w:r>
        <w:rPr>
          <w:rFonts w:ascii="Times New Roman" w:hAnsi="Times New Roman" w:cs="Times New Roman" w:eastAsia="Times New Roman" w:hint="default"/>
        </w:rPr>
        <w:t>357,851,850.00</w:t>
      </w:r>
      <w:r>
        <w:rPr/>
        <w:t>元。</w:t>
      </w:r>
    </w:p>
    <w:p>
      <w:pPr>
        <w:pStyle w:val="BodyText"/>
        <w:spacing w:line="307" w:lineRule="auto" w:before="5"/>
        <w:ind w:right="0" w:firstLine="508"/>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5"/>
        </w:rPr>
        <w:t> </w:t>
      </w:r>
      <w:r>
        <w:rPr/>
        <w:t>年限制性股票激励</w:t>
      </w:r>
      <w:r>
        <w:rPr>
          <w:w w:val="101"/>
        </w:rPr>
        <w:t> </w:t>
      </w:r>
      <w:r>
        <w:rPr>
          <w:spacing w:val="-4"/>
        </w:rPr>
        <w:t>计划（草案修订稿）》、第五届董事会第四次会议决议和修改后的章程，公司对顾辰飞、胡良民、李玎、李剑、薛瑞、赵瑶</w:t>
      </w:r>
      <w:r>
        <w:rPr>
          <w:spacing w:val="40"/>
        </w:rPr>
        <w:t> </w:t>
      </w:r>
      <w:r>
        <w:rPr>
          <w:spacing w:val="40"/>
        </w:rPr>
      </w:r>
      <w:r>
        <w:rPr>
          <w:spacing w:val="-3"/>
        </w:rPr>
        <w:t>彬、王慧、钱忠斌、陈业新、吴胜周、戴安宁已获授但尚未解锁的限制性股票股本人民币</w:t>
      </w:r>
      <w:r>
        <w:rPr>
          <w:rFonts w:ascii="Times New Roman" w:hAnsi="Times New Roman" w:cs="Times New Roman" w:eastAsia="Times New Roman" w:hint="default"/>
          <w:spacing w:val="-3"/>
        </w:rPr>
        <w:t>118,500.00</w:t>
      </w:r>
      <w:r>
        <w:rPr>
          <w:spacing w:val="-3"/>
        </w:rPr>
        <w:t>元进行回购注销，申请</w:t>
      </w:r>
      <w:r>
        <w:rPr>
          <w:spacing w:val="-2"/>
        </w:rPr>
        <w:t> </w:t>
      </w:r>
      <w:r>
        <w:rPr>
          <w:spacing w:val="-2"/>
        </w:rPr>
      </w:r>
      <w:r>
        <w:rPr/>
        <w:t>减少注册资本及股本人民币</w:t>
      </w:r>
      <w:r>
        <w:rPr>
          <w:rFonts w:ascii="Times New Roman" w:hAnsi="Times New Roman" w:cs="Times New Roman" w:eastAsia="Times New Roman" w:hint="default"/>
        </w:rPr>
        <w:t>118,500.00</w:t>
      </w:r>
      <w:r>
        <w:rPr/>
        <w:t>元，变更后的注册资本及股本为人民币</w:t>
      </w:r>
      <w:r>
        <w:rPr>
          <w:rFonts w:ascii="Times New Roman" w:hAnsi="Times New Roman" w:cs="Times New Roman" w:eastAsia="Times New Roman" w:hint="default"/>
        </w:rPr>
        <w:t>357,733,350.00</w:t>
      </w:r>
      <w:r>
        <w:rPr/>
        <w:t>元。</w:t>
      </w:r>
    </w:p>
    <w:p>
      <w:pPr>
        <w:pStyle w:val="BodyText"/>
        <w:spacing w:line="300" w:lineRule="auto" w:before="7"/>
        <w:ind w:right="0" w:firstLine="508"/>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w:t>
      </w:r>
      <w:r>
        <w:rPr>
          <w:spacing w:val="-3"/>
        </w:rPr>
        <w:t>日，根据公司</w:t>
      </w:r>
      <w:r>
        <w:rPr>
          <w:rFonts w:ascii="Times New Roman" w:hAnsi="Times New Roman" w:cs="Times New Roman" w:eastAsia="Times New Roman" w:hint="default"/>
          <w:spacing w:val="-3"/>
        </w:rPr>
        <w:t>2016</w:t>
      </w:r>
      <w:r>
        <w:rPr>
          <w:spacing w:val="-3"/>
        </w:rPr>
        <w:t>年度股东大会决议和修改后章程的规定，公司以资本公积金每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股，变更后注</w:t>
      </w:r>
      <w:r>
        <w:rPr>
          <w:w w:val="101"/>
        </w:rPr>
        <w:t> </w:t>
      </w:r>
      <w:r>
        <w:rPr/>
        <w:t>册资本为</w:t>
      </w:r>
      <w:r>
        <w:rPr>
          <w:rFonts w:ascii="Times New Roman" w:hAnsi="Times New Roman" w:cs="Times New Roman" w:eastAsia="Times New Roman" w:hint="default"/>
        </w:rPr>
        <w:t>715,466,700.00</w:t>
      </w:r>
      <w:r>
        <w:rPr/>
        <w:t>元。</w:t>
      </w:r>
    </w:p>
    <w:p>
      <w:pPr>
        <w:pStyle w:val="BodyText"/>
        <w:spacing w:line="300" w:lineRule="auto" w:before="13"/>
        <w:ind w:right="1026" w:firstLine="508"/>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日召开的</w:t>
      </w:r>
      <w:r>
        <w:rPr>
          <w:rFonts w:ascii="Times New Roman" w:hAnsi="Times New Roman" w:cs="Times New Roman" w:eastAsia="Times New Roman" w:hint="default"/>
          <w:spacing w:val="-3"/>
        </w:rPr>
        <w:t>2016</w:t>
      </w:r>
      <w:r>
        <w:rPr>
          <w:spacing w:val="-3"/>
        </w:rPr>
        <w:t>年第三次临时股东大会审议通过的《关于公司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年度非公开</w:t>
      </w:r>
      <w:r>
        <w:rPr>
          <w:w w:val="101"/>
        </w:rPr>
        <w:t> </w:t>
      </w:r>
      <w:r>
        <w:rPr/>
        <w:t>发行 </w:t>
      </w:r>
      <w:r>
        <w:rPr>
          <w:rFonts w:ascii="Times New Roman" w:hAnsi="Times New Roman" w:cs="Times New Roman" w:eastAsia="Times New Roman" w:hint="default"/>
        </w:rPr>
        <w:t>A </w:t>
      </w:r>
      <w:r>
        <w:rPr>
          <w:spacing w:val="-3"/>
        </w:rPr>
        <w:t>股股票方案的议案》和修改后的公司章程，并经中国证券监督管理委员会《关于核准江苏润和软件股份有限公司非</w:t>
      </w:r>
      <w:r>
        <w:rPr>
          <w:spacing w:val="-28"/>
        </w:rPr>
        <w:t> </w:t>
      </w:r>
      <w:r>
        <w:rPr>
          <w:spacing w:val="-28"/>
        </w:rPr>
      </w:r>
      <w:r>
        <w:rPr>
          <w:spacing w:val="-3"/>
        </w:rPr>
        <w:t>公开发行股票的批复》（证监许可</w:t>
      </w:r>
      <w:r>
        <w:rPr>
          <w:rFonts w:ascii="Times New Roman" w:hAnsi="Times New Roman" w:cs="Times New Roman" w:eastAsia="Times New Roman" w:hint="default"/>
          <w:spacing w:val="-3"/>
        </w:rPr>
        <w:t>[2017]1213</w:t>
      </w:r>
      <w:r>
        <w:rPr>
          <w:spacing w:val="-3"/>
        </w:rPr>
        <w:t>号文）的核准，公司向特定投资者泰达宏利基金管理有限公司、浙江浙商产融</w:t>
      </w:r>
      <w:r>
        <w:rPr>
          <w:spacing w:val="57"/>
        </w:rPr>
        <w:t> </w:t>
      </w:r>
      <w:r>
        <w:rPr>
          <w:spacing w:val="57"/>
        </w:rPr>
      </w:r>
      <w:r>
        <w:rPr>
          <w:spacing w:val="-3"/>
        </w:rPr>
        <w:t>控股有限公司、财通基金管理有限公司、申万宏源证券有限公司发行人民币普通股股票</w:t>
      </w:r>
      <w:r>
        <w:rPr>
          <w:rFonts w:ascii="Times New Roman" w:hAnsi="Times New Roman" w:cs="Times New Roman" w:eastAsia="Times New Roman" w:hint="default"/>
          <w:spacing w:val="-3"/>
        </w:rPr>
        <w:t>81,326,141</w:t>
      </w:r>
      <w:r>
        <w:rPr>
          <w:spacing w:val="-3"/>
        </w:rPr>
        <w:t>股，增加注册资本</w:t>
      </w:r>
      <w:r>
        <w:rPr>
          <w:spacing w:val="74"/>
        </w:rPr>
        <w:t> </w:t>
      </w:r>
      <w:r>
        <w:rPr>
          <w:spacing w:val="74"/>
        </w:rPr>
      </w:r>
      <w:r>
        <w:rPr>
          <w:rFonts w:ascii="Times New Roman" w:hAnsi="Times New Roman" w:cs="Times New Roman" w:eastAsia="Times New Roman" w:hint="default"/>
        </w:rPr>
        <w:t>81,326,141.00</w:t>
      </w:r>
      <w:r>
        <w:rPr/>
        <w:t>元，变更后的注册资本为人民币</w:t>
      </w:r>
      <w:r>
        <w:rPr>
          <w:rFonts w:ascii="Times New Roman" w:hAnsi="Times New Roman" w:cs="Times New Roman" w:eastAsia="Times New Roman" w:hint="default"/>
        </w:rPr>
        <w:t>796,792,841.00</w:t>
      </w:r>
      <w:r>
        <w:rPr/>
        <w:t>元。</w:t>
      </w:r>
    </w:p>
    <w:p>
      <w:pPr>
        <w:pStyle w:val="BodyText"/>
        <w:spacing w:line="304" w:lineRule="auto" w:before="13"/>
        <w:ind w:right="0" w:firstLine="508"/>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1"/>
        </w:rPr>
        <w:t> </w:t>
      </w:r>
      <w:r>
        <w:rPr/>
        <w:t>年限制性股票激励</w:t>
      </w:r>
      <w:r>
        <w:rPr>
          <w:w w:val="101"/>
        </w:rPr>
        <w:t> </w:t>
      </w:r>
      <w:r>
        <w:rPr>
          <w:spacing w:val="-6"/>
        </w:rPr>
        <w:t>计划（草案修订稿）》、第五届董事会第</w:t>
      </w:r>
      <w:r>
        <w:rPr>
          <w:rFonts w:ascii="Times New Roman" w:hAnsi="Times New Roman" w:cs="Times New Roman" w:eastAsia="Times New Roman" w:hint="default"/>
          <w:spacing w:val="-6"/>
        </w:rPr>
        <w:t>**</w:t>
      </w:r>
      <w:r>
        <w:rPr>
          <w:spacing w:val="-6"/>
        </w:rPr>
        <w:t>次会议决议和修改后的章程，公司对周磊、周蛟、郑蓓、赵振平、张玉峰、许波、</w:t>
      </w:r>
      <w:r>
        <w:rPr>
          <w:spacing w:val="69"/>
        </w:rPr>
        <w:t> </w:t>
      </w:r>
      <w:r>
        <w:rPr>
          <w:spacing w:val="69"/>
        </w:rPr>
      </w:r>
      <w:r>
        <w:rPr>
          <w:spacing w:val="-3"/>
        </w:rPr>
        <w:t>徐苏君、徐珩、吴烨、魏榕祠、王宇、王天、汤鹏川、孙嘉琛、苏南、沈欣慧、秦伟娜、牟际生、莫华军、刘珏、刘恩道、</w:t>
      </w:r>
      <w:r>
        <w:rPr>
          <w:spacing w:val="66"/>
        </w:rPr>
        <w:t> </w:t>
      </w:r>
      <w:r>
        <w:rPr>
          <w:spacing w:val="66"/>
        </w:rPr>
      </w:r>
      <w:r>
        <w:rPr>
          <w:spacing w:val="-3"/>
        </w:rPr>
        <w:t>李治勇、雷彤、蒋昕、果鹏、邓茜、陈钟鹏、陈希、蔡雷鸣已获授但尚未解锁的限制性股票股本人民币</w:t>
      </w:r>
      <w:r>
        <w:rPr>
          <w:rFonts w:ascii="Times New Roman" w:hAnsi="Times New Roman" w:cs="Times New Roman" w:eastAsia="Times New Roman" w:hint="default"/>
          <w:spacing w:val="-3"/>
        </w:rPr>
        <w:t>382,000.00</w:t>
      </w:r>
      <w:r>
        <w:rPr>
          <w:spacing w:val="-3"/>
        </w:rPr>
        <w:t>元进行回</w:t>
      </w:r>
      <w:r>
        <w:rPr>
          <w:spacing w:val="-1"/>
        </w:rPr>
        <w:t> </w:t>
      </w:r>
      <w:r>
        <w:rPr>
          <w:spacing w:val="-1"/>
        </w:rPr>
      </w:r>
      <w:r>
        <w:rPr/>
        <w:t>购注销，申请减少注册资本及股本人民币</w:t>
      </w:r>
      <w:r>
        <w:rPr>
          <w:rFonts w:ascii="Times New Roman" w:hAnsi="Times New Roman" w:cs="Times New Roman" w:eastAsia="Times New Roman" w:hint="default"/>
        </w:rPr>
        <w:t>382,000.00</w:t>
      </w:r>
      <w:r>
        <w:rPr/>
        <w:t>元，变更后的注册资本及股本为人民币</w:t>
      </w:r>
      <w:r>
        <w:rPr>
          <w:rFonts w:ascii="Times New Roman" w:hAnsi="Times New Roman" w:cs="Times New Roman" w:eastAsia="Times New Roman" w:hint="default"/>
        </w:rPr>
        <w:t>796,410,841.00</w:t>
      </w:r>
      <w:r>
        <w:rPr/>
        <w:t>元。</w:t>
      </w:r>
    </w:p>
    <w:p>
      <w:pPr>
        <w:pStyle w:val="BodyText"/>
        <w:spacing w:line="316" w:lineRule="auto" w:before="9"/>
        <w:ind w:right="1124" w:firstLine="508"/>
        <w:jc w:val="both"/>
      </w:pPr>
      <w:r>
        <w:rPr>
          <w:spacing w:val="-4"/>
        </w:rPr>
        <w:t>公司的经营范围：计算机软、硬件的研发，相关产品的销售以及售后综合技术服务；自营和代理各类商品及技术的进</w:t>
      </w:r>
      <w:r>
        <w:rPr>
          <w:w w:val="101"/>
        </w:rPr>
        <w:t> </w:t>
      </w:r>
      <w:r>
        <w:rPr>
          <w:spacing w:val="-4"/>
        </w:rPr>
        <w:t>出口业务；计算机网络系统集成，楼宇智能化系统工程的设计、施工、安装；通信终端设备制造；工业自动控制系统装置制</w:t>
      </w:r>
      <w:r>
        <w:rPr>
          <w:spacing w:val="40"/>
        </w:rPr>
        <w:t> </w:t>
      </w:r>
      <w:r>
        <w:rPr>
          <w:spacing w:val="40"/>
        </w:rPr>
      </w:r>
      <w:r>
        <w:rPr>
          <w:spacing w:val="-3"/>
        </w:rPr>
        <w:t>造。网络文化经营（按许可证所列范围经营）；（依法须经批准的项目，经相关部门批准后方可开展经营活动）</w:t>
      </w:r>
    </w:p>
    <w:p>
      <w:pPr>
        <w:pStyle w:val="BodyText"/>
        <w:spacing w:line="240" w:lineRule="auto" w:before="18"/>
        <w:ind w:left="662" w:right="0"/>
        <w:jc w:val="left"/>
      </w:pPr>
      <w:r>
        <w:rPr>
          <w:spacing w:val="-3"/>
        </w:rPr>
        <w:t>公司的经营地址：南京市雨花台区铁心桥工业园。法定代表人：周红卫。</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662" w:right="0"/>
        <w:jc w:val="left"/>
      </w:pPr>
      <w:r>
        <w:rPr>
          <w:spacing w:val="-3"/>
        </w:rPr>
        <w:t>财务报告批准报出日：本财务报表业经本公司董事会于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11</w:t>
      </w:r>
      <w:r>
        <w:rPr>
          <w:spacing w:val="-3"/>
        </w:rPr>
        <w:t>日决议批准报出。</w:t>
      </w:r>
    </w:p>
    <w:p>
      <w:pPr>
        <w:pStyle w:val="BodyText"/>
        <w:spacing w:line="240" w:lineRule="auto" w:before="63"/>
        <w:ind w:left="662" w:right="0"/>
        <w:jc w:val="left"/>
      </w:pPr>
      <w:r>
        <w:rPr>
          <w:rFonts w:ascii="Times New Roman" w:hAnsi="Times New Roman" w:cs="Times New Roman" w:eastAsia="Times New Roman" w:hint="default"/>
          <w:spacing w:val="-3"/>
        </w:rPr>
        <w:t>2.</w:t>
      </w:r>
      <w:r>
        <w:rPr>
          <w:spacing w:val="-3"/>
        </w:rPr>
        <w:t>合并报表范围</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1</w:t>
      </w:r>
      <w:r>
        <w:rPr>
          <w:spacing w:val="-3"/>
        </w:rPr>
        <w:t>）本公司本期纳入合并范围的子公司</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860"/>
        <w:gridCol w:w="4149"/>
        <w:gridCol w:w="1859"/>
        <w:gridCol w:w="998"/>
        <w:gridCol w:w="996"/>
      </w:tblGrid>
      <w:tr>
        <w:trPr>
          <w:trHeight w:val="349" w:hRule="exact"/>
        </w:trPr>
        <w:tc>
          <w:tcPr>
            <w:tcW w:w="860" w:type="dxa"/>
            <w:vMerge w:val="restart"/>
            <w:tcBorders>
              <w:top w:val="single" w:sz="6" w:space="0" w:color="000000"/>
              <w:left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149"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859" w:type="dxa"/>
            <w:vMerge w:val="restart"/>
            <w:tcBorders>
              <w:top w:val="single" w:sz="6" w:space="0" w:color="000000"/>
              <w:left w:val="single" w:sz="6" w:space="0" w:color="000000"/>
              <w:right w:val="single" w:sz="6" w:space="0" w:color="000000"/>
            </w:tcBorders>
          </w:tcPr>
          <w:p>
            <w:pPr>
              <w:pStyle w:val="TableParagraph"/>
              <w:spacing w:line="270" w:lineRule="exact"/>
              <w:ind w:left="398"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1995" w:type="dxa"/>
            <w:gridSpan w:val="2"/>
            <w:tcBorders>
              <w:top w:val="single" w:sz="6" w:space="0" w:color="000000"/>
              <w:left w:val="single" w:sz="6" w:space="0" w:color="000000"/>
              <w:bottom w:val="single" w:sz="8" w:space="0" w:color="000000"/>
              <w:right w:val="nil" w:sz="6" w:space="0" w:color="auto"/>
            </w:tcBorders>
          </w:tcPr>
          <w:p>
            <w:pPr>
              <w:pStyle w:val="TableParagraph"/>
              <w:spacing w:line="286" w:lineRule="exact"/>
              <w:ind w:left="4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r>
      <w:tr>
        <w:trPr>
          <w:trHeight w:val="350" w:hRule="exact"/>
        </w:trPr>
        <w:tc>
          <w:tcPr>
            <w:tcW w:w="860" w:type="dxa"/>
            <w:vMerge/>
            <w:tcBorders>
              <w:left w:val="single" w:sz="6" w:space="0" w:color="000000"/>
              <w:bottom w:val="single" w:sz="8" w:space="0" w:color="000000"/>
              <w:right w:val="single" w:sz="6" w:space="0" w:color="000000"/>
            </w:tcBorders>
          </w:tcPr>
          <w:p>
            <w:pPr/>
          </w:p>
        </w:tc>
        <w:tc>
          <w:tcPr>
            <w:tcW w:w="4149" w:type="dxa"/>
            <w:vMerge/>
            <w:tcBorders>
              <w:left w:val="single" w:sz="6" w:space="0" w:color="000000"/>
              <w:bottom w:val="single" w:sz="8" w:space="0" w:color="000000"/>
              <w:right w:val="single" w:sz="6" w:space="0" w:color="000000"/>
            </w:tcBorders>
          </w:tcPr>
          <w:p>
            <w:pPr/>
          </w:p>
        </w:tc>
        <w:tc>
          <w:tcPr>
            <w:tcW w:w="1859" w:type="dxa"/>
            <w:vMerge/>
            <w:tcBorders>
              <w:left w:val="single" w:sz="6" w:space="0" w:color="000000"/>
              <w:bottom w:val="single" w:sz="8" w:space="0" w:color="000000"/>
              <w:right w:val="single" w:sz="6" w:space="0" w:color="000000"/>
            </w:tcBorders>
          </w:tcPr>
          <w:p>
            <w:pP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江苏润和南京软件外包园投资有限公司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外包园公司</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江苏软信和熙信息科技有限公司</w:t>
            </w:r>
            <w:r>
              <w:rPr>
                <w:rFonts w:ascii="宋体" w:hAnsi="宋体" w:cs="宋体" w:eastAsia="宋体" w:hint="default"/>
                <w:spacing w:val="-15"/>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软信和熙</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2</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西安润和软件信息技术有限公司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西安润和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北京润和汇智信息技术有限公司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北京润和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3-1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深圳润和汇智信息技术有限公司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深圳润和汇智</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4</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上海润和信息技术服务有限公司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上海润和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株式会社ホープラン東京</w:t>
            </w:r>
            <w:r>
              <w:rPr>
                <w:rFonts w:ascii="宋体" w:hAnsi="宋体" w:cs="宋体" w:eastAsia="宋体" w:hint="default"/>
                <w:spacing w:val="-18"/>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东京润和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91.67</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58"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5-1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1" w:lineRule="auto" w:before="39"/>
              <w:ind w:left="4" w:right="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HOPERUN SOFTWARE SINGAPORE</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新加坡润和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70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6</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HopeRun Technology Co.,</w:t>
            </w:r>
            <w:r>
              <w:rPr>
                <w:rFonts w:ascii="Times New Roman"/>
                <w:spacing w:val="-11"/>
                <w:sz w:val="21"/>
              </w:rPr>
              <w:t> </w:t>
            </w:r>
            <w:r>
              <w:rPr>
                <w:rFonts w:ascii="Times New Roman"/>
                <w:sz w:val="21"/>
              </w:rPr>
              <w:t>Ltd</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波士顿润和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7</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武汉宁润软件信息技术有限公司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武汉宁润</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8</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北京捷科智诚科技有限公司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捷科智诚</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8-1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上海捷科智诚科技有限公司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上海捷科</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8-2</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福州捷科智诚信息科技有限公司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福州捷科</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北京联创智融信息技术有限公司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联创智融</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重庆度融信息技术有限公司</w:t>
            </w:r>
            <w:r>
              <w:rPr>
                <w:rFonts w:ascii="宋体" w:hAnsi="宋体" w:cs="宋体" w:eastAsia="宋体" w:hint="default"/>
                <w:spacing w:val="-17"/>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重庆度融</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60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9-2</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成都联创智融信息技术有限公司</w:t>
            </w:r>
            <w:r>
              <w:rPr>
                <w:rFonts w:ascii="宋体" w:hAnsi="宋体" w:cs="宋体" w:eastAsia="宋体" w:hint="default"/>
                <w:spacing w:val="-15"/>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成都联创</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9-3</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合肥汇聚智融信息技术有限公司</w:t>
            </w:r>
            <w:r>
              <w:rPr>
                <w:rFonts w:ascii="宋体" w:hAnsi="宋体" w:cs="宋体" w:eastAsia="宋体" w:hint="default"/>
                <w:spacing w:val="-15"/>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合肥汇聚</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9-4</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南京汇聚智融信息技术有限公司</w:t>
            </w:r>
            <w:r>
              <w:rPr>
                <w:rFonts w:ascii="宋体" w:hAnsi="宋体" w:cs="宋体" w:eastAsia="宋体" w:hint="default"/>
                <w:spacing w:val="-15"/>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南京汇聚</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60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9-5</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深圳联创智融信息技术有限公司</w:t>
            </w:r>
            <w:r>
              <w:rPr>
                <w:rFonts w:ascii="宋体" w:hAnsi="宋体" w:cs="宋体" w:eastAsia="宋体" w:hint="default"/>
                <w:spacing w:val="-15"/>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深圳联创</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香港润和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1"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上海菲耐得信息科技有限公司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菲耐得</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12</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润和云（上海）科技有限公司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润和云</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13</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广州润和颐能软件技术有限公司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广州润和</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51</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14</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江苏润和智融科技有限公司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润和智融</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15</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江苏润和捷诚科技产业投资有限公司</w:t>
            </w:r>
            <w:r>
              <w:rPr>
                <w:rFonts w:ascii="宋体" w:hAnsi="宋体" w:cs="宋体" w:eastAsia="宋体" w:hint="default"/>
                <w:spacing w:val="-17"/>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5</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润和捷诚</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16</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南京润辰科技有限公司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润辰科技</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55</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17</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南京润和润云科技有限公司</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润和润云</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51</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8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4149"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新维数联</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r>
              <w:rPr>
                <w:rFonts w:ascii="宋体" w:hAnsi="宋体" w:cs="宋体" w:eastAsia="宋体" w:hint="default"/>
                <w:spacing w:val="-19"/>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新维数联</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30</w:t>
            </w:r>
          </w:p>
        </w:tc>
        <w:tc>
          <w:tcPr>
            <w:tcW w:w="9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300" w:lineRule="auto" w:before="10"/>
        <w:ind w:left="662" w:right="0"/>
        <w:jc w:val="left"/>
      </w:pPr>
      <w:r>
        <w:rPr>
          <w:spacing w:val="-3"/>
        </w:rPr>
        <w:t>注</w:t>
      </w:r>
      <w:r>
        <w:rPr>
          <w:rFonts w:ascii="Times New Roman" w:hAnsi="Times New Roman" w:cs="Times New Roman" w:eastAsia="Times New Roman" w:hint="default"/>
          <w:spacing w:val="-3"/>
        </w:rPr>
        <w:t>1</w:t>
      </w:r>
      <w:r>
        <w:rPr>
          <w:spacing w:val="-3"/>
        </w:rPr>
        <w:t>：软信和熙于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月由江苏软信和熙置业有限公司更名为江苏软信和熙信息科技有限公司；</w:t>
      </w:r>
      <w:r>
        <w:rPr>
          <w:spacing w:val="40"/>
        </w:rPr>
        <w:t> </w:t>
      </w:r>
      <w:r>
        <w:rPr>
          <w:spacing w:val="40"/>
        </w:rPr>
      </w:r>
      <w:r>
        <w:rPr>
          <w:spacing w:val="-4"/>
        </w:rPr>
        <w:t>注</w:t>
      </w:r>
      <w:r>
        <w:rPr>
          <w:rFonts w:ascii="Times New Roman" w:hAnsi="Times New Roman" w:cs="Times New Roman" w:eastAsia="Times New Roman" w:hint="default"/>
          <w:spacing w:val="-4"/>
        </w:rPr>
        <w:t>2</w:t>
      </w:r>
      <w:r>
        <w:rPr>
          <w:spacing w:val="-4"/>
        </w:rPr>
        <w:t>：本公司直接拥有东京润和</w:t>
      </w:r>
      <w:r>
        <w:rPr>
          <w:rFonts w:ascii="Times New Roman" w:hAnsi="Times New Roman" w:cs="Times New Roman" w:eastAsia="Times New Roman" w:hint="default"/>
          <w:spacing w:val="-4"/>
        </w:rPr>
        <w:t>91.67%</w:t>
      </w:r>
      <w:r>
        <w:rPr>
          <w:spacing w:val="-4"/>
        </w:rPr>
        <w:t>的股权，东京润和持有</w:t>
      </w:r>
      <w:r>
        <w:rPr>
          <w:rFonts w:ascii="Times New Roman" w:hAnsi="Times New Roman" w:cs="Times New Roman" w:eastAsia="Times New Roman" w:hint="default"/>
          <w:spacing w:val="-4"/>
        </w:rPr>
        <w:t>8.33%</w:t>
      </w:r>
      <w:r>
        <w:rPr>
          <w:spacing w:val="-4"/>
        </w:rPr>
        <w:t>的库存股股权，该库存股股权不仅没有表决权，也</w:t>
      </w:r>
    </w:p>
    <w:p>
      <w:pPr>
        <w:pStyle w:val="BodyText"/>
        <w:spacing w:line="300" w:lineRule="auto" w:before="13"/>
        <w:ind w:left="662" w:right="0" w:hanging="509"/>
        <w:jc w:val="left"/>
      </w:pPr>
      <w:r>
        <w:rPr>
          <w:spacing w:val="-3"/>
        </w:rPr>
        <w:t>没有分红请求权和剩余财产分配请求权等其他权利，因此本公司实际拥有东京润和</w:t>
      </w:r>
      <w:r>
        <w:rPr>
          <w:rFonts w:ascii="Times New Roman" w:hAnsi="Times New Roman" w:cs="Times New Roman" w:eastAsia="Times New Roman" w:hint="default"/>
          <w:spacing w:val="-3"/>
        </w:rPr>
        <w:t>100%</w:t>
      </w:r>
      <w:r>
        <w:rPr>
          <w:spacing w:val="-3"/>
        </w:rPr>
        <w:t>权益；</w:t>
      </w:r>
      <w:r>
        <w:rPr>
          <w:spacing w:val="36"/>
        </w:rPr>
        <w:t> </w:t>
      </w:r>
      <w:r>
        <w:rPr>
          <w:spacing w:val="36"/>
        </w:rPr>
      </w:r>
      <w:r>
        <w:rPr>
          <w:spacing w:val="-3"/>
        </w:rPr>
        <w:t>注</w:t>
      </w:r>
      <w:r>
        <w:rPr>
          <w:rFonts w:ascii="Times New Roman" w:hAnsi="Times New Roman" w:cs="Times New Roman" w:eastAsia="Times New Roman" w:hint="default"/>
          <w:spacing w:val="-3"/>
        </w:rPr>
        <w:t>3</w:t>
      </w:r>
      <w:r>
        <w:rPr>
          <w:spacing w:val="-3"/>
        </w:rPr>
        <w:t>：新加坡润和为东京润和持股</w:t>
      </w:r>
      <w:r>
        <w:rPr>
          <w:rFonts w:ascii="Times New Roman" w:hAnsi="Times New Roman" w:cs="Times New Roman" w:eastAsia="Times New Roman" w:hint="default"/>
          <w:spacing w:val="-3"/>
        </w:rPr>
        <w:t>70%</w:t>
      </w:r>
      <w:r>
        <w:rPr>
          <w:spacing w:val="-3"/>
        </w:rPr>
        <w:t>的控股子公司；</w:t>
      </w:r>
      <w:r>
        <w:rPr>
          <w:w w:val="101"/>
        </w:rPr>
        <w:t> </w:t>
      </w:r>
      <w:r>
        <w:rPr>
          <w:spacing w:val="-3"/>
        </w:rPr>
        <w:t>注</w:t>
      </w:r>
      <w:r>
        <w:rPr>
          <w:rFonts w:ascii="Times New Roman" w:hAnsi="Times New Roman" w:cs="Times New Roman" w:eastAsia="Times New Roman" w:hint="default"/>
          <w:spacing w:val="-3"/>
        </w:rPr>
        <w:t>4</w:t>
      </w:r>
      <w:r>
        <w:rPr>
          <w:spacing w:val="-3"/>
        </w:rPr>
        <w:t>：重庆度融、南京汇聚为联创智融的控股子公司，成都联创、合肥汇聚、深圳联创为联创智融的全资子公司。截</w:t>
      </w:r>
    </w:p>
    <w:p>
      <w:pPr>
        <w:pStyle w:val="BodyText"/>
        <w:spacing w:line="300" w:lineRule="auto" w:before="13"/>
        <w:ind w:left="662" w:right="0" w:hanging="509"/>
        <w:jc w:val="left"/>
      </w:pPr>
      <w:r>
        <w:rPr>
          <w:spacing w:val="-3"/>
        </w:rPr>
        <w:t>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日，联创智融尚未对深圳联创出资，深圳联创尚未正式开展经营；</w:t>
      </w:r>
      <w:r>
        <w:rPr>
          <w:spacing w:val="25"/>
        </w:rPr>
        <w:t> </w:t>
      </w:r>
      <w:r>
        <w:rPr>
          <w:spacing w:val="25"/>
        </w:rPr>
      </w:r>
      <w:r>
        <w:rPr>
          <w:spacing w:val="-3"/>
        </w:rPr>
        <w:t>注</w:t>
      </w:r>
      <w:r>
        <w:rPr>
          <w:rFonts w:ascii="Times New Roman" w:hAnsi="Times New Roman" w:cs="Times New Roman" w:eastAsia="Times New Roman" w:hint="default"/>
          <w:spacing w:val="-3"/>
        </w:rPr>
        <w:t>5</w:t>
      </w:r>
      <w:r>
        <w:rPr>
          <w:spacing w:val="-3"/>
        </w:rPr>
        <w:t>：润和捷诚于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月由江苏润和捷诚信息科技有限公司更名为江苏润和捷诚科技产业投资有限公司；</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firstLine="508"/>
        <w:jc w:val="left"/>
      </w:pPr>
      <w:r>
        <w:rPr>
          <w:spacing w:val="-3"/>
        </w:rPr>
        <w:t>注</w:t>
      </w:r>
      <w:r>
        <w:rPr>
          <w:rFonts w:ascii="Times New Roman" w:hAnsi="Times New Roman" w:cs="Times New Roman" w:eastAsia="Times New Roman" w:hint="default"/>
          <w:spacing w:val="-3"/>
        </w:rPr>
        <w:t>6</w:t>
      </w:r>
      <w:r>
        <w:rPr>
          <w:spacing w:val="-3"/>
        </w:rPr>
        <w:t>：本公司直接拥有新维数联</w:t>
      </w:r>
      <w:r>
        <w:rPr>
          <w:rFonts w:ascii="Times New Roman" w:hAnsi="Times New Roman" w:cs="Times New Roman" w:eastAsia="Times New Roman" w:hint="default"/>
          <w:spacing w:val="-3"/>
        </w:rPr>
        <w:t>30%</w:t>
      </w:r>
      <w:r>
        <w:rPr>
          <w:spacing w:val="-3"/>
        </w:rPr>
        <w:t>的股权和表决权。根据新维数联股东王杰与本公司签订的股东会表决权委托协议，</w:t>
      </w:r>
      <w:r>
        <w:rPr>
          <w:w w:val="101"/>
        </w:rPr>
        <w:t> </w:t>
      </w:r>
      <w:r>
        <w:rPr>
          <w:spacing w:val="-3"/>
        </w:rPr>
        <w:t>王杰将其持有的新维数联全部</w:t>
      </w:r>
      <w:r>
        <w:rPr>
          <w:rFonts w:ascii="Times New Roman" w:hAnsi="Times New Roman" w:cs="Times New Roman" w:eastAsia="Times New Roman" w:hint="default"/>
          <w:spacing w:val="-3"/>
        </w:rPr>
        <w:t>36.953%</w:t>
      </w:r>
      <w:r>
        <w:rPr>
          <w:spacing w:val="-3"/>
        </w:rPr>
        <w:t>股权对应股东会表决权委托予本公司，本公司合计持有新维数联</w:t>
      </w:r>
      <w:r>
        <w:rPr>
          <w:rFonts w:ascii="Times New Roman" w:hAnsi="Times New Roman" w:cs="Times New Roman" w:eastAsia="Times New Roman" w:hint="default"/>
          <w:spacing w:val="-3"/>
        </w:rPr>
        <w:t>66.953%</w:t>
      </w:r>
      <w:r>
        <w:rPr>
          <w:spacing w:val="-3"/>
        </w:rPr>
        <w:t>表决权。</w:t>
      </w:r>
    </w:p>
    <w:p>
      <w:pPr>
        <w:pStyle w:val="BodyText"/>
        <w:spacing w:line="240" w:lineRule="auto" w:before="13"/>
        <w:ind w:left="662" w:right="0"/>
        <w:jc w:val="left"/>
      </w:pPr>
      <w:r>
        <w:rPr>
          <w:spacing w:val="-3"/>
        </w:rPr>
        <w:t>上述子公司具体情况详见本附注九</w:t>
      </w:r>
      <w:r>
        <w:rPr>
          <w:rFonts w:ascii="Times New Roman" w:hAnsi="Times New Roman" w:cs="Times New Roman" w:eastAsia="Times New Roman" w:hint="default"/>
          <w:spacing w:val="-3"/>
        </w:rPr>
        <w:t>“</w:t>
      </w:r>
      <w:r>
        <w:rPr>
          <w:spacing w:val="-3"/>
        </w:rPr>
        <w:t>在其他主体中的权益</w:t>
      </w:r>
      <w:r>
        <w:rPr>
          <w:rFonts w:ascii="Times New Roman" w:hAnsi="Times New Roman" w:cs="Times New Roman" w:eastAsia="Times New Roman" w:hint="default"/>
          <w:spacing w:val="-3"/>
        </w:rPr>
        <w:t>”</w:t>
      </w:r>
      <w:r>
        <w:rPr>
          <w:spacing w:val="-3"/>
        </w:rPr>
        <w:t>。</w:t>
      </w:r>
    </w:p>
    <w:p>
      <w:pPr>
        <w:pStyle w:val="BodyText"/>
        <w:spacing w:line="300" w:lineRule="auto" w:before="63"/>
        <w:ind w:left="662" w:right="6287" w:hanging="144"/>
        <w:jc w:val="left"/>
      </w:pPr>
      <w:r>
        <w:rPr>
          <w:spacing w:val="-3"/>
        </w:rPr>
        <w:t>（</w:t>
      </w:r>
      <w:r>
        <w:rPr>
          <w:rFonts w:ascii="Times New Roman" w:hAnsi="Times New Roman" w:cs="Times New Roman" w:eastAsia="Times New Roman" w:hint="default"/>
          <w:spacing w:val="-3"/>
        </w:rPr>
        <w:t>2</w:t>
      </w:r>
      <w:r>
        <w:rPr>
          <w:spacing w:val="-3"/>
        </w:rPr>
        <w:t>）本公司本期合并财务报表范围变化</w:t>
      </w:r>
      <w:r>
        <w:rPr>
          <w:spacing w:val="-39"/>
        </w:rPr>
        <w:t> </w:t>
      </w:r>
      <w:r>
        <w:rPr>
          <w:spacing w:val="-39"/>
        </w:rPr>
      </w:r>
      <w:r>
        <w:rPr>
          <w:spacing w:val="-3"/>
        </w:rPr>
        <w:t>本期新增子公司：</w:t>
      </w:r>
    </w:p>
    <w:tbl>
      <w:tblPr>
        <w:tblW w:w="0" w:type="auto"/>
        <w:jc w:val="left"/>
        <w:tblInd w:w="143" w:type="dxa"/>
        <w:tblLayout w:type="fixed"/>
        <w:tblCellMar>
          <w:top w:w="0" w:type="dxa"/>
          <w:left w:w="0" w:type="dxa"/>
          <w:bottom w:w="0" w:type="dxa"/>
          <w:right w:w="0" w:type="dxa"/>
        </w:tblCellMar>
        <w:tblLook w:val="01E0"/>
      </w:tblPr>
      <w:tblGrid>
        <w:gridCol w:w="831"/>
        <w:gridCol w:w="3601"/>
        <w:gridCol w:w="2074"/>
        <w:gridCol w:w="2355"/>
      </w:tblGrid>
      <w:tr>
        <w:trPr>
          <w:trHeight w:val="348" w:hRule="exact"/>
        </w:trPr>
        <w:tc>
          <w:tcPr>
            <w:tcW w:w="83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601"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921"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孙公司全称</w:t>
            </w:r>
          </w:p>
        </w:tc>
        <w:tc>
          <w:tcPr>
            <w:tcW w:w="2074"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孙公司简称</w:t>
            </w:r>
          </w:p>
        </w:tc>
        <w:tc>
          <w:tcPr>
            <w:tcW w:w="2355"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350" w:hRule="exact"/>
        </w:trPr>
        <w:tc>
          <w:tcPr>
            <w:tcW w:w="8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1</w:t>
            </w:r>
          </w:p>
        </w:tc>
        <w:tc>
          <w:tcPr>
            <w:tcW w:w="360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南京润辰科技有限公司</w:t>
            </w:r>
          </w:p>
        </w:tc>
        <w:tc>
          <w:tcPr>
            <w:tcW w:w="20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润辰科技</w:t>
            </w:r>
          </w:p>
        </w:tc>
        <w:tc>
          <w:tcPr>
            <w:tcW w:w="235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6" w:hRule="exact"/>
        </w:trPr>
        <w:tc>
          <w:tcPr>
            <w:tcW w:w="8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2</w:t>
            </w:r>
          </w:p>
        </w:tc>
        <w:tc>
          <w:tcPr>
            <w:tcW w:w="360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南京润和润云科技有限公司</w:t>
            </w:r>
          </w:p>
        </w:tc>
        <w:tc>
          <w:tcPr>
            <w:tcW w:w="20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润和润云</w:t>
            </w:r>
          </w:p>
        </w:tc>
        <w:tc>
          <w:tcPr>
            <w:tcW w:w="235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6" w:hRule="exact"/>
        </w:trPr>
        <w:tc>
          <w:tcPr>
            <w:tcW w:w="8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3</w:t>
            </w:r>
          </w:p>
        </w:tc>
        <w:tc>
          <w:tcPr>
            <w:tcW w:w="3601"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新维数联</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20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新维数联</w:t>
            </w:r>
          </w:p>
        </w:tc>
        <w:tc>
          <w:tcPr>
            <w:tcW w:w="235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bl>
    <w:p>
      <w:pPr>
        <w:pStyle w:val="BodyText"/>
        <w:spacing w:line="316" w:lineRule="auto" w:before="31"/>
        <w:ind w:left="662" w:right="3567"/>
        <w:jc w:val="left"/>
      </w:pPr>
      <w:r>
        <w:rPr>
          <w:spacing w:val="-3"/>
        </w:rPr>
        <w:t>本期减少子公司：无。</w:t>
      </w:r>
      <w:r>
        <w:rPr>
          <w:spacing w:val="-61"/>
        </w:rPr>
        <w:t> </w:t>
      </w:r>
      <w:r>
        <w:rPr>
          <w:spacing w:val="-61"/>
        </w:rPr>
      </w:r>
      <w:r>
        <w:rPr>
          <w:spacing w:val="-3"/>
        </w:rPr>
        <w:t>本期新增及减少子公司的具体情况详见本附注八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r>
        <w:rPr/>
        <w:t>四、财务报表的编制基础</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508"/>
        <w:jc w:val="left"/>
      </w:pPr>
      <w:r>
        <w:rPr>
          <w:spacing w:val="-4"/>
        </w:rPr>
        <w:t>本公司以持续经营为基础，根据实际发生的交易和事项，按照企业会计准则及其应用指南和准则解释的规定进行确认</w:t>
      </w:r>
      <w:r>
        <w:rPr>
          <w:w w:val="101"/>
        </w:rPr>
        <w:t> </w:t>
      </w:r>
      <w:r>
        <w:rPr>
          <w:spacing w:val="-3"/>
        </w:rPr>
        <w:t>和计量，在此基础上编制财务报表。</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right="0" w:firstLine="508"/>
        <w:jc w:val="left"/>
      </w:pPr>
      <w:r>
        <w:rPr>
          <w:spacing w:val="-4"/>
        </w:rPr>
        <w:t>本公司对自报告期末起</w:t>
      </w:r>
      <w:r>
        <w:rPr>
          <w:rFonts w:ascii="Times New Roman" w:hAnsi="Times New Roman" w:cs="Times New Roman" w:eastAsia="Times New Roman" w:hint="default"/>
          <w:spacing w:val="-4"/>
        </w:rPr>
        <w:t>12</w:t>
      </w:r>
      <w:r>
        <w:rPr>
          <w:spacing w:val="-4"/>
        </w:rPr>
        <w:t>个月的持续经营能力进行了评估，未发现影响本公司持续经营能力的事项，本公司以持续经</w:t>
      </w:r>
      <w:r>
        <w:rPr>
          <w:w w:val="101"/>
        </w:rPr>
        <w:t> </w:t>
      </w:r>
      <w:r>
        <w:rPr>
          <w:spacing w:val="-3"/>
        </w:rPr>
        <w:t>营为基础编制财务报表是合理的。</w:t>
      </w:r>
    </w:p>
    <w:p>
      <w:pPr>
        <w:spacing w:line="240" w:lineRule="auto" w:before="6"/>
        <w:rPr>
          <w:rFonts w:ascii="宋体" w:hAnsi="宋体" w:cs="宋体" w:eastAsia="宋体" w:hint="default"/>
          <w:sz w:val="15"/>
          <w:szCs w:val="15"/>
        </w:rPr>
      </w:pPr>
    </w:p>
    <w:p>
      <w:pPr>
        <w:pStyle w:val="Heading2"/>
        <w:spacing w:line="240" w:lineRule="auto"/>
        <w:ind w:right="0"/>
        <w:jc w:val="left"/>
        <w:rPr>
          <w:b w:val="0"/>
          <w:bCs w:val="0"/>
        </w:rPr>
      </w:pPr>
      <w:r>
        <w:rPr/>
        <w:t>五、重要会计政策及会计估计</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57" w:lineRule="auto"/>
        <w:ind w:right="7602"/>
        <w:jc w:val="left"/>
      </w:pPr>
      <w:r>
        <w:rPr>
          <w:spacing w:val="-3"/>
        </w:rPr>
        <w:t>公司是否需要遵守特殊行业的披露要求</w:t>
      </w:r>
      <w:r>
        <w:rPr>
          <w:spacing w:val="-39"/>
        </w:rPr>
        <w:t> </w:t>
      </w:r>
      <w:r>
        <w:rPr>
          <w:spacing w:val="-39"/>
        </w:rPr>
      </w:r>
      <w:r>
        <w:rPr/>
        <w:t>是</w:t>
      </w:r>
    </w:p>
    <w:p>
      <w:pPr>
        <w:pStyle w:val="BodyText"/>
        <w:spacing w:line="357" w:lineRule="auto" w:before="32"/>
        <w:ind w:right="7602"/>
        <w:jc w:val="left"/>
      </w:pPr>
      <w:r>
        <w:rPr/>
        <w:t>软件与信息技术服务业</w:t>
      </w:r>
      <w:r>
        <w:rPr>
          <w:spacing w:val="-86"/>
        </w:rPr>
        <w:t> </w:t>
      </w:r>
      <w:r>
        <w:rPr>
          <w:spacing w:val="-86"/>
        </w:rPr>
      </w:r>
      <w:r>
        <w:rPr>
          <w:spacing w:val="-3"/>
        </w:rPr>
        <w:t>具体会计政策和会计估计提示：</w:t>
      </w:r>
    </w:p>
    <w:p>
      <w:pPr>
        <w:pStyle w:val="BodyText"/>
        <w:spacing w:line="240" w:lineRule="auto" w:before="22"/>
        <w:ind w:left="662" w:right="0"/>
        <w:jc w:val="left"/>
      </w:pPr>
      <w:r>
        <w:rPr>
          <w:spacing w:val="-3"/>
        </w:rPr>
        <w:t>本公司下列重要会计政策、会计估计根据企业会计准则制定。未提及的业务按企业会计准则中相关会计政策执行。</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right="0" w:firstLine="508"/>
        <w:jc w:val="left"/>
      </w:pPr>
      <w:r>
        <w:rPr>
          <w:spacing w:val="-4"/>
        </w:rPr>
        <w:t>本公司所编制的财务报表符合企业会计准则的要求，真实、完整地反映了公司的财务状况、经营成果、所有者权益变</w:t>
      </w:r>
      <w:r>
        <w:rPr>
          <w:w w:val="101"/>
        </w:rPr>
        <w:t> </w:t>
      </w:r>
      <w:r>
        <w:rPr>
          <w:spacing w:val="-3"/>
        </w:rPr>
        <w:t>动和现金流量等有关信息。</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本公司会计年度自公历</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本公司正常营业周期为一年。</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本公司的记账本位币为人民币，境外子公司按所在国家或地区的货币为记账本位币。</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0" w:hanging="144"/>
        <w:jc w:val="left"/>
      </w:pPr>
      <w:r>
        <w:rPr>
          <w:spacing w:val="-3"/>
        </w:rPr>
        <w:t>（</w:t>
      </w:r>
      <w:r>
        <w:rPr>
          <w:rFonts w:ascii="Times New Roman" w:hAnsi="Times New Roman" w:cs="Times New Roman" w:eastAsia="Times New Roman" w:hint="default"/>
          <w:spacing w:val="-3"/>
        </w:rPr>
        <w:t>1</w:t>
      </w:r>
      <w:r>
        <w:rPr>
          <w:spacing w:val="-3"/>
        </w:rPr>
        <w:t>）同一控制下的企业合并</w:t>
      </w:r>
      <w:r>
        <w:rPr>
          <w:spacing w:val="-51"/>
        </w:rPr>
        <w:t> </w:t>
      </w:r>
      <w:r>
        <w:rPr>
          <w:spacing w:val="-51"/>
        </w:rPr>
      </w:r>
      <w:r>
        <w:rPr>
          <w:spacing w:val="-4"/>
        </w:rPr>
        <w:t>本公司在企业合并中取得的资产和负债，在合并日按取得被合并方在最终控制方合并财务报表中的账面价值计量。其</w:t>
      </w:r>
    </w:p>
    <w:p>
      <w:pPr>
        <w:pStyle w:val="BodyText"/>
        <w:spacing w:line="316" w:lineRule="auto" w:before="32"/>
        <w:ind w:right="1124"/>
        <w:jc w:val="both"/>
      </w:pPr>
      <w:r>
        <w:rPr>
          <w:spacing w:val="-4"/>
        </w:rPr>
        <w:t>中，对于被合并方与本公司在企业合并前采用的会计政策不同的，基于重要性原则统一会计政策，即按照本公司的会计政策</w:t>
      </w:r>
      <w:r>
        <w:rPr>
          <w:spacing w:val="43"/>
        </w:rPr>
        <w:t> </w:t>
      </w:r>
      <w:r>
        <w:rPr>
          <w:spacing w:val="43"/>
        </w:rPr>
      </w:r>
      <w:r>
        <w:rPr>
          <w:spacing w:val="-4"/>
        </w:rPr>
        <w:t>对被合并方资产、负债的账面价值进行调整。本公司在企业合并中取得的净资产账面价值与所支付对价的账面价值之间存在</w:t>
      </w:r>
      <w:r>
        <w:rPr>
          <w:spacing w:val="38"/>
        </w:rPr>
        <w:t> </w:t>
      </w:r>
      <w:r>
        <w:rPr>
          <w:spacing w:val="38"/>
        </w:rPr>
      </w:r>
      <w:r>
        <w:rPr>
          <w:spacing w:val="-4"/>
        </w:rPr>
        <w:t>差额的，首先调整资本公积（资本溢价或股本溢价），资本公积（资本溢价或股本溢价）的余额不足冲减的，依次冲减盈余</w:t>
      </w:r>
      <w:r>
        <w:rPr>
          <w:spacing w:val="40"/>
        </w:rPr>
        <w:t> </w:t>
      </w:r>
      <w:r>
        <w:rPr>
          <w:spacing w:val="40"/>
        </w:rPr>
      </w:r>
      <w:r>
        <w:rPr>
          <w:spacing w:val="-3"/>
        </w:rPr>
        <w:t>公积和未分配利润。</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2</w:t>
      </w:r>
      <w:r>
        <w:rPr>
          <w:spacing w:val="-3"/>
        </w:rPr>
        <w:t>）非同一控制下的企业合并</w:t>
      </w:r>
      <w:r>
        <w:rPr>
          <w:spacing w:val="-51"/>
        </w:rPr>
        <w:t> </w:t>
      </w:r>
      <w:r>
        <w:rPr>
          <w:spacing w:val="-51"/>
        </w:rPr>
      </w:r>
      <w:r>
        <w:rPr>
          <w:spacing w:val="-4"/>
        </w:rPr>
        <w:t>本公司在企业合并中取得的被购买方各项可辨认资产和负债，在购买日按其公允价值计量。其中，对于被购买方与本</w:t>
      </w:r>
    </w:p>
    <w:p>
      <w:pPr>
        <w:pStyle w:val="BodyText"/>
        <w:spacing w:line="316" w:lineRule="auto" w:before="31"/>
        <w:ind w:right="1123"/>
        <w:jc w:val="both"/>
      </w:pPr>
      <w:r>
        <w:rPr>
          <w:spacing w:val="-4"/>
        </w:rPr>
        <w:t>公司在企业合并前采用的会计政策不同的，基于重要性原则统一会计政策，即按照本公司的会计政策对被购买方资产、负债</w:t>
      </w:r>
      <w:r>
        <w:rPr>
          <w:spacing w:val="43"/>
        </w:rPr>
        <w:t> </w:t>
      </w:r>
      <w:r>
        <w:rPr>
          <w:spacing w:val="43"/>
        </w:rPr>
      </w:r>
      <w:r>
        <w:rPr>
          <w:spacing w:val="-4"/>
        </w:rPr>
        <w:t>的账面价值进行调整。本公司在购买日的合并成本大于企业合并中取得的被购买方可辨认资产、负债公允价值的差额，确认</w:t>
      </w:r>
      <w:r>
        <w:rPr>
          <w:spacing w:val="43"/>
        </w:rPr>
        <w:t> </w:t>
      </w:r>
      <w:r>
        <w:rPr>
          <w:spacing w:val="43"/>
        </w:rPr>
      </w:r>
      <w:r>
        <w:rPr>
          <w:spacing w:val="-4"/>
        </w:rPr>
        <w:t>为商誉；如果合并成本小于企业合并中取得的被购买方可辨认资产、负债公允价值的差额，首先对合并成本以及在企业合并</w:t>
      </w:r>
      <w:r>
        <w:rPr>
          <w:spacing w:val="43"/>
        </w:rPr>
        <w:t> </w:t>
      </w:r>
      <w:r>
        <w:rPr>
          <w:spacing w:val="43"/>
        </w:rPr>
      </w:r>
      <w:r>
        <w:rPr>
          <w:spacing w:val="-4"/>
        </w:rPr>
        <w:t>中取得的被购买方可辨认资产、负债的公允价值进行复核，经复核后合并成本仍小于取得的被购买方可辨认资产、负债公允</w:t>
      </w:r>
      <w:r>
        <w:rPr>
          <w:spacing w:val="43"/>
        </w:rPr>
        <w:t> </w:t>
      </w:r>
      <w:r>
        <w:rPr>
          <w:spacing w:val="43"/>
        </w:rPr>
      </w:r>
      <w:r>
        <w:rPr>
          <w:spacing w:val="-3"/>
        </w:rPr>
        <w:t>价值的，其差额确认为合并当期损益。</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8" w:right="0"/>
        <w:jc w:val="left"/>
      </w:pPr>
      <w:r>
        <w:rPr>
          <w:spacing w:val="-3"/>
        </w:rPr>
        <w:t>（</w:t>
      </w:r>
      <w:r>
        <w:rPr>
          <w:rFonts w:ascii="Times New Roman" w:hAnsi="Times New Roman" w:cs="Times New Roman" w:eastAsia="Times New Roman" w:hint="default"/>
          <w:spacing w:val="-3"/>
        </w:rPr>
        <w:t>1</w:t>
      </w:r>
      <w:r>
        <w:rPr>
          <w:spacing w:val="-3"/>
        </w:rPr>
        <w:t>）合并范围的确定</w:t>
      </w:r>
    </w:p>
    <w:p>
      <w:pPr>
        <w:pStyle w:val="BodyText"/>
        <w:spacing w:line="300" w:lineRule="auto" w:before="63"/>
        <w:ind w:right="0" w:firstLine="508"/>
        <w:jc w:val="left"/>
      </w:pPr>
      <w:r>
        <w:rPr>
          <w:spacing w:val="-3"/>
        </w:rPr>
        <w:t>合并财务报表的合并范围以控制为基础予以确定</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3"/>
        </w:rPr>
        <w:t> </w:t>
      </w:r>
      <w:r>
        <w:rPr>
          <w:spacing w:val="-3"/>
        </w:rPr>
        <w:t>不仅包括根据表决权（或类似表决权）本身或者结合其他安排确定</w:t>
      </w:r>
      <w:r>
        <w:rPr>
          <w:w w:val="101"/>
        </w:rPr>
        <w:t> </w:t>
      </w:r>
      <w:r>
        <w:rPr>
          <w:spacing w:val="-3"/>
        </w:rPr>
        <w:t>的子公司，也包括基于一项或多项合同安排决定的结构化主体。</w:t>
      </w:r>
    </w:p>
    <w:p>
      <w:pPr>
        <w:pStyle w:val="BodyText"/>
        <w:spacing w:line="316" w:lineRule="auto" w:before="31"/>
        <w:ind w:right="1122" w:firstLine="508"/>
        <w:jc w:val="both"/>
      </w:pPr>
      <w:r>
        <w:rPr>
          <w:spacing w:val="-4"/>
        </w:rPr>
        <w:t>控制是指本公司拥有对被投资方的权力，通过参与被投资方的相关活动而享有可变回报，并且有能力运用对被投资方</w:t>
      </w:r>
      <w:r>
        <w:rPr>
          <w:w w:val="101"/>
        </w:rPr>
        <w:t> </w:t>
      </w:r>
      <w:r>
        <w:rPr>
          <w:spacing w:val="-4"/>
        </w:rPr>
        <w:t>的权力影响其回报金额。子公司是指被本公司控制的主体（含企业、被投资单位中可分割的部分，以及企业所控制的结构化</w:t>
      </w:r>
      <w:r>
        <w:rPr>
          <w:spacing w:val="41"/>
        </w:rPr>
        <w:t> </w:t>
      </w:r>
      <w:r>
        <w:rPr>
          <w:spacing w:val="41"/>
        </w:rPr>
      </w:r>
      <w:r>
        <w:rPr>
          <w:spacing w:val="-4"/>
        </w:rPr>
        <w:t>主体等），结构化主体是指在确定其控制方时没有将表决权或类似权利作为决定性因素而设计的主体（注：有时也称为特殊</w:t>
      </w:r>
      <w:r>
        <w:rPr>
          <w:spacing w:val="40"/>
        </w:rPr>
        <w:t> </w:t>
      </w:r>
      <w:r>
        <w:rPr>
          <w:spacing w:val="40"/>
        </w:rPr>
      </w:r>
      <w:r>
        <w:rPr/>
        <w:t>目的主体）。</w:t>
      </w:r>
    </w:p>
    <w:p>
      <w:pPr>
        <w:pStyle w:val="BodyText"/>
        <w:spacing w:line="300" w:lineRule="auto" w:before="19"/>
        <w:ind w:left="662" w:right="1645" w:hanging="144"/>
        <w:jc w:val="left"/>
      </w:pPr>
      <w:r>
        <w:rPr>
          <w:spacing w:val="-3"/>
        </w:rPr>
        <w:t>（</w:t>
      </w:r>
      <w:r>
        <w:rPr>
          <w:rFonts w:ascii="Times New Roman" w:hAnsi="Times New Roman" w:cs="Times New Roman" w:eastAsia="Times New Roman" w:hint="default"/>
          <w:spacing w:val="-3"/>
        </w:rPr>
        <w:t>2</w:t>
      </w:r>
      <w:r>
        <w:rPr>
          <w:spacing w:val="-3"/>
        </w:rPr>
        <w:t>）合并财务报表的编制方法</w:t>
      </w:r>
      <w:r>
        <w:rPr>
          <w:spacing w:val="-51"/>
        </w:rPr>
        <w:t> </w:t>
      </w:r>
      <w:r>
        <w:rPr>
          <w:spacing w:val="-51"/>
        </w:rPr>
      </w:r>
      <w:r>
        <w:rPr>
          <w:spacing w:val="-3"/>
        </w:rPr>
        <w:t>本公司以自身和子公司的财务报表为基础，根据其他有关资料，编制合并财务报表。</w:t>
      </w:r>
    </w:p>
    <w:p>
      <w:pPr>
        <w:pStyle w:val="BodyText"/>
        <w:spacing w:line="316" w:lineRule="auto" w:before="31"/>
        <w:ind w:right="0" w:firstLine="508"/>
        <w:jc w:val="left"/>
      </w:pPr>
      <w:r>
        <w:rPr>
          <w:spacing w:val="-4"/>
        </w:rPr>
        <w:t>本公司编制合并财务报表，将整个企业集团视为一个会计主体，依据相关企业会计准则的确认、计量和列报要求，按</w:t>
      </w:r>
      <w:r>
        <w:rPr>
          <w:w w:val="101"/>
        </w:rPr>
        <w:t> </w:t>
      </w:r>
      <w:r>
        <w:rPr>
          <w:spacing w:val="-3"/>
        </w:rPr>
        <w:t>照统一的会计政策，反映企业集团整体财务状况、经营成果和现金流量。</w:t>
      </w:r>
    </w:p>
    <w:p>
      <w:pPr>
        <w:pStyle w:val="BodyText"/>
        <w:spacing w:line="240" w:lineRule="auto" w:before="19"/>
        <w:ind w:left="662" w:right="0"/>
        <w:jc w:val="left"/>
      </w:pPr>
      <w:r>
        <w:rPr>
          <w:spacing w:val="-3"/>
        </w:rPr>
        <w:t>①合并母公司与子公司的资产、负债、所有者权益、收入、费用和现金流等项目。</w:t>
      </w:r>
    </w:p>
    <w:p>
      <w:pPr>
        <w:pStyle w:val="BodyText"/>
        <w:spacing w:line="240" w:lineRule="auto" w:before="77"/>
        <w:ind w:left="662" w:right="0"/>
        <w:jc w:val="left"/>
      </w:pPr>
      <w:r>
        <w:rPr>
          <w:spacing w:val="-3"/>
        </w:rPr>
        <w:t>②抵销母公司对子公司的长期股权投资与母公司在子公司所有者权益中所享有的份额。</w:t>
      </w:r>
    </w:p>
    <w:p>
      <w:pPr>
        <w:pStyle w:val="BodyText"/>
        <w:spacing w:line="316" w:lineRule="auto" w:before="76"/>
        <w:ind w:right="0" w:firstLine="508"/>
        <w:jc w:val="left"/>
      </w:pPr>
      <w:r>
        <w:rPr>
          <w:spacing w:val="-4"/>
        </w:rPr>
        <w:t>③抵销母公司与子公司、子公司相互之间发生的内部交易的影响。内部交易表明相关资产发生减值损失的，应当全额</w:t>
      </w:r>
      <w:r>
        <w:rPr>
          <w:w w:val="101"/>
        </w:rPr>
        <w:t> </w:t>
      </w:r>
      <w:r>
        <w:rPr/>
        <w:t>确认该部分损失。</w:t>
      </w:r>
    </w:p>
    <w:p>
      <w:pPr>
        <w:pStyle w:val="BodyText"/>
        <w:spacing w:line="240" w:lineRule="auto" w:before="19"/>
        <w:ind w:left="662" w:right="0"/>
        <w:jc w:val="left"/>
      </w:pPr>
      <w:r>
        <w:rPr>
          <w:spacing w:val="-3"/>
        </w:rPr>
        <w:t>④站在企业集团角度对特殊交易事项予以调整。</w:t>
      </w:r>
    </w:p>
    <w:p>
      <w:pPr>
        <w:pStyle w:val="BodyText"/>
        <w:spacing w:line="240" w:lineRule="auto" w:before="76"/>
        <w:ind w:left="518" w:right="0"/>
        <w:jc w:val="left"/>
      </w:pPr>
      <w:r>
        <w:rPr>
          <w:spacing w:val="-3"/>
        </w:rPr>
        <w:t>（</w:t>
      </w:r>
      <w:r>
        <w:rPr>
          <w:rFonts w:ascii="Times New Roman" w:hAnsi="Times New Roman" w:cs="Times New Roman" w:eastAsia="Times New Roman" w:hint="default"/>
          <w:spacing w:val="-3"/>
        </w:rPr>
        <w:t>3</w:t>
      </w:r>
      <w:r>
        <w:rPr>
          <w:spacing w:val="-3"/>
        </w:rPr>
        <w:t>）报告期内增减子公司的处理</w:t>
      </w:r>
    </w:p>
    <w:p>
      <w:pPr>
        <w:pStyle w:val="BodyText"/>
        <w:spacing w:line="240" w:lineRule="auto" w:before="63"/>
        <w:ind w:left="662" w:right="0"/>
        <w:jc w:val="left"/>
      </w:pPr>
      <w:r>
        <w:rPr>
          <w:spacing w:val="-3"/>
        </w:rPr>
        <w:t>①增加子公司或业务</w:t>
      </w:r>
    </w:p>
    <w:p>
      <w:pPr>
        <w:pStyle w:val="BodyText"/>
        <w:spacing w:line="240" w:lineRule="auto" w:before="76"/>
        <w:ind w:left="662" w:right="0"/>
        <w:jc w:val="left"/>
      </w:pPr>
      <w:r>
        <w:rPr>
          <w:rFonts w:ascii="Times New Roman" w:hAnsi="Times New Roman" w:cs="Times New Roman" w:eastAsia="Times New Roman" w:hint="default"/>
          <w:spacing w:val="-3"/>
        </w:rPr>
        <w:t>A.</w:t>
      </w:r>
      <w:r>
        <w:rPr>
          <w:spacing w:val="-3"/>
        </w:rPr>
        <w:t>同一控制下企业合并增加的子公司或业务</w:t>
      </w:r>
    </w:p>
    <w:p>
      <w:pPr>
        <w:pStyle w:val="BodyText"/>
        <w:spacing w:line="300" w:lineRule="auto" w:before="63"/>
        <w:ind w:right="0" w:firstLine="364"/>
        <w:jc w:val="left"/>
      </w:pPr>
      <w:r>
        <w:rPr>
          <w:spacing w:val="-3"/>
        </w:rPr>
        <w:t>（</w:t>
      </w:r>
      <w:r>
        <w:rPr>
          <w:rFonts w:ascii="Times New Roman" w:hAnsi="Times New Roman" w:cs="Times New Roman" w:eastAsia="Times New Roman" w:hint="default"/>
          <w:spacing w:val="-3"/>
        </w:rPr>
        <w:t>a</w:t>
      </w:r>
      <w:r>
        <w:rPr>
          <w:spacing w:val="-3"/>
        </w:rPr>
        <w:t>）编制合并资产负债表时，调整合并资产负债表的期初数，同时对比较报表的相关项目进行调整，视同合并后的报</w:t>
      </w:r>
      <w:r>
        <w:rPr>
          <w:w w:val="101"/>
        </w:rPr>
        <w:t> </w:t>
      </w:r>
      <w:r>
        <w:rPr>
          <w:spacing w:val="-3"/>
        </w:rPr>
        <w:t>告主体自最终控制方开始控制时点起一直存在。</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b</w:t>
      </w:r>
      <w:r>
        <w:rPr>
          <w:spacing w:val="-3"/>
        </w:rPr>
        <w:t>）编制合并利润表时，将该子公司以及业务合并当期期初至报告期末的收入、费用、利润纳入合并利润表，同时对</w:t>
      </w:r>
      <w:r>
        <w:rPr>
          <w:w w:val="101"/>
        </w:rPr>
        <w:t> </w:t>
      </w:r>
      <w:r>
        <w:rPr>
          <w:spacing w:val="-3"/>
        </w:rPr>
        <w:t>比较报表的相关项目进行调整，视同合并后的报告主体自最终控制方开始控制时点起一直存在。</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firstLine="364"/>
        <w:jc w:val="left"/>
      </w:pPr>
      <w:r>
        <w:rPr>
          <w:spacing w:val="-3"/>
        </w:rPr>
        <w:t>（</w:t>
      </w:r>
      <w:r>
        <w:rPr>
          <w:rFonts w:ascii="Times New Roman" w:hAnsi="Times New Roman" w:cs="Times New Roman" w:eastAsia="Times New Roman" w:hint="default"/>
          <w:spacing w:val="-3"/>
        </w:rPr>
        <w:t>c</w:t>
      </w:r>
      <w:r>
        <w:rPr>
          <w:spacing w:val="-3"/>
        </w:rPr>
        <w:t>）编制合并现金流量表时，将该子公司以及业务合并当期期初至报告期末的现金流量纳入合并现金流量表，同时对</w:t>
      </w:r>
      <w:r>
        <w:rPr>
          <w:w w:val="101"/>
        </w:rPr>
        <w:t> </w:t>
      </w:r>
      <w:r>
        <w:rPr>
          <w:spacing w:val="-3"/>
        </w:rPr>
        <w:t>比较报表的相关项目进行调整，视同合并后的报告主体自最终控制方开始控制时点起一直存在。</w:t>
      </w:r>
    </w:p>
    <w:p>
      <w:pPr>
        <w:pStyle w:val="BodyText"/>
        <w:spacing w:line="240" w:lineRule="auto" w:before="31"/>
        <w:ind w:left="662" w:right="0"/>
        <w:jc w:val="left"/>
      </w:pPr>
      <w:r>
        <w:rPr>
          <w:rFonts w:ascii="Times New Roman" w:hAnsi="Times New Roman" w:cs="Times New Roman" w:eastAsia="Times New Roman" w:hint="default"/>
          <w:spacing w:val="-3"/>
        </w:rPr>
        <w:t>B.</w:t>
      </w:r>
      <w:r>
        <w:rPr>
          <w:spacing w:val="-3"/>
        </w:rPr>
        <w:t>非同一控制下企业合并增加的子公司或业务</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a</w:t>
      </w:r>
      <w:r>
        <w:rPr>
          <w:spacing w:val="-3"/>
        </w:rPr>
        <w:t>）编制合并资产负债表时，不调整合并资产负债表的期初数。</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b</w:t>
      </w:r>
      <w:r>
        <w:rPr>
          <w:spacing w:val="-3"/>
        </w:rPr>
        <w:t>）编制合并利润表时，将该子公司以及业务购买日至报告期末的收入、费用、利润纳入合并利润表。</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c</w:t>
      </w:r>
      <w:r>
        <w:rPr>
          <w:spacing w:val="-3"/>
        </w:rPr>
        <w:t>）编制合并现金流量表时，将该子公司购买日至报告期末的现金流量纳入合并现金流量表。</w:t>
      </w:r>
    </w:p>
    <w:p>
      <w:pPr>
        <w:pStyle w:val="BodyText"/>
        <w:spacing w:line="240" w:lineRule="auto" w:before="63"/>
        <w:ind w:left="662" w:right="0"/>
        <w:jc w:val="left"/>
      </w:pPr>
      <w:r>
        <w:rPr>
          <w:spacing w:val="-3"/>
        </w:rPr>
        <w:t>②处置子公司或业务</w:t>
      </w:r>
    </w:p>
    <w:p>
      <w:pPr>
        <w:pStyle w:val="BodyText"/>
        <w:spacing w:line="300" w:lineRule="auto" w:before="76"/>
        <w:ind w:left="662" w:right="0"/>
        <w:jc w:val="left"/>
      </w:pPr>
      <w:r>
        <w:rPr>
          <w:rFonts w:ascii="Times New Roman" w:hAnsi="Times New Roman" w:cs="Times New Roman" w:eastAsia="Times New Roman" w:hint="default"/>
          <w:spacing w:val="-3"/>
        </w:rPr>
        <w:t>A.</w:t>
      </w:r>
      <w:r>
        <w:rPr>
          <w:spacing w:val="-3"/>
        </w:rPr>
        <w:t>编制合并资产负债表时，不调整合并资产负债表的期初数。</w:t>
      </w:r>
      <w:r>
        <w:rPr>
          <w:spacing w:val="-12"/>
        </w:rPr>
        <w:t> </w:t>
      </w:r>
      <w:r>
        <w:rPr>
          <w:spacing w:val="-12"/>
        </w:rPr>
      </w:r>
      <w:r>
        <w:rPr>
          <w:rFonts w:ascii="Times New Roman" w:hAnsi="Times New Roman" w:cs="Times New Roman" w:eastAsia="Times New Roman" w:hint="default"/>
          <w:spacing w:val="-3"/>
        </w:rPr>
        <w:t>B.</w:t>
      </w:r>
      <w:r>
        <w:rPr>
          <w:spacing w:val="-3"/>
        </w:rPr>
        <w:t>编制合并利润表时，将该子公司以及业务期初至处置日的收入、费用、利润纳入合并利润表。</w:t>
      </w:r>
      <w:r>
        <w:rPr>
          <w:spacing w:val="35"/>
        </w:rPr>
        <w:t> </w:t>
      </w:r>
      <w:r>
        <w:rPr>
          <w:spacing w:val="35"/>
        </w:rPr>
      </w:r>
      <w:r>
        <w:rPr>
          <w:rFonts w:ascii="Times New Roman" w:hAnsi="Times New Roman" w:cs="Times New Roman" w:eastAsia="Times New Roman" w:hint="default"/>
          <w:spacing w:val="-3"/>
        </w:rPr>
        <w:t>C.</w:t>
      </w:r>
      <w:r>
        <w:rPr>
          <w:spacing w:val="-3"/>
        </w:rPr>
        <w:t>编制合并现金流量表时将该子公司以及业务期初至处置日的现金流量纳入合并现金流量表。</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4</w:t>
      </w:r>
      <w:r>
        <w:rPr>
          <w:spacing w:val="-3"/>
        </w:rPr>
        <w:t>）合并抵销中的特殊考虑</w:t>
      </w:r>
    </w:p>
    <w:p>
      <w:pPr>
        <w:pStyle w:val="BodyText"/>
        <w:spacing w:line="316" w:lineRule="auto" w:before="63"/>
        <w:ind w:right="0" w:firstLine="508"/>
        <w:jc w:val="left"/>
      </w:pPr>
      <w:r>
        <w:rPr>
          <w:spacing w:val="-4"/>
        </w:rPr>
        <w:t>①子公司持有本公司的长期股权投资，应当视为本公司的库存股，作为所有者权益的减项，在合并资产负债表中所有</w:t>
      </w:r>
      <w:r>
        <w:rPr>
          <w:w w:val="101"/>
        </w:rPr>
        <w:t> </w:t>
      </w:r>
      <w:r>
        <w:rPr>
          <w:spacing w:val="-3"/>
        </w:rPr>
        <w:t>者权益项目下以</w:t>
      </w:r>
      <w:r>
        <w:rPr>
          <w:rFonts w:ascii="Times New Roman" w:hAnsi="Times New Roman" w:cs="Times New Roman" w:eastAsia="Times New Roman" w:hint="default"/>
          <w:spacing w:val="-3"/>
        </w:rPr>
        <w:t>“</w:t>
      </w:r>
      <w:r>
        <w:rPr>
          <w:spacing w:val="-3"/>
        </w:rPr>
        <w:t>减：库存股</w:t>
      </w:r>
      <w:r>
        <w:rPr>
          <w:rFonts w:ascii="Times New Roman" w:hAnsi="Times New Roman" w:cs="Times New Roman" w:eastAsia="Times New Roman" w:hint="default"/>
          <w:spacing w:val="-3"/>
        </w:rPr>
        <w:t>”</w:t>
      </w:r>
      <w:r>
        <w:rPr>
          <w:spacing w:val="-3"/>
        </w:rPr>
        <w:t>项目列示。</w:t>
      </w:r>
    </w:p>
    <w:p>
      <w:pPr>
        <w:pStyle w:val="BodyText"/>
        <w:spacing w:line="316" w:lineRule="auto"/>
        <w:ind w:right="0" w:firstLine="508"/>
        <w:jc w:val="left"/>
      </w:pPr>
      <w:r>
        <w:rPr>
          <w:spacing w:val="-4"/>
        </w:rPr>
        <w:t>子公司相互之间持有的长期股权投资，比照本公司对子公司的股权投资的抵销方法，将长期股权投资与其对应的子公</w:t>
      </w:r>
      <w:r>
        <w:rPr>
          <w:w w:val="101"/>
        </w:rPr>
        <w:t> </w:t>
      </w:r>
      <w:r>
        <w:rPr>
          <w:spacing w:val="-3"/>
        </w:rPr>
        <w:t>司所有者权益中所享有的份额相互抵销。</w:t>
      </w:r>
    </w:p>
    <w:p>
      <w:pPr>
        <w:pStyle w:val="BodyText"/>
        <w:spacing w:line="300" w:lineRule="auto" w:before="19"/>
        <w:ind w:right="0" w:firstLine="508"/>
        <w:jc w:val="left"/>
      </w:pPr>
      <w:r>
        <w:rPr>
          <w:spacing w:val="-5"/>
        </w:rPr>
        <w:t>②</w:t>
      </w:r>
      <w:r>
        <w:rPr>
          <w:rFonts w:ascii="Times New Roman" w:hAnsi="Times New Roman" w:cs="Times New Roman" w:eastAsia="Times New Roman" w:hint="default"/>
          <w:spacing w:val="-5"/>
        </w:rPr>
        <w:t>“</w:t>
      </w:r>
      <w:r>
        <w:rPr>
          <w:spacing w:val="-5"/>
        </w:rPr>
        <w:t>专项储备</w:t>
      </w:r>
      <w:r>
        <w:rPr>
          <w:rFonts w:ascii="Times New Roman" w:hAnsi="Times New Roman" w:cs="Times New Roman" w:eastAsia="Times New Roman" w:hint="default"/>
          <w:spacing w:val="-5"/>
        </w:rPr>
        <w:t>”</w:t>
      </w:r>
      <w:r>
        <w:rPr>
          <w:spacing w:val="-5"/>
        </w:rPr>
        <w:t>和</w:t>
      </w:r>
      <w:r>
        <w:rPr>
          <w:rFonts w:ascii="Times New Roman" w:hAnsi="Times New Roman" w:cs="Times New Roman" w:eastAsia="Times New Roman" w:hint="default"/>
          <w:spacing w:val="-5"/>
        </w:rPr>
        <w:t>“</w:t>
      </w:r>
      <w:r>
        <w:rPr>
          <w:spacing w:val="-5"/>
        </w:rPr>
        <w:t>一般风险准备</w:t>
      </w:r>
      <w:r>
        <w:rPr>
          <w:rFonts w:ascii="Times New Roman" w:hAnsi="Times New Roman" w:cs="Times New Roman" w:eastAsia="Times New Roman" w:hint="default"/>
          <w:spacing w:val="-5"/>
        </w:rPr>
        <w:t>”</w:t>
      </w:r>
      <w:r>
        <w:rPr>
          <w:spacing w:val="-5"/>
        </w:rPr>
        <w:t>项目由于既不属于实收资本（或股本）、资本公积，也与留存收益、未分配利润不同，</w:t>
      </w:r>
      <w:r>
        <w:rPr>
          <w:w w:val="101"/>
        </w:rPr>
        <w:t> </w:t>
      </w:r>
      <w:r>
        <w:rPr>
          <w:spacing w:val="-3"/>
        </w:rPr>
        <w:t>在长期股权投资与子公司所有者权益相互抵销后，按归属于母公司所有者的份额予以恢复。</w:t>
      </w:r>
    </w:p>
    <w:p>
      <w:pPr>
        <w:pStyle w:val="BodyText"/>
        <w:spacing w:line="319" w:lineRule="auto" w:before="31"/>
        <w:ind w:right="1124" w:firstLine="508"/>
        <w:jc w:val="both"/>
      </w:pPr>
      <w:r>
        <w:rPr>
          <w:spacing w:val="-4"/>
        </w:rPr>
        <w:t>③因抵销未实现内部销售损益导致合并资产负债表中资产、负债的账面价值与其在所属纳税主体的计税基础之间产生</w:t>
      </w:r>
      <w:r>
        <w:rPr>
          <w:w w:val="101"/>
        </w:rPr>
        <w:t> </w:t>
      </w:r>
      <w:r>
        <w:rPr>
          <w:spacing w:val="-4"/>
        </w:rPr>
        <w:t>暂时性差异的，在合并资产负债表中确认递延所得税资产或递延所得税负债，同时调整合并利润表中的所得税费用，但与直</w:t>
      </w:r>
      <w:r>
        <w:rPr>
          <w:spacing w:val="43"/>
        </w:rPr>
        <w:t> </w:t>
      </w:r>
      <w:r>
        <w:rPr>
          <w:spacing w:val="43"/>
        </w:rPr>
      </w:r>
      <w:r>
        <w:rPr>
          <w:spacing w:val="-3"/>
        </w:rPr>
        <w:t>接计入所有者权益的交易或事项及企业合并相关的递延所得税除外。</w:t>
      </w:r>
    </w:p>
    <w:p>
      <w:pPr>
        <w:pStyle w:val="BodyText"/>
        <w:spacing w:line="300" w:lineRule="auto" w:before="17"/>
        <w:ind w:right="0" w:firstLine="508"/>
        <w:jc w:val="left"/>
      </w:pPr>
      <w:r>
        <w:rPr>
          <w:spacing w:val="-3"/>
        </w:rPr>
        <w:t>④本公司向子公司出售资产所发生的未实现内部交易损益，应当全额抵销</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spacing w:val="-3"/>
        </w:rPr>
        <w:t>。子公司向</w:t>
      </w:r>
      <w:r>
        <w:rPr>
          <w:w w:val="101"/>
        </w:rPr>
        <w:t> </w:t>
      </w:r>
      <w:r>
        <w:rPr>
          <w:spacing w:val="-3"/>
        </w:rPr>
        <w:t>本公司出售资产所发生的未实现内部交易损益，应当按照本公司对该子公司的分配比例在</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spacing w:val="-4"/>
        </w:rPr>
        <w:t>和</w:t>
      </w:r>
      <w:r>
        <w:rPr>
          <w:rFonts w:ascii="Times New Roman" w:hAnsi="Times New Roman" w:cs="Times New Roman" w:eastAsia="Times New Roman" w:hint="default"/>
          <w:spacing w:val="-4"/>
        </w:rPr>
        <w:t>“</w:t>
      </w:r>
      <w:r>
        <w:rPr>
          <w:spacing w:val="-4"/>
        </w:rPr>
        <w:t>少数股东损益</w:t>
      </w:r>
      <w:r>
        <w:rPr>
          <w:rFonts w:ascii="Times New Roman" w:hAnsi="Times New Roman" w:cs="Times New Roman" w:eastAsia="Times New Roman" w:hint="default"/>
          <w:spacing w:val="-4"/>
        </w:rPr>
        <w:t>”</w:t>
      </w:r>
      <w:r>
        <w:rPr>
          <w:spacing w:val="-4"/>
        </w:rPr>
        <w:t>之间分配抵销。子公司之间出售资产所发生的未实现内部交易损益，应当按照本公司对出售方子公司的分</w:t>
      </w:r>
      <w:r>
        <w:rPr>
          <w:spacing w:val="66"/>
        </w:rPr>
        <w:t> </w:t>
      </w:r>
      <w:r>
        <w:rPr>
          <w:spacing w:val="66"/>
        </w:rPr>
      </w:r>
      <w:r>
        <w:rPr>
          <w:spacing w:val="-3"/>
        </w:rPr>
        <w:t>配比例在</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之间分配抵销。</w:t>
      </w:r>
    </w:p>
    <w:p>
      <w:pPr>
        <w:pStyle w:val="BodyText"/>
        <w:spacing w:line="316" w:lineRule="auto" w:before="13"/>
        <w:ind w:right="1026" w:firstLine="508"/>
        <w:jc w:val="left"/>
      </w:pPr>
      <w:r>
        <w:rPr>
          <w:spacing w:val="-4"/>
        </w:rPr>
        <w:t>⑤子公司少数股东分担的当期亏损超过了少数股东在该子公司期初所有者权益中所享有的份额的，其余额仍应当冲减</w:t>
      </w:r>
      <w:r>
        <w:rPr>
          <w:w w:val="101"/>
        </w:rPr>
        <w:t> </w:t>
      </w:r>
      <w:r>
        <w:rPr>
          <w:spacing w:val="-3"/>
        </w:rPr>
        <w:t>少数股东权益。</w:t>
      </w:r>
    </w:p>
    <w:p>
      <w:pPr>
        <w:pStyle w:val="BodyText"/>
        <w:spacing w:line="240" w:lineRule="auto" w:before="19"/>
        <w:ind w:left="518" w:right="0"/>
        <w:jc w:val="left"/>
      </w:pPr>
      <w:r>
        <w:rPr>
          <w:spacing w:val="-3"/>
        </w:rPr>
        <w:t>（</w:t>
      </w:r>
      <w:r>
        <w:rPr>
          <w:rFonts w:ascii="Times New Roman" w:hAnsi="Times New Roman" w:cs="Times New Roman" w:eastAsia="Times New Roman" w:hint="default"/>
          <w:spacing w:val="-3"/>
        </w:rPr>
        <w:t>5</w:t>
      </w:r>
      <w:r>
        <w:rPr>
          <w:spacing w:val="-3"/>
        </w:rPr>
        <w:t>）特殊交易的会计处理</w:t>
      </w:r>
    </w:p>
    <w:p>
      <w:pPr>
        <w:pStyle w:val="BodyText"/>
        <w:spacing w:line="316" w:lineRule="auto" w:before="63"/>
        <w:ind w:left="662" w:right="0"/>
        <w:jc w:val="left"/>
      </w:pPr>
      <w:r>
        <w:rPr>
          <w:spacing w:val="-3"/>
        </w:rPr>
        <w:t>①购买少数股东股权</w:t>
      </w:r>
      <w:r>
        <w:rPr>
          <w:spacing w:val="-62"/>
        </w:rPr>
        <w:t> </w:t>
      </w:r>
      <w:r>
        <w:rPr>
          <w:spacing w:val="-62"/>
        </w:rPr>
      </w:r>
      <w:r>
        <w:rPr>
          <w:spacing w:val="-4"/>
        </w:rPr>
        <w:t>本公司购买子公司少数股东拥有的子公司股权，在个别财务报表中，购买少数股权新取得的长期股权投资的投资成本</w:t>
      </w:r>
    </w:p>
    <w:p>
      <w:pPr>
        <w:pStyle w:val="BodyText"/>
        <w:spacing w:line="316" w:lineRule="auto" w:before="19"/>
        <w:ind w:right="1128"/>
        <w:jc w:val="both"/>
      </w:pPr>
      <w:r>
        <w:rPr>
          <w:spacing w:val="-4"/>
        </w:rPr>
        <w:t>按照所支付对价的公允价值计量。在合并财务报表中，因购买少数股权新取得的长期股权投资与按照新增持股比例计算应享</w:t>
      </w:r>
      <w:r>
        <w:rPr>
          <w:spacing w:val="39"/>
        </w:rPr>
        <w:t> </w:t>
      </w:r>
      <w:r>
        <w:rPr>
          <w:spacing w:val="39"/>
        </w:rPr>
      </w:r>
      <w:r>
        <w:rPr>
          <w:spacing w:val="-5"/>
        </w:rPr>
        <w:t>有子公司自购买日或合并日开始持续计算的净资产份额之间的差额，应当调整资本公积（资本溢价或股本溢价），资本公积</w:t>
      </w:r>
      <w:r>
        <w:rPr>
          <w:spacing w:val="4"/>
        </w:rPr>
        <w:t> </w:t>
      </w:r>
      <w:r>
        <w:rPr>
          <w:spacing w:val="4"/>
        </w:rPr>
      </w:r>
      <w:r>
        <w:rPr>
          <w:spacing w:val="-3"/>
        </w:rPr>
        <w:t>不足冲减的，依次冲减盈余公积和未分配利润。</w:t>
      </w:r>
    </w:p>
    <w:p>
      <w:pPr>
        <w:pStyle w:val="BodyText"/>
        <w:spacing w:line="240" w:lineRule="auto" w:before="19"/>
        <w:ind w:left="662" w:right="0"/>
        <w:jc w:val="left"/>
      </w:pPr>
      <w:r>
        <w:rPr>
          <w:spacing w:val="-3"/>
        </w:rPr>
        <w:t>②通过多次交易分步取得子公司控制权的</w:t>
      </w:r>
    </w:p>
    <w:p>
      <w:pPr>
        <w:pStyle w:val="BodyText"/>
        <w:spacing w:line="300" w:lineRule="auto" w:before="76"/>
        <w:ind w:left="662" w:right="0"/>
        <w:jc w:val="left"/>
      </w:pPr>
      <w:r>
        <w:rPr>
          <w:rFonts w:ascii="Times New Roman" w:hAnsi="Times New Roman" w:cs="Times New Roman" w:eastAsia="Times New Roman" w:hint="default"/>
          <w:spacing w:val="-3"/>
        </w:rPr>
        <w:t>A.</w:t>
      </w:r>
      <w:r>
        <w:rPr>
          <w:spacing w:val="-3"/>
        </w:rPr>
        <w:t>通过多次交易分步实现同一控制下企业合并</w:t>
      </w:r>
      <w:r>
        <w:rPr>
          <w:spacing w:val="-30"/>
        </w:rPr>
        <w:t> </w:t>
      </w:r>
      <w:r>
        <w:rPr>
          <w:spacing w:val="-30"/>
        </w:rPr>
      </w:r>
      <w:r>
        <w:rPr>
          <w:spacing w:val="-3"/>
        </w:rPr>
        <w:t>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的，本公司将各项交易作为一项取得子公司控制权的交易进行处理。在个别财务报表中，在合并日</w:t>
      </w:r>
    </w:p>
    <w:p>
      <w:pPr>
        <w:pStyle w:val="BodyText"/>
        <w:spacing w:line="316" w:lineRule="auto" w:before="13"/>
        <w:ind w:right="0"/>
        <w:jc w:val="left"/>
      </w:pPr>
      <w:r>
        <w:rPr>
          <w:spacing w:val="-4"/>
          <w:w w:val="101"/>
        </w:rPr>
        <w:t>之前的每次交易中，股权投资均确认为长期股权投资且其初始投资成本按照所对应的持股比例计算的对被合并方净资产在最</w:t>
      </w:r>
      <w:r>
        <w:rPr>
          <w:w w:val="101"/>
        </w:rPr>
        <w:t> </w:t>
      </w:r>
      <w:r>
        <w:rPr>
          <w:spacing w:val="-4"/>
        </w:rPr>
        <w:t>终控制方合并财务报表中的账面价值份额确定，长期股权投资的初始成本与支付对价的账面价值的差额调整资本公积（资本</w:t>
      </w:r>
      <w:r>
        <w:rPr>
          <w:spacing w:val="43"/>
        </w:rPr>
        <w:t> </w:t>
      </w:r>
      <w:r>
        <w:rPr>
          <w:spacing w:val="43"/>
        </w:rPr>
      </w:r>
      <w:r>
        <w:rPr>
          <w:spacing w:val="-4"/>
        </w:rPr>
        <w:t>溢价或股本溢价），资本公积（资本溢价或股本溢价）不足冲减的，依次冲减盈余公积和未分配利润。在后续计量时，长期</w:t>
      </w:r>
      <w:r>
        <w:rPr>
          <w:spacing w:val="40"/>
        </w:rPr>
        <w:t> </w:t>
      </w:r>
      <w:r>
        <w:rPr>
          <w:spacing w:val="40"/>
        </w:rPr>
      </w:r>
      <w:r>
        <w:rPr>
          <w:spacing w:val="-4"/>
        </w:rPr>
        <w:t>股权投资按照成本法核算，但不涉及合并财务报表编制问题。在合并日，本公司对子公司的长期股权投资初始成本按照对子</w:t>
      </w:r>
      <w:r>
        <w:rPr>
          <w:spacing w:val="44"/>
        </w:rPr>
        <w:t> </w:t>
      </w:r>
      <w:r>
        <w:rPr>
          <w:spacing w:val="44"/>
        </w:rPr>
      </w:r>
      <w:r>
        <w:rPr>
          <w:spacing w:val="-4"/>
          <w:w w:val="101"/>
        </w:rPr>
        <w:t>公司累计持股比例计算的对被合并方净资产在最终控制方合并财务报表中的账面价值份额确定，初始投资成本与达到合并前</w:t>
      </w:r>
      <w:r>
        <w:rPr>
          <w:w w:val="101"/>
        </w:rPr>
        <w:t> </w:t>
      </w:r>
      <w:r>
        <w:rPr>
          <w:spacing w:val="-5"/>
        </w:rPr>
        <w:t>的长期股权投资账面价值加上合并日取得进一步股份新支付对价的账面价值之和的差额，调整资本公积（资本溢价或股本溢</w:t>
      </w:r>
      <w:r>
        <w:rPr>
          <w:spacing w:val="6"/>
        </w:rPr>
        <w:t> </w:t>
      </w:r>
      <w:r>
        <w:rPr>
          <w:spacing w:val="6"/>
        </w:rPr>
      </w:r>
      <w:r>
        <w:rPr>
          <w:spacing w:val="-3"/>
        </w:rPr>
        <w:t>价），资本公积（资本溢价或股本溢价）不足冲减的，依次冲减盈余公积和未分配利润。同时编制合并日的合并财务报表，</w:t>
      </w:r>
      <w:r>
        <w:rPr>
          <w:spacing w:val="66"/>
        </w:rPr>
        <w:t> </w:t>
      </w:r>
      <w:r>
        <w:rPr>
          <w:spacing w:val="66"/>
        </w:rPr>
      </w:r>
      <w:r>
        <w:rPr>
          <w:spacing w:val="-3"/>
        </w:rPr>
        <w:t>并且本公司在合并财务报表中，视同参与合并的各方在最终控制方开始控制时即以目前的状态存在进行调整。</w:t>
      </w:r>
    </w:p>
    <w:p>
      <w:pPr>
        <w:pStyle w:val="BodyText"/>
        <w:spacing w:line="240" w:lineRule="auto" w:before="18"/>
        <w:ind w:left="662" w:right="0"/>
        <w:jc w:val="left"/>
      </w:pPr>
      <w:r>
        <w:rPr>
          <w:spacing w:val="-3"/>
        </w:rPr>
        <w:t>各项交易的条款、条件以及经济影响符合下列一种或多种情况的，通常将多次交易作为</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进行会计处理：</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8" w:right="0"/>
        <w:jc w:val="left"/>
      </w:pPr>
      <w:r>
        <w:rPr>
          <w:spacing w:val="-3"/>
        </w:rPr>
        <w:t>（</w:t>
      </w:r>
      <w:r>
        <w:rPr>
          <w:rFonts w:ascii="Times New Roman" w:hAnsi="Times New Roman" w:cs="Times New Roman" w:eastAsia="Times New Roman" w:hint="default"/>
          <w:spacing w:val="-3"/>
        </w:rPr>
        <w:t>a</w:t>
      </w:r>
      <w:r>
        <w:rPr>
          <w:spacing w:val="-3"/>
        </w:rPr>
        <w:t>）这些交易是同时或者在考虑了彼此影响的情况下订立的。</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b</w:t>
      </w:r>
      <w:r>
        <w:rPr>
          <w:spacing w:val="-3"/>
        </w:rPr>
        <w:t>）这些交易整体才能达成一项完整的商业结果。</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c</w:t>
      </w:r>
      <w:r>
        <w:rPr>
          <w:spacing w:val="-3"/>
        </w:rPr>
        <w:t>）一项交易的发生取决于其他至少一项交易的发生。</w:t>
      </w:r>
    </w:p>
    <w:p>
      <w:pPr>
        <w:pStyle w:val="BodyText"/>
        <w:spacing w:line="300" w:lineRule="auto" w:before="63"/>
        <w:ind w:left="662" w:right="0" w:hanging="144"/>
        <w:jc w:val="left"/>
      </w:pPr>
      <w:r>
        <w:rPr>
          <w:spacing w:val="-3"/>
        </w:rPr>
        <w:t>（</w:t>
      </w:r>
      <w:r>
        <w:rPr>
          <w:rFonts w:ascii="Times New Roman" w:hAnsi="Times New Roman" w:cs="Times New Roman" w:eastAsia="Times New Roman" w:hint="default"/>
          <w:spacing w:val="-3"/>
        </w:rPr>
        <w:t>d</w:t>
      </w:r>
      <w:r>
        <w:rPr>
          <w:spacing w:val="-3"/>
        </w:rPr>
        <w:t>）一项交易单独考虑时是不经济的，但是和其他交易一并考虑时是经济的。</w:t>
      </w:r>
      <w:r>
        <w:rPr>
          <w:spacing w:val="12"/>
        </w:rPr>
        <w:t> </w:t>
      </w:r>
      <w:r>
        <w:rPr>
          <w:spacing w:val="12"/>
        </w:rPr>
      </w:r>
      <w:r>
        <w:rPr>
          <w:spacing w:val="-4"/>
        </w:rPr>
        <w:t>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的，在合并日之前的每次交易中，本公司所发生的每次交易按照所支付对价的公允价值确认为金</w:t>
      </w:r>
    </w:p>
    <w:p>
      <w:pPr>
        <w:pStyle w:val="BodyText"/>
        <w:spacing w:line="319" w:lineRule="auto" w:before="13"/>
        <w:ind w:right="1123"/>
        <w:jc w:val="both"/>
      </w:pPr>
      <w:r>
        <w:rPr>
          <w:spacing w:val="-4"/>
        </w:rPr>
        <w:t>融资产（以公允价值计量且其变动计入当期损益的金融资产或可供出售金融资产）或按照权益法核算的长期股权投资。在合</w:t>
      </w:r>
      <w:r>
        <w:rPr>
          <w:spacing w:val="44"/>
        </w:rPr>
        <w:t> </w:t>
      </w:r>
      <w:r>
        <w:rPr>
          <w:spacing w:val="44"/>
        </w:rPr>
      </w:r>
      <w:r>
        <w:rPr>
          <w:spacing w:val="-4"/>
        </w:rPr>
        <w:t>并日，本公司在个别财务报表中，根据合并后应享有的子公司净资产在最终控制方合并财务报表中的账面价值的份额，确定</w:t>
      </w:r>
      <w:r>
        <w:rPr>
          <w:spacing w:val="43"/>
        </w:rPr>
        <w:t> </w:t>
      </w:r>
      <w:r>
        <w:rPr>
          <w:spacing w:val="43"/>
        </w:rPr>
      </w:r>
      <w:r>
        <w:rPr>
          <w:spacing w:val="-4"/>
        </w:rPr>
        <w:t>长期股权投资的初始投资成本。合并日长期股权投资的初始投资成本，与达到合并前的长期股权投资账面价值加上合并日进</w:t>
      </w:r>
      <w:r>
        <w:rPr>
          <w:spacing w:val="42"/>
        </w:rPr>
        <w:t> </w:t>
      </w:r>
      <w:r>
        <w:rPr>
          <w:spacing w:val="42"/>
        </w:rPr>
      </w:r>
      <w:r>
        <w:rPr>
          <w:spacing w:val="-4"/>
        </w:rPr>
        <w:t>一步取得股份新支付对价的账面价值之和的差额，调整资本公积（资本溢价或股本溢价），资本公积不足冲减的，依次冲减</w:t>
      </w:r>
      <w:r>
        <w:rPr>
          <w:spacing w:val="40"/>
        </w:rPr>
        <w:t> </w:t>
      </w:r>
      <w:r>
        <w:rPr>
          <w:spacing w:val="40"/>
        </w:rPr>
      </w:r>
      <w:r>
        <w:rPr>
          <w:spacing w:val="-3"/>
        </w:rPr>
        <w:t>盈余公积和未分配利润。</w:t>
      </w:r>
    </w:p>
    <w:p>
      <w:pPr>
        <w:pStyle w:val="BodyText"/>
        <w:spacing w:line="319" w:lineRule="auto" w:before="17"/>
        <w:ind w:right="1124" w:firstLine="508"/>
        <w:jc w:val="both"/>
      </w:pPr>
      <w:r>
        <w:rPr>
          <w:spacing w:val="-4"/>
        </w:rPr>
        <w:t>本公司在合并财务报表中，视同参与合并的各方在最终控制方开始控制时即以目前的状态存在进行调整，在编制合并</w:t>
      </w:r>
      <w:r>
        <w:rPr>
          <w:w w:val="101"/>
        </w:rPr>
        <w:t> </w:t>
      </w:r>
      <w:r>
        <w:rPr>
          <w:spacing w:val="-4"/>
        </w:rPr>
        <w:t>财务报表时，以不早于合并方和被合并方处于最终控制方的控制之下的时点为限，将被合并方的有关资产、负债并入合并方</w:t>
      </w:r>
      <w:r>
        <w:rPr>
          <w:spacing w:val="43"/>
        </w:rPr>
        <w:t> </w:t>
      </w:r>
      <w:r>
        <w:rPr>
          <w:spacing w:val="43"/>
        </w:rPr>
      </w:r>
      <w:r>
        <w:rPr>
          <w:spacing w:val="-8"/>
          <w:w w:val="101"/>
        </w:rPr>
        <w:t>合并财务报表的比较报表中，并将合并增加的净资产在比较报表中调整所有者权益项下的相关项目。因合并方的资本公积（资</w:t>
      </w:r>
      <w:r>
        <w:rPr>
          <w:spacing w:val="-53"/>
          <w:w w:val="101"/>
        </w:rPr>
        <w:t> </w:t>
      </w:r>
      <w:r>
        <w:rPr>
          <w:spacing w:val="-53"/>
          <w:w w:val="101"/>
        </w:rPr>
      </w:r>
      <w:r>
        <w:rPr>
          <w:spacing w:val="-4"/>
        </w:rPr>
        <w:t>本溢价或股本溢价）余额不足，被合并方在合并前实现的留存收益中归属于合并方的部分在合并财务报表中未予以全额恢复</w:t>
      </w:r>
      <w:r>
        <w:rPr>
          <w:spacing w:val="39"/>
        </w:rPr>
        <w:t> </w:t>
      </w:r>
      <w:r>
        <w:rPr>
          <w:spacing w:val="39"/>
        </w:rPr>
      </w:r>
      <w:r>
        <w:rPr>
          <w:spacing w:val="-4"/>
        </w:rPr>
        <w:t>的，本公司在报表附注中对这一情况进行说明，包括被合并方在合并前实现的留存收益金额、归属于本公司的金额及因资本</w:t>
      </w:r>
      <w:r>
        <w:rPr>
          <w:spacing w:val="43"/>
        </w:rPr>
        <w:t> </w:t>
      </w:r>
      <w:r>
        <w:rPr>
          <w:spacing w:val="43"/>
        </w:rPr>
      </w:r>
      <w:r>
        <w:rPr>
          <w:spacing w:val="-3"/>
        </w:rPr>
        <w:t>公积余额不足在合并资产负债表中未转入留存收益的金额等。</w:t>
      </w:r>
    </w:p>
    <w:p>
      <w:pPr>
        <w:pStyle w:val="BodyText"/>
        <w:spacing w:line="319" w:lineRule="auto" w:before="17"/>
        <w:ind w:right="1124" w:firstLine="508"/>
        <w:jc w:val="both"/>
      </w:pPr>
      <w:r>
        <w:rPr>
          <w:spacing w:val="-4"/>
        </w:rPr>
        <w:t>合并方在取得被合并方控制权之前持有的股权投资且按权益法核算的，在取得原股权之日与合并方和被合并方同处于</w:t>
      </w:r>
      <w:r>
        <w:rPr>
          <w:w w:val="101"/>
        </w:rPr>
        <w:t> </w:t>
      </w:r>
      <w:r>
        <w:rPr>
          <w:spacing w:val="-4"/>
        </w:rPr>
        <w:t>同一方最终控制之日孰晚日起至合并日之间已确认有关损益、其他综合收益以及其他所有者权益变动，应分别冲减比较报表</w:t>
      </w:r>
      <w:r>
        <w:rPr>
          <w:spacing w:val="43"/>
        </w:rPr>
        <w:t> </w:t>
      </w:r>
      <w:r>
        <w:rPr>
          <w:spacing w:val="43"/>
        </w:rPr>
      </w:r>
      <w:r>
        <w:rPr/>
        <w:t>期间的期初留存收益。</w:t>
      </w:r>
    </w:p>
    <w:p>
      <w:pPr>
        <w:pStyle w:val="BodyText"/>
        <w:spacing w:line="300" w:lineRule="auto" w:before="17"/>
        <w:ind w:left="662" w:right="0"/>
        <w:jc w:val="left"/>
      </w:pPr>
      <w:r>
        <w:rPr>
          <w:rFonts w:ascii="Times New Roman" w:hAnsi="Times New Roman" w:cs="Times New Roman" w:eastAsia="Times New Roman" w:hint="default"/>
          <w:spacing w:val="-3"/>
        </w:rPr>
        <w:t>B.</w:t>
      </w:r>
      <w:r>
        <w:rPr>
          <w:spacing w:val="-3"/>
        </w:rPr>
        <w:t>通过多次交易分步实现非同一控制下企业合并</w:t>
      </w:r>
      <w:r>
        <w:rPr>
          <w:spacing w:val="-29"/>
        </w:rPr>
        <w:t> </w:t>
      </w:r>
      <w:r>
        <w:rPr>
          <w:spacing w:val="-29"/>
        </w:rPr>
      </w:r>
      <w:r>
        <w:rPr>
          <w:spacing w:val="-3"/>
        </w:rPr>
        <w:t>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的，本公司将各项交易作为一项取得子公司控制权的交易进行处理。在个别财务报表中，在合并日</w:t>
      </w:r>
    </w:p>
    <w:p>
      <w:pPr>
        <w:pStyle w:val="BodyText"/>
        <w:spacing w:line="319" w:lineRule="auto" w:before="13"/>
        <w:ind w:right="1026"/>
        <w:jc w:val="left"/>
      </w:pPr>
      <w:r>
        <w:rPr>
          <w:spacing w:val="-4"/>
        </w:rPr>
        <w:t>之前的每次交易中，股权投资均确认为长期股权投资且其初始投资成本按照所支付对价的公允价值确定。在后续计量时，长</w:t>
      </w:r>
      <w:r>
        <w:rPr>
          <w:spacing w:val="44"/>
        </w:rPr>
        <w:t> </w:t>
      </w:r>
      <w:r>
        <w:rPr>
          <w:spacing w:val="44"/>
        </w:rPr>
      </w:r>
      <w:r>
        <w:rPr>
          <w:spacing w:val="-4"/>
        </w:rPr>
        <w:t>期股权投资按照成本法核算，但不涉及合并财务报表编制问题。在合并日，在个别财务报表中，按照原持有的长期股权投资</w:t>
      </w:r>
      <w:r>
        <w:rPr>
          <w:spacing w:val="40"/>
        </w:rPr>
        <w:t> </w:t>
      </w:r>
      <w:r>
        <w:rPr>
          <w:spacing w:val="40"/>
        </w:rPr>
      </w:r>
      <w:r>
        <w:rPr>
          <w:spacing w:val="-3"/>
        </w:rPr>
        <w:t>的账面价值加上新增投资成本（进一步取得股份所支付对价的公允价值）之和，作为合并日长期股权投资的初始投资成本。</w:t>
      </w:r>
      <w:r>
        <w:rPr>
          <w:spacing w:val="66"/>
        </w:rPr>
        <w:t> </w:t>
      </w:r>
      <w:r>
        <w:rPr>
          <w:spacing w:val="66"/>
        </w:rPr>
      </w:r>
      <w:r>
        <w:rPr>
          <w:spacing w:val="-4"/>
        </w:rPr>
        <w:t>在合并财务报表中，初始投资成本与对子公司可辨认净资产公允价值所享有的份额进行抵销，差额确认为商誉或计入合并当</w:t>
      </w:r>
      <w:r>
        <w:rPr>
          <w:spacing w:val="43"/>
        </w:rPr>
        <w:t> </w:t>
      </w:r>
      <w:r>
        <w:rPr>
          <w:spacing w:val="43"/>
        </w:rPr>
      </w:r>
      <w:r>
        <w:rPr/>
        <w:t>期损益。</w:t>
      </w:r>
    </w:p>
    <w:p>
      <w:pPr>
        <w:pStyle w:val="BodyText"/>
        <w:spacing w:line="314" w:lineRule="auto" w:before="17"/>
        <w:ind w:right="1123" w:firstLine="508"/>
        <w:jc w:val="both"/>
      </w:pPr>
      <w:r>
        <w:rPr>
          <w:spacing w:val="-4"/>
        </w:rPr>
        <w:t>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的，在合并日之前的每次交易中，投资方所发生的每次交易按照所支付对价的公允价值确认为金</w:t>
      </w:r>
      <w:r>
        <w:rPr>
          <w:w w:val="101"/>
        </w:rPr>
        <w:t> </w:t>
      </w:r>
      <w:r>
        <w:rPr>
          <w:spacing w:val="-4"/>
        </w:rPr>
        <w:t>融资产（以公允价值计量且其变动计入当期损益的金融资产或可供出售金融资产）或按照权益法核算的长期股权投资。在合</w:t>
      </w:r>
      <w:r>
        <w:rPr>
          <w:spacing w:val="44"/>
        </w:rPr>
        <w:t> </w:t>
      </w:r>
      <w:r>
        <w:rPr>
          <w:spacing w:val="44"/>
        </w:rPr>
      </w:r>
      <w:r>
        <w:rPr>
          <w:spacing w:val="-4"/>
        </w:rPr>
        <w:t>并日，在个别财务报表中，按照原持有的股权投资（金融资产或按照权益法核算的长期股权投资）的账面价值加上新增投资</w:t>
      </w:r>
      <w:r>
        <w:rPr>
          <w:spacing w:val="40"/>
        </w:rPr>
        <w:t> </w:t>
      </w:r>
      <w:r>
        <w:rPr>
          <w:spacing w:val="40"/>
        </w:rPr>
      </w:r>
      <w:r>
        <w:rPr>
          <w:spacing w:val="-4"/>
        </w:rPr>
        <w:t>成本之和，作为改按成本法核算长期股权投资的初始成本。在合并财务报表中，对于购买日之前持有的被购买方的股权，按</w:t>
      </w:r>
      <w:r>
        <w:rPr>
          <w:spacing w:val="40"/>
        </w:rPr>
        <w:t> </w:t>
      </w:r>
      <w:r>
        <w:rPr>
          <w:spacing w:val="40"/>
        </w:rPr>
      </w:r>
      <w:r>
        <w:rPr>
          <w:spacing w:val="-4"/>
        </w:rPr>
        <w:t>照该股权在购买日的公允价值进行重新计量，公允价值与其账面价值的差额计入当期投资收益；购买日之前持有的被购买方</w:t>
      </w:r>
      <w:r>
        <w:rPr>
          <w:spacing w:val="43"/>
        </w:rPr>
        <w:t> </w:t>
      </w:r>
      <w:r>
        <w:rPr>
          <w:spacing w:val="43"/>
        </w:rPr>
      </w:r>
      <w:r>
        <w:rPr>
          <w:spacing w:val="-4"/>
        </w:rPr>
        <w:t>的股权涉及权益法核算下的其他综合收益等的，与其相关的其他综合收益等转为购买日所属当期收益，但由于被合并方重新</w:t>
      </w:r>
      <w:r>
        <w:rPr>
          <w:spacing w:val="43"/>
        </w:rPr>
        <w:t> </w:t>
      </w:r>
      <w:r>
        <w:rPr>
          <w:spacing w:val="43"/>
        </w:rPr>
      </w:r>
      <w:r>
        <w:rPr>
          <w:spacing w:val="-4"/>
          <w:w w:val="101"/>
        </w:rPr>
        <w:t>计量设定受益计划净资产或净负债变动而产生的其他综合收益除外。本公司在附注中披露其在购买日之前持有的被购买方的</w:t>
      </w:r>
      <w:r>
        <w:rPr>
          <w:w w:val="101"/>
        </w:rPr>
        <w:t> </w:t>
      </w:r>
      <w:r>
        <w:rPr>
          <w:spacing w:val="-3"/>
        </w:rPr>
        <w:t>股权在购买日的公允价值、按照公允价值重新计量产生的相关利得或损失的金额。</w:t>
      </w:r>
    </w:p>
    <w:p>
      <w:pPr>
        <w:pStyle w:val="BodyText"/>
        <w:spacing w:line="316" w:lineRule="auto" w:before="21"/>
        <w:ind w:left="662" w:right="0"/>
        <w:jc w:val="left"/>
      </w:pPr>
      <w:r>
        <w:rPr>
          <w:spacing w:val="-3"/>
        </w:rPr>
        <w:t>③本公司处置对子公司长期股权投资但未丧失控制权</w:t>
      </w:r>
      <w:r>
        <w:rPr>
          <w:spacing w:val="-21"/>
        </w:rPr>
        <w:t> </w:t>
      </w:r>
      <w:r>
        <w:rPr>
          <w:spacing w:val="-21"/>
        </w:rPr>
      </w:r>
      <w:r>
        <w:rPr>
          <w:spacing w:val="-4"/>
        </w:rPr>
        <w:t>母公司在不丧失控制权的情况下部分处置对子公司的长期股权投资，在合并财务报表中，处置价款与处置长期股权投</w:t>
      </w:r>
    </w:p>
    <w:p>
      <w:pPr>
        <w:pStyle w:val="BodyText"/>
        <w:spacing w:line="316" w:lineRule="auto" w:before="19"/>
        <w:ind w:right="0"/>
        <w:jc w:val="left"/>
      </w:pPr>
      <w:r>
        <w:rPr>
          <w:spacing w:val="-5"/>
        </w:rPr>
        <w:t>资相对应享有子公司自购买日或合并日开始持续计算的净资产份额之间的差额，调整资本公积（资本溢价或股本溢价），资</w:t>
      </w:r>
      <w:r>
        <w:rPr>
          <w:spacing w:val="4"/>
        </w:rPr>
        <w:t> </w:t>
      </w:r>
      <w:r>
        <w:rPr>
          <w:spacing w:val="4"/>
        </w:rPr>
      </w:r>
      <w:r>
        <w:rPr>
          <w:spacing w:val="-3"/>
        </w:rPr>
        <w:t>本公积不足冲减的，调整留存收益。</w:t>
      </w:r>
    </w:p>
    <w:p>
      <w:pPr>
        <w:pStyle w:val="BodyText"/>
        <w:spacing w:line="240" w:lineRule="auto" w:before="19"/>
        <w:ind w:left="662" w:right="0"/>
        <w:jc w:val="left"/>
      </w:pPr>
      <w:r>
        <w:rPr>
          <w:spacing w:val="-3"/>
        </w:rPr>
        <w:t>④本公司处置对子公司长期股权投资且丧失控制权</w:t>
      </w:r>
    </w:p>
    <w:p>
      <w:pPr>
        <w:pStyle w:val="BodyText"/>
        <w:spacing w:line="300" w:lineRule="auto" w:before="77"/>
        <w:ind w:left="662" w:right="1026"/>
        <w:jc w:val="left"/>
      </w:pPr>
      <w:r>
        <w:rPr>
          <w:rFonts w:ascii="Times New Roman" w:hAnsi="Times New Roman" w:cs="Times New Roman" w:eastAsia="Times New Roman" w:hint="default"/>
        </w:rPr>
        <w:t>A.</w:t>
      </w:r>
      <w:r>
        <w:rPr/>
        <w:t>一次交易处置</w:t>
      </w:r>
      <w:r>
        <w:rPr>
          <w:w w:val="101"/>
        </w:rPr>
        <w:t> </w:t>
      </w:r>
      <w:r>
        <w:rPr>
          <w:spacing w:val="-4"/>
        </w:rPr>
        <w:t>本公司因处置部分股权投资等原因丧失了对被投资方的控制权的，在编制合并财务报表时，对于剩余股权，按照其在</w:t>
      </w:r>
    </w:p>
    <w:p>
      <w:pPr>
        <w:pStyle w:val="BodyText"/>
        <w:spacing w:line="316" w:lineRule="auto" w:before="31"/>
        <w:ind w:right="0"/>
        <w:jc w:val="left"/>
      </w:pPr>
      <w:r>
        <w:rPr>
          <w:spacing w:val="-4"/>
        </w:rPr>
        <w:t>丧失控制权日的公允价值进行重新计量。处置股权取得的对价与剩余股权公允价值之和，减去按原持股比例计算应享有原有</w:t>
      </w:r>
      <w:r>
        <w:rPr>
          <w:spacing w:val="42"/>
        </w:rPr>
        <w:t> </w:t>
      </w:r>
      <w:r>
        <w:rPr>
          <w:spacing w:val="42"/>
        </w:rPr>
      </w:r>
      <w:r>
        <w:rPr>
          <w:spacing w:val="-3"/>
        </w:rPr>
        <w:t>子公司自购买日或合并日开始持续计算的净资产的份额之间的差额，计入丧失控制权当期的投资收益，同时冲减商誉（注：</w:t>
      </w:r>
      <w:r>
        <w:rPr>
          <w:spacing w:val="66"/>
        </w:rPr>
        <w:t> </w:t>
      </w:r>
      <w:r>
        <w:rPr>
          <w:spacing w:val="66"/>
        </w:rPr>
      </w:r>
      <w:r>
        <w:rPr>
          <w:spacing w:val="-4"/>
        </w:rPr>
        <w:t>如果原企业合并为非同一控制下的且存在商誉的）。与原有子公司股权投资相关的其他综合收益等，在丧失控制权时转为当</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期投资收益。</w:t>
      </w:r>
    </w:p>
    <w:p>
      <w:pPr>
        <w:pStyle w:val="BodyText"/>
        <w:spacing w:line="316" w:lineRule="auto" w:before="76"/>
        <w:ind w:right="0" w:firstLine="508"/>
        <w:jc w:val="left"/>
      </w:pPr>
      <w:r>
        <w:rPr>
          <w:spacing w:val="-4"/>
        </w:rPr>
        <w:t>此外，与原子公司的股权投资相关的其他综合收益、其他所有者权益变动，在丧失控制权时转入当期损益，由于被投</w:t>
      </w:r>
      <w:r>
        <w:rPr>
          <w:w w:val="101"/>
        </w:rPr>
        <w:t> </w:t>
      </w:r>
      <w:r>
        <w:rPr>
          <w:spacing w:val="-3"/>
        </w:rPr>
        <w:t>资方重新计量设定受益计划净负债或净资产变动而产生的其他综合收益除外。</w:t>
      </w:r>
    </w:p>
    <w:p>
      <w:pPr>
        <w:pStyle w:val="BodyText"/>
        <w:spacing w:line="300" w:lineRule="auto" w:before="19"/>
        <w:ind w:left="662" w:right="3567"/>
        <w:jc w:val="left"/>
      </w:pPr>
      <w:r>
        <w:rPr>
          <w:rFonts w:ascii="Times New Roman" w:hAnsi="Times New Roman" w:cs="Times New Roman" w:eastAsia="Times New Roman" w:hint="default"/>
        </w:rPr>
        <w:t>B.</w:t>
      </w:r>
      <w:r>
        <w:rPr/>
        <w:t>多次交易分步处置</w:t>
      </w:r>
      <w:r>
        <w:rPr>
          <w:w w:val="101"/>
        </w:rPr>
        <w:t> </w:t>
      </w:r>
      <w:r>
        <w:rPr>
          <w:spacing w:val="-3"/>
        </w:rPr>
        <w:t>在合并财务报表中，应首先判断分步交易是否属于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w:t>
      </w:r>
    </w:p>
    <w:p>
      <w:pPr>
        <w:pStyle w:val="BodyText"/>
        <w:spacing w:line="300" w:lineRule="auto" w:before="13"/>
        <w:ind w:right="0" w:firstLine="508"/>
        <w:jc w:val="left"/>
      </w:pPr>
      <w:r>
        <w:rPr>
          <w:spacing w:val="-3"/>
        </w:rPr>
        <w:t>如果分步交易不属于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的，则在丧失对子公司控制权之前的各项交易，应按照</w:t>
      </w:r>
      <w:r>
        <w:rPr>
          <w:rFonts w:ascii="Times New Roman" w:hAnsi="Times New Roman" w:cs="Times New Roman" w:eastAsia="Times New Roman" w:hint="default"/>
          <w:spacing w:val="-3"/>
        </w:rPr>
        <w:t>“</w:t>
      </w:r>
      <w:r>
        <w:rPr>
          <w:spacing w:val="-3"/>
        </w:rPr>
        <w:t>母公司处置对子公司长期</w:t>
      </w:r>
      <w:r>
        <w:rPr>
          <w:w w:val="101"/>
        </w:rPr>
        <w:t> </w:t>
      </w:r>
      <w:r>
        <w:rPr>
          <w:spacing w:val="-3"/>
        </w:rPr>
        <w:t>股权投资但未丧失控制权</w:t>
      </w:r>
      <w:r>
        <w:rPr>
          <w:rFonts w:ascii="Times New Roman" w:hAnsi="Times New Roman" w:cs="Times New Roman" w:eastAsia="Times New Roman" w:hint="default"/>
          <w:spacing w:val="-3"/>
        </w:rPr>
        <w:t>”</w:t>
      </w:r>
      <w:r>
        <w:rPr>
          <w:spacing w:val="-3"/>
        </w:rPr>
        <w:t>的有关规定处理。</w:t>
      </w:r>
    </w:p>
    <w:p>
      <w:pPr>
        <w:pStyle w:val="BodyText"/>
        <w:spacing w:line="309" w:lineRule="auto" w:before="13"/>
        <w:ind w:right="1094" w:firstLine="508"/>
        <w:jc w:val="both"/>
      </w:pPr>
      <w:r>
        <w:rPr>
          <w:spacing w:val="-3"/>
        </w:rPr>
        <w:t>如果分步交易属于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的，应当将各项交易作为一项处置子公司并丧失控制权的交易进行会计处理；其中，</w:t>
      </w:r>
      <w:r>
        <w:rPr>
          <w:w w:val="101"/>
        </w:rPr>
        <w:t> </w:t>
      </w:r>
      <w:r>
        <w:rPr>
          <w:spacing w:val="-4"/>
        </w:rPr>
        <w:t>对于丧失控制权之前每一次交易，处置价款与处置投资对应的享有该子公司净资产份额的差额，在合并财务报表中应当确认</w:t>
      </w:r>
      <w:r>
        <w:rPr>
          <w:spacing w:val="44"/>
        </w:rPr>
        <w:t> </w:t>
      </w:r>
      <w:r>
        <w:rPr>
          <w:spacing w:val="44"/>
        </w:rPr>
      </w:r>
      <w:r>
        <w:rPr>
          <w:spacing w:val="-3"/>
        </w:rPr>
        <w:t>为其他综合收益，在丧失控制权时一并转入丧失控制权当期的损益。</w:t>
      </w:r>
    </w:p>
    <w:p>
      <w:pPr>
        <w:pStyle w:val="BodyText"/>
        <w:spacing w:line="316" w:lineRule="auto" w:before="24"/>
        <w:ind w:left="662" w:right="0"/>
        <w:jc w:val="left"/>
      </w:pPr>
      <w:r>
        <w:rPr>
          <w:spacing w:val="-3"/>
        </w:rPr>
        <w:t>⑤因子公司的少数股东增资而稀释母公司拥有的股权比例</w:t>
      </w:r>
      <w:r>
        <w:rPr>
          <w:spacing w:val="-20"/>
        </w:rPr>
        <w:t> </w:t>
      </w:r>
      <w:r>
        <w:rPr>
          <w:spacing w:val="-20"/>
        </w:rPr>
      </w:r>
      <w:r>
        <w:rPr>
          <w:spacing w:val="-4"/>
        </w:rPr>
        <w:t>子公司的其他股东（少数股东）对子公司进行增资，由此稀释了母公司对子公司的股权比例。在合并财务报表中，按</w:t>
      </w:r>
    </w:p>
    <w:p>
      <w:pPr>
        <w:pStyle w:val="BodyText"/>
        <w:spacing w:line="319" w:lineRule="auto" w:before="19"/>
        <w:ind w:right="0"/>
        <w:jc w:val="left"/>
      </w:pPr>
      <w:r>
        <w:rPr>
          <w:spacing w:val="-4"/>
          <w:w w:val="101"/>
        </w:rPr>
        <w:t>照增资前的母公司股权比例计算其在增资前子公司账面净资产中的份额，该份额与增资后按照母公司持股比例计算的在增资</w:t>
      </w:r>
      <w:r>
        <w:rPr>
          <w:w w:val="101"/>
        </w:rPr>
        <w:t> </w:t>
      </w:r>
      <w:r>
        <w:rPr>
          <w:spacing w:val="-6"/>
        </w:rPr>
        <w:t>后子公司账面净资产份额之间的差额调整资本公积（资本溢价或股本溢价），资本公积（资本溢价或股本溢价）不足冲减的，</w:t>
      </w:r>
      <w:r>
        <w:rPr>
          <w:spacing w:val="62"/>
        </w:rPr>
        <w:t> </w:t>
      </w:r>
      <w:r>
        <w:rPr>
          <w:spacing w:val="62"/>
        </w:rPr>
      </w:r>
      <w:r>
        <w:rPr>
          <w:spacing w:val="-3"/>
        </w:rPr>
        <w:t>调整留存收益。</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合营安排，是指一项由两个或两个以上的参与方共同控制的安排。本公司合营安排分为共同经营和合营企业。</w:t>
      </w:r>
    </w:p>
    <w:p>
      <w:pPr>
        <w:pStyle w:val="BodyText"/>
        <w:spacing w:line="300" w:lineRule="auto" w:before="77"/>
        <w:ind w:left="662" w:right="3567" w:hanging="144"/>
        <w:jc w:val="left"/>
      </w:pPr>
      <w:r>
        <w:rPr>
          <w:spacing w:val="-3"/>
        </w:rPr>
        <w:t>（</w:t>
      </w:r>
      <w:r>
        <w:rPr>
          <w:rFonts w:ascii="Times New Roman" w:hAnsi="Times New Roman" w:cs="Times New Roman" w:eastAsia="Times New Roman" w:hint="default"/>
          <w:spacing w:val="-3"/>
        </w:rPr>
        <w:t>1</w:t>
      </w:r>
      <w:r>
        <w:rPr>
          <w:spacing w:val="-3"/>
        </w:rPr>
        <w:t>）共同经营</w:t>
      </w:r>
      <w:r>
        <w:rPr>
          <w:spacing w:val="-69"/>
        </w:rPr>
        <w:t> </w:t>
      </w:r>
      <w:r>
        <w:rPr>
          <w:spacing w:val="-69"/>
        </w:rPr>
      </w:r>
      <w:r>
        <w:rPr>
          <w:spacing w:val="-3"/>
        </w:rPr>
        <w:t>共同经营是指本公司享有该安排相关资产且承担该安排相关负债的合营安排。</w:t>
      </w:r>
    </w:p>
    <w:p>
      <w:pPr>
        <w:pStyle w:val="BodyText"/>
        <w:spacing w:line="240" w:lineRule="auto" w:before="31"/>
        <w:ind w:left="662" w:right="0"/>
        <w:jc w:val="left"/>
      </w:pPr>
      <w:r>
        <w:rPr>
          <w:spacing w:val="-3"/>
        </w:rPr>
        <w:t>本公司确认其与共同经营中利益份额相关的下列项目，并按照相关企业会计准则的规定进行会计处理：</w:t>
      </w:r>
      <w:r>
        <w:rPr/>
      </w:r>
    </w:p>
    <w:p>
      <w:pPr>
        <w:pStyle w:val="BodyText"/>
        <w:spacing w:line="240" w:lineRule="auto" w:before="76"/>
        <w:ind w:left="662" w:right="0"/>
        <w:jc w:val="left"/>
      </w:pPr>
      <w:r>
        <w:rPr>
          <w:spacing w:val="-3"/>
        </w:rPr>
        <w:t>①确认单独所持有的资产，以及按其份额确认共同持有的资产；</w:t>
      </w:r>
    </w:p>
    <w:p>
      <w:pPr>
        <w:pStyle w:val="BodyText"/>
        <w:spacing w:line="240" w:lineRule="auto" w:before="76"/>
        <w:ind w:left="662" w:right="0"/>
        <w:jc w:val="left"/>
      </w:pPr>
      <w:r>
        <w:rPr>
          <w:spacing w:val="-3"/>
        </w:rPr>
        <w:t>②确认单独所承担的负债，以及按其份额确认共同承担的负债；</w:t>
      </w:r>
    </w:p>
    <w:p>
      <w:pPr>
        <w:pStyle w:val="BodyText"/>
        <w:spacing w:line="240" w:lineRule="auto" w:before="77"/>
        <w:ind w:left="662" w:right="0"/>
        <w:jc w:val="left"/>
      </w:pPr>
      <w:r>
        <w:rPr>
          <w:spacing w:val="-3"/>
        </w:rPr>
        <w:t>③确认出售其享有的共同经营产出份额所产生的收入；</w:t>
      </w:r>
    </w:p>
    <w:p>
      <w:pPr>
        <w:pStyle w:val="BodyText"/>
        <w:spacing w:line="240" w:lineRule="auto" w:before="76"/>
        <w:ind w:left="662" w:right="0"/>
        <w:jc w:val="left"/>
      </w:pPr>
      <w:r>
        <w:rPr>
          <w:spacing w:val="-3"/>
        </w:rPr>
        <w:t>④按其份额确认共同经营因出售产出所产生的收入；</w:t>
      </w:r>
    </w:p>
    <w:p>
      <w:pPr>
        <w:pStyle w:val="BodyText"/>
        <w:spacing w:line="240" w:lineRule="auto" w:before="76"/>
        <w:ind w:left="662" w:right="0"/>
        <w:jc w:val="left"/>
      </w:pPr>
      <w:r>
        <w:rPr>
          <w:spacing w:val="-3"/>
        </w:rPr>
        <w:t>⑤确认单独所发生的费用，以及按其份额确认共同经营发生的费用。</w:t>
      </w:r>
    </w:p>
    <w:p>
      <w:pPr>
        <w:pStyle w:val="BodyText"/>
        <w:spacing w:line="300" w:lineRule="auto" w:before="76"/>
        <w:ind w:left="662" w:right="4626" w:hanging="144"/>
        <w:jc w:val="left"/>
      </w:pPr>
      <w:r>
        <w:rPr>
          <w:spacing w:val="-3"/>
        </w:rPr>
        <w:t>（</w:t>
      </w:r>
      <w:r>
        <w:rPr>
          <w:rFonts w:ascii="Times New Roman" w:hAnsi="Times New Roman" w:cs="Times New Roman" w:eastAsia="Times New Roman" w:hint="default"/>
          <w:spacing w:val="-3"/>
        </w:rPr>
        <w:t>2</w:t>
      </w:r>
      <w:r>
        <w:rPr>
          <w:spacing w:val="-3"/>
        </w:rPr>
        <w:t>）合营企业</w:t>
      </w:r>
      <w:r>
        <w:rPr>
          <w:spacing w:val="-69"/>
        </w:rPr>
        <w:t> </w:t>
      </w:r>
      <w:r>
        <w:rPr>
          <w:spacing w:val="-69"/>
        </w:rPr>
      </w:r>
      <w:r>
        <w:rPr>
          <w:spacing w:val="-3"/>
        </w:rPr>
        <w:t>合营企业是指本公司仅对该安排的净资产享有权利的合营安排。</w:t>
      </w:r>
    </w:p>
    <w:p>
      <w:pPr>
        <w:pStyle w:val="BodyText"/>
        <w:spacing w:line="240" w:lineRule="auto" w:before="32"/>
        <w:ind w:left="662" w:right="0"/>
        <w:jc w:val="left"/>
      </w:pPr>
      <w:r>
        <w:rPr>
          <w:spacing w:val="-3"/>
        </w:rPr>
        <w:t>本公司按照长期股权投资有关权益法核算的规定对合营企业的投资进行会计处理。</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9" w:lineRule="auto"/>
        <w:ind w:right="0" w:firstLine="508"/>
        <w:jc w:val="left"/>
      </w:pPr>
      <w:r>
        <w:rPr>
          <w:spacing w:val="-6"/>
        </w:rPr>
        <w:t>现金指企业库存现金及可以随时用于支付的存款。现金等价物指持有的期限短（一般是指从购买日起三个月内到期）、</w:t>
      </w:r>
      <w:r>
        <w:rPr>
          <w:w w:val="101"/>
        </w:rPr>
        <w:t> </w:t>
      </w:r>
      <w:r>
        <w:rPr>
          <w:spacing w:val="-3"/>
        </w:rPr>
        <w:t>流动性强、易于转换为已知金额现金、价值变动风险很小的投资。</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0" w:hanging="144"/>
        <w:jc w:val="left"/>
      </w:pPr>
      <w:r>
        <w:rPr>
          <w:spacing w:val="-3"/>
        </w:rPr>
        <w:t>（</w:t>
      </w:r>
      <w:r>
        <w:rPr>
          <w:rFonts w:ascii="Times New Roman" w:hAnsi="Times New Roman" w:cs="Times New Roman" w:eastAsia="Times New Roman" w:hint="default"/>
          <w:spacing w:val="-3"/>
        </w:rPr>
        <w:t>1</w:t>
      </w:r>
      <w:r>
        <w:rPr>
          <w:spacing w:val="-3"/>
        </w:rPr>
        <w:t>）外币交易时折算汇率的确定方法</w:t>
      </w:r>
      <w:r>
        <w:rPr>
          <w:spacing w:val="-40"/>
        </w:rPr>
        <w:t> </w:t>
      </w:r>
      <w:r>
        <w:rPr>
          <w:spacing w:val="-40"/>
        </w:rPr>
      </w:r>
      <w:r>
        <w:rPr>
          <w:spacing w:val="-3"/>
        </w:rPr>
        <w:t>本公司外币交易初始确认时采用交易发生日的即期汇率或即期汇率的近似汇率折算为记账本位币。</w:t>
      </w:r>
    </w:p>
    <w:p>
      <w:pPr>
        <w:pStyle w:val="BodyText"/>
        <w:spacing w:line="300" w:lineRule="auto" w:before="31"/>
        <w:ind w:left="662" w:right="0" w:hanging="144"/>
        <w:jc w:val="left"/>
      </w:pPr>
      <w:r>
        <w:rPr>
          <w:spacing w:val="-3"/>
        </w:rPr>
        <w:t>（</w:t>
      </w:r>
      <w:r>
        <w:rPr>
          <w:rFonts w:ascii="Times New Roman" w:hAnsi="Times New Roman" w:cs="Times New Roman" w:eastAsia="Times New Roman" w:hint="default"/>
          <w:spacing w:val="-3"/>
        </w:rPr>
        <w:t>2</w:t>
      </w:r>
      <w:r>
        <w:rPr>
          <w:spacing w:val="-3"/>
        </w:rPr>
        <w:t>）资产负债表日外币货币性项目的折算方法</w:t>
      </w:r>
      <w:r>
        <w:rPr>
          <w:spacing w:val="-28"/>
        </w:rPr>
        <w:t> </w:t>
      </w:r>
      <w:r>
        <w:rPr>
          <w:spacing w:val="-28"/>
        </w:rPr>
      </w:r>
      <w:r>
        <w:rPr>
          <w:spacing w:val="-4"/>
        </w:rPr>
        <w:t>在资产负债表日，对于外币货币性项目，采用资产负债表日的即期汇率折算。因资产负债表日即期汇率与初始确认时</w:t>
      </w:r>
    </w:p>
    <w:p>
      <w:pPr>
        <w:pStyle w:val="BodyText"/>
        <w:spacing w:line="240" w:lineRule="auto" w:before="31"/>
        <w:ind w:right="0"/>
        <w:jc w:val="left"/>
      </w:pPr>
      <w:r>
        <w:rPr>
          <w:spacing w:val="-3"/>
        </w:rPr>
        <w:t>或前一资产负债表日即期汇率不同而产生的汇兑差额，计入当期损益。</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3</w:t>
      </w:r>
      <w:r>
        <w:rPr>
          <w:spacing w:val="-3"/>
        </w:rPr>
        <w:t>）外币报表折算方法</w:t>
      </w:r>
      <w:r>
        <w:rPr>
          <w:spacing w:val="-57"/>
        </w:rPr>
        <w:t> </w:t>
      </w:r>
      <w:r>
        <w:rPr>
          <w:spacing w:val="-57"/>
        </w:rPr>
      </w:r>
      <w:r>
        <w:rPr>
          <w:spacing w:val="-3"/>
        </w:rPr>
        <w:t>对企业境外经营财务报表进行折算前先调整境外经营的会计期间和会计政策，使之与企业会计期间和会计政策相一</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致，再根据调整后会计政策及会计期间编制相应货币（记账本位币以外的货币）的财务报表，再按照以下方法对境外经营财</w:t>
      </w:r>
      <w:r>
        <w:rPr>
          <w:spacing w:val="40"/>
        </w:rPr>
        <w:t> </w:t>
      </w:r>
      <w:r>
        <w:rPr>
          <w:spacing w:val="40"/>
        </w:rPr>
      </w:r>
      <w:r>
        <w:rPr/>
        <w:t>务报表进行折算：</w:t>
      </w:r>
    </w:p>
    <w:p>
      <w:pPr>
        <w:pStyle w:val="BodyText"/>
        <w:spacing w:line="300" w:lineRule="auto" w:before="19"/>
        <w:ind w:right="0" w:firstLine="508"/>
        <w:jc w:val="left"/>
      </w:pPr>
      <w:r>
        <w:rPr>
          <w:spacing w:val="-4"/>
        </w:rPr>
        <w:t>①资产负债表中的资产和负债项目，采用资产负债表日的即期汇率折算，所有者权益项目除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w:t>
      </w:r>
      <w:r>
        <w:rPr>
          <w:w w:val="101"/>
        </w:rPr>
        <w:t> </w:t>
      </w:r>
      <w:r>
        <w:rPr>
          <w:spacing w:val="-3"/>
        </w:rPr>
        <w:t>他项目采用发生时的即期汇率折算。</w:t>
      </w:r>
    </w:p>
    <w:p>
      <w:pPr>
        <w:pStyle w:val="BodyText"/>
        <w:spacing w:line="240" w:lineRule="auto" w:before="31"/>
        <w:ind w:left="662" w:right="0"/>
        <w:jc w:val="left"/>
      </w:pPr>
      <w:r>
        <w:rPr>
          <w:spacing w:val="-3"/>
        </w:rPr>
        <w:t>②利润表中的收入和费用项目，采用交易发生日的即期汇率或即期汇率的近似汇率折算。</w:t>
      </w:r>
    </w:p>
    <w:p>
      <w:pPr>
        <w:pStyle w:val="BodyText"/>
        <w:spacing w:line="300" w:lineRule="auto" w:before="76"/>
        <w:ind w:right="1026" w:firstLine="508"/>
        <w:jc w:val="left"/>
      </w:pPr>
      <w:r>
        <w:rPr>
          <w:spacing w:val="-3"/>
        </w:rPr>
        <w:t>③产生的外币财务报表折算差额，在编制合并财务报表时，在合并资产负债表中所有者权益项目下单独列示</w:t>
      </w:r>
      <w:r>
        <w:rPr>
          <w:rFonts w:ascii="Times New Roman" w:hAnsi="Times New Roman" w:cs="Times New Roman" w:eastAsia="Times New Roman" w:hint="default"/>
          <w:spacing w:val="-3"/>
        </w:rPr>
        <w:t>“</w:t>
      </w:r>
      <w:r>
        <w:rPr>
          <w:spacing w:val="-3"/>
        </w:rPr>
        <w:t>其他综</w:t>
      </w:r>
      <w:r>
        <w:rPr>
          <w:spacing w:val="-5"/>
          <w:w w:val="101"/>
        </w:rPr>
        <w:t> </w:t>
      </w:r>
      <w:r>
        <w:rPr/>
        <w:t>合收益</w:t>
      </w:r>
      <w:r>
        <w:rPr>
          <w:rFonts w:ascii="Times New Roman" w:hAnsi="Times New Roman" w:cs="Times New Roman" w:eastAsia="Times New Roman" w:hint="default"/>
        </w:rPr>
        <w:t>”</w:t>
      </w:r>
      <w:r>
        <w:rPr/>
        <w:t>。</w:t>
      </w:r>
    </w:p>
    <w:p>
      <w:pPr>
        <w:pStyle w:val="BodyText"/>
        <w:spacing w:line="319" w:lineRule="auto" w:before="13"/>
        <w:ind w:right="0" w:firstLine="508"/>
        <w:jc w:val="left"/>
      </w:pPr>
      <w:r>
        <w:rPr>
          <w:spacing w:val="-4"/>
        </w:rPr>
        <w:t>④外币现金流量以及境外子公司的现金流量，采用现金流量发生日的即期汇率或即期汇率的近似汇率折算。汇率变动</w:t>
      </w:r>
      <w:r>
        <w:rPr>
          <w:w w:val="101"/>
        </w:rPr>
        <w:t> </w:t>
      </w:r>
      <w:r>
        <w:rPr>
          <w:spacing w:val="-3"/>
        </w:rPr>
        <w:t>对现金的影响额应当作为调节项目，在现金流量表中单独列报。</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8" w:right="0"/>
        <w:jc w:val="left"/>
      </w:pPr>
      <w:r>
        <w:rPr>
          <w:spacing w:val="-3"/>
        </w:rPr>
        <w:t>（</w:t>
      </w:r>
      <w:r>
        <w:rPr>
          <w:rFonts w:ascii="Times New Roman" w:hAnsi="Times New Roman" w:cs="Times New Roman" w:eastAsia="Times New Roman" w:hint="default"/>
          <w:spacing w:val="-3"/>
        </w:rPr>
        <w:t>1</w:t>
      </w:r>
      <w:r>
        <w:rPr>
          <w:spacing w:val="-3"/>
        </w:rPr>
        <w:t>）金融资产的分类</w:t>
      </w:r>
    </w:p>
    <w:p>
      <w:pPr>
        <w:pStyle w:val="BodyText"/>
        <w:spacing w:line="316" w:lineRule="auto" w:before="63"/>
        <w:ind w:left="662" w:right="0"/>
        <w:jc w:val="left"/>
      </w:pPr>
      <w:r>
        <w:rPr>
          <w:spacing w:val="-3"/>
        </w:rPr>
        <w:t>①以公允价值计量且其变动计入当期损益的金融资产</w:t>
      </w:r>
      <w:r>
        <w:rPr>
          <w:spacing w:val="-21"/>
        </w:rPr>
        <w:t> </w:t>
      </w:r>
      <w:r>
        <w:rPr>
          <w:spacing w:val="-21"/>
        </w:rPr>
      </w:r>
      <w:r>
        <w:rPr>
          <w:spacing w:val="-4"/>
        </w:rPr>
        <w:t>包括交易性金融资产和直接指定为以公允价值计量且其变动计入当期损益的金融资产，前者主要是指本公司为了近期</w:t>
      </w:r>
    </w:p>
    <w:p>
      <w:pPr>
        <w:pStyle w:val="BodyText"/>
        <w:spacing w:line="319" w:lineRule="auto" w:before="19"/>
        <w:ind w:right="1123"/>
        <w:jc w:val="both"/>
      </w:pPr>
      <w:r>
        <w:rPr>
          <w:spacing w:val="-4"/>
        </w:rPr>
        <w:t>内出售而持有的股票、债券、基金以及不作为有效套期工具的衍生工具投资。这类资产在初始计量时按照取得时的公允价值</w:t>
      </w:r>
      <w:r>
        <w:rPr>
          <w:spacing w:val="43"/>
        </w:rPr>
        <w:t> </w:t>
      </w:r>
      <w:r>
        <w:rPr>
          <w:spacing w:val="43"/>
        </w:rPr>
      </w:r>
      <w:r>
        <w:rPr>
          <w:spacing w:val="-4"/>
        </w:rPr>
        <w:t>作为初始确认金额，相关的交易费用在发生时计入当期损益。支付的价款中包含已宣告但尚未发放的现金股利或已到付息但</w:t>
      </w:r>
      <w:r>
        <w:rPr>
          <w:spacing w:val="39"/>
        </w:rPr>
        <w:t> </w:t>
      </w:r>
      <w:r>
        <w:rPr>
          <w:spacing w:val="39"/>
        </w:rPr>
      </w:r>
      <w:r>
        <w:rPr>
          <w:spacing w:val="-4"/>
        </w:rPr>
        <w:t>尚未领取的债券利息，单独确认为应收项目。在持有期间取得利息或现金股利，确认为投资收益。资产负债表日，本公司将</w:t>
      </w:r>
      <w:r>
        <w:rPr>
          <w:spacing w:val="40"/>
        </w:rPr>
        <w:t> </w:t>
      </w:r>
      <w:r>
        <w:rPr>
          <w:spacing w:val="40"/>
        </w:rPr>
      </w:r>
      <w:r>
        <w:rPr>
          <w:spacing w:val="-4"/>
        </w:rPr>
        <w:t>这类金融资产以公允价值计量且其变动计入当期损益。这类金融资产在处置时，其公允价值与初始入账金额之间的差额确认</w:t>
      </w:r>
      <w:r>
        <w:rPr>
          <w:spacing w:val="42"/>
        </w:rPr>
        <w:t> </w:t>
      </w:r>
      <w:r>
        <w:rPr>
          <w:spacing w:val="42"/>
        </w:rPr>
      </w:r>
      <w:r>
        <w:rPr>
          <w:spacing w:val="-3"/>
        </w:rPr>
        <w:t>为投资收益，同时调整公允价值变动损益。</w:t>
      </w:r>
    </w:p>
    <w:p>
      <w:pPr>
        <w:pStyle w:val="BodyText"/>
        <w:spacing w:line="316" w:lineRule="auto" w:before="17"/>
        <w:ind w:left="662" w:right="0"/>
        <w:jc w:val="left"/>
      </w:pPr>
      <w:r>
        <w:rPr>
          <w:spacing w:val="-3"/>
        </w:rPr>
        <w:t>②持有至到期投资</w:t>
      </w:r>
      <w:r>
        <w:rPr>
          <w:spacing w:val="-67"/>
        </w:rPr>
        <w:t> </w:t>
      </w:r>
      <w:r>
        <w:rPr>
          <w:spacing w:val="-67"/>
        </w:rPr>
      </w:r>
      <w:r>
        <w:rPr>
          <w:spacing w:val="-4"/>
        </w:rPr>
        <w:t>主要是指到期日固定、回收金额固定或可确定，且本公司具有明确意图和能力持有至到期的国债、公司债券等。这类</w:t>
      </w:r>
    </w:p>
    <w:p>
      <w:pPr>
        <w:pStyle w:val="BodyText"/>
        <w:spacing w:line="319" w:lineRule="auto" w:before="19"/>
        <w:ind w:right="1123"/>
        <w:jc w:val="both"/>
      </w:pPr>
      <w:r>
        <w:rPr>
          <w:spacing w:val="-4"/>
          <w:w w:val="101"/>
        </w:rPr>
        <w:t>金融资产按照取得时的公允价值和相关交易费用之和作为初始确认金额。支付价款中包含的已到付息期但尚未发放的债券利</w:t>
      </w:r>
      <w:r>
        <w:rPr>
          <w:w w:val="101"/>
        </w:rPr>
        <w:t> </w:t>
      </w:r>
      <w:r>
        <w:rPr>
          <w:spacing w:val="-4"/>
        </w:rPr>
        <w:t>息，单独确认为应收项目。持有至到期投资在持有期间按照摊余成本和实际利率计算确认利息收入，计入投资收益。处置持</w:t>
      </w:r>
      <w:r>
        <w:rPr>
          <w:spacing w:val="40"/>
        </w:rPr>
        <w:t> </w:t>
      </w:r>
      <w:r>
        <w:rPr>
          <w:spacing w:val="40"/>
        </w:rPr>
      </w:r>
      <w:r>
        <w:rPr>
          <w:spacing w:val="-3"/>
        </w:rPr>
        <w:t>有至到期投资时，将所取得价款与该投资账面价值之间的差额计入投资收益。</w:t>
      </w:r>
    </w:p>
    <w:p>
      <w:pPr>
        <w:pStyle w:val="BodyText"/>
        <w:spacing w:line="316" w:lineRule="auto" w:before="17"/>
        <w:ind w:left="662" w:right="1026"/>
        <w:jc w:val="left"/>
      </w:pPr>
      <w:r>
        <w:rPr/>
        <w:t>③应收款项</w:t>
      </w:r>
      <w:r>
        <w:rPr>
          <w:w w:val="101"/>
        </w:rPr>
        <w:t> </w:t>
      </w:r>
      <w:r>
        <w:rPr>
          <w:spacing w:val="-4"/>
        </w:rPr>
        <w:t>应收款项主要包括应收账款和其他应收款等。应收账款是指本公司销售商品或提供劳务形成的应收款项。应收账款按</w:t>
      </w:r>
    </w:p>
    <w:p>
      <w:pPr>
        <w:pStyle w:val="BodyText"/>
        <w:spacing w:line="240" w:lineRule="auto" w:before="19"/>
        <w:ind w:right="0"/>
        <w:jc w:val="both"/>
      </w:pPr>
      <w:r>
        <w:rPr>
          <w:spacing w:val="-3"/>
        </w:rPr>
        <w:t>从购货方应收的合同或协议价款作为初始确认金额。</w:t>
      </w:r>
    </w:p>
    <w:p>
      <w:pPr>
        <w:pStyle w:val="BodyText"/>
        <w:spacing w:line="319" w:lineRule="auto" w:before="76"/>
        <w:ind w:left="662" w:right="0"/>
        <w:jc w:val="left"/>
      </w:pPr>
      <w:r>
        <w:rPr>
          <w:spacing w:val="-3"/>
        </w:rPr>
        <w:t>④可供出售金融资产</w:t>
      </w:r>
      <w:r>
        <w:rPr>
          <w:spacing w:val="-62"/>
        </w:rPr>
        <w:t> </w:t>
      </w:r>
      <w:r>
        <w:rPr>
          <w:spacing w:val="-62"/>
        </w:rPr>
      </w:r>
      <w:r>
        <w:rPr>
          <w:spacing w:val="-4"/>
        </w:rPr>
        <w:t>主要是指本公司没有划分为以公允价值计量且其变动计入当期损益的金融资产、持有至到期投资、贷款和应收款项的</w:t>
      </w:r>
    </w:p>
    <w:p>
      <w:pPr>
        <w:pStyle w:val="BodyText"/>
        <w:spacing w:line="316" w:lineRule="auto" w:before="17"/>
        <w:ind w:right="1124"/>
        <w:jc w:val="both"/>
      </w:pPr>
      <w:r>
        <w:rPr>
          <w:spacing w:val="-4"/>
        </w:rPr>
        <w:t>金融资产。可供出售金融资产按照取得该金融资产的公允价值和相关交易费用之和作为初始确认金额。支付的价款中包含的</w:t>
      </w:r>
      <w:r>
        <w:rPr>
          <w:spacing w:val="43"/>
        </w:rPr>
        <w:t> </w:t>
      </w:r>
      <w:r>
        <w:rPr>
          <w:spacing w:val="43"/>
        </w:rPr>
      </w:r>
      <w:r>
        <w:rPr>
          <w:spacing w:val="-4"/>
        </w:rPr>
        <w:t>已到付息期但尚未领取的债券利息或已宣告但尚未发放的现金股利，单独确认为应收项目。可供出售金融资产持有期间取得</w:t>
      </w:r>
      <w:r>
        <w:rPr>
          <w:spacing w:val="38"/>
        </w:rPr>
        <w:t> </w:t>
      </w:r>
      <w:r>
        <w:rPr>
          <w:spacing w:val="38"/>
        </w:rPr>
      </w:r>
      <w:r>
        <w:rPr>
          <w:spacing w:val="-3"/>
        </w:rPr>
        <w:t>的利息或现金股利计入投资收益。</w:t>
      </w:r>
    </w:p>
    <w:p>
      <w:pPr>
        <w:pStyle w:val="BodyText"/>
        <w:spacing w:line="319" w:lineRule="auto" w:before="19"/>
        <w:ind w:right="0" w:firstLine="508"/>
        <w:jc w:val="left"/>
      </w:pPr>
      <w:r>
        <w:rPr>
          <w:spacing w:val="-4"/>
        </w:rPr>
        <w:t>可供出售金融资产是外币货币性金融资产的，其形成的汇兑损益应当计入当期损益。采用实际利率法计算的可供出售</w:t>
      </w:r>
      <w:r>
        <w:rPr>
          <w:w w:val="101"/>
        </w:rPr>
        <w:t> </w:t>
      </w:r>
      <w:r>
        <w:rPr>
          <w:spacing w:val="-4"/>
        </w:rPr>
        <w:t>债务工具投资的利息，计入当期损益；可供出售权益工具投资的现金股利，在被投资单位宣告发放股利时计入当期损益。资</w:t>
      </w:r>
      <w:r>
        <w:rPr>
          <w:spacing w:val="40"/>
        </w:rPr>
        <w:t> </w:t>
      </w:r>
      <w:r>
        <w:rPr>
          <w:spacing w:val="40"/>
        </w:rPr>
      </w:r>
      <w:r>
        <w:rPr>
          <w:spacing w:val="-4"/>
        </w:rPr>
        <w:t>产负债表日，可供出售金融资产以公允价值计量，且其变动计入其他综合收益。处置可供出售金融资产时，将取得的价款与</w:t>
      </w:r>
      <w:r>
        <w:rPr>
          <w:spacing w:val="40"/>
        </w:rPr>
        <w:t> </w:t>
      </w:r>
      <w:r>
        <w:rPr>
          <w:spacing w:val="40"/>
        </w:rPr>
      </w:r>
      <w:r>
        <w:rPr>
          <w:spacing w:val="-3"/>
        </w:rPr>
        <w:t>该金融资产账面价值之间差额计入投资收益；同时，将原计入所有者权益的公允价值变动累计额对应处置部分的金额转出，</w:t>
      </w:r>
      <w:r>
        <w:rPr>
          <w:spacing w:val="67"/>
        </w:rPr>
        <w:t> </w:t>
      </w:r>
      <w:r>
        <w:rPr>
          <w:spacing w:val="67"/>
        </w:rPr>
      </w:r>
      <w:r>
        <w:rPr>
          <w:spacing w:val="-3"/>
        </w:rPr>
        <w:t>计入投资收益。</w:t>
      </w:r>
    </w:p>
    <w:p>
      <w:pPr>
        <w:pStyle w:val="BodyText"/>
        <w:spacing w:line="240" w:lineRule="auto" w:before="17"/>
        <w:ind w:left="518" w:right="0"/>
        <w:jc w:val="left"/>
      </w:pPr>
      <w:r>
        <w:rPr>
          <w:spacing w:val="-3"/>
        </w:rPr>
        <w:t>（</w:t>
      </w:r>
      <w:r>
        <w:rPr>
          <w:rFonts w:ascii="Times New Roman" w:hAnsi="Times New Roman" w:cs="Times New Roman" w:eastAsia="Times New Roman" w:hint="default"/>
          <w:spacing w:val="-3"/>
        </w:rPr>
        <w:t>2</w:t>
      </w:r>
      <w:r>
        <w:rPr>
          <w:spacing w:val="-3"/>
        </w:rPr>
        <w:t>）金融负债的分类</w:t>
      </w:r>
    </w:p>
    <w:p>
      <w:pPr>
        <w:pStyle w:val="BodyText"/>
        <w:spacing w:line="316" w:lineRule="auto" w:before="63"/>
        <w:ind w:right="1124" w:firstLine="508"/>
        <w:jc w:val="both"/>
      </w:pPr>
      <w:r>
        <w:rPr>
          <w:spacing w:val="-4"/>
        </w:rPr>
        <w:t>①以公允价值计量且其变动计入当期损益的金融负债，包括交易性金融负债和指定为以公允价值计量且其变动计入当</w:t>
      </w:r>
      <w:r>
        <w:rPr>
          <w:w w:val="101"/>
        </w:rPr>
        <w:t> </w:t>
      </w:r>
      <w:r>
        <w:rPr>
          <w:spacing w:val="-4"/>
        </w:rPr>
        <w:t>期损益的金融负债；这类金融负债初始确认时以公允价值计量，相关交易费用直接计入当期损益，资产负债表日将公允价值</w:t>
      </w:r>
      <w:r>
        <w:rPr>
          <w:spacing w:val="43"/>
        </w:rPr>
        <w:t> </w:t>
      </w:r>
      <w:r>
        <w:rPr>
          <w:spacing w:val="43"/>
        </w:rPr>
      </w:r>
      <w:r>
        <w:rPr>
          <w:spacing w:val="-3"/>
        </w:rPr>
        <w:t>变动计入当期损益。</w:t>
      </w:r>
    </w:p>
    <w:p>
      <w:pPr>
        <w:pStyle w:val="BodyText"/>
        <w:spacing w:line="240" w:lineRule="auto" w:before="19"/>
        <w:ind w:left="662" w:right="0"/>
        <w:jc w:val="left"/>
      </w:pPr>
      <w:r>
        <w:rPr>
          <w:spacing w:val="-3"/>
        </w:rPr>
        <w:t>②其他金融负债，是指以公允价值计量且其变动计入当期损益的金融负债以外的金融负债。</w:t>
      </w:r>
    </w:p>
    <w:p>
      <w:pPr>
        <w:pStyle w:val="BodyText"/>
        <w:spacing w:line="240" w:lineRule="auto" w:before="76"/>
        <w:ind w:left="518" w:right="0"/>
        <w:jc w:val="left"/>
      </w:pPr>
      <w:r>
        <w:rPr>
          <w:spacing w:val="-3"/>
        </w:rPr>
        <w:t>（</w:t>
      </w:r>
      <w:r>
        <w:rPr>
          <w:rFonts w:ascii="Times New Roman" w:hAnsi="Times New Roman" w:cs="Times New Roman" w:eastAsia="Times New Roman" w:hint="default"/>
          <w:spacing w:val="-3"/>
        </w:rPr>
        <w:t>3</w:t>
      </w:r>
      <w:r>
        <w:rPr>
          <w:spacing w:val="-3"/>
        </w:rPr>
        <w:t>）金融资产的重分类</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0" w:firstLine="508"/>
        <w:jc w:val="left"/>
      </w:pPr>
      <w:r>
        <w:rPr>
          <w:spacing w:val="-6"/>
          <w:w w:val="101"/>
        </w:rPr>
        <w:t>因持有意图或能力发生改变，使某项投资不再适合划分为持有至到期投资的，本公司将其重分类为可供出售金融资产，</w:t>
      </w:r>
      <w:r>
        <w:rPr>
          <w:w w:val="101"/>
        </w:rPr>
        <w:t> </w:t>
      </w:r>
      <w:r>
        <w:rPr>
          <w:spacing w:val="-4"/>
        </w:rPr>
        <w:t>并以公允价值进行后续计量。持有至到期投资部分出售或重分类的金额较大，且不属于《企业会计准则第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w:t>
      </w:r>
      <w:r>
        <w:rPr>
          <w:spacing w:val="49"/>
        </w:rPr>
        <w:t> </w:t>
      </w:r>
      <w:r>
        <w:rPr>
          <w:spacing w:val="49"/>
        </w:rPr>
      </w:r>
      <w:r>
        <w:rPr>
          <w:spacing w:val="-4"/>
        </w:rPr>
        <w:t>确认和计量》第十六条所指的例外情况，使该投资的剩余部分不再适合划分为持有至到期投资的，本公司应当将该投资的剩</w:t>
      </w:r>
      <w:r>
        <w:rPr>
          <w:spacing w:val="43"/>
        </w:rPr>
        <w:t> </w:t>
      </w:r>
      <w:r>
        <w:rPr>
          <w:spacing w:val="43"/>
        </w:rPr>
      </w:r>
      <w:r>
        <w:rPr>
          <w:spacing w:val="-4"/>
        </w:rPr>
        <w:t>余部分重分类为可供出售金融资产，并以公允价值进行后续计量，但在本会计年度及以后两个完整的会计年度内不再将该金</w:t>
      </w:r>
      <w:r>
        <w:rPr>
          <w:spacing w:val="42"/>
        </w:rPr>
        <w:t> </w:t>
      </w:r>
      <w:r>
        <w:rPr>
          <w:spacing w:val="42"/>
        </w:rPr>
      </w:r>
      <w:r>
        <w:rPr>
          <w:spacing w:val="-3"/>
        </w:rPr>
        <w:t>融资产划分为持有至到期投资。</w:t>
      </w:r>
    </w:p>
    <w:p>
      <w:pPr>
        <w:pStyle w:val="BodyText"/>
        <w:spacing w:line="316" w:lineRule="auto" w:before="20"/>
        <w:ind w:right="0" w:firstLine="508"/>
        <w:jc w:val="left"/>
      </w:pPr>
      <w:r>
        <w:rPr>
          <w:spacing w:val="-4"/>
        </w:rPr>
        <w:t>重分类日，该投资的账面价值与公允价值之间的差额计入其他综合收益，在该可供出售金融资产发生减值或终止确认</w:t>
      </w:r>
      <w:r>
        <w:rPr>
          <w:w w:val="101"/>
        </w:rPr>
        <w:t> </w:t>
      </w:r>
      <w:r>
        <w:rPr>
          <w:spacing w:val="-3"/>
        </w:rPr>
        <w:t>时转出，计入当期损益。</w:t>
      </w:r>
    </w:p>
    <w:p>
      <w:pPr>
        <w:pStyle w:val="BodyText"/>
        <w:spacing w:line="300" w:lineRule="auto" w:before="19"/>
        <w:ind w:left="662" w:right="3567" w:hanging="144"/>
        <w:jc w:val="left"/>
      </w:pPr>
      <w:r>
        <w:rPr>
          <w:spacing w:val="-3"/>
        </w:rPr>
        <w:t>（</w:t>
      </w:r>
      <w:r>
        <w:rPr>
          <w:rFonts w:ascii="Times New Roman" w:hAnsi="Times New Roman" w:cs="Times New Roman" w:eastAsia="Times New Roman" w:hint="default"/>
          <w:spacing w:val="-3"/>
        </w:rPr>
        <w:t>4</w:t>
      </w:r>
      <w:r>
        <w:rPr>
          <w:spacing w:val="-3"/>
        </w:rPr>
        <w:t>）金融负债与权益工具的区分</w:t>
      </w:r>
      <w:r>
        <w:rPr>
          <w:spacing w:val="-46"/>
        </w:rPr>
        <w:t> </w:t>
      </w:r>
      <w:r>
        <w:rPr>
          <w:spacing w:val="-46"/>
        </w:rPr>
      </w:r>
      <w:r>
        <w:rPr>
          <w:spacing w:val="-3"/>
        </w:rPr>
        <w:t>除特殊情况外，金融负债与权益工具按照下列原则进行区分：</w:t>
      </w:r>
    </w:p>
    <w:p>
      <w:pPr>
        <w:pStyle w:val="BodyText"/>
        <w:spacing w:line="316" w:lineRule="auto" w:before="31"/>
        <w:ind w:right="1026" w:firstLine="508"/>
        <w:jc w:val="left"/>
      </w:pPr>
      <w:r>
        <w:rPr>
          <w:spacing w:val="-3"/>
        </w:rPr>
        <w:t>①如果本公司不能无条件地避免以交付现金或其他金融资产来履行一项合同义务，则该合同义务符合金融负债的定</w:t>
      </w:r>
      <w:r>
        <w:rPr>
          <w:w w:val="101"/>
        </w:rPr>
        <w:t> </w:t>
      </w:r>
      <w:r>
        <w:rPr>
          <w:spacing w:val="-4"/>
        </w:rPr>
        <w:t>义。有些金融工具虽然没有明确地包含交付现金或其他金融资产义务的条款和条件，但有可能通过其他条款和条件间接地形</w:t>
      </w:r>
      <w:r>
        <w:rPr>
          <w:spacing w:val="42"/>
        </w:rPr>
        <w:t> </w:t>
      </w:r>
      <w:r>
        <w:rPr>
          <w:spacing w:val="42"/>
        </w:rPr>
      </w:r>
      <w:r>
        <w:rPr/>
        <w:t>成合同义务。</w:t>
      </w:r>
    </w:p>
    <w:p>
      <w:pPr>
        <w:pStyle w:val="BodyText"/>
        <w:spacing w:line="319" w:lineRule="auto" w:before="19"/>
        <w:ind w:right="1122" w:firstLine="508"/>
        <w:jc w:val="both"/>
      </w:pPr>
      <w:r>
        <w:rPr>
          <w:spacing w:val="-4"/>
        </w:rPr>
        <w:t>②如果一项金融工具须用或可用本公司自身权益工具进行结算，需要考虑用于结算该工具的本公司自身权益工具，是</w:t>
      </w:r>
      <w:r>
        <w:rPr>
          <w:w w:val="101"/>
        </w:rPr>
        <w:t> </w:t>
      </w:r>
      <w:r>
        <w:rPr>
          <w:spacing w:val="-4"/>
        </w:rPr>
        <w:t>作为现金或其他金融资产的替代品，还是为了使该工具持有方享有在发行方扣除所有负债后的资产中的剩余权益。如果是前</w:t>
      </w:r>
      <w:r>
        <w:rPr>
          <w:spacing w:val="43"/>
        </w:rPr>
        <w:t> </w:t>
      </w:r>
      <w:r>
        <w:rPr>
          <w:spacing w:val="43"/>
        </w:rPr>
      </w:r>
      <w:r>
        <w:rPr>
          <w:spacing w:val="-4"/>
        </w:rPr>
        <w:t>者，该工具是发行方的金融负债；如果是后者，该工具是发行方的权益工具。在某些情况下，一项金融工具合同规定本公司</w:t>
      </w:r>
      <w:r>
        <w:rPr>
          <w:spacing w:val="40"/>
        </w:rPr>
        <w:t> </w:t>
      </w:r>
      <w:r>
        <w:rPr>
          <w:spacing w:val="40"/>
        </w:rPr>
      </w:r>
      <w:r>
        <w:rPr>
          <w:spacing w:val="-4"/>
          <w:w w:val="101"/>
        </w:rPr>
        <w:t>须用或可用自身权益工具结算该金融工具，其中合同权利或合同义务的金额等于可获取或需交付的自身权益工具的数量乘以</w:t>
      </w:r>
      <w:r>
        <w:rPr>
          <w:w w:val="101"/>
        </w:rPr>
        <w:t> </w:t>
      </w:r>
      <w:r>
        <w:rPr>
          <w:spacing w:val="-4"/>
        </w:rPr>
        <w:t>其结算时的公允价值，则无论该合同权利或合同义务的金额是固定的，还是完全或部分地基于除本公司自身权益工具的市场</w:t>
      </w:r>
      <w:r>
        <w:rPr>
          <w:spacing w:val="42"/>
        </w:rPr>
        <w:t> </w:t>
      </w:r>
      <w:r>
        <w:rPr>
          <w:spacing w:val="42"/>
        </w:rPr>
      </w:r>
      <w:r>
        <w:rPr>
          <w:spacing w:val="-3"/>
        </w:rPr>
        <w:t>价格以外变量（例如利率、某种商品的价格或某项金融工具的价格）的变动而变动，该合同分类为金融负债。</w:t>
      </w:r>
    </w:p>
    <w:p>
      <w:pPr>
        <w:pStyle w:val="BodyText"/>
        <w:spacing w:line="300" w:lineRule="auto" w:before="17"/>
        <w:ind w:left="662" w:right="6287" w:hanging="144"/>
        <w:jc w:val="left"/>
      </w:pPr>
      <w:r>
        <w:rPr>
          <w:spacing w:val="-3"/>
        </w:rPr>
        <w:t>（</w:t>
      </w:r>
      <w:r>
        <w:rPr>
          <w:rFonts w:ascii="Times New Roman" w:hAnsi="Times New Roman" w:cs="Times New Roman" w:eastAsia="Times New Roman" w:hint="default"/>
          <w:spacing w:val="-3"/>
        </w:rPr>
        <w:t>5</w:t>
      </w:r>
      <w:r>
        <w:rPr>
          <w:spacing w:val="-3"/>
        </w:rPr>
        <w:t>）金融资产转移</w:t>
      </w:r>
      <w:r>
        <w:rPr>
          <w:spacing w:val="-63"/>
        </w:rPr>
        <w:t> </w:t>
      </w:r>
      <w:r>
        <w:rPr>
          <w:spacing w:val="-63"/>
        </w:rPr>
      </w:r>
      <w:r>
        <w:rPr>
          <w:spacing w:val="-3"/>
        </w:rPr>
        <w:t>金融资产转移是指下列两种情形：</w:t>
      </w:r>
    </w:p>
    <w:p>
      <w:pPr>
        <w:pStyle w:val="BodyText"/>
        <w:spacing w:line="300" w:lineRule="auto" w:before="31"/>
        <w:ind w:left="662" w:right="0"/>
        <w:jc w:val="left"/>
      </w:pPr>
      <w:r>
        <w:rPr>
          <w:rFonts w:ascii="Times New Roman" w:hAnsi="Times New Roman" w:cs="Times New Roman" w:eastAsia="Times New Roman" w:hint="default"/>
          <w:spacing w:val="-3"/>
        </w:rPr>
        <w:t>A.</w:t>
      </w:r>
      <w:r>
        <w:rPr>
          <w:spacing w:val="-3"/>
        </w:rPr>
        <w:t>将收取金融资产现金流量的合同权利转移给另一方；</w:t>
      </w:r>
      <w:r>
        <w:rPr>
          <w:spacing w:val="-18"/>
        </w:rPr>
        <w:t> </w:t>
      </w:r>
      <w:r>
        <w:rPr>
          <w:spacing w:val="-18"/>
        </w:rPr>
      </w:r>
      <w:r>
        <w:rPr>
          <w:rFonts w:ascii="Times New Roman" w:hAnsi="Times New Roman" w:cs="Times New Roman" w:eastAsia="Times New Roman" w:hint="default"/>
          <w:spacing w:val="-4"/>
        </w:rPr>
        <w:t>B.</w:t>
      </w:r>
      <w:r>
        <w:rPr>
          <w:spacing w:val="-4"/>
        </w:rPr>
        <w:t>将金融资产整体或部分转移给另一方，但保留收取金融资产现金流量的合同权利，并承担将收取的现金流量支付给</w:t>
      </w:r>
    </w:p>
    <w:p>
      <w:pPr>
        <w:pStyle w:val="BodyText"/>
        <w:spacing w:line="240" w:lineRule="auto" w:before="13"/>
        <w:ind w:right="0"/>
        <w:jc w:val="left"/>
      </w:pPr>
      <w:r>
        <w:rPr>
          <w:spacing w:val="-3"/>
        </w:rPr>
        <w:t>一个或多个收款方的合同义务。</w:t>
      </w:r>
    </w:p>
    <w:p>
      <w:pPr>
        <w:pStyle w:val="BodyText"/>
        <w:spacing w:line="319" w:lineRule="auto" w:before="76"/>
        <w:ind w:left="662" w:right="0"/>
        <w:jc w:val="left"/>
      </w:pPr>
      <w:r>
        <w:rPr>
          <w:spacing w:val="-3"/>
        </w:rPr>
        <w:t>①终止确认所转移的金融资产</w:t>
      </w:r>
      <w:r>
        <w:rPr>
          <w:spacing w:val="-50"/>
        </w:rPr>
        <w:t> </w:t>
      </w:r>
      <w:r>
        <w:rPr>
          <w:spacing w:val="-50"/>
        </w:rPr>
      </w:r>
      <w:r>
        <w:rPr>
          <w:spacing w:val="-4"/>
        </w:rPr>
        <w:t>已将金融资产所有权上几乎所有的风险和报酬转移给转入方的，或既没有转移也没有保留金融资产所有权上几乎所有</w:t>
      </w:r>
    </w:p>
    <w:p>
      <w:pPr>
        <w:pStyle w:val="BodyText"/>
        <w:spacing w:line="316" w:lineRule="auto" w:before="17"/>
        <w:ind w:left="662" w:right="0" w:hanging="509"/>
        <w:jc w:val="left"/>
      </w:pPr>
      <w:r>
        <w:rPr>
          <w:spacing w:val="-3"/>
        </w:rPr>
        <w:t>的风险和报酬的，但放弃了对该金融资产控制的，终止确认该金融资产。</w:t>
      </w:r>
      <w:r>
        <w:rPr>
          <w:spacing w:val="3"/>
        </w:rPr>
        <w:t> </w:t>
      </w:r>
      <w:r>
        <w:rPr>
          <w:spacing w:val="3"/>
        </w:rPr>
      </w:r>
      <w:r>
        <w:rPr>
          <w:spacing w:val="-4"/>
        </w:rPr>
        <w:t>在判断是否已放弃对所转移金融资产的控制时，注重转入方出售该金融资产的实际能力。转入方能够单独将转入的金</w:t>
      </w:r>
    </w:p>
    <w:p>
      <w:pPr>
        <w:pStyle w:val="BodyText"/>
        <w:spacing w:line="316" w:lineRule="auto" w:before="19"/>
        <w:ind w:right="1026"/>
        <w:jc w:val="left"/>
      </w:pPr>
      <w:r>
        <w:rPr>
          <w:spacing w:val="-4"/>
        </w:rPr>
        <w:t>融资产整体出售给与其不存在关联方关系的第三方，且没有额外条件对此项出售加以限制的，表明企业已放弃对该金融资产</w:t>
      </w:r>
      <w:r>
        <w:rPr>
          <w:spacing w:val="43"/>
        </w:rPr>
        <w:t> </w:t>
      </w:r>
      <w:r>
        <w:rPr>
          <w:spacing w:val="43"/>
        </w:rPr>
      </w:r>
      <w:r>
        <w:rPr/>
        <w:t>的控制。</w:t>
      </w:r>
    </w:p>
    <w:p>
      <w:pPr>
        <w:pStyle w:val="BodyText"/>
        <w:spacing w:line="316" w:lineRule="auto" w:before="19"/>
        <w:ind w:left="662" w:right="1645"/>
        <w:jc w:val="left"/>
      </w:pPr>
      <w:r>
        <w:rPr>
          <w:spacing w:val="-3"/>
        </w:rPr>
        <w:t>本公司在判断金融资产转移是否满足金融资产终止确认条件时，注重金融资产转移的实质。</w:t>
      </w:r>
      <w:r>
        <w:rPr>
          <w:spacing w:val="25"/>
        </w:rPr>
        <w:t> </w:t>
      </w:r>
      <w:r>
        <w:rPr>
          <w:spacing w:val="25"/>
        </w:rPr>
      </w:r>
      <w:r>
        <w:rPr>
          <w:spacing w:val="-3"/>
        </w:rPr>
        <w:t>金融资产整体转移满足终止确认条件的，将下列两项金额的差额计入当期损益：</w:t>
      </w:r>
      <w:r>
        <w:rPr>
          <w:spacing w:val="8"/>
        </w:rPr>
        <w:t> </w:t>
      </w:r>
      <w:r>
        <w:rPr>
          <w:spacing w:val="8"/>
        </w:rPr>
      </w:r>
      <w:r>
        <w:rPr>
          <w:rFonts w:ascii="Times New Roman" w:hAnsi="Times New Roman" w:cs="Times New Roman" w:eastAsia="Times New Roman" w:hint="default"/>
          <w:spacing w:val="-3"/>
        </w:rPr>
        <w:t>A.</w:t>
      </w:r>
      <w:r>
        <w:rPr>
          <w:spacing w:val="-3"/>
        </w:rPr>
        <w:t>所转移金融资产的账面价值；</w:t>
      </w:r>
    </w:p>
    <w:p>
      <w:pPr>
        <w:pStyle w:val="BodyText"/>
        <w:spacing w:line="300" w:lineRule="auto"/>
        <w:ind w:right="1026" w:firstLine="508"/>
        <w:jc w:val="left"/>
      </w:pPr>
      <w:r>
        <w:rPr>
          <w:rFonts w:ascii="Times New Roman" w:hAnsi="Times New Roman" w:cs="Times New Roman" w:eastAsia="Times New Roman" w:hint="default"/>
          <w:spacing w:val="-4"/>
        </w:rPr>
        <w:t>B.</w:t>
      </w:r>
      <w:r>
        <w:rPr>
          <w:spacing w:val="-4"/>
        </w:rPr>
        <w:t>因转移而收到的对价，与原直接计入所有者权益的公允价值变动累计额（涉及转移的金融资产为可供出售金融资产</w:t>
      </w:r>
      <w:r>
        <w:rPr>
          <w:w w:val="101"/>
        </w:rPr>
        <w:t> </w:t>
      </w:r>
      <w:r>
        <w:rPr>
          <w:spacing w:val="-3"/>
        </w:rPr>
        <w:t>的情形）之和。</w:t>
      </w:r>
    </w:p>
    <w:p>
      <w:pPr>
        <w:pStyle w:val="BodyText"/>
        <w:spacing w:line="316" w:lineRule="auto" w:before="32"/>
        <w:ind w:right="1123" w:firstLine="508"/>
        <w:jc w:val="both"/>
      </w:pPr>
      <w:r>
        <w:rPr>
          <w:spacing w:val="-4"/>
        </w:rPr>
        <w:t>金融资产部分转移满足终止确认条件的，将所转移金融资产整体的账面价值，在终止确认部分和未终止确认部分（在</w:t>
      </w:r>
      <w:r>
        <w:rPr>
          <w:w w:val="101"/>
        </w:rPr>
        <w:t> </w:t>
      </w:r>
      <w:r>
        <w:rPr>
          <w:spacing w:val="-4"/>
        </w:rPr>
        <w:t>此种情况下，所保留的服务资产视同未终止确认金融资产的一部分）之间，按照各自的相对公允价值进行分摊，并将下列两</w:t>
      </w:r>
      <w:r>
        <w:rPr>
          <w:spacing w:val="40"/>
        </w:rPr>
        <w:t> </w:t>
      </w:r>
      <w:r>
        <w:rPr>
          <w:spacing w:val="40"/>
        </w:rPr>
      </w:r>
      <w:r>
        <w:rPr>
          <w:spacing w:val="-3"/>
        </w:rPr>
        <w:t>项金额的差额计入当期损益：</w:t>
      </w:r>
    </w:p>
    <w:p>
      <w:pPr>
        <w:pStyle w:val="BodyText"/>
        <w:spacing w:line="300" w:lineRule="auto" w:before="19"/>
        <w:ind w:left="662" w:right="0"/>
        <w:jc w:val="left"/>
      </w:pPr>
      <w:r>
        <w:rPr>
          <w:rFonts w:ascii="Times New Roman" w:hAnsi="Times New Roman" w:cs="Times New Roman" w:eastAsia="Times New Roman" w:hint="default"/>
          <w:spacing w:val="-3"/>
        </w:rPr>
        <w:t>A.</w:t>
      </w:r>
      <w:r>
        <w:rPr>
          <w:spacing w:val="-3"/>
        </w:rPr>
        <w:t>终止确认部分的账面价值；</w:t>
      </w:r>
      <w:r>
        <w:rPr>
          <w:spacing w:val="-47"/>
        </w:rPr>
        <w:t> </w:t>
      </w:r>
      <w:r>
        <w:rPr>
          <w:spacing w:val="-47"/>
        </w:rPr>
      </w:r>
      <w:r>
        <w:rPr>
          <w:rFonts w:ascii="Times New Roman" w:hAnsi="Times New Roman" w:cs="Times New Roman" w:eastAsia="Times New Roman" w:hint="default"/>
          <w:spacing w:val="-4"/>
        </w:rPr>
        <w:t>B.</w:t>
      </w:r>
      <w:r>
        <w:rPr>
          <w:spacing w:val="-4"/>
        </w:rPr>
        <w:t>终止确认部分的对价，与原直接计入所有者权益的公允价值变动累计额中对应终止确认部分的金额（涉及转移的金</w:t>
      </w:r>
    </w:p>
    <w:p>
      <w:pPr>
        <w:pStyle w:val="BodyText"/>
        <w:spacing w:line="240" w:lineRule="auto" w:before="13"/>
        <w:ind w:right="0"/>
        <w:jc w:val="left"/>
      </w:pPr>
      <w:r>
        <w:rPr>
          <w:spacing w:val="-3"/>
        </w:rPr>
        <w:t>融资产为可供出售金融资产的情形）之和。</w:t>
      </w:r>
    </w:p>
    <w:p>
      <w:pPr>
        <w:pStyle w:val="BodyText"/>
        <w:spacing w:line="316" w:lineRule="auto" w:before="76"/>
        <w:ind w:left="662" w:right="0"/>
        <w:jc w:val="left"/>
      </w:pPr>
      <w:r>
        <w:rPr>
          <w:spacing w:val="-3"/>
        </w:rPr>
        <w:t>②继续涉入所转移的金融资产</w:t>
      </w:r>
      <w:r>
        <w:rPr>
          <w:spacing w:val="-50"/>
        </w:rPr>
        <w:t> </w:t>
      </w:r>
      <w:r>
        <w:rPr>
          <w:spacing w:val="-50"/>
        </w:rPr>
      </w:r>
      <w:r>
        <w:rPr>
          <w:spacing w:val="-4"/>
        </w:rPr>
        <w:t>既没有转移也没有保留金融资产所有权上几乎所有的风险和报酬的，且未放弃对该金融资产控制的，应当按照其继续</w:t>
      </w:r>
    </w:p>
    <w:p>
      <w:pPr>
        <w:pStyle w:val="BodyText"/>
        <w:spacing w:line="316" w:lineRule="auto" w:before="19"/>
        <w:ind w:left="662" w:right="0" w:hanging="509"/>
        <w:jc w:val="left"/>
      </w:pPr>
      <w:r>
        <w:rPr>
          <w:spacing w:val="-3"/>
        </w:rPr>
        <w:t>涉入所转移金融资产的程度确认有关金融资产，并相应确认有关负债。</w:t>
      </w:r>
      <w:r>
        <w:rPr>
          <w:spacing w:val="2"/>
        </w:rPr>
        <w:t> </w:t>
      </w:r>
      <w:r>
        <w:rPr>
          <w:spacing w:val="2"/>
        </w:rPr>
      </w:r>
      <w:r>
        <w:rPr>
          <w:spacing w:val="-3"/>
        </w:rPr>
        <w:t>继续涉入所转移金融资产的程度，是指该金融资产价值变动使企业面临的风险水平。</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662" w:right="0"/>
        <w:jc w:val="left"/>
      </w:pPr>
      <w:r>
        <w:rPr>
          <w:spacing w:val="-3"/>
        </w:rPr>
        <w:t>③继续确认所转移的金融资产</w:t>
      </w:r>
      <w:r>
        <w:rPr>
          <w:spacing w:val="-50"/>
        </w:rPr>
        <w:t> </w:t>
      </w:r>
      <w:r>
        <w:rPr>
          <w:spacing w:val="-50"/>
        </w:rPr>
      </w:r>
      <w:r>
        <w:rPr>
          <w:spacing w:val="-4"/>
        </w:rPr>
        <w:t>仍保留与所转移金融资产所有权上几乎所有的风险和报酬的，应当继续确认所转移金融资产整体，并将收到的对价确</w:t>
      </w:r>
    </w:p>
    <w:p>
      <w:pPr>
        <w:pStyle w:val="BodyText"/>
        <w:spacing w:line="240" w:lineRule="auto" w:before="19"/>
        <w:ind w:right="0"/>
        <w:jc w:val="left"/>
      </w:pPr>
      <w:r>
        <w:rPr>
          <w:spacing w:val="-3"/>
        </w:rPr>
        <w:t>认为一项金融负债。</w:t>
      </w:r>
    </w:p>
    <w:p>
      <w:pPr>
        <w:pStyle w:val="BodyText"/>
        <w:spacing w:line="316" w:lineRule="auto" w:before="77"/>
        <w:ind w:right="1128" w:firstLine="508"/>
        <w:jc w:val="both"/>
      </w:pPr>
      <w:r>
        <w:rPr>
          <w:spacing w:val="-4"/>
        </w:rPr>
        <w:t>该金融资产与确认的相关金融负债不得相互抵销。在随后的会计期间，企业应当继续确认该金融资产产生的收入和该</w:t>
      </w:r>
      <w:r>
        <w:rPr>
          <w:w w:val="101"/>
        </w:rPr>
        <w:t> </w:t>
      </w:r>
      <w:r>
        <w:rPr>
          <w:spacing w:val="-4"/>
        </w:rPr>
        <w:t>金融负债产生的费用。所转移的金融资产以摊余成本计量的，确认的相关负债不得指定为以公允价值计量且其变动计入当期</w:t>
      </w:r>
      <w:r>
        <w:rPr>
          <w:spacing w:val="38"/>
        </w:rPr>
        <w:t> </w:t>
      </w:r>
      <w:r>
        <w:rPr>
          <w:spacing w:val="38"/>
        </w:rPr>
      </w:r>
      <w:r>
        <w:rPr/>
        <w:t>损益的金融负债。</w:t>
      </w:r>
    </w:p>
    <w:p>
      <w:pPr>
        <w:pStyle w:val="BodyText"/>
        <w:spacing w:line="300" w:lineRule="auto" w:before="19"/>
        <w:ind w:left="662" w:right="3567" w:hanging="144"/>
        <w:jc w:val="left"/>
      </w:pPr>
      <w:r>
        <w:rPr>
          <w:spacing w:val="-3"/>
        </w:rPr>
        <w:t>（</w:t>
      </w:r>
      <w:r>
        <w:rPr>
          <w:rFonts w:ascii="Times New Roman" w:hAnsi="Times New Roman" w:cs="Times New Roman" w:eastAsia="Times New Roman" w:hint="default"/>
          <w:spacing w:val="-3"/>
        </w:rPr>
        <w:t>6</w:t>
      </w:r>
      <w:r>
        <w:rPr>
          <w:spacing w:val="-3"/>
        </w:rPr>
        <w:t>）金融负债终止确认</w:t>
      </w:r>
      <w:r>
        <w:rPr>
          <w:spacing w:val="-57"/>
        </w:rPr>
        <w:t> </w:t>
      </w:r>
      <w:r>
        <w:rPr>
          <w:spacing w:val="-57"/>
        </w:rPr>
      </w:r>
      <w:r>
        <w:rPr>
          <w:spacing w:val="-3"/>
        </w:rPr>
        <w:t>金融负债的现时义务全部或部分已经解除的，终止确认该金融负债或其一部分。</w:t>
      </w:r>
    </w:p>
    <w:p>
      <w:pPr>
        <w:pStyle w:val="BodyText"/>
        <w:spacing w:line="316" w:lineRule="auto" w:before="32"/>
        <w:ind w:right="1124" w:firstLine="508"/>
        <w:jc w:val="both"/>
      </w:pPr>
      <w:r>
        <w:rPr>
          <w:spacing w:val="-4"/>
        </w:rPr>
        <w:t>将用于偿付金融负债的资产转入某个机构或设立信托，偿付债务的现时义务仍存在的，不终止确认该金融负债，也不</w:t>
      </w:r>
      <w:r>
        <w:rPr>
          <w:w w:val="101"/>
        </w:rPr>
        <w:t> </w:t>
      </w:r>
      <w:r>
        <w:rPr/>
        <w:t>终止确认转出的资产。</w:t>
      </w:r>
    </w:p>
    <w:p>
      <w:pPr>
        <w:pStyle w:val="BodyText"/>
        <w:spacing w:line="316" w:lineRule="auto" w:before="19"/>
        <w:ind w:right="1128" w:firstLine="508"/>
        <w:jc w:val="both"/>
      </w:pPr>
      <w:r>
        <w:rPr>
          <w:spacing w:val="-4"/>
        </w:rPr>
        <w:t>与债权人之间签订协议，以承担新金融负债方式替换现存金融负债，且新金融负债与现存金融负债的合同条款实质上</w:t>
      </w:r>
      <w:r>
        <w:rPr>
          <w:w w:val="101"/>
        </w:rPr>
        <w:t> </w:t>
      </w:r>
      <w:r>
        <w:rPr>
          <w:spacing w:val="-3"/>
        </w:rPr>
        <w:t>不同的，终止确认现存金融负债，并同时确认新金融负债。</w:t>
      </w:r>
    </w:p>
    <w:p>
      <w:pPr>
        <w:pStyle w:val="BodyText"/>
        <w:spacing w:line="319" w:lineRule="auto" w:before="19"/>
        <w:ind w:right="1124" w:firstLine="508"/>
        <w:jc w:val="both"/>
      </w:pPr>
      <w:r>
        <w:rPr>
          <w:spacing w:val="-4"/>
        </w:rPr>
        <w:t>对现存金融负债全部或部分的合同条款作出实质性修改的，终止确认现存金融负债或其一部分，同时将修改条款后的</w:t>
      </w:r>
      <w:r>
        <w:rPr>
          <w:w w:val="101"/>
        </w:rPr>
        <w:t> </w:t>
      </w:r>
      <w:r>
        <w:rPr>
          <w:spacing w:val="-3"/>
        </w:rPr>
        <w:t>金融负债确认为一项新金融负债。</w:t>
      </w:r>
    </w:p>
    <w:p>
      <w:pPr>
        <w:pStyle w:val="BodyText"/>
        <w:spacing w:line="316" w:lineRule="auto" w:before="17"/>
        <w:ind w:right="1128" w:firstLine="508"/>
        <w:jc w:val="both"/>
      </w:pPr>
      <w:r>
        <w:rPr>
          <w:spacing w:val="-4"/>
        </w:rPr>
        <w:t>金融负债全部或部分终止确认的，将终止确认部分的账面价值与支付的对价（包括转出的非现金资产或承担的新金融</w:t>
      </w:r>
      <w:r>
        <w:rPr>
          <w:w w:val="101"/>
        </w:rPr>
        <w:t> </w:t>
      </w:r>
      <w:r>
        <w:rPr>
          <w:spacing w:val="-3"/>
        </w:rPr>
        <w:t>负债）之间的差额，计入当期损益。</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7</w:t>
      </w:r>
      <w:r>
        <w:rPr>
          <w:spacing w:val="-3"/>
        </w:rPr>
        <w:t>）金融资产和金融负债的抵销</w:t>
      </w:r>
      <w:r>
        <w:rPr>
          <w:spacing w:val="-46"/>
        </w:rPr>
        <w:t> </w:t>
      </w:r>
      <w:r>
        <w:rPr>
          <w:spacing w:val="-46"/>
        </w:rPr>
      </w:r>
      <w:r>
        <w:rPr>
          <w:spacing w:val="-4"/>
        </w:rPr>
        <w:t>金融资产和金融负债应当在资产负债表内分别列示，不得相互抵销。但同时满足下列条件的，以相互抵销后的净额在</w:t>
      </w:r>
    </w:p>
    <w:p>
      <w:pPr>
        <w:pStyle w:val="BodyText"/>
        <w:spacing w:line="240" w:lineRule="auto" w:before="32"/>
        <w:ind w:right="0"/>
        <w:jc w:val="left"/>
      </w:pPr>
      <w:r>
        <w:rPr>
          <w:spacing w:val="-3"/>
        </w:rPr>
        <w:t>资产负债表内列示：</w:t>
      </w:r>
    </w:p>
    <w:p>
      <w:pPr>
        <w:pStyle w:val="BodyText"/>
        <w:spacing w:line="316" w:lineRule="auto" w:before="76"/>
        <w:ind w:left="662" w:right="0"/>
        <w:jc w:val="left"/>
      </w:pPr>
      <w:r>
        <w:rPr>
          <w:spacing w:val="-3"/>
        </w:rPr>
        <w:t>本公司具有抵销已确认金额的法定权利，且该种法定权利是当前可执行的；</w:t>
      </w:r>
      <w:r>
        <w:rPr>
          <w:spacing w:val="3"/>
        </w:rPr>
        <w:t> </w:t>
      </w:r>
      <w:r>
        <w:rPr>
          <w:spacing w:val="3"/>
        </w:rPr>
      </w:r>
      <w:r>
        <w:rPr>
          <w:spacing w:val="-3"/>
        </w:rPr>
        <w:t>本公司计划以净额结算，或同时变现该金融资产和清偿该金融负债。 </w:t>
      </w:r>
      <w:r>
        <w:rPr>
          <w:spacing w:val="-3"/>
        </w:rPr>
        <w:t>不满足终止确认条件的金融资产转移，转出方不得将已转移的金融资产和相关负债进行抵销。</w:t>
      </w:r>
    </w:p>
    <w:p>
      <w:pPr>
        <w:pStyle w:val="BodyText"/>
        <w:spacing w:line="240" w:lineRule="auto" w:before="19"/>
        <w:ind w:left="518" w:right="0"/>
        <w:jc w:val="left"/>
      </w:pPr>
      <w:r>
        <w:rPr>
          <w:spacing w:val="-3"/>
        </w:rPr>
        <w:t>（</w:t>
      </w:r>
      <w:r>
        <w:rPr>
          <w:rFonts w:ascii="Times New Roman" w:hAnsi="Times New Roman" w:cs="Times New Roman" w:eastAsia="Times New Roman" w:hint="default"/>
          <w:spacing w:val="-3"/>
        </w:rPr>
        <w:t>8</w:t>
      </w:r>
      <w:r>
        <w:rPr>
          <w:spacing w:val="-3"/>
        </w:rPr>
        <w:t>）金融资产减值测试方法及减值准备计提方法</w:t>
      </w:r>
    </w:p>
    <w:p>
      <w:pPr>
        <w:pStyle w:val="BodyText"/>
        <w:spacing w:line="309" w:lineRule="auto" w:before="63"/>
        <w:ind w:left="662" w:right="4626"/>
        <w:jc w:val="left"/>
      </w:pPr>
      <w:r>
        <w:rPr>
          <w:spacing w:val="-3"/>
        </w:rPr>
        <w:t>①金融资产发生减值的客观证据：</w:t>
      </w:r>
      <w:r>
        <w:rPr>
          <w:spacing w:val="-44"/>
        </w:rPr>
        <w:t> </w:t>
      </w:r>
      <w:r>
        <w:rPr>
          <w:spacing w:val="-44"/>
        </w:rPr>
      </w:r>
      <w:r>
        <w:rPr>
          <w:rFonts w:ascii="Times New Roman" w:hAnsi="Times New Roman" w:cs="Times New Roman" w:eastAsia="Times New Roman" w:hint="default"/>
          <w:spacing w:val="-3"/>
        </w:rPr>
        <w:t>A.</w:t>
      </w:r>
      <w:r>
        <w:rPr>
          <w:spacing w:val="-3"/>
        </w:rPr>
        <w:t>发行方或债务人发生严重财务困难；</w:t>
      </w:r>
      <w:r>
        <w:rPr>
          <w:spacing w:val="-36"/>
        </w:rPr>
        <w:t> </w:t>
      </w:r>
      <w:r>
        <w:rPr>
          <w:spacing w:val="-36"/>
        </w:rPr>
      </w:r>
      <w:r>
        <w:rPr>
          <w:rFonts w:ascii="Times New Roman" w:hAnsi="Times New Roman" w:cs="Times New Roman" w:eastAsia="Times New Roman" w:hint="default"/>
          <w:spacing w:val="-3"/>
        </w:rPr>
        <w:t>B.</w:t>
      </w:r>
      <w:r>
        <w:rPr>
          <w:spacing w:val="-3"/>
        </w:rPr>
        <w:t>债务人违反了合同条款，如偿付利息或本金发生违约或逾期等；</w:t>
      </w:r>
    </w:p>
    <w:p>
      <w:pPr>
        <w:pStyle w:val="BodyText"/>
        <w:spacing w:line="300" w:lineRule="auto" w:before="5"/>
        <w:ind w:left="662" w:right="1645"/>
        <w:jc w:val="left"/>
      </w:pPr>
      <w:r>
        <w:rPr>
          <w:rFonts w:ascii="Times New Roman" w:hAnsi="Times New Roman" w:cs="Times New Roman" w:eastAsia="Times New Roman" w:hint="default"/>
          <w:spacing w:val="-3"/>
        </w:rPr>
        <w:t>C.</w:t>
      </w:r>
      <w:r>
        <w:rPr>
          <w:spacing w:val="-3"/>
        </w:rPr>
        <w:t>债权人出于经济或法律等方面的考虑，对发生财务困难的债务人作出让步；</w:t>
      </w:r>
      <w:r>
        <w:rPr>
          <w:spacing w:val="11"/>
        </w:rPr>
        <w:t> </w:t>
      </w:r>
      <w:r>
        <w:rPr>
          <w:spacing w:val="11"/>
        </w:rPr>
      </w:r>
      <w:r>
        <w:rPr>
          <w:rFonts w:ascii="Times New Roman" w:hAnsi="Times New Roman" w:cs="Times New Roman" w:eastAsia="Times New Roman" w:hint="default"/>
          <w:spacing w:val="-3"/>
        </w:rPr>
        <w:t>D.</w:t>
      </w:r>
      <w:r>
        <w:rPr>
          <w:spacing w:val="-3"/>
        </w:rPr>
        <w:t>债务人可能倒闭或进行其他财务重组；</w:t>
      </w:r>
      <w:r>
        <w:rPr>
          <w:spacing w:val="-36"/>
        </w:rPr>
        <w:t> </w:t>
      </w:r>
      <w:r>
        <w:rPr>
          <w:spacing w:val="-36"/>
        </w:rPr>
      </w:r>
      <w:r>
        <w:rPr>
          <w:rFonts w:ascii="Times New Roman" w:hAnsi="Times New Roman" w:cs="Times New Roman" w:eastAsia="Times New Roman" w:hint="default"/>
          <w:spacing w:val="-3"/>
        </w:rPr>
        <w:t>E.</w:t>
      </w:r>
      <w:r>
        <w:rPr>
          <w:spacing w:val="-3"/>
        </w:rPr>
        <w:t>因发行方发生重大财务困难，该金融资产无法在活跃市场继续交易；</w:t>
      </w:r>
    </w:p>
    <w:p>
      <w:pPr>
        <w:pStyle w:val="BodyText"/>
        <w:spacing w:line="300" w:lineRule="auto" w:before="13"/>
        <w:ind w:right="1124" w:firstLine="508"/>
        <w:jc w:val="both"/>
      </w:pP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无法辨认一组金融资产中的某项资产的现金流量是否已经减少，但根据公开的数据对其进行总体评价后发现，该组</w:t>
      </w:r>
      <w:r>
        <w:rPr>
          <w:w w:val="101"/>
        </w:rPr>
        <w:t> </w:t>
      </w:r>
      <w:r>
        <w:rPr>
          <w:spacing w:val="-3"/>
        </w:rPr>
        <w:t>金融资产自初始确认以来的预计未来现金流量确已减少且可计量；</w:t>
      </w:r>
    </w:p>
    <w:p>
      <w:pPr>
        <w:pStyle w:val="BodyText"/>
        <w:spacing w:line="300" w:lineRule="auto" w:before="31"/>
        <w:ind w:left="662" w:right="0"/>
        <w:jc w:val="left"/>
      </w:pPr>
      <w:r>
        <w:rPr>
          <w:rFonts w:ascii="Times New Roman" w:hAnsi="Times New Roman" w:cs="Times New Roman" w:eastAsia="Times New Roman" w:hint="default"/>
          <w:spacing w:val="-3"/>
        </w:rPr>
        <w:t>G.</w:t>
      </w:r>
      <w:r>
        <w:rPr>
          <w:spacing w:val="-3"/>
        </w:rPr>
        <w:t>债务人经营所处的技术、市场、经济或法律环境等发生重大不利变化，使权益工具投资人可能无法收回投资成本；</w:t>
      </w:r>
      <w:r>
        <w:rPr>
          <w:spacing w:val="62"/>
        </w:rPr>
        <w:t> </w:t>
      </w:r>
      <w:r>
        <w:rPr>
          <w:spacing w:val="62"/>
        </w:rPr>
      </w:r>
      <w:r>
        <w:rPr>
          <w:rFonts w:ascii="Times New Roman" w:hAnsi="Times New Roman" w:cs="Times New Roman" w:eastAsia="Times New Roman" w:hint="default"/>
          <w:spacing w:val="-3"/>
        </w:rPr>
        <w:t>H.</w:t>
      </w:r>
      <w:r>
        <w:rPr>
          <w:spacing w:val="-3"/>
        </w:rPr>
        <w:t>权益工具投资的公允价值发生严重或非暂时性下跌；</w:t>
      </w:r>
    </w:p>
    <w:p>
      <w:pPr>
        <w:pStyle w:val="BodyText"/>
        <w:spacing w:line="240" w:lineRule="auto" w:before="13"/>
        <w:ind w:left="662" w:right="0"/>
        <w:jc w:val="left"/>
      </w:pPr>
      <w:r>
        <w:rPr>
          <w:rFonts w:ascii="Times New Roman" w:hAnsi="Times New Roman" w:cs="Times New Roman" w:eastAsia="Times New Roman" w:hint="default"/>
          <w:spacing w:val="-3"/>
        </w:rPr>
        <w:t>I.</w:t>
      </w:r>
      <w:r>
        <w:rPr>
          <w:spacing w:val="-3"/>
        </w:rPr>
        <w:t>其他表明金融资产发生减值的客观证据。</w:t>
      </w:r>
    </w:p>
    <w:p>
      <w:pPr>
        <w:pStyle w:val="BodyText"/>
        <w:spacing w:line="240" w:lineRule="auto" w:before="63"/>
        <w:ind w:left="662" w:right="0"/>
        <w:jc w:val="left"/>
      </w:pPr>
      <w:r>
        <w:rPr>
          <w:spacing w:val="-3"/>
        </w:rPr>
        <w:t>②金融资产的减值测试（不包括应收款项）</w:t>
      </w:r>
    </w:p>
    <w:p>
      <w:pPr>
        <w:pStyle w:val="BodyText"/>
        <w:spacing w:line="300" w:lineRule="auto" w:before="76"/>
        <w:ind w:left="662" w:right="0"/>
        <w:jc w:val="left"/>
      </w:pPr>
      <w:r>
        <w:rPr>
          <w:rFonts w:ascii="Times New Roman" w:hAnsi="Times New Roman" w:cs="Times New Roman" w:eastAsia="Times New Roman" w:hint="default"/>
          <w:spacing w:val="-3"/>
        </w:rPr>
        <w:t>A</w:t>
      </w:r>
      <w:r>
        <w:rPr>
          <w:spacing w:val="-3"/>
        </w:rPr>
        <w:t>．持有至到期投资减值测试</w:t>
      </w:r>
      <w:r>
        <w:rPr>
          <w:spacing w:val="-53"/>
        </w:rPr>
        <w:t> </w:t>
      </w:r>
      <w:r>
        <w:rPr>
          <w:spacing w:val="-53"/>
        </w:rPr>
      </w:r>
      <w:r>
        <w:rPr>
          <w:spacing w:val="-4"/>
        </w:rPr>
        <w:t>持有至到期投资发生减值时，将该持有至到期投资的账面价值减记至预计未来现金流量（不包括尚未发生的未来信用</w:t>
      </w:r>
    </w:p>
    <w:p>
      <w:pPr>
        <w:pStyle w:val="BodyText"/>
        <w:spacing w:line="316" w:lineRule="auto" w:before="31"/>
        <w:ind w:left="662" w:right="0" w:hanging="509"/>
        <w:jc w:val="left"/>
      </w:pPr>
      <w:r>
        <w:rPr>
          <w:spacing w:val="-3"/>
        </w:rPr>
        <w:t>损失）现值，减记的金额确认为资产减值损失，计入当期损益。</w:t>
      </w:r>
      <w:r>
        <w:rPr>
          <w:spacing w:val="-8"/>
        </w:rPr>
        <w:t> </w:t>
      </w:r>
      <w:r>
        <w:rPr>
          <w:spacing w:val="-8"/>
        </w:rPr>
      </w:r>
      <w:r>
        <w:rPr>
          <w:spacing w:val="-4"/>
        </w:rPr>
        <w:t>预计未来现金流量现值，按照该持有至到期投资的原实际利率折现确定，并考虑相关担保物的价值（取得和出售该担</w:t>
      </w:r>
    </w:p>
    <w:p>
      <w:pPr>
        <w:pStyle w:val="BodyText"/>
        <w:spacing w:line="316" w:lineRule="auto" w:before="19"/>
        <w:ind w:right="0"/>
        <w:jc w:val="left"/>
      </w:pPr>
      <w:r>
        <w:rPr>
          <w:spacing w:val="-4"/>
        </w:rPr>
        <w:t>保物发生的费用予以扣除）。原实际利率是初始确认该持有至到期投资时计算确定的实际利率。对于浮动利率的持有至到期</w:t>
      </w:r>
      <w:r>
        <w:rPr>
          <w:spacing w:val="43"/>
        </w:rPr>
        <w:t> </w:t>
      </w:r>
      <w:r>
        <w:rPr>
          <w:spacing w:val="43"/>
        </w:rPr>
      </w:r>
      <w:r>
        <w:rPr>
          <w:spacing w:val="-3"/>
        </w:rPr>
        <w:t>投资，在计算未来现金流量现值时可采用合同规定的现行实际利率作为折现率。</w:t>
      </w:r>
    </w:p>
    <w:p>
      <w:pPr>
        <w:pStyle w:val="BodyText"/>
        <w:spacing w:line="316" w:lineRule="auto" w:before="19"/>
        <w:ind w:right="1124" w:firstLine="508"/>
        <w:jc w:val="both"/>
      </w:pPr>
      <w:r>
        <w:rPr>
          <w:spacing w:val="-4"/>
        </w:rPr>
        <w:t>即使合同条款因债务方或金融资产发行方发生财务困难而重新商定或修改，在确认减值损失时，仍用条款修改前所计</w:t>
      </w:r>
      <w:r>
        <w:rPr>
          <w:w w:val="101"/>
        </w:rPr>
        <w:t> </w:t>
      </w:r>
      <w:r>
        <w:rPr>
          <w:spacing w:val="-3"/>
        </w:rPr>
        <w:t>算的该金融资产的原实际利率计算。</w:t>
      </w:r>
    </w:p>
    <w:p>
      <w:pPr>
        <w:pStyle w:val="BodyText"/>
        <w:spacing w:line="240" w:lineRule="auto" w:before="18"/>
        <w:ind w:left="662" w:right="0"/>
        <w:jc w:val="left"/>
      </w:pPr>
      <w:r>
        <w:rPr>
          <w:spacing w:val="-4"/>
        </w:rPr>
        <w:t>对持有至到期投资确认减值损失后，如有客观证据表明该持有至到期投资价值已恢复，且客观上与确认该损失后发生</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662" w:right="0" w:hanging="509"/>
        <w:jc w:val="left"/>
      </w:pPr>
      <w:r>
        <w:rPr>
          <w:spacing w:val="-3"/>
        </w:rPr>
        <w:t>的事项有关（如债务人的信用评级已提高等），原确认的减值损失予以转回，计入当期损益。</w:t>
      </w:r>
      <w:r>
        <w:rPr>
          <w:spacing w:val="31"/>
        </w:rPr>
        <w:t> </w:t>
      </w:r>
      <w:r>
        <w:rPr>
          <w:spacing w:val="31"/>
        </w:rPr>
      </w:r>
      <w:r>
        <w:rPr>
          <w:spacing w:val="-3"/>
        </w:rPr>
        <w:t>持有至到期投资发生减值后，利息收入按照确定减值损失时对未来现金流量进行折现采用的折现率作为利率计算确</w:t>
      </w:r>
    </w:p>
    <w:p>
      <w:pPr>
        <w:pStyle w:val="BodyText"/>
        <w:spacing w:line="240" w:lineRule="auto" w:before="19"/>
        <w:ind w:right="0"/>
        <w:jc w:val="left"/>
      </w:pPr>
      <w:r>
        <w:rPr/>
        <w:t>认。</w:t>
      </w:r>
    </w:p>
    <w:p>
      <w:pPr>
        <w:pStyle w:val="BodyText"/>
        <w:spacing w:line="300" w:lineRule="auto" w:before="77"/>
        <w:ind w:left="662" w:right="0"/>
        <w:jc w:val="left"/>
      </w:pPr>
      <w:r>
        <w:rPr>
          <w:rFonts w:ascii="Times New Roman" w:hAnsi="Times New Roman" w:cs="Times New Roman" w:eastAsia="Times New Roman" w:hint="default"/>
          <w:spacing w:val="-3"/>
        </w:rPr>
        <w:t>C.</w:t>
      </w:r>
      <w:r>
        <w:rPr>
          <w:spacing w:val="-3"/>
        </w:rPr>
        <w:t>可供出售金融资产减值测试</w:t>
      </w:r>
      <w:r>
        <w:rPr>
          <w:spacing w:val="-47"/>
        </w:rPr>
        <w:t> </w:t>
      </w:r>
      <w:r>
        <w:rPr>
          <w:spacing w:val="-47"/>
        </w:rPr>
      </w:r>
      <w:r>
        <w:rPr>
          <w:spacing w:val="-4"/>
        </w:rPr>
        <w:t>在资产负债表日本公司对可供出售金融资产的减值情况进行分析，判断该项金融资产公允价值是否持续下降。通常情</w:t>
      </w:r>
    </w:p>
    <w:p>
      <w:pPr>
        <w:pStyle w:val="BodyText"/>
        <w:spacing w:line="312" w:lineRule="auto" w:before="31"/>
        <w:ind w:right="1121"/>
        <w:jc w:val="both"/>
      </w:pPr>
      <w:r>
        <w:rPr>
          <w:spacing w:val="-4"/>
        </w:rPr>
        <w:t>况下，如果可供出售金融资产的期末公允价值相对于成本的下跌幅度已达到或超过</w:t>
      </w:r>
      <w:r>
        <w:rPr>
          <w:rFonts w:ascii="Times New Roman" w:hAnsi="Times New Roman" w:cs="Times New Roman" w:eastAsia="Times New Roman" w:hint="default"/>
          <w:spacing w:val="-4"/>
        </w:rPr>
        <w:t>50%</w:t>
      </w:r>
      <w:r>
        <w:rPr>
          <w:spacing w:val="-4"/>
        </w:rPr>
        <w:t>，或者持续下跌时间已达到或超过</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2"/>
        </w:rPr>
        <w:t> </w:t>
      </w:r>
      <w:r>
        <w:rPr>
          <w:spacing w:val="-4"/>
        </w:rPr>
        <w:t>个月，在综合考虑各种相关因素后，预期这种下降趋势属于非暂时性的，可以认定该可供出售金融资产已发生减值，确认减</w:t>
      </w:r>
      <w:r>
        <w:rPr>
          <w:spacing w:val="40"/>
        </w:rPr>
        <w:t> </w:t>
      </w:r>
      <w:r>
        <w:rPr>
          <w:spacing w:val="40"/>
        </w:rPr>
      </w:r>
      <w:r>
        <w:rPr>
          <w:spacing w:val="-4"/>
        </w:rPr>
        <w:t>值损失。可供出售金融资产发生减值的，在确认减值损失时，将原直接计入所有者权益的公允价值下降形成的累计损失一并</w:t>
      </w:r>
      <w:r>
        <w:rPr>
          <w:spacing w:val="38"/>
        </w:rPr>
        <w:t> </w:t>
      </w:r>
      <w:r>
        <w:rPr>
          <w:spacing w:val="38"/>
        </w:rPr>
      </w:r>
      <w:r>
        <w:rPr>
          <w:spacing w:val="-3"/>
        </w:rPr>
        <w:t>转出，计入资产减值损失。</w:t>
      </w:r>
    </w:p>
    <w:p>
      <w:pPr>
        <w:pStyle w:val="BodyText"/>
        <w:spacing w:line="316" w:lineRule="auto" w:before="22"/>
        <w:ind w:left="662" w:right="0"/>
        <w:jc w:val="left"/>
      </w:pPr>
      <w:r>
        <w:rPr>
          <w:spacing w:val="-3"/>
        </w:rPr>
        <w:t>可供出售债务工具金融资产是否发生减值，可参照上述可供出售权益工具投资进行分析判断。</w:t>
      </w:r>
      <w:r>
        <w:rPr>
          <w:spacing w:val="26"/>
        </w:rPr>
        <w:t> </w:t>
      </w:r>
      <w:r>
        <w:rPr>
          <w:spacing w:val="26"/>
        </w:rPr>
      </w:r>
      <w:r>
        <w:rPr>
          <w:spacing w:val="-3"/>
        </w:rPr>
        <w:t>可供出售权益工具投资发生的减值损失，不得通过损益转回。</w:t>
      </w:r>
      <w:r>
        <w:rPr>
          <w:spacing w:val="-15"/>
        </w:rPr>
        <w:t> </w:t>
      </w:r>
      <w:r>
        <w:rPr>
          <w:spacing w:val="-15"/>
        </w:rPr>
      </w:r>
      <w:r>
        <w:rPr>
          <w:spacing w:val="-4"/>
        </w:rPr>
        <w:t>可供出售债务工具金融资产发生减值后，利息收入按照确定减值损失时对未来现金流量进行折现采用的折现率作为利</w:t>
      </w:r>
    </w:p>
    <w:p>
      <w:pPr>
        <w:pStyle w:val="BodyText"/>
        <w:spacing w:line="240" w:lineRule="auto" w:before="19"/>
        <w:ind w:right="0"/>
        <w:jc w:val="both"/>
      </w:pPr>
      <w:r>
        <w:rPr/>
        <w:t>率计算确认。</w:t>
      </w:r>
    </w:p>
    <w:p>
      <w:pPr>
        <w:pStyle w:val="BodyText"/>
        <w:spacing w:line="316" w:lineRule="auto" w:before="77"/>
        <w:ind w:right="1128" w:firstLine="508"/>
        <w:jc w:val="both"/>
      </w:pPr>
      <w:r>
        <w:rPr>
          <w:spacing w:val="-4"/>
        </w:rPr>
        <w:t>对于已确认减值损失的可供出售债务工具，在随后的会计期间公允价值已上升且客观上与确认原减值损失确认后发生</w:t>
      </w:r>
      <w:r>
        <w:rPr>
          <w:w w:val="101"/>
        </w:rPr>
        <w:t> </w:t>
      </w:r>
      <w:r>
        <w:rPr>
          <w:spacing w:val="-3"/>
        </w:rPr>
        <w:t>的事项有关的，原确认的减值损失予以转回，计入当期损益。</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9</w:t>
      </w:r>
      <w:r>
        <w:rPr>
          <w:spacing w:val="-3"/>
        </w:rPr>
        <w:t>）金融资产和金融负债公允价值的确定方法</w:t>
      </w:r>
      <w:r>
        <w:rPr>
          <w:spacing w:val="-28"/>
        </w:rPr>
        <w:t> </w:t>
      </w:r>
      <w:r>
        <w:rPr>
          <w:spacing w:val="-28"/>
        </w:rPr>
      </w:r>
      <w:r>
        <w:rPr>
          <w:spacing w:val="-4"/>
        </w:rPr>
        <w:t>本公司以主要市场的价格计量相关资产或负债的公允价值，不存在主要市场的，本公司以最有利市场的价格计量相关</w:t>
      </w:r>
    </w:p>
    <w:p>
      <w:pPr>
        <w:pStyle w:val="BodyText"/>
        <w:spacing w:line="319" w:lineRule="auto" w:before="31"/>
        <w:ind w:left="662" w:right="0" w:hanging="509"/>
        <w:jc w:val="left"/>
      </w:pPr>
      <w:r>
        <w:rPr>
          <w:spacing w:val="-3"/>
        </w:rPr>
        <w:t>资产或负债的公允价值。</w:t>
      </w:r>
      <w:r>
        <w:rPr>
          <w:spacing w:val="-56"/>
        </w:rPr>
        <w:t> </w:t>
      </w:r>
      <w:r>
        <w:rPr>
          <w:spacing w:val="-56"/>
        </w:rPr>
      </w:r>
      <w:r>
        <w:rPr>
          <w:spacing w:val="-4"/>
        </w:rPr>
        <w:t>主要市场，是指相关资产或负债交易量最大和交易活跃程度最高的市场；最有利市场，是指在考虑交易费用和运输费</w:t>
      </w:r>
    </w:p>
    <w:p>
      <w:pPr>
        <w:pStyle w:val="BodyText"/>
        <w:spacing w:line="316" w:lineRule="auto" w:before="17"/>
        <w:ind w:right="1124"/>
        <w:jc w:val="both"/>
      </w:pPr>
      <w:r>
        <w:rPr>
          <w:spacing w:val="-4"/>
        </w:rPr>
        <w:t>用后，能够以最高金额出售相关资产或者以最低金额转移相关负债的市场。本公司采用市场参与者在对该资产或负债定价时</w:t>
      </w:r>
      <w:r>
        <w:rPr>
          <w:spacing w:val="43"/>
        </w:rPr>
        <w:t> </w:t>
      </w:r>
      <w:r>
        <w:rPr>
          <w:spacing w:val="43"/>
        </w:rPr>
      </w:r>
      <w:r>
        <w:rPr>
          <w:spacing w:val="-3"/>
        </w:rPr>
        <w:t>为实现其经济利益最大化所使用的假设。</w:t>
      </w:r>
    </w:p>
    <w:p>
      <w:pPr>
        <w:pStyle w:val="BodyText"/>
        <w:spacing w:line="316" w:lineRule="auto" w:before="19"/>
        <w:ind w:left="662" w:right="1026"/>
        <w:jc w:val="left"/>
      </w:pPr>
      <w:r>
        <w:rPr/>
        <w:t>①估值技术</w:t>
      </w:r>
      <w:r>
        <w:rPr>
          <w:w w:val="101"/>
        </w:rPr>
        <w:t> </w:t>
      </w:r>
      <w:r>
        <w:rPr>
          <w:spacing w:val="-3"/>
        </w:rPr>
        <w:t>本公司采用在当期情况下适用并且有足够可利用数据和其他信息支持的估值技术，使用的估值技术主要包括市场法、</w:t>
      </w:r>
    </w:p>
    <w:p>
      <w:pPr>
        <w:pStyle w:val="BodyText"/>
        <w:spacing w:line="319" w:lineRule="auto" w:before="19"/>
        <w:ind w:right="1047"/>
        <w:jc w:val="both"/>
      </w:pPr>
      <w:r>
        <w:rPr>
          <w:spacing w:val="-3"/>
        </w:rPr>
        <w:t>收益法和成本法。本公司使用与其中一种或多种估值技术相一致的方法计量公允价值，使用多种估值技术计量公允价值的，</w:t>
      </w:r>
      <w:r>
        <w:rPr>
          <w:spacing w:val="66"/>
        </w:rPr>
        <w:t> </w:t>
      </w:r>
      <w:r>
        <w:rPr>
          <w:spacing w:val="66"/>
        </w:rPr>
      </w:r>
      <w:r>
        <w:rPr>
          <w:spacing w:val="-3"/>
        </w:rPr>
        <w:t>考虑各估值结果的合理性，选取在当期情况下最能代表公允价值的金额作为公允价值。</w:t>
      </w:r>
    </w:p>
    <w:p>
      <w:pPr>
        <w:pStyle w:val="BodyText"/>
        <w:spacing w:line="316" w:lineRule="auto" w:before="17"/>
        <w:ind w:right="1123" w:firstLine="508"/>
        <w:jc w:val="both"/>
      </w:pPr>
      <w:r>
        <w:rPr>
          <w:spacing w:val="-4"/>
        </w:rPr>
        <w:t>本公司在估值技术的应用中，优先使用相关可观察输入值，只有在相关可观察输入值无法取得或取得不切实可行的情</w:t>
      </w:r>
      <w:r>
        <w:rPr>
          <w:w w:val="101"/>
        </w:rPr>
        <w:t> </w:t>
      </w:r>
      <w:r>
        <w:rPr>
          <w:spacing w:val="-4"/>
        </w:rPr>
        <w:t>况下，才使用不可观察输入值。可观察输入值，是指能够从市场数据中取得的输入值。该输入值反映了市场参与者在对相关</w:t>
      </w:r>
      <w:r>
        <w:rPr>
          <w:spacing w:val="40"/>
        </w:rPr>
        <w:t> </w:t>
      </w:r>
      <w:r>
        <w:rPr>
          <w:spacing w:val="40"/>
        </w:rPr>
      </w:r>
      <w:r>
        <w:rPr>
          <w:spacing w:val="-4"/>
        </w:rPr>
        <w:t>资产或负债定价时所使用的假设。不可观察输入值，是指不能从市场数据中取得的输入值。该输入值根据可获得的市场参与</w:t>
      </w:r>
      <w:r>
        <w:rPr>
          <w:spacing w:val="43"/>
        </w:rPr>
        <w:t> </w:t>
      </w:r>
      <w:r>
        <w:rPr>
          <w:spacing w:val="43"/>
        </w:rPr>
      </w:r>
      <w:r>
        <w:rPr>
          <w:spacing w:val="-3"/>
        </w:rPr>
        <w:t>者在对相关资产或负债定价时所使用假设的最佳信息取得。</w:t>
      </w:r>
    </w:p>
    <w:p>
      <w:pPr>
        <w:pStyle w:val="BodyText"/>
        <w:spacing w:line="316" w:lineRule="auto" w:before="19"/>
        <w:ind w:left="662" w:right="1026"/>
        <w:jc w:val="left"/>
      </w:pPr>
      <w:r>
        <w:rPr>
          <w:spacing w:val="-3"/>
        </w:rPr>
        <w:t>②公允价值层次</w:t>
      </w:r>
      <w:r>
        <w:rPr>
          <w:spacing w:val="-68"/>
        </w:rPr>
        <w:t> </w:t>
      </w:r>
      <w:r>
        <w:rPr>
          <w:spacing w:val="-68"/>
        </w:rPr>
      </w:r>
      <w:r>
        <w:rPr>
          <w:spacing w:val="-4"/>
        </w:rPr>
        <w:t>本公司将公允价值计量所使用的输入值划分为三个层次，并首先使用第一层次输入值，其次使用第二层次输入值，最</w:t>
      </w:r>
    </w:p>
    <w:p>
      <w:pPr>
        <w:pStyle w:val="BodyText"/>
        <w:spacing w:line="316" w:lineRule="auto" w:before="19"/>
        <w:ind w:right="1124"/>
        <w:jc w:val="both"/>
      </w:pPr>
      <w:r>
        <w:rPr>
          <w:spacing w:val="-4"/>
        </w:rPr>
        <w:t>后使用第三层次输入值。第一层次输入值是在计量日能够取得的相同资产或负债在活跃市场上未经调整的报价。第二层次输</w:t>
      </w:r>
      <w:r>
        <w:rPr>
          <w:spacing w:val="43"/>
        </w:rPr>
        <w:t> </w:t>
      </w:r>
      <w:r>
        <w:rPr>
          <w:spacing w:val="43"/>
        </w:rPr>
      </w:r>
      <w:r>
        <w:rPr>
          <w:spacing w:val="-4"/>
          <w:w w:val="101"/>
        </w:rPr>
        <w:t>入值是除第一层次输入值外相关资产或负债直接或间接可观察的输入值。第三层次输入值是相关资产或负债的不可观察输入</w:t>
      </w:r>
      <w:r>
        <w:rPr>
          <w:w w:val="101"/>
        </w:rPr>
        <w:t> </w:t>
      </w:r>
      <w:r>
        <w:rPr/>
        <w:t>值。</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3"/>
              <w:jc w:val="left"/>
              <w:rPr>
                <w:rFonts w:ascii="宋体" w:hAnsi="宋体" w:cs="宋体" w:eastAsia="宋体" w:hint="default"/>
                <w:sz w:val="18"/>
                <w:szCs w:val="18"/>
              </w:rPr>
            </w:pPr>
            <w:r>
              <w:rPr>
                <w:rFonts w:ascii="宋体" w:hAnsi="宋体" w:cs="宋体" w:eastAsia="宋体" w:hint="default"/>
                <w:spacing w:val="-2"/>
                <w:w w:val="101"/>
                <w:sz w:val="18"/>
                <w:szCs w:val="18"/>
              </w:rPr>
              <w:t>本公司将</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9"/>
                <w:w w:val="101"/>
                <w:sz w:val="18"/>
                <w:szCs w:val="18"/>
              </w:rPr>
              <w:t>万元以上应收账款，</w:t>
            </w:r>
            <w:r>
              <w:rPr>
                <w:rFonts w:ascii="Times New Roman" w:hAnsi="Times New Roman" w:cs="Times New Roman" w:eastAsia="Times New Roman" w:hint="default"/>
                <w:spacing w:val="-9"/>
                <w:w w:val="101"/>
                <w:sz w:val="18"/>
                <w:szCs w:val="18"/>
              </w:rPr>
              <w:t>100</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
                <w:w w:val="101"/>
                <w:sz w:val="18"/>
                <w:szCs w:val="18"/>
              </w:rPr>
              <w:t>万元以上其他应收款确</w:t>
            </w:r>
            <w:r>
              <w:rPr>
                <w:rFonts w:ascii="宋体" w:hAnsi="宋体" w:cs="宋体" w:eastAsia="宋体" w:hint="default"/>
                <w:w w:val="101"/>
                <w:sz w:val="18"/>
                <w:szCs w:val="18"/>
              </w:rPr>
              <w:t> </w:t>
            </w:r>
            <w:r>
              <w:rPr>
                <w:rFonts w:ascii="宋体" w:hAnsi="宋体" w:cs="宋体" w:eastAsia="宋体" w:hint="default"/>
                <w:spacing w:val="-3"/>
                <w:sz w:val="18"/>
                <w:szCs w:val="18"/>
              </w:rPr>
              <w:t>定为单项金额重大。</w:t>
            </w:r>
          </w:p>
        </w:tc>
      </w:tr>
      <w:tr>
        <w:trPr>
          <w:trHeight w:val="98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1"/>
              <w:jc w:val="both"/>
              <w:rPr>
                <w:rFonts w:ascii="宋体" w:hAnsi="宋体" w:cs="宋体" w:eastAsia="宋体" w:hint="default"/>
                <w:sz w:val="18"/>
                <w:szCs w:val="18"/>
              </w:rPr>
            </w:pPr>
            <w:r>
              <w:rPr>
                <w:rFonts w:ascii="宋体" w:hAnsi="宋体" w:cs="宋体" w:eastAsia="宋体" w:hint="default"/>
                <w:spacing w:val="-3"/>
                <w:sz w:val="18"/>
                <w:szCs w:val="18"/>
              </w:rPr>
              <w:t>对于单项金额重大的应收款项，单独进行减值测试。有客观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证据表明其发生了减值的，根据其未来现金流量现值低于其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账面价值的差额，确认减值损失，并据此计提相应的坏账准</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p>
      <w:pPr>
        <w:spacing w:line="379"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9pt;height:19pt;mso-position-horizontal-relative:char;mso-position-vertical-relative:line" coordorigin="0,0" coordsize="9580,380">
            <v:group style="position:absolute;left:10;top:14;width:4778;height:351" coordorigin="10,14" coordsize="4778,351">
              <v:shape style="position:absolute;left:10;top:14;width:4778;height:351" coordorigin="10,14" coordsize="4778,351" path="m10,365l4788,365,4788,14,10,14,10,365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4778;height:2" coordorigin="10,370" coordsize="4778,2">
              <v:shape style="position:absolute;left:10;top:370;width:4778;height:2" coordorigin="10,370" coordsize="4778,0" path="m10,370l4788,370e" filled="false" stroked="true" strokeweight=".48pt" strokecolor="#000000">
                <v:path arrowok="t"/>
              </v:shape>
            </v:group>
            <v:group style="position:absolute;left:4792;top:5;width:2;height:370" coordorigin="4792,5" coordsize="2,370">
              <v:shape style="position:absolute;left:4792;top:5;width:2;height:370" coordorigin="4792,5" coordsize="0,370" path="m4792,5l4792,374e" filled="false" stroked="true" strokeweight=".48001pt" strokecolor="#000000">
                <v:path arrowok="t"/>
              </v:shape>
            </v:group>
            <v:group style="position:absolute;left:4797;top:370;width:4774;height:2" coordorigin="4797,370" coordsize="4774,2">
              <v:shape style="position:absolute;left:4797;top:370;width:4774;height:2" coordorigin="4797,370" coordsize="4774,0" path="m4797,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7998pt" strokecolor="#000000">
                <v:path arrowok="t"/>
              </v:shape>
              <v:shape style="position:absolute;left:4821;top:83;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w:t>
                      </w:r>
                    </w:p>
                  </w:txbxContent>
                </v:textbox>
                <w10:wrap type="none"/>
              </v:shape>
            </v:group>
          </v:group>
        </w:pict>
      </w:r>
      <w:r>
        <w:rPr>
          <w:rFonts w:ascii="Microsoft JhengHei" w:hAnsi="Microsoft JhengHei" w:cs="Microsoft JhengHei" w:eastAsia="Microsoft JhengHei" w:hint="default"/>
          <w:position w:val="-7"/>
          <w:sz w:val="20"/>
          <w:szCs w:val="20"/>
        </w:rPr>
      </w:r>
    </w:p>
    <w:p>
      <w:pPr>
        <w:spacing w:line="240" w:lineRule="auto" w:before="3"/>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以账龄作为信用风险特征组合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3"/>
        <w:ind w:right="0"/>
        <w:jc w:val="left"/>
      </w:pPr>
      <w:r>
        <w:rPr>
          <w:spacing w:val="-3"/>
        </w:rPr>
        <w:t>组合中，采用账龄分析法计提坏账准备的：</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left"/>
      </w:pPr>
      <w:r>
        <w:rPr>
          <w:spacing w:val="-3"/>
        </w:rPr>
        <w:t>组合中，采用余额百分比法计提坏账准备的：</w:t>
      </w:r>
    </w:p>
    <w:p>
      <w:pPr>
        <w:pStyle w:val="BodyText"/>
        <w:spacing w:line="338" w:lineRule="auto" w:before="120"/>
        <w:ind w:right="696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710"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对单项金额不重大但已有客观证据表明其发生了减值的应收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款项，本公司单独进行减值测试。</w:t>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根据其未来现金流量现值低于其账面价值的差额，确认减值</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损失，并据此计提相应的坏账准备。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62"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23"/>
        <w:ind w:right="0"/>
        <w:jc w:val="left"/>
      </w:pPr>
      <w:r>
        <w:rPr/>
        <w:t>软件与信息技术服务业</w:t>
      </w:r>
    </w:p>
    <w:p>
      <w:pPr>
        <w:pStyle w:val="BodyText"/>
        <w:spacing w:line="300" w:lineRule="auto" w:before="110"/>
        <w:ind w:left="662" w:right="1026" w:hanging="144"/>
        <w:jc w:val="left"/>
      </w:pPr>
      <w:r>
        <w:rPr>
          <w:spacing w:val="-3"/>
        </w:rPr>
        <w:t>（</w:t>
      </w:r>
      <w:r>
        <w:rPr>
          <w:rFonts w:ascii="Times New Roman" w:hAnsi="Times New Roman" w:cs="Times New Roman" w:eastAsia="Times New Roman" w:hint="default"/>
          <w:spacing w:val="-3"/>
        </w:rPr>
        <w:t>1</w:t>
      </w:r>
      <w:r>
        <w:rPr>
          <w:spacing w:val="-3"/>
        </w:rPr>
        <w:t>）存货的分类</w:t>
      </w:r>
      <w:r>
        <w:rPr>
          <w:spacing w:val="-68"/>
        </w:rPr>
        <w:t> </w:t>
      </w:r>
      <w:r>
        <w:rPr>
          <w:spacing w:val="-68"/>
        </w:rPr>
      </w:r>
      <w:r>
        <w:rPr>
          <w:spacing w:val="-4"/>
        </w:rPr>
        <w:t>存货是指本公司在日常活动中持有以备出售的产成品或商品、处在生产过程中的在产品、在生产过程或提供劳务过程</w:t>
      </w:r>
    </w:p>
    <w:p>
      <w:pPr>
        <w:pStyle w:val="BodyText"/>
        <w:spacing w:line="316" w:lineRule="auto" w:before="31"/>
        <w:ind w:right="0"/>
        <w:jc w:val="left"/>
      </w:pPr>
      <w:r>
        <w:rPr>
          <w:spacing w:val="-4"/>
        </w:rPr>
        <w:t>中耗用的材料和物料、处在开发过程中的软件产品、外购的以备出售的软件产品等，包括原材料、周转材料、库存商品、发</w:t>
      </w:r>
      <w:r>
        <w:rPr>
          <w:spacing w:val="40"/>
        </w:rPr>
        <w:t> </w:t>
      </w:r>
      <w:r>
        <w:rPr>
          <w:spacing w:val="40"/>
        </w:rPr>
      </w:r>
      <w:r>
        <w:rPr/>
        <w:t>出商品、工程施工等。</w:t>
      </w:r>
    </w:p>
    <w:p>
      <w:pPr>
        <w:pStyle w:val="BodyText"/>
        <w:spacing w:line="300" w:lineRule="auto" w:before="19"/>
        <w:ind w:left="662" w:right="6287" w:hanging="144"/>
        <w:jc w:val="left"/>
      </w:pPr>
      <w:r>
        <w:rPr>
          <w:spacing w:val="-3"/>
        </w:rPr>
        <w:t>（</w:t>
      </w:r>
      <w:r>
        <w:rPr>
          <w:rFonts w:ascii="Times New Roman" w:hAnsi="Times New Roman" w:cs="Times New Roman" w:eastAsia="Times New Roman" w:hint="default"/>
          <w:spacing w:val="-3"/>
        </w:rPr>
        <w:t>2</w:t>
      </w:r>
      <w:r>
        <w:rPr>
          <w:spacing w:val="-3"/>
        </w:rPr>
        <w:t>）发出存货的计价方法</w:t>
      </w:r>
      <w:r>
        <w:rPr>
          <w:spacing w:val="-57"/>
        </w:rPr>
        <w:t> </w:t>
      </w:r>
      <w:r>
        <w:rPr>
          <w:spacing w:val="-57"/>
        </w:rPr>
      </w:r>
      <w:r>
        <w:rPr>
          <w:spacing w:val="-3"/>
        </w:rPr>
        <w:t>本公司存货发出时采用加权平均法计价。</w:t>
      </w:r>
    </w:p>
    <w:p>
      <w:pPr>
        <w:pStyle w:val="BodyText"/>
        <w:spacing w:line="300" w:lineRule="auto" w:before="31"/>
        <w:ind w:left="662" w:right="0" w:hanging="144"/>
        <w:jc w:val="left"/>
      </w:pPr>
      <w:r>
        <w:rPr>
          <w:spacing w:val="-3"/>
        </w:rPr>
        <w:t>（</w:t>
      </w:r>
      <w:r>
        <w:rPr>
          <w:rFonts w:ascii="Times New Roman" w:hAnsi="Times New Roman" w:cs="Times New Roman" w:eastAsia="Times New Roman" w:hint="default"/>
          <w:spacing w:val="-3"/>
        </w:rPr>
        <w:t>3</w:t>
      </w:r>
      <w:r>
        <w:rPr>
          <w:spacing w:val="-3"/>
        </w:rPr>
        <w:t>）工程施工核算方法</w:t>
      </w:r>
      <w:r>
        <w:rPr>
          <w:spacing w:val="-57"/>
        </w:rPr>
        <w:t> </w:t>
      </w:r>
      <w:r>
        <w:rPr>
          <w:spacing w:val="-57"/>
        </w:rPr>
      </w:r>
      <w:r>
        <w:rPr>
          <w:spacing w:val="-4"/>
        </w:rPr>
        <w:t>工程施工按累计已发生的成本和累计已确认的毛利（亏损）减已办理结算的价款金额计价。工程施工成本以实际成本</w:t>
      </w:r>
    </w:p>
    <w:p>
      <w:pPr>
        <w:pStyle w:val="BodyText"/>
        <w:spacing w:line="240" w:lineRule="auto" w:before="31"/>
        <w:ind w:right="0"/>
        <w:jc w:val="left"/>
      </w:pPr>
      <w:r>
        <w:rPr>
          <w:spacing w:val="-3"/>
        </w:rPr>
        <w:t>核算，包括已安装产品及耗用的材料成本、劳务费及其他费用。</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662" w:right="3567" w:hanging="144"/>
        <w:jc w:val="left"/>
      </w:pPr>
      <w:r>
        <w:rPr>
          <w:spacing w:val="-3"/>
        </w:rPr>
        <w:t>（</w:t>
      </w:r>
      <w:r>
        <w:rPr>
          <w:rFonts w:ascii="Times New Roman" w:hAnsi="Times New Roman" w:cs="Times New Roman" w:eastAsia="Times New Roman" w:hint="default"/>
          <w:spacing w:val="-3"/>
        </w:rPr>
        <w:t>4</w:t>
      </w:r>
      <w:r>
        <w:rPr>
          <w:spacing w:val="-3"/>
        </w:rPr>
        <w:t>）存货的盘存制度</w:t>
      </w:r>
      <w:r>
        <w:rPr>
          <w:spacing w:val="-63"/>
        </w:rPr>
        <w:t> </w:t>
      </w:r>
      <w:r>
        <w:rPr>
          <w:spacing w:val="-63"/>
        </w:rPr>
      </w:r>
      <w:r>
        <w:rPr>
          <w:spacing w:val="-3"/>
        </w:rPr>
        <w:t>本公司存货采用永续盘存制，每年至少盘点一次，盘盈及盘亏金额计入当年度损益。</w:t>
      </w:r>
    </w:p>
    <w:p>
      <w:pPr>
        <w:pStyle w:val="BodyText"/>
        <w:spacing w:line="309" w:lineRule="auto" w:before="31"/>
        <w:ind w:left="662" w:right="0" w:hanging="144"/>
        <w:jc w:val="left"/>
      </w:pPr>
      <w:r>
        <w:rPr>
          <w:spacing w:val="-3"/>
        </w:rPr>
        <w:t>（</w:t>
      </w:r>
      <w:r>
        <w:rPr>
          <w:rFonts w:ascii="Times New Roman" w:hAnsi="Times New Roman" w:cs="Times New Roman" w:eastAsia="Times New Roman" w:hint="default"/>
          <w:spacing w:val="-3"/>
        </w:rPr>
        <w:t>5</w:t>
      </w:r>
      <w:r>
        <w:rPr>
          <w:spacing w:val="-3"/>
        </w:rPr>
        <w:t>）存货跌价准备的计提方法</w:t>
      </w:r>
      <w:r>
        <w:rPr>
          <w:spacing w:val="-51"/>
        </w:rPr>
        <w:t> </w:t>
      </w:r>
      <w:r>
        <w:rPr>
          <w:spacing w:val="-51"/>
        </w:rPr>
      </w:r>
      <w:r>
        <w:rPr>
          <w:spacing w:val="-3"/>
        </w:rPr>
        <w:t>资产负债表日按成本与可变现净值孰低计量，存货成本高于其可变现净值的，计提存货跌价准备，计入当期损益。</w:t>
      </w:r>
      <w:r>
        <w:rPr>
          <w:w w:val="101"/>
        </w:rPr>
        <w:t> </w:t>
      </w:r>
      <w:r>
        <w:rPr>
          <w:spacing w:val="-4"/>
        </w:rPr>
        <w:t>在确定存货的可变现净值时，以取得的可靠证据为基础，并且考虑持有存货的目的、资产负债表日后事项的影响等因</w:t>
      </w:r>
    </w:p>
    <w:p>
      <w:pPr>
        <w:pStyle w:val="BodyText"/>
        <w:spacing w:line="240" w:lineRule="auto" w:before="24"/>
        <w:ind w:right="0"/>
        <w:jc w:val="left"/>
      </w:pPr>
      <w:r>
        <w:rPr/>
        <w:t>素。</w:t>
      </w:r>
    </w:p>
    <w:p>
      <w:pPr>
        <w:pStyle w:val="BodyText"/>
        <w:spacing w:line="240" w:lineRule="auto" w:before="76"/>
        <w:ind w:left="662" w:right="0"/>
        <w:jc w:val="left"/>
      </w:pPr>
      <w:r>
        <w:rPr>
          <w:spacing w:val="-4"/>
        </w:rPr>
        <w:t>①产成品、商品和用于出售的材料等直接用于出售的存货，在正常生产经营过程中，以该存货的估计售价减去估计的</w:t>
      </w:r>
    </w:p>
    <w:p>
      <w:pPr>
        <w:pStyle w:val="BodyText"/>
        <w:spacing w:line="319" w:lineRule="auto" w:before="76"/>
        <w:ind w:right="1124"/>
        <w:jc w:val="both"/>
      </w:pPr>
      <w:r>
        <w:rPr>
          <w:spacing w:val="-4"/>
        </w:rPr>
        <w:t>销售费用和相关税费后的金额确定其可变现净值。为执行销售合同或者劳务合同而持有的存货，以合同价格作为其可变现净</w:t>
      </w:r>
      <w:r>
        <w:rPr>
          <w:spacing w:val="43"/>
        </w:rPr>
        <w:t> </w:t>
      </w:r>
      <w:r>
        <w:rPr>
          <w:spacing w:val="43"/>
        </w:rPr>
      </w:r>
      <w:r>
        <w:rPr>
          <w:spacing w:val="-4"/>
        </w:rPr>
        <w:t>值的计量基础；如果持有存货的数量多于销售合同订购数量，超出部分的存货可变现净值以一般销售价格为计量基础。用于</w:t>
      </w:r>
      <w:r>
        <w:rPr>
          <w:spacing w:val="43"/>
        </w:rPr>
        <w:t> </w:t>
      </w:r>
      <w:r>
        <w:rPr>
          <w:spacing w:val="43"/>
        </w:rPr>
      </w:r>
      <w:r>
        <w:rPr>
          <w:spacing w:val="-3"/>
        </w:rPr>
        <w:t>出售的材料等，以市场价格作为其可变现净值的计量基础。</w:t>
      </w:r>
    </w:p>
    <w:p>
      <w:pPr>
        <w:pStyle w:val="BodyText"/>
        <w:spacing w:line="316" w:lineRule="auto" w:before="17"/>
        <w:ind w:right="1037" w:firstLine="508"/>
        <w:jc w:val="both"/>
      </w:pPr>
      <w:r>
        <w:rPr>
          <w:spacing w:val="-4"/>
        </w:rPr>
        <w:t>②需要经过加工的材料存货，在正常生产经营过程中，以所生产的产成品的估计售价减去至完工时估计将要发生的成</w:t>
      </w:r>
      <w:r>
        <w:rPr>
          <w:w w:val="101"/>
        </w:rPr>
        <w:t> </w:t>
      </w:r>
      <w:r>
        <w:rPr>
          <w:spacing w:val="-4"/>
        </w:rPr>
        <w:t>本、估计的销售费用和相关税费后的金额确定其可变现净值。如果用其生产的产成品的可变现净值高于成本，则该材料按成</w:t>
      </w:r>
      <w:r>
        <w:rPr>
          <w:spacing w:val="44"/>
        </w:rPr>
        <w:t> </w:t>
      </w:r>
      <w:r>
        <w:rPr>
          <w:spacing w:val="44"/>
        </w:rPr>
      </w:r>
      <w:r>
        <w:rPr>
          <w:spacing w:val="-6"/>
        </w:rPr>
        <w:t>本计量；如果材料价格的下降表明产成品的可变现净值低于成本，则该材料按可变现净值计量，按其差额计提存货跌价准备。</w:t>
      </w:r>
    </w:p>
    <w:p>
      <w:pPr>
        <w:pStyle w:val="BodyText"/>
        <w:spacing w:line="316" w:lineRule="auto" w:before="19"/>
        <w:ind w:right="0" w:firstLine="508"/>
        <w:jc w:val="left"/>
      </w:pPr>
      <w:r>
        <w:rPr>
          <w:spacing w:val="-4"/>
        </w:rPr>
        <w:t>③工程施工成本，对预计工程总成本超过预计总收入（扣除相关税费）的工程项目，按照预计工程总成本超过预计总</w:t>
      </w:r>
      <w:r>
        <w:rPr>
          <w:w w:val="101"/>
        </w:rPr>
        <w:t> </w:t>
      </w:r>
      <w:r>
        <w:rPr>
          <w:spacing w:val="-3"/>
        </w:rPr>
        <w:t>收入（扣除相关税费）的部分，计提存货跌价准备。</w:t>
      </w:r>
    </w:p>
    <w:p>
      <w:pPr>
        <w:pStyle w:val="BodyText"/>
        <w:spacing w:line="240" w:lineRule="auto" w:before="19"/>
        <w:ind w:left="662" w:right="0"/>
        <w:jc w:val="left"/>
      </w:pPr>
      <w:r>
        <w:rPr>
          <w:spacing w:val="-3"/>
        </w:rPr>
        <w:t>④存货跌价准备一般按单个存货项目计提；对于数量繁多、单价较低的存货，按存货类别计提。</w:t>
      </w:r>
    </w:p>
    <w:p>
      <w:pPr>
        <w:pStyle w:val="BodyText"/>
        <w:spacing w:line="316" w:lineRule="auto" w:before="76"/>
        <w:ind w:right="0" w:firstLine="508"/>
        <w:jc w:val="left"/>
      </w:pPr>
      <w:r>
        <w:rPr>
          <w:spacing w:val="-4"/>
        </w:rPr>
        <w:t>⑤资产负债表日如果以前减记存货价值的影响因素已经消失，则减记的金额予以恢复，并在原已计提的存货跌价准备</w:t>
      </w:r>
      <w:r>
        <w:rPr>
          <w:w w:val="101"/>
        </w:rPr>
        <w:t> </w:t>
      </w:r>
      <w:r>
        <w:rPr>
          <w:spacing w:val="-3"/>
        </w:rPr>
        <w:t>的金额内转回，转回的金额计入当期损益。</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1645" w:hanging="144"/>
        <w:jc w:val="left"/>
      </w:pPr>
      <w:r>
        <w:rPr>
          <w:spacing w:val="-3"/>
        </w:rPr>
        <w:t>（</w:t>
      </w:r>
      <w:r>
        <w:rPr>
          <w:rFonts w:ascii="Times New Roman" w:hAnsi="Times New Roman" w:cs="Times New Roman" w:eastAsia="Times New Roman" w:hint="default"/>
          <w:spacing w:val="-3"/>
        </w:rPr>
        <w:t>1</w:t>
      </w:r>
      <w:r>
        <w:rPr>
          <w:spacing w:val="-3"/>
        </w:rPr>
        <w:t>）持有待售的非流动资产或处置组的分类</w:t>
      </w:r>
      <w:r>
        <w:rPr>
          <w:spacing w:val="-34"/>
        </w:rPr>
        <w:t> </w:t>
      </w:r>
      <w:r>
        <w:rPr>
          <w:spacing w:val="-34"/>
        </w:rPr>
      </w:r>
      <w:r>
        <w:rPr>
          <w:spacing w:val="-3"/>
        </w:rPr>
        <w:t>本公司将同时满足下列条件的非流动资产或处置组划分为持有待售类别：</w:t>
      </w:r>
    </w:p>
    <w:p>
      <w:pPr>
        <w:pStyle w:val="BodyText"/>
        <w:spacing w:line="240" w:lineRule="auto" w:before="31"/>
        <w:ind w:left="662" w:right="0"/>
        <w:jc w:val="left"/>
      </w:pPr>
      <w:r>
        <w:rPr>
          <w:spacing w:val="-3"/>
        </w:rPr>
        <w:t>①根据类似交易中出售此类资产或处置组的惯例，在当前状况下即可立即出售；</w:t>
      </w:r>
    </w:p>
    <w:p>
      <w:pPr>
        <w:pStyle w:val="BodyText"/>
        <w:spacing w:line="316" w:lineRule="auto" w:before="77"/>
        <w:ind w:right="0" w:firstLine="508"/>
        <w:jc w:val="left"/>
      </w:pPr>
      <w:r>
        <w:rPr>
          <w:spacing w:val="-4"/>
        </w:rPr>
        <w:t>②出售极可能发生，即本公司已经就一项出售计划作出决议且获得确定的购买承诺，预计出售将在一年内完成。有关</w:t>
      </w:r>
      <w:r>
        <w:rPr>
          <w:w w:val="101"/>
        </w:rPr>
        <w:t> </w:t>
      </w:r>
      <w:r>
        <w:rPr>
          <w:spacing w:val="-3"/>
        </w:rPr>
        <w:t>规定要求本公司相关权力机构或者监管部门批准后方可出售的，已经获得批准。</w:t>
      </w:r>
    </w:p>
    <w:p>
      <w:pPr>
        <w:pStyle w:val="BodyText"/>
        <w:spacing w:line="300" w:lineRule="auto" w:before="19"/>
        <w:ind w:right="0" w:firstLine="508"/>
        <w:jc w:val="left"/>
      </w:pPr>
      <w:r>
        <w:rPr>
          <w:spacing w:val="-4"/>
        </w:rPr>
        <w:t>本公司专为转售而取得的非流动资产或处置组，在取得日满足</w:t>
      </w:r>
      <w:r>
        <w:rPr>
          <w:rFonts w:ascii="Times New Roman" w:hAnsi="Times New Roman" w:cs="Times New Roman" w:eastAsia="Times New Roman" w:hint="default"/>
          <w:spacing w:val="-4"/>
        </w:rPr>
        <w:t>“</w:t>
      </w:r>
      <w:r>
        <w:rPr>
          <w:spacing w:val="-4"/>
        </w:rPr>
        <w:t>预计出售将在一年内完成</w:t>
      </w:r>
      <w:r>
        <w:rPr>
          <w:rFonts w:ascii="Times New Roman" w:hAnsi="Times New Roman" w:cs="Times New Roman" w:eastAsia="Times New Roman" w:hint="default"/>
          <w:spacing w:val="-4"/>
        </w:rPr>
        <w:t>”</w:t>
      </w:r>
      <w:r>
        <w:rPr>
          <w:spacing w:val="-4"/>
        </w:rPr>
        <w:t>的规定条件，且短期（通常</w:t>
      </w:r>
      <w:r>
        <w:rPr>
          <w:w w:val="101"/>
        </w:rPr>
        <w:t> </w:t>
      </w:r>
      <w:r>
        <w:rPr>
          <w:spacing w:val="-3"/>
        </w:rPr>
        <w:t>为</w:t>
      </w:r>
      <w:r>
        <w:rPr>
          <w:rFonts w:ascii="Times New Roman" w:hAnsi="Times New Roman" w:cs="Times New Roman" w:eastAsia="Times New Roman" w:hint="default"/>
          <w:spacing w:val="-3"/>
        </w:rPr>
        <w:t>3</w:t>
      </w:r>
      <w:r>
        <w:rPr>
          <w:spacing w:val="-3"/>
        </w:rPr>
        <w:t>个月）内很可能满足持有待售类别的其他划分条件的，本公司在取得日将其划分为持有待售类别。</w:t>
      </w:r>
    </w:p>
    <w:p>
      <w:pPr>
        <w:pStyle w:val="BodyText"/>
        <w:spacing w:line="319" w:lineRule="auto" w:before="13"/>
        <w:ind w:right="0" w:firstLine="508"/>
        <w:jc w:val="left"/>
      </w:pPr>
      <w:r>
        <w:rPr>
          <w:spacing w:val="-4"/>
        </w:rPr>
        <w:t>本公司因出售对子公司的投资等原因导致其丧失对子公司控制权的，无论出售后本公司是否保留部分权益性投资，在</w:t>
      </w:r>
      <w:r>
        <w:rPr>
          <w:w w:val="101"/>
        </w:rPr>
        <w:t> </w:t>
      </w:r>
      <w:r>
        <w:rPr>
          <w:spacing w:val="-3"/>
        </w:rPr>
        <w:t>拟出售的对子公司投资满足持有待售类别划分条件时，在母公司个别财务报表中将对子公司投资整体划分为持有待售类别，</w:t>
      </w:r>
      <w:r>
        <w:rPr>
          <w:spacing w:val="66"/>
        </w:rPr>
        <w:t> </w:t>
      </w:r>
      <w:r>
        <w:rPr>
          <w:spacing w:val="66"/>
        </w:rPr>
      </w:r>
      <w:r>
        <w:rPr>
          <w:spacing w:val="-3"/>
        </w:rPr>
        <w:t>在合并财务报表中将子公司所有资产和负债划分为持有待售类别。</w:t>
      </w:r>
    </w:p>
    <w:p>
      <w:pPr>
        <w:pStyle w:val="BodyText"/>
        <w:spacing w:line="300" w:lineRule="auto" w:before="17"/>
        <w:ind w:left="662" w:right="0" w:hanging="144"/>
        <w:jc w:val="left"/>
      </w:pPr>
      <w:r>
        <w:rPr>
          <w:spacing w:val="-3"/>
        </w:rPr>
        <w:t>（</w:t>
      </w:r>
      <w:r>
        <w:rPr>
          <w:rFonts w:ascii="Times New Roman" w:hAnsi="Times New Roman" w:cs="Times New Roman" w:eastAsia="Times New Roman" w:hint="default"/>
          <w:spacing w:val="-3"/>
        </w:rPr>
        <w:t>2</w:t>
      </w:r>
      <w:r>
        <w:rPr>
          <w:spacing w:val="-3"/>
        </w:rPr>
        <w:t>）持有待售的非流动资产或处置组的计量</w:t>
      </w:r>
      <w:r>
        <w:rPr>
          <w:spacing w:val="-38"/>
        </w:rPr>
        <w:t> </w:t>
      </w:r>
      <w:r>
        <w:rPr>
          <w:spacing w:val="-38"/>
        </w:rPr>
      </w:r>
      <w:r>
        <w:rPr>
          <w:spacing w:val="-4"/>
        </w:rPr>
        <w:t>采用公允价值模式进行后续计量的投资性房地产、采用公允价值减去出售费用后的净额计量的生物资产、职工薪酬形</w:t>
      </w:r>
    </w:p>
    <w:p>
      <w:pPr>
        <w:pStyle w:val="BodyText"/>
        <w:spacing w:line="319" w:lineRule="auto" w:before="31"/>
        <w:ind w:right="1128"/>
        <w:jc w:val="both"/>
      </w:pPr>
      <w:r>
        <w:rPr>
          <w:spacing w:val="-4"/>
        </w:rPr>
        <w:t>成的资产、递延所得税资产、由金融工具相关会计准则规范的金融资产及由保险合同相关会计准则规范的保险合同所产生的</w:t>
      </w:r>
      <w:r>
        <w:rPr>
          <w:spacing w:val="38"/>
        </w:rPr>
        <w:t> </w:t>
      </w:r>
      <w:r>
        <w:rPr>
          <w:spacing w:val="38"/>
        </w:rPr>
      </w:r>
      <w:r>
        <w:rPr>
          <w:spacing w:val="-3"/>
        </w:rPr>
        <w:t>权利的计量分别适用于其他相关会计准则。</w:t>
      </w:r>
    </w:p>
    <w:p>
      <w:pPr>
        <w:pStyle w:val="BodyText"/>
        <w:spacing w:line="316" w:lineRule="auto" w:before="17"/>
        <w:ind w:right="1124" w:firstLine="508"/>
        <w:jc w:val="both"/>
      </w:pPr>
      <w:r>
        <w:rPr>
          <w:spacing w:val="-4"/>
        </w:rPr>
        <w:t>初始计量或在资产负债表日重新计量持有待售的非流动资产或处置组时，其账面价值高于公允价值减去出售费用后的</w:t>
      </w:r>
      <w:r>
        <w:rPr>
          <w:w w:val="101"/>
        </w:rPr>
        <w:t> </w:t>
      </w:r>
      <w:r>
        <w:rPr>
          <w:spacing w:val="-4"/>
        </w:rPr>
        <w:t>净额的，将账面价值减记至公允价值减去出售费用后的净额，减记的金额确认为资产减值损失，计入当期损益，同时计提持</w:t>
      </w:r>
      <w:r>
        <w:rPr>
          <w:spacing w:val="40"/>
        </w:rPr>
        <w:t> </w:t>
      </w:r>
      <w:r>
        <w:rPr>
          <w:spacing w:val="40"/>
        </w:rPr>
      </w:r>
      <w:r>
        <w:rPr/>
        <w:t>有待售资产减值准备。</w:t>
      </w:r>
    </w:p>
    <w:p>
      <w:pPr>
        <w:pStyle w:val="BodyText"/>
        <w:spacing w:line="319" w:lineRule="auto" w:before="19"/>
        <w:ind w:right="0" w:firstLine="508"/>
        <w:jc w:val="left"/>
      </w:pPr>
      <w:r>
        <w:rPr>
          <w:spacing w:val="-3"/>
        </w:rPr>
        <w:t>非流动资产或处置组因不再满足持有待售类别的划分条件而不再继续划分为持有待售类别或非流动资产从持有待售</w:t>
      </w:r>
      <w:r>
        <w:rPr>
          <w:w w:val="101"/>
        </w:rPr>
        <w:t> </w:t>
      </w:r>
      <w:r>
        <w:rPr>
          <w:spacing w:val="-3"/>
        </w:rPr>
        <w:t>的处置组中移除时，按照以下两者孰低计量：</w:t>
      </w:r>
    </w:p>
    <w:p>
      <w:pPr>
        <w:pStyle w:val="BodyText"/>
        <w:spacing w:line="316" w:lineRule="auto" w:before="17"/>
        <w:ind w:right="1026" w:firstLine="508"/>
        <w:jc w:val="left"/>
      </w:pPr>
      <w:r>
        <w:rPr>
          <w:spacing w:val="-4"/>
        </w:rPr>
        <w:t>①划分为持有待售类别前的账面价值，按照假定不划分为持有待售类别情况下本应确认的折旧、摊销或减值等进行调</w:t>
      </w:r>
      <w:r>
        <w:rPr>
          <w:w w:val="101"/>
        </w:rPr>
        <w:t> </w:t>
      </w:r>
      <w:r>
        <w:rPr/>
        <w:t>整后的金额；</w:t>
      </w:r>
    </w:p>
    <w:p>
      <w:pPr>
        <w:pStyle w:val="BodyText"/>
        <w:spacing w:line="240" w:lineRule="auto" w:before="19"/>
        <w:ind w:left="662" w:right="0"/>
        <w:jc w:val="left"/>
      </w:pPr>
      <w:r>
        <w:rPr>
          <w:spacing w:val="-3"/>
        </w:rPr>
        <w:t>②可收回金额。</w:t>
      </w:r>
    </w:p>
    <w:p>
      <w:pPr>
        <w:pStyle w:val="BodyText"/>
        <w:spacing w:line="240" w:lineRule="auto" w:before="76"/>
        <w:ind w:left="518" w:right="0"/>
        <w:jc w:val="left"/>
      </w:pPr>
      <w:r>
        <w:rPr/>
        <w:t>（</w:t>
      </w:r>
      <w:r>
        <w:rPr>
          <w:rFonts w:ascii="Times New Roman" w:hAnsi="Times New Roman" w:cs="Times New Roman" w:eastAsia="Times New Roman" w:hint="default"/>
        </w:rPr>
        <w:t>3</w:t>
      </w:r>
      <w:r>
        <w:rPr/>
        <w:t>）列报</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508"/>
        <w:jc w:val="both"/>
      </w:pPr>
      <w:r>
        <w:rPr>
          <w:spacing w:val="-4"/>
        </w:rPr>
        <w:t>本公司在资产负债表中区别于其他资产单独列示持有待售的非流动资产或持有待售的处置组中的资产，区别于其他负</w:t>
      </w:r>
      <w:r>
        <w:rPr>
          <w:w w:val="101"/>
        </w:rPr>
        <w:t> </w:t>
      </w:r>
      <w:r>
        <w:rPr>
          <w:spacing w:val="-4"/>
          <w:w w:val="101"/>
        </w:rPr>
        <w:t>债单独列示持有待售的处置组中的负债。持有待售的非流动资产或持有待售的处置组中的资产与持有待售的处置组中的负债</w:t>
      </w:r>
      <w:r>
        <w:rPr>
          <w:w w:val="101"/>
        </w:rPr>
        <w:t> </w:t>
      </w:r>
      <w:r>
        <w:rPr>
          <w:spacing w:val="-3"/>
        </w:rPr>
        <w:t>不予相互抵销，分别作为流动资产和流动负债列示。</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508"/>
        <w:jc w:val="left"/>
      </w:pPr>
      <w:r>
        <w:rPr>
          <w:spacing w:val="-4"/>
        </w:rPr>
        <w:t>本公司长期股权投资包括对被投资单位实施控制、重大影响的权益性投资，以及对合营企业的权益性投资。本公司能</w:t>
      </w:r>
      <w:r>
        <w:rPr>
          <w:w w:val="101"/>
        </w:rPr>
        <w:t> </w:t>
      </w:r>
      <w:r>
        <w:rPr>
          <w:spacing w:val="-3"/>
        </w:rPr>
        <w:t>够对被投资单位施加重大影响的，为本公司的联营企业。</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1</w:t>
      </w:r>
      <w:r>
        <w:rPr>
          <w:spacing w:val="-3"/>
        </w:rPr>
        <w:t>）确定对被投资单位具有共同控制、重大影响的依据</w:t>
      </w:r>
      <w:r>
        <w:rPr>
          <w:spacing w:val="-17"/>
        </w:rPr>
        <w:t> </w:t>
      </w:r>
      <w:r>
        <w:rPr>
          <w:spacing w:val="-17"/>
        </w:rPr>
      </w:r>
      <w:r>
        <w:rPr>
          <w:spacing w:val="-4"/>
        </w:rPr>
        <w:t>共同控制，是指按照相关约定对某项安排所共有的控制，并且该安排的相关活动必须经过分享控制权的参与方一致同</w:t>
      </w:r>
    </w:p>
    <w:p>
      <w:pPr>
        <w:pStyle w:val="BodyText"/>
        <w:spacing w:line="319" w:lineRule="auto" w:before="31"/>
        <w:ind w:right="1123"/>
        <w:jc w:val="both"/>
      </w:pPr>
      <w:r>
        <w:rPr>
          <w:spacing w:val="-4"/>
        </w:rPr>
        <w:t>意后才能决策。在判断是否存在共同控制时，首先判断所有参与方或参与方组合是否集体控制该安排，如果所有参与方或一</w:t>
      </w:r>
      <w:r>
        <w:rPr>
          <w:spacing w:val="44"/>
        </w:rPr>
        <w:t> </w:t>
      </w:r>
      <w:r>
        <w:rPr>
          <w:spacing w:val="44"/>
        </w:rPr>
      </w:r>
      <w:r>
        <w:rPr>
          <w:spacing w:val="-4"/>
        </w:rPr>
        <w:t>组参与方必须一致行动才能决定某项安排的相关活动，则认为所有参与方或一组参与方集体控制该安排。其次再判断该安排</w:t>
      </w:r>
      <w:r>
        <w:rPr>
          <w:spacing w:val="43"/>
        </w:rPr>
        <w:t> </w:t>
      </w:r>
      <w:r>
        <w:rPr>
          <w:spacing w:val="43"/>
        </w:rPr>
      </w:r>
      <w:r>
        <w:rPr>
          <w:spacing w:val="-4"/>
          <w:w w:val="101"/>
        </w:rPr>
        <w:t>相关活动的决策是否必须经过这些集体控制该安排的参与方一致同意。如果存在两个或两个以上的参与方组合能够集体控制</w:t>
      </w:r>
      <w:r>
        <w:rPr>
          <w:w w:val="101"/>
        </w:rPr>
        <w:t> </w:t>
      </w:r>
      <w:r>
        <w:rPr>
          <w:spacing w:val="-3"/>
        </w:rPr>
        <w:t>某项安排的，不构成共同控制。判断是否存在共同控制时，不考虑享有的保护性权利。</w:t>
      </w:r>
    </w:p>
    <w:p>
      <w:pPr>
        <w:pStyle w:val="BodyText"/>
        <w:spacing w:line="316" w:lineRule="auto" w:before="17"/>
        <w:ind w:right="1123" w:firstLine="508"/>
        <w:jc w:val="both"/>
      </w:pPr>
      <w:r>
        <w:rPr>
          <w:spacing w:val="-4"/>
        </w:rPr>
        <w:t>重大影响，是指投资方对被投资单位的财务和经营政策有参与决策的权力，但并不能够控制或者与其他方一起共同控</w:t>
      </w:r>
      <w:r>
        <w:rPr>
          <w:w w:val="101"/>
        </w:rPr>
        <w:t> </w:t>
      </w:r>
      <w:r>
        <w:rPr>
          <w:spacing w:val="-4"/>
        </w:rPr>
        <w:t>制这些政策的制定。在确定能否对被投资单位施加重大影响时，考虑投资方直接或间接持有被投资单位的表决权股份以及投</w:t>
      </w:r>
      <w:r>
        <w:rPr>
          <w:spacing w:val="44"/>
        </w:rPr>
        <w:t> </w:t>
      </w:r>
      <w:r>
        <w:rPr>
          <w:spacing w:val="44"/>
        </w:rPr>
      </w:r>
      <w:r>
        <w:rPr>
          <w:spacing w:val="-4"/>
          <w:w w:val="101"/>
        </w:rPr>
        <w:t>资方及其他方持有的当期可执行潜在表决权在假定转换为对被投资方单位的股权后产生的影响，包括被投资单位发行的当期</w:t>
      </w:r>
      <w:r>
        <w:rPr>
          <w:w w:val="101"/>
        </w:rPr>
        <w:t> </w:t>
      </w:r>
      <w:r>
        <w:rPr>
          <w:spacing w:val="-3"/>
        </w:rPr>
        <w:t>可转换的认股权证、股份期权及可转换公司债券等的影响。</w:t>
      </w:r>
    </w:p>
    <w:p>
      <w:pPr>
        <w:pStyle w:val="BodyText"/>
        <w:spacing w:line="300" w:lineRule="auto" w:before="19"/>
        <w:ind w:right="0" w:firstLine="508"/>
        <w:jc w:val="left"/>
      </w:pPr>
      <w:r>
        <w:rPr>
          <w:spacing w:val="-3"/>
        </w:rPr>
        <w:t>当本公司直接或通过子公司间接拥有被投资单位</w:t>
      </w:r>
      <w:r>
        <w:rPr>
          <w:rFonts w:ascii="Times New Roman" w:hAnsi="Times New Roman" w:cs="Times New Roman" w:eastAsia="Times New Roman" w:hint="default"/>
          <w:spacing w:val="-3"/>
        </w:rPr>
        <w:t>20%</w:t>
      </w:r>
      <w:r>
        <w:rPr>
          <w:spacing w:val="-3"/>
        </w:rPr>
        <w:t>（含</w:t>
      </w:r>
      <w:r>
        <w:rPr>
          <w:rFonts w:ascii="Times New Roman" w:hAnsi="Times New Roman" w:cs="Times New Roman" w:eastAsia="Times New Roman" w:hint="default"/>
          <w:spacing w:val="-3"/>
        </w:rPr>
        <w:t>20%</w:t>
      </w:r>
      <w:r>
        <w:rPr>
          <w:spacing w:val="-3"/>
        </w:rPr>
        <w:t>）以上但低于</w:t>
      </w:r>
      <w:r>
        <w:rPr>
          <w:rFonts w:ascii="Times New Roman" w:hAnsi="Times New Roman" w:cs="Times New Roman" w:eastAsia="Times New Roman" w:hint="default"/>
          <w:spacing w:val="-3"/>
        </w:rPr>
        <w:t>50%</w:t>
      </w:r>
      <w:r>
        <w:rPr>
          <w:spacing w:val="-3"/>
        </w:rPr>
        <w:t>的表决权股份时，一般认为对被投资</w:t>
      </w:r>
      <w:r>
        <w:rPr>
          <w:w w:val="101"/>
        </w:rPr>
        <w:t> </w:t>
      </w:r>
      <w:r>
        <w:rPr>
          <w:spacing w:val="-3"/>
        </w:rPr>
        <w:t>单位具有重大影响，除非有明确证据表明该种情况下不能参与被投资单位的生产经营决策，不形成重大影响。</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2</w:t>
      </w:r>
      <w:r>
        <w:rPr>
          <w:spacing w:val="-3"/>
        </w:rPr>
        <w:t>）初始投资成本确定</w:t>
      </w:r>
    </w:p>
    <w:p>
      <w:pPr>
        <w:pStyle w:val="BodyText"/>
        <w:spacing w:line="240" w:lineRule="auto" w:before="63"/>
        <w:ind w:left="662" w:right="0"/>
        <w:jc w:val="left"/>
      </w:pPr>
      <w:r>
        <w:rPr>
          <w:spacing w:val="-3"/>
        </w:rPr>
        <w:t>①企业合并形成的长期股权投资，按照下列规定确定其投资成本：</w:t>
      </w:r>
    </w:p>
    <w:p>
      <w:pPr>
        <w:pStyle w:val="BodyText"/>
        <w:spacing w:line="312" w:lineRule="auto" w:before="76"/>
        <w:ind w:right="1117" w:firstLine="508"/>
        <w:jc w:val="left"/>
      </w:pPr>
      <w:r>
        <w:rPr>
          <w:rFonts w:ascii="Times New Roman" w:hAnsi="Times New Roman" w:cs="Times New Roman" w:eastAsia="Times New Roman" w:hint="default"/>
          <w:spacing w:val="-4"/>
        </w:rPr>
        <w:t>A.</w:t>
      </w:r>
      <w:r>
        <w:rPr>
          <w:rFonts w:ascii="Times New Roman" w:hAnsi="Times New Roman" w:cs="Times New Roman" w:eastAsia="Times New Roman" w:hint="default"/>
          <w:spacing w:val="16"/>
        </w:rPr>
        <w:t> </w:t>
      </w:r>
      <w:r>
        <w:rPr>
          <w:spacing w:val="-3"/>
        </w:rPr>
        <w:t>同一控制下的企业合并，合并方以支付现金、转让非现金资产或承担债务方式作为合并对价的，在合并日按照被</w:t>
      </w:r>
      <w:r>
        <w:rPr>
          <w:w w:val="101"/>
        </w:rPr>
        <w:t> </w:t>
      </w:r>
      <w:r>
        <w:rPr>
          <w:spacing w:val="-4"/>
          <w:w w:val="101"/>
        </w:rPr>
        <w:t>合并方所有者权益在最终控制方合并财务报表中的账面价值的份额作为长期股权投资的初始投资成本。长期股权投资初始投</w:t>
      </w:r>
      <w:r>
        <w:rPr>
          <w:w w:val="101"/>
        </w:rPr>
        <w:t> </w:t>
      </w:r>
      <w:r>
        <w:rPr>
          <w:spacing w:val="-4"/>
        </w:rPr>
        <w:t>资成本与支付的现金、转让的非现金资产以及所承担债务账面价值之间的差额，调整资本公积；资本公积不足冲减的，调整</w:t>
      </w:r>
      <w:r>
        <w:rPr>
          <w:spacing w:val="40"/>
        </w:rPr>
        <w:t> </w:t>
      </w:r>
      <w:r>
        <w:rPr>
          <w:spacing w:val="40"/>
        </w:rPr>
      </w:r>
      <w:r>
        <w:rPr/>
        <w:t>留存收益；</w:t>
      </w:r>
    </w:p>
    <w:p>
      <w:pPr>
        <w:pStyle w:val="BodyText"/>
        <w:spacing w:line="309" w:lineRule="auto" w:before="22"/>
        <w:ind w:right="0" w:firstLine="508"/>
        <w:jc w:val="left"/>
      </w:pPr>
      <w:r>
        <w:rPr>
          <w:rFonts w:ascii="Times New Roman" w:hAnsi="Times New Roman" w:cs="Times New Roman" w:eastAsia="Times New Roman" w:hint="default"/>
        </w:rPr>
        <w:t>B. </w:t>
      </w:r>
      <w:r>
        <w:rPr>
          <w:spacing w:val="-3"/>
        </w:rPr>
        <w:t>同一控制下的企业合并，合并方以发行权益性证券作为合并对价的，在合并日按照被合并方所有者权益在最终控</w:t>
      </w:r>
      <w:r>
        <w:rPr>
          <w:w w:val="101"/>
        </w:rPr>
        <w:t> </w:t>
      </w:r>
      <w:r>
        <w:rPr>
          <w:spacing w:val="-4"/>
        </w:rPr>
        <w:t>制方合并财务报表中的账面价值的份额作为长期股权投资的初始投资成本。按照发行股份的面值总额作为股本，长期股权投</w:t>
      </w:r>
      <w:r>
        <w:rPr>
          <w:spacing w:val="38"/>
        </w:rPr>
        <w:t> </w:t>
      </w:r>
      <w:r>
        <w:rPr>
          <w:spacing w:val="38"/>
        </w:rPr>
      </w:r>
      <w:r>
        <w:rPr>
          <w:spacing w:val="-3"/>
        </w:rPr>
        <w:t>资初始投资成本与所发行股份面值总额之间的差额，调整资本公积；资本公积不足冲减的，调整留存收益；</w:t>
      </w:r>
    </w:p>
    <w:p>
      <w:pPr>
        <w:pStyle w:val="BodyText"/>
        <w:spacing w:line="309" w:lineRule="auto" w:before="25"/>
        <w:ind w:right="0" w:firstLine="508"/>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spacing w:val="-3"/>
        </w:rPr>
        <w:t>非同一控制下的企业合并，以购买日为取得对被购买方的控制权而付出的资产、发生或承担的负债以及发行的权</w:t>
      </w:r>
      <w:r>
        <w:rPr>
          <w:w w:val="101"/>
        </w:rPr>
        <w:t> </w:t>
      </w:r>
      <w:r>
        <w:rPr>
          <w:spacing w:val="-4"/>
        </w:rPr>
        <w:t>益性证券的公允价值确定为合并成本作为长期股权投资的初始投资成本。合并方为企业合并发生的审计、法律服务、评估咨</w:t>
      </w:r>
      <w:r>
        <w:rPr>
          <w:spacing w:val="38"/>
        </w:rPr>
        <w:t> </w:t>
      </w:r>
      <w:r>
        <w:rPr>
          <w:spacing w:val="38"/>
        </w:rPr>
      </w:r>
      <w:r>
        <w:rPr>
          <w:spacing w:val="-3"/>
        </w:rPr>
        <w:t>询等中介费用以及其他相关管理费用，于发生时计入当期损益。</w:t>
      </w:r>
    </w:p>
    <w:p>
      <w:pPr>
        <w:pStyle w:val="BodyText"/>
        <w:spacing w:line="240" w:lineRule="auto" w:before="24"/>
        <w:ind w:left="662" w:right="0"/>
        <w:jc w:val="left"/>
      </w:pPr>
      <w:r>
        <w:rPr>
          <w:spacing w:val="-3"/>
        </w:rPr>
        <w:t>②除企业合并形成的长期股权投资以外，其他方式取得的长期股权投资，按照下列规定确定其投资成本：</w:t>
      </w:r>
    </w:p>
    <w:p>
      <w:pPr>
        <w:pStyle w:val="BodyText"/>
        <w:spacing w:line="300" w:lineRule="auto" w:before="76"/>
        <w:ind w:right="0" w:firstLine="508"/>
        <w:jc w:val="left"/>
      </w:pPr>
      <w:r>
        <w:rPr>
          <w:rFonts w:ascii="Times New Roman" w:hAnsi="Times New Roman" w:cs="Times New Roman" w:eastAsia="Times New Roman" w:hint="default"/>
          <w:spacing w:val="-4"/>
        </w:rPr>
        <w:t>A.</w:t>
      </w:r>
      <w:r>
        <w:rPr>
          <w:rFonts w:ascii="Times New Roman" w:hAnsi="Times New Roman" w:cs="Times New Roman" w:eastAsia="Times New Roman" w:hint="default"/>
          <w:spacing w:val="26"/>
        </w:rPr>
        <w:t> </w:t>
      </w:r>
      <w:r>
        <w:rPr>
          <w:spacing w:val="-3"/>
        </w:rPr>
        <w:t>以支付现金取得的长期股权投资，按照实际支付的购买价款作为投资成本。初始投资成本包括与取得长期股权投</w:t>
      </w:r>
      <w:r>
        <w:rPr>
          <w:w w:val="101"/>
        </w:rPr>
        <w:t> </w:t>
      </w:r>
      <w:r>
        <w:rPr>
          <w:spacing w:val="-3"/>
        </w:rPr>
        <w:t>资直接相关的费用、税金及其他必要支出；</w:t>
      </w:r>
    </w:p>
    <w:p>
      <w:pPr>
        <w:pStyle w:val="BodyText"/>
        <w:spacing w:line="240" w:lineRule="auto" w:before="31"/>
        <w:ind w:left="662"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1"/>
        </w:rPr>
        <w:t> </w:t>
      </w:r>
      <w:r>
        <w:rPr>
          <w:spacing w:val="-3"/>
        </w:rPr>
        <w:t>以发行权益性证券取得的长期股权投资，按照发行权益性证券的公允价值作为初始投资成本；</w:t>
      </w:r>
    </w:p>
    <w:p>
      <w:pPr>
        <w:pStyle w:val="BodyText"/>
        <w:spacing w:line="309" w:lineRule="auto" w:before="63"/>
        <w:ind w:right="0" w:firstLine="508"/>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0"/>
        </w:rPr>
        <w:t> </w:t>
      </w:r>
      <w:r>
        <w:rPr>
          <w:spacing w:val="-3"/>
        </w:rPr>
        <w:t>通过非货币性资产交换取得的长期股权投资，如果该项交换具有商业实质且换入资产或换出资产的公允价值能可</w:t>
      </w:r>
      <w:r>
        <w:rPr>
          <w:w w:val="101"/>
        </w:rPr>
        <w:t> </w:t>
      </w:r>
      <w:r>
        <w:rPr>
          <w:spacing w:val="-6"/>
          <w:w w:val="101"/>
        </w:rPr>
        <w:t>靠计量，则以换出资产的公允价值和相关税费作为初始投资成本，换出资产的公允价值与账面价值之间的差额计入当期损益；</w:t>
      </w:r>
      <w:r>
        <w:rPr>
          <w:spacing w:val="-71"/>
          <w:w w:val="101"/>
        </w:rPr>
        <w:t> </w:t>
      </w:r>
      <w:r>
        <w:rPr>
          <w:spacing w:val="-71"/>
          <w:w w:val="101"/>
        </w:rPr>
      </w:r>
      <w:r>
        <w:rPr>
          <w:spacing w:val="-3"/>
        </w:rPr>
        <w:t>若非货币资产交换不同时具备上述两个条件，则按换出资产的账面价值和相关税费作为初始投资成本。</w:t>
      </w:r>
    </w:p>
    <w:p>
      <w:pPr>
        <w:pStyle w:val="BodyText"/>
        <w:spacing w:line="300" w:lineRule="auto" w:before="25"/>
        <w:ind w:right="0" w:firstLine="508"/>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7"/>
        </w:rPr>
        <w:t> </w:t>
      </w:r>
      <w:r>
        <w:rPr>
          <w:spacing w:val="-3"/>
        </w:rPr>
        <w:t>通过债务重组取得的长期股权投资，按取得的股权的公允价值作为初始投资成本，初始投资成本与债权账面价值</w:t>
      </w:r>
      <w:r>
        <w:rPr>
          <w:w w:val="101"/>
        </w:rPr>
        <w:t> </w:t>
      </w:r>
      <w:r>
        <w:rPr>
          <w:spacing w:val="-3"/>
        </w:rPr>
        <w:t>之间的差额计入当期损益。</w:t>
      </w:r>
    </w:p>
    <w:p>
      <w:pPr>
        <w:pStyle w:val="BodyText"/>
        <w:spacing w:line="300" w:lineRule="auto" w:before="31"/>
        <w:ind w:left="662" w:right="0" w:hanging="144"/>
        <w:jc w:val="left"/>
      </w:pPr>
      <w:r>
        <w:rPr>
          <w:spacing w:val="-3"/>
        </w:rPr>
        <w:t>（</w:t>
      </w:r>
      <w:r>
        <w:rPr>
          <w:rFonts w:ascii="Times New Roman" w:hAnsi="Times New Roman" w:cs="Times New Roman" w:eastAsia="Times New Roman" w:hint="default"/>
          <w:spacing w:val="-3"/>
        </w:rPr>
        <w:t>3</w:t>
      </w:r>
      <w:r>
        <w:rPr>
          <w:spacing w:val="-3"/>
        </w:rPr>
        <w:t>）后续计量及损益确认方法</w:t>
      </w:r>
      <w:r>
        <w:rPr>
          <w:spacing w:val="-51"/>
        </w:rPr>
        <w:t> </w:t>
      </w:r>
      <w:r>
        <w:rPr>
          <w:spacing w:val="-51"/>
        </w:rPr>
      </w:r>
      <w:r>
        <w:rPr>
          <w:spacing w:val="-4"/>
        </w:rPr>
        <w:t>本公司能够对被投资单位实施控制的长期股权投资采用成本法核算；对联营企业和合营企业的长期股权投资采用权益</w:t>
      </w:r>
    </w:p>
    <w:p>
      <w:pPr>
        <w:pStyle w:val="BodyText"/>
        <w:spacing w:line="240" w:lineRule="auto" w:before="31"/>
        <w:ind w:right="0"/>
        <w:jc w:val="both"/>
      </w:pPr>
      <w:r>
        <w:rPr/>
        <w:t>法核算。</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662" w:right="1026"/>
        <w:jc w:val="left"/>
      </w:pPr>
      <w:r>
        <w:rPr>
          <w:spacing w:val="-3"/>
        </w:rPr>
        <w:t>①成本法</w:t>
      </w:r>
      <w:r>
        <w:rPr>
          <w:spacing w:val="-79"/>
        </w:rPr>
        <w:t> </w:t>
      </w:r>
      <w:r>
        <w:rPr>
          <w:spacing w:val="-79"/>
        </w:rPr>
      </w:r>
      <w:r>
        <w:rPr>
          <w:spacing w:val="-4"/>
        </w:rPr>
        <w:t>采用成本法核算的长期股权投资，追加或收回投资时调整长期股权投资的成本；被投资单位宣告分派的现金股利或利</w:t>
      </w:r>
    </w:p>
    <w:p>
      <w:pPr>
        <w:pStyle w:val="BodyText"/>
        <w:spacing w:line="240" w:lineRule="auto" w:before="19"/>
        <w:ind w:right="0"/>
        <w:jc w:val="left"/>
      </w:pPr>
      <w:r>
        <w:rPr>
          <w:spacing w:val="-3"/>
        </w:rPr>
        <w:t>润，确认为当期投资收益。</w:t>
      </w:r>
    </w:p>
    <w:p>
      <w:pPr>
        <w:pStyle w:val="BodyText"/>
        <w:spacing w:line="316" w:lineRule="auto" w:before="77"/>
        <w:ind w:left="662" w:right="5503"/>
        <w:jc w:val="left"/>
      </w:pPr>
      <w:r>
        <w:rPr>
          <w:spacing w:val="-3"/>
        </w:rPr>
        <w:t>②权益法</w:t>
      </w:r>
      <w:r>
        <w:rPr>
          <w:spacing w:val="-79"/>
        </w:rPr>
        <w:t> </w:t>
      </w:r>
      <w:r>
        <w:rPr>
          <w:spacing w:val="-79"/>
        </w:rPr>
      </w:r>
      <w:r>
        <w:rPr>
          <w:spacing w:val="-3"/>
        </w:rPr>
        <w:t>按照权益法核算的长期股权投资，一般会计处理为：</w:t>
      </w:r>
    </w:p>
    <w:p>
      <w:pPr>
        <w:pStyle w:val="BodyText"/>
        <w:spacing w:line="316" w:lineRule="auto" w:before="19"/>
        <w:ind w:right="1124" w:firstLine="508"/>
        <w:jc w:val="both"/>
      </w:pPr>
      <w:r>
        <w:rPr>
          <w:spacing w:val="-4"/>
        </w:rPr>
        <w:t>本公司长期股权投资的投资成本大于投资时应享有被投资单位可辨认净资产公允价值份额的，不调整长期股权投资的</w:t>
      </w:r>
      <w:r>
        <w:rPr>
          <w:w w:val="101"/>
        </w:rPr>
        <w:t> </w:t>
      </w:r>
      <w:r>
        <w:rPr>
          <w:spacing w:val="-4"/>
        </w:rPr>
        <w:t>初始投资成本；长期股权投资的初始投资成本小于投资时应享有被投资单位可辨认净资产公允价值份额的，其差额计入当期</w:t>
      </w:r>
      <w:r>
        <w:rPr>
          <w:spacing w:val="43"/>
        </w:rPr>
        <w:t> </w:t>
      </w:r>
      <w:r>
        <w:rPr>
          <w:spacing w:val="43"/>
        </w:rPr>
      </w:r>
      <w:r>
        <w:rPr>
          <w:spacing w:val="-3"/>
        </w:rPr>
        <w:t>损益，同时调整长期股权投资的成本。</w:t>
      </w:r>
    </w:p>
    <w:p>
      <w:pPr>
        <w:pStyle w:val="BodyText"/>
        <w:spacing w:line="316" w:lineRule="auto" w:before="19"/>
        <w:ind w:right="1075" w:firstLine="508"/>
        <w:jc w:val="both"/>
      </w:pPr>
      <w:r>
        <w:rPr>
          <w:spacing w:val="-3"/>
        </w:rPr>
        <w:t>本公司按照应享有或应分担的被投资单位实现的净损益和其他综合收益的份额，分别确认投资收益和其他综合收益，</w:t>
      </w:r>
      <w:r>
        <w:rPr>
          <w:w w:val="101"/>
        </w:rPr>
        <w:t> </w:t>
      </w:r>
      <w:r>
        <w:rPr>
          <w:spacing w:val="-4"/>
        </w:rPr>
        <w:t>同时调整长期股权投资的账面价值；本公司按照被投资单位宣告分派的利润或现金股利计算应享有的部分，相应减少长期股</w:t>
      </w:r>
      <w:r>
        <w:rPr>
          <w:spacing w:val="42"/>
        </w:rPr>
        <w:t> </w:t>
      </w:r>
      <w:r>
        <w:rPr>
          <w:spacing w:val="42"/>
        </w:rPr>
      </w:r>
      <w:r>
        <w:rPr>
          <w:spacing w:val="-4"/>
        </w:rPr>
        <w:t>权投资的账面价值；被投资单位除净损益、其他综合收益和利润分配以外所有者权益的其他变动，调整长期股权投资的账面</w:t>
      </w:r>
      <w:r>
        <w:rPr>
          <w:spacing w:val="43"/>
        </w:rPr>
        <w:t> </w:t>
      </w:r>
      <w:r>
        <w:rPr>
          <w:spacing w:val="43"/>
        </w:rPr>
      </w:r>
      <w:r>
        <w:rPr>
          <w:spacing w:val="-4"/>
        </w:rPr>
        <w:t>价值并计入所有者权益。在确认应享有被投资单位净损益的份额时，以取得投资时被投资单位可辨认净资产的公允价值为基</w:t>
      </w:r>
      <w:r>
        <w:rPr>
          <w:spacing w:val="44"/>
        </w:rPr>
        <w:t> </w:t>
      </w:r>
      <w:r>
        <w:rPr>
          <w:spacing w:val="44"/>
        </w:rPr>
      </w:r>
      <w:r>
        <w:rPr>
          <w:spacing w:val="-4"/>
        </w:rPr>
        <w:t>础，对被投资单位的净利润进行调整后确认。被投资单位采用的会计政策及会计期间与本公司不一致的，应按照本公司的会</w:t>
      </w:r>
      <w:r>
        <w:rPr>
          <w:spacing w:val="43"/>
        </w:rPr>
        <w:t> </w:t>
      </w:r>
      <w:r>
        <w:rPr>
          <w:spacing w:val="43"/>
        </w:rPr>
      </w:r>
      <w:r>
        <w:rPr>
          <w:spacing w:val="-4"/>
        </w:rPr>
        <w:t>计政策及会计期间对被投资单位的财务报表进行调整，并据以确认投资收益和其他综合收益等。本公司与联营企业及合营企</w:t>
      </w:r>
      <w:r>
        <w:rPr>
          <w:spacing w:val="43"/>
        </w:rPr>
        <w:t> </w:t>
      </w:r>
      <w:r>
        <w:rPr>
          <w:spacing w:val="43"/>
        </w:rPr>
      </w:r>
      <w:r>
        <w:rPr>
          <w:spacing w:val="-4"/>
        </w:rPr>
        <w:t>业之间发生的未实现内部交易损益按照享有的比例计算归属于本公司的部分予以抵销，在此基础上确认投资损益。本公司与</w:t>
      </w:r>
      <w:r>
        <w:rPr>
          <w:spacing w:val="38"/>
        </w:rPr>
        <w:t> </w:t>
      </w:r>
      <w:r>
        <w:rPr>
          <w:spacing w:val="38"/>
        </w:rPr>
      </w:r>
      <w:r>
        <w:rPr>
          <w:spacing w:val="-3"/>
        </w:rPr>
        <w:t>被投资单位发生的未实现内部交易损失属于资产减值损失的，应全额确认。</w:t>
      </w:r>
    </w:p>
    <w:p>
      <w:pPr>
        <w:pStyle w:val="BodyText"/>
        <w:spacing w:line="319" w:lineRule="auto" w:before="19"/>
        <w:ind w:right="1124" w:firstLine="508"/>
        <w:jc w:val="both"/>
      </w:pPr>
      <w:r>
        <w:rPr>
          <w:spacing w:val="-4"/>
        </w:rPr>
        <w:t>因追加投资等原因能够对被投资单位施加重大影响或实施共同控制但不构成控制的，按照原持有的股权投资的公允价</w:t>
      </w:r>
      <w:r>
        <w:rPr>
          <w:w w:val="101"/>
        </w:rPr>
        <w:t> </w:t>
      </w:r>
      <w:r>
        <w:rPr>
          <w:spacing w:val="-4"/>
        </w:rPr>
        <w:t>值加上新增投资成本之和，作为改按权益法核算的初始投资成本。原持有的股权投资分类为可供出售金融资产的，其公允价</w:t>
      </w:r>
      <w:r>
        <w:rPr>
          <w:spacing w:val="43"/>
        </w:rPr>
        <w:t> </w:t>
      </w:r>
      <w:r>
        <w:rPr>
          <w:spacing w:val="43"/>
        </w:rPr>
      </w:r>
      <w:r>
        <w:rPr>
          <w:spacing w:val="-3"/>
        </w:rPr>
        <w:t>值与账面价值之间的差额，以及原计入其他综合收益的累计公允价值变动应当转入改按权益法核算的当期损益。</w:t>
      </w:r>
    </w:p>
    <w:p>
      <w:pPr>
        <w:pStyle w:val="BodyText"/>
        <w:spacing w:line="316" w:lineRule="auto" w:before="17"/>
        <w:ind w:right="1124" w:firstLine="508"/>
        <w:jc w:val="both"/>
      </w:pPr>
      <w:r>
        <w:rPr>
          <w:spacing w:val="-4"/>
        </w:rPr>
        <w:t>因处置部分股权投资等原因丧失了对被投资单位的共同控制或重大影响的，处置后的剩余股权改按公允价值计量，其</w:t>
      </w:r>
      <w:r>
        <w:rPr>
          <w:w w:val="101"/>
        </w:rPr>
        <w:t> </w:t>
      </w:r>
      <w:r>
        <w:rPr>
          <w:spacing w:val="-4"/>
          <w:w w:val="101"/>
        </w:rPr>
        <w:t>在丧失共同控制或重大影响之日的公允价值与账面价值之间的差额计入当期损益。原股权投资因采用权益法核算而确认的其</w:t>
      </w:r>
      <w:r>
        <w:rPr>
          <w:w w:val="101"/>
        </w:rPr>
        <w:t> </w:t>
      </w:r>
      <w:r>
        <w:rPr>
          <w:spacing w:val="-3"/>
        </w:rPr>
        <w:t>他综合收益，在终止采用权益法核算时采用与被投资单位直接处置相关资产或负债相同的基础进行会计处理。</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60" w:lineRule="auto"/>
        <w:ind w:right="8838"/>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6" w:lineRule="auto" w:before="20"/>
        <w:ind w:right="1123" w:firstLine="508"/>
        <w:jc w:val="both"/>
      </w:pPr>
      <w:r>
        <w:rPr>
          <w:spacing w:val="-4"/>
        </w:rPr>
        <w:t>本公司对投资性房地产成本减累计减值及净残值后按直线法计算折旧或摊销，投资性房地产的类别、估计的经济使用</w:t>
      </w:r>
      <w:r>
        <w:rPr>
          <w:w w:val="101"/>
        </w:rPr>
        <w:t> </w:t>
      </w:r>
      <w:r>
        <w:rPr>
          <w:spacing w:val="-3"/>
        </w:rPr>
        <w:t>年限和预计的净残值率分别确定折旧年限和年折旧率如下：</w:t>
      </w:r>
    </w:p>
    <w:tbl>
      <w:tblPr>
        <w:tblW w:w="0" w:type="auto"/>
        <w:jc w:val="left"/>
        <w:tblInd w:w="143" w:type="dxa"/>
        <w:tblLayout w:type="fixed"/>
        <w:tblCellMar>
          <w:top w:w="0" w:type="dxa"/>
          <w:left w:w="0" w:type="dxa"/>
          <w:bottom w:w="0" w:type="dxa"/>
          <w:right w:w="0" w:type="dxa"/>
        </w:tblCellMar>
        <w:tblLook w:val="01E0"/>
      </w:tblPr>
      <w:tblGrid>
        <w:gridCol w:w="2631"/>
        <w:gridCol w:w="1801"/>
        <w:gridCol w:w="2074"/>
        <w:gridCol w:w="2355"/>
      </w:tblGrid>
      <w:tr>
        <w:trPr>
          <w:trHeight w:val="353" w:hRule="exact"/>
        </w:trPr>
        <w:tc>
          <w:tcPr>
            <w:tcW w:w="263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0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074"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41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55"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45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6" w:hRule="exact"/>
        </w:trPr>
        <w:tc>
          <w:tcPr>
            <w:tcW w:w="26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1085"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宋体" w:hAnsi="宋体" w:cs="宋体" w:eastAsia="宋体" w:hint="default"/>
                <w:sz w:val="21"/>
                <w:szCs w:val="21"/>
              </w:rPr>
              <w:t>年</w:t>
            </w:r>
          </w:p>
        </w:tc>
        <w:tc>
          <w:tcPr>
            <w:tcW w:w="20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5</w:t>
            </w:r>
          </w:p>
        </w:tc>
        <w:tc>
          <w:tcPr>
            <w:tcW w:w="23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1.90-4.75</w:t>
            </w:r>
          </w:p>
        </w:tc>
      </w:tr>
      <w:tr>
        <w:trPr>
          <w:trHeight w:val="346" w:hRule="exact"/>
        </w:trPr>
        <w:tc>
          <w:tcPr>
            <w:tcW w:w="26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8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0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3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2.00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2" w:firstLine="633"/>
        <w:jc w:val="both"/>
      </w:pPr>
      <w:r>
        <w:rPr>
          <w:spacing w:val="-3"/>
        </w:rPr>
        <w:t>固定资产是指为生产商品、提供劳务、出租或经营管理而持有的使用寿命超过一年的单位价值较高的有形资产。固</w:t>
      </w:r>
      <w:r>
        <w:rPr>
          <w:w w:val="101"/>
        </w:rPr>
        <w:t> </w:t>
      </w:r>
      <w:r>
        <w:rPr>
          <w:spacing w:val="-4"/>
        </w:rPr>
        <w:t>定资产在同时满足下列条件时，按取得时的实际成本予以确认：①与该固定资产有关的经济利益很可能流入企业。②该固定</w:t>
      </w:r>
      <w:r>
        <w:rPr>
          <w:spacing w:val="44"/>
        </w:rPr>
        <w:t> </w:t>
      </w:r>
      <w:r>
        <w:rPr>
          <w:spacing w:val="44"/>
        </w:rPr>
      </w:r>
      <w:r>
        <w:rPr>
          <w:spacing w:val="-4"/>
        </w:rPr>
        <w:t>资产的成本能够可靠地计量。固定资产发生的后续支出，符合固定资产确认条件的计入固定资产成本；不符合固定资产确认</w:t>
      </w:r>
      <w:r>
        <w:rPr>
          <w:spacing w:val="43"/>
        </w:rPr>
        <w:t> </w:t>
      </w:r>
      <w:r>
        <w:rPr>
          <w:spacing w:val="43"/>
        </w:rPr>
      </w:r>
      <w:r>
        <w:rPr>
          <w:spacing w:val="-3"/>
        </w:rPr>
        <w:t>条件的在发生时计入当期损益。</w:t>
      </w:r>
    </w:p>
    <w:p>
      <w:pPr>
        <w:spacing w:after="0" w:line="319"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4" w:firstLine="633"/>
        <w:jc w:val="both"/>
      </w:pPr>
      <w:r>
        <w:rPr>
          <w:spacing w:val="-3"/>
        </w:rPr>
        <w:t>本公司在租入的固定资产实质上转移了与资产有关的全部风险和报酬时确认该项固定资产的租赁为融资租赁。融资</w:t>
      </w:r>
      <w:r>
        <w:rPr>
          <w:w w:val="101"/>
        </w:rPr>
        <w:t> </w:t>
      </w:r>
      <w:r>
        <w:rPr>
          <w:spacing w:val="-4"/>
        </w:rPr>
        <w:t>租赁取得的固定资产的成本，按租赁开始日租赁资产公允价值与最低租赁付款额现值两者中较低者确定。融资租入的固定资</w:t>
      </w:r>
      <w:r>
        <w:rPr>
          <w:spacing w:val="44"/>
        </w:rPr>
        <w:t> </w:t>
      </w:r>
      <w:r>
        <w:rPr>
          <w:spacing w:val="44"/>
        </w:rPr>
      </w:r>
      <w:r>
        <w:rPr>
          <w:spacing w:val="-4"/>
        </w:rPr>
        <w:t>产采用与自有固定资产相一致的折旧政策计提租赁资产折旧。能够合理确定租赁期届满时将会取得租赁资产所有权的，在租</w:t>
      </w:r>
      <w:r>
        <w:rPr>
          <w:spacing w:val="44"/>
        </w:rPr>
        <w:t> </w:t>
      </w:r>
      <w:r>
        <w:rPr>
          <w:spacing w:val="44"/>
        </w:rPr>
      </w:r>
      <w:r>
        <w:rPr>
          <w:spacing w:val="-4"/>
        </w:rPr>
        <w:t>赁资产使用年限内计提折旧；无法合理确定租赁期届满时能够取得租赁资产所有权的，在租赁期与租赁资产使用寿命两者中</w:t>
      </w:r>
      <w:r>
        <w:rPr>
          <w:spacing w:val="44"/>
        </w:rPr>
        <w:t> </w:t>
      </w:r>
      <w:r>
        <w:rPr>
          <w:spacing w:val="44"/>
        </w:rPr>
      </w:r>
      <w:r>
        <w:rPr>
          <w:spacing w:val="-3"/>
        </w:rPr>
        <w:t>较短的期间内计提折旧。</w:t>
      </w:r>
    </w:p>
    <w:p>
      <w:pPr>
        <w:spacing w:line="240" w:lineRule="auto" w:before="8"/>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62"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23"/>
        <w:ind w:right="0"/>
        <w:jc w:val="both"/>
      </w:pPr>
      <w:r>
        <w:rPr/>
        <w:t>软件与信息技术服务业</w:t>
      </w:r>
    </w:p>
    <w:p>
      <w:pPr>
        <w:pStyle w:val="BodyText"/>
        <w:spacing w:line="240" w:lineRule="auto" w:before="110"/>
        <w:ind w:left="518" w:right="0"/>
        <w:jc w:val="left"/>
      </w:pPr>
      <w:r>
        <w:rPr>
          <w:spacing w:val="-3"/>
        </w:rPr>
        <w:t>（</w:t>
      </w:r>
      <w:r>
        <w:rPr>
          <w:rFonts w:ascii="Times New Roman" w:hAnsi="Times New Roman" w:cs="Times New Roman" w:eastAsia="Times New Roman" w:hint="default"/>
          <w:spacing w:val="-3"/>
        </w:rPr>
        <w:t>1</w:t>
      </w:r>
      <w:r>
        <w:rPr>
          <w:spacing w:val="-3"/>
        </w:rPr>
        <w:t>）在建工程以立项项目分类核算。</w:t>
      </w:r>
    </w:p>
    <w:p>
      <w:pPr>
        <w:pStyle w:val="BodyText"/>
        <w:spacing w:line="300" w:lineRule="auto" w:before="63"/>
        <w:ind w:left="662" w:right="0" w:hanging="144"/>
        <w:jc w:val="left"/>
      </w:pPr>
      <w:r>
        <w:rPr>
          <w:spacing w:val="-3"/>
        </w:rPr>
        <w:t>（</w:t>
      </w:r>
      <w:r>
        <w:rPr>
          <w:rFonts w:ascii="Times New Roman" w:hAnsi="Times New Roman" w:cs="Times New Roman" w:eastAsia="Times New Roman" w:hint="default"/>
          <w:spacing w:val="-3"/>
        </w:rPr>
        <w:t>2</w:t>
      </w:r>
      <w:r>
        <w:rPr>
          <w:spacing w:val="-3"/>
        </w:rPr>
        <w:t>）在建工程结转为固定资产的标准和时点</w:t>
      </w:r>
      <w:r>
        <w:rPr>
          <w:spacing w:val="-34"/>
        </w:rPr>
        <w:t> </w:t>
      </w:r>
      <w:r>
        <w:rPr>
          <w:spacing w:val="-34"/>
        </w:rPr>
      </w:r>
      <w:r>
        <w:rPr>
          <w:spacing w:val="-3"/>
        </w:rPr>
        <w:t>在建工程项目按建造该项资产达到预定可使用状态前所发生的全部支出，作为固定资产的入账价值。包括建筑费用、</w:t>
      </w:r>
    </w:p>
    <w:p>
      <w:pPr>
        <w:pStyle w:val="BodyText"/>
        <w:spacing w:line="319" w:lineRule="auto" w:before="31"/>
        <w:ind w:right="1121"/>
        <w:jc w:val="both"/>
      </w:pPr>
      <w:r>
        <w:rPr>
          <w:spacing w:val="-4"/>
          <w:w w:val="101"/>
        </w:rPr>
        <w:t>机器设备原价、其他为使在建工程达到预定可使用状态所发生的必要支出以及在资产达到预定可使用状态之前为该项目专门</w:t>
      </w:r>
      <w:r>
        <w:rPr>
          <w:w w:val="101"/>
        </w:rPr>
        <w:t> </w:t>
      </w:r>
      <w:r>
        <w:rPr>
          <w:spacing w:val="-4"/>
          <w:w w:val="101"/>
        </w:rPr>
        <w:t>借款所发生的借款费用及占用的一般借款发生的借款费用。本公司在工程安装或建设完成达到预定可使用状态时将在建工程</w:t>
      </w:r>
      <w:r>
        <w:rPr>
          <w:w w:val="101"/>
        </w:rPr>
        <w:t> </w:t>
      </w:r>
      <w:r>
        <w:rPr>
          <w:spacing w:val="-4"/>
        </w:rPr>
        <w:t>转入固定资产。所建造的已达到预定可使用状态、但尚未办理竣工决算的固定资产，自达到预定可使用状态之日起，根据工</w:t>
      </w:r>
      <w:r>
        <w:rPr>
          <w:spacing w:val="41"/>
        </w:rPr>
        <w:t> </w:t>
      </w:r>
      <w:r>
        <w:rPr>
          <w:spacing w:val="41"/>
        </w:rPr>
      </w:r>
      <w:r>
        <w:rPr>
          <w:spacing w:val="-4"/>
        </w:rPr>
        <w:t>程预算、造价或者工程实际成本等，按估计的价值转入固定资产，并按本公司固定资产折旧政策计提固定资产的折旧，待办</w:t>
      </w:r>
      <w:r>
        <w:rPr>
          <w:spacing w:val="40"/>
        </w:rPr>
        <w:t> </w:t>
      </w:r>
      <w:r>
        <w:rPr>
          <w:spacing w:val="40"/>
        </w:rPr>
      </w:r>
      <w:r>
        <w:rPr>
          <w:spacing w:val="-3"/>
        </w:rPr>
        <w:t>理竣工决算后，再按实际成本调整原来的暂估价值，但不调整原已计提的折旧额。</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left="662" w:right="0" w:hanging="144"/>
        <w:jc w:val="left"/>
      </w:pPr>
      <w:r>
        <w:rPr>
          <w:spacing w:val="-3"/>
        </w:rPr>
        <w:t>（</w:t>
      </w:r>
      <w:r>
        <w:rPr>
          <w:rFonts w:ascii="Times New Roman" w:hAnsi="Times New Roman" w:cs="Times New Roman" w:eastAsia="Times New Roman" w:hint="default"/>
          <w:spacing w:val="-3"/>
        </w:rPr>
        <w:t>1</w:t>
      </w:r>
      <w:r>
        <w:rPr>
          <w:spacing w:val="-3"/>
        </w:rPr>
        <w:t>）借款费用资本化的确认原则和资本化期间</w:t>
      </w:r>
      <w:r>
        <w:rPr>
          <w:spacing w:val="-28"/>
        </w:rPr>
        <w:t> </w:t>
      </w:r>
      <w:r>
        <w:rPr>
          <w:spacing w:val="-28"/>
        </w:rPr>
      </w:r>
      <w:r>
        <w:rPr>
          <w:spacing w:val="-3"/>
        </w:rPr>
        <w:t>本公司发生的可直接归属于符合资本化条件的资产的购建或生产的借款费用在同时满足下列条件时予以资本化计入</w:t>
      </w:r>
    </w:p>
    <w:p>
      <w:pPr>
        <w:pStyle w:val="BodyText"/>
        <w:spacing w:line="240" w:lineRule="auto" w:before="32"/>
        <w:ind w:right="0"/>
        <w:jc w:val="both"/>
      </w:pPr>
      <w:r>
        <w:rPr>
          <w:spacing w:val="-3"/>
        </w:rPr>
        <w:t>相关资产成本：</w:t>
      </w:r>
    </w:p>
    <w:p>
      <w:pPr>
        <w:pStyle w:val="BodyText"/>
        <w:spacing w:line="240" w:lineRule="auto" w:before="76"/>
        <w:ind w:left="662" w:right="0"/>
        <w:jc w:val="left"/>
      </w:pPr>
      <w:r>
        <w:rPr>
          <w:spacing w:val="-3"/>
        </w:rPr>
        <w:t>①资产支出已经发生；</w:t>
      </w:r>
    </w:p>
    <w:p>
      <w:pPr>
        <w:pStyle w:val="BodyText"/>
        <w:spacing w:line="240" w:lineRule="auto" w:before="76"/>
        <w:ind w:left="662" w:right="0"/>
        <w:jc w:val="left"/>
      </w:pPr>
      <w:r>
        <w:rPr>
          <w:spacing w:val="-3"/>
        </w:rPr>
        <w:t>②借款费用已经发生；</w:t>
      </w:r>
    </w:p>
    <w:p>
      <w:pPr>
        <w:pStyle w:val="BodyText"/>
        <w:spacing w:line="319" w:lineRule="auto" w:before="76"/>
        <w:ind w:left="662" w:right="0"/>
        <w:jc w:val="left"/>
      </w:pPr>
      <w:r>
        <w:rPr>
          <w:spacing w:val="-3"/>
        </w:rPr>
        <w:t>③为使资产达到预定可使用状态所必要的购建或者生产活动已经开始。</w:t>
      </w:r>
      <w:r>
        <w:rPr>
          <w:spacing w:val="-2"/>
        </w:rPr>
        <w:t> </w:t>
      </w:r>
      <w:r>
        <w:rPr>
          <w:spacing w:val="-2"/>
        </w:rPr>
      </w:r>
      <w:r>
        <w:rPr>
          <w:spacing w:val="-3"/>
        </w:rPr>
        <w:t>其他的借款利息、折价或溢价和汇兑差额，计入发生当期的损益。</w:t>
      </w:r>
      <w:r>
        <w:rPr>
          <w:spacing w:val="-9"/>
        </w:rPr>
        <w:t> </w:t>
      </w:r>
      <w:r>
        <w:rPr>
          <w:spacing w:val="-9"/>
        </w:rPr>
      </w: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个月的，暂停借款费用的资本</w:t>
      </w:r>
    </w:p>
    <w:p>
      <w:pPr>
        <w:pStyle w:val="BodyText"/>
        <w:spacing w:line="233" w:lineRule="exact"/>
        <w:ind w:right="0"/>
        <w:jc w:val="left"/>
      </w:pPr>
      <w:r>
        <w:rPr/>
        <w:t>化。</w:t>
      </w:r>
    </w:p>
    <w:p>
      <w:pPr>
        <w:pStyle w:val="BodyText"/>
        <w:spacing w:line="240" w:lineRule="auto" w:before="76"/>
        <w:ind w:left="662" w:right="0"/>
        <w:jc w:val="left"/>
      </w:pPr>
      <w:r>
        <w:rPr>
          <w:spacing w:val="-4"/>
        </w:rPr>
        <w:t>当购建或者生产符合资本化条件的资产达到预定可使用或者可销售状态时，停止其借款费用的资本化；以后发生的借</w:t>
      </w:r>
    </w:p>
    <w:p>
      <w:pPr>
        <w:pStyle w:val="BodyText"/>
        <w:spacing w:line="240" w:lineRule="auto" w:before="76"/>
        <w:ind w:right="0"/>
        <w:jc w:val="left"/>
      </w:pPr>
      <w:r>
        <w:rPr>
          <w:spacing w:val="-3"/>
        </w:rPr>
        <w:t>款费用于发生当期确认为费用。</w:t>
      </w:r>
    </w:p>
    <w:p>
      <w:pPr>
        <w:pStyle w:val="BodyText"/>
        <w:spacing w:line="240" w:lineRule="auto" w:before="76"/>
        <w:ind w:left="518" w:right="0"/>
        <w:jc w:val="left"/>
      </w:pPr>
      <w:r>
        <w:rPr>
          <w:spacing w:val="-3"/>
        </w:rPr>
        <w:t>（</w:t>
      </w:r>
      <w:r>
        <w:rPr>
          <w:rFonts w:ascii="Times New Roman" w:hAnsi="Times New Roman" w:cs="Times New Roman" w:eastAsia="Times New Roman" w:hint="default"/>
          <w:spacing w:val="-3"/>
        </w:rPr>
        <w:t>2</w:t>
      </w:r>
      <w:r>
        <w:rPr>
          <w:spacing w:val="-3"/>
        </w:rPr>
        <w:t>）借款费用资本化率以及资本化金额的计算方法</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047" w:firstLine="508"/>
        <w:jc w:val="both"/>
      </w:pPr>
      <w:r>
        <w:rPr>
          <w:spacing w:val="-4"/>
        </w:rPr>
        <w:t>为购建或者生产符合资本化条件的资产而借入专门借款的，以专门借款当期实际发生的利息费用，减去将尚未动用的</w:t>
      </w:r>
      <w:r>
        <w:rPr>
          <w:w w:val="101"/>
        </w:rPr>
        <w:t> </w:t>
      </w:r>
      <w:r>
        <w:rPr>
          <w:spacing w:val="-3"/>
        </w:rPr>
        <w:t>借款资金存入银行取得的利息收入或者进行暂时性投资取得的投资收益后的金额，确定为专门借款利息费用的资本化金额。</w:t>
      </w:r>
    </w:p>
    <w:p>
      <w:pPr>
        <w:pStyle w:val="BodyText"/>
        <w:spacing w:line="319" w:lineRule="auto" w:before="19"/>
        <w:ind w:right="1124" w:firstLine="508"/>
        <w:jc w:val="both"/>
      </w:pPr>
      <w:r>
        <w:rPr>
          <w:spacing w:val="-4"/>
        </w:rPr>
        <w:t>购建或者生产符合资本化条件的资产占用了一般借款的，一般借款应予资本化的利息金额按累计资产支出超过专门借</w:t>
      </w:r>
      <w:r>
        <w:rPr>
          <w:w w:val="101"/>
        </w:rPr>
        <w:t> </w:t>
      </w:r>
      <w:r>
        <w:rPr>
          <w:spacing w:val="-4"/>
        </w:rPr>
        <w:t>款部分的资产支出加权平均数乘以所占用一般借款的资本化率，计算确定一般借款应予资本化的利息金额。资本化率根据一</w:t>
      </w:r>
      <w:r>
        <w:rPr>
          <w:spacing w:val="38"/>
        </w:rPr>
        <w:t> </w:t>
      </w:r>
      <w:r>
        <w:rPr>
          <w:spacing w:val="38"/>
        </w:rPr>
      </w:r>
      <w:r>
        <w:rPr>
          <w:spacing w:val="-3"/>
        </w:rPr>
        <w:t>般借款加权平均利率计算确定。</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26"/>
        <w:ind w:right="0"/>
        <w:jc w:val="left"/>
      </w:pPr>
      <w:r>
        <w:rPr/>
        <w:t>软件与信息技术服务业</w:t>
      </w:r>
    </w:p>
    <w:p>
      <w:pPr>
        <w:pStyle w:val="BodyText"/>
        <w:spacing w:line="300" w:lineRule="auto" w:before="115"/>
        <w:ind w:left="662" w:right="7602" w:hanging="144"/>
        <w:jc w:val="left"/>
      </w:pPr>
      <w:r>
        <w:rPr>
          <w:spacing w:val="-3"/>
        </w:rPr>
        <w:t>（</w:t>
      </w:r>
      <w:r>
        <w:rPr>
          <w:rFonts w:ascii="Times New Roman" w:hAnsi="Times New Roman" w:cs="Times New Roman" w:eastAsia="Times New Roman" w:hint="default"/>
          <w:spacing w:val="-3"/>
        </w:rPr>
        <w:t>1</w:t>
      </w:r>
      <w:r>
        <w:rPr>
          <w:spacing w:val="-3"/>
        </w:rPr>
        <w:t>）无形资产的计价方法</w:t>
      </w:r>
      <w:r>
        <w:rPr>
          <w:spacing w:val="-57"/>
        </w:rPr>
        <w:t> </w:t>
      </w:r>
      <w:r>
        <w:rPr>
          <w:spacing w:val="-57"/>
        </w:rPr>
      </w:r>
      <w:r>
        <w:rPr>
          <w:spacing w:val="-3"/>
        </w:rPr>
        <w:t>按取得时的实际成本入账。</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2</w:t>
      </w:r>
      <w:r>
        <w:rPr>
          <w:spacing w:val="-3"/>
        </w:rPr>
        <w:t>）无形资产使用寿命及摊销</w:t>
      </w:r>
    </w:p>
    <w:p>
      <w:pPr>
        <w:pStyle w:val="BodyText"/>
        <w:spacing w:line="240" w:lineRule="auto" w:before="63"/>
        <w:ind w:left="662" w:right="0"/>
        <w:jc w:val="left"/>
      </w:pPr>
      <w:r>
        <w:rPr>
          <w:spacing w:val="-3"/>
        </w:rPr>
        <w:t>①使用寿命有限的无形资产的使用寿命估计情况：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2521"/>
        <w:gridCol w:w="1556"/>
        <w:gridCol w:w="4785"/>
      </w:tblGrid>
      <w:tr>
        <w:trPr>
          <w:trHeight w:val="348" w:hRule="exact"/>
        </w:trPr>
        <w:tc>
          <w:tcPr>
            <w:tcW w:w="2521" w:type="dxa"/>
            <w:tcBorders>
              <w:top w:val="single" w:sz="6" w:space="0" w:color="000000"/>
              <w:left w:val="single" w:sz="6" w:space="0" w:color="000000"/>
              <w:bottom w:val="single" w:sz="8" w:space="0" w:color="000000"/>
              <w:right w:val="single" w:sz="6" w:space="0" w:color="000000"/>
            </w:tcBorders>
          </w:tcPr>
          <w:p>
            <w:pPr>
              <w:pStyle w:val="TableParagraph"/>
              <w:tabs>
                <w:tab w:pos="556" w:val="left" w:leader="none"/>
              </w:tabs>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5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785" w:type="dxa"/>
            <w:tcBorders>
              <w:top w:val="single" w:sz="6" w:space="0" w:color="000000"/>
              <w:left w:val="single" w:sz="6" w:space="0" w:color="000000"/>
              <w:bottom w:val="single" w:sz="8" w:space="0" w:color="000000"/>
              <w:right w:val="nil" w:sz="6" w:space="0" w:color="auto"/>
            </w:tcBorders>
          </w:tcPr>
          <w:p>
            <w:pPr>
              <w:pStyle w:val="TableParagraph"/>
              <w:tabs>
                <w:tab w:pos="551"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466" w:hRule="exact"/>
        </w:trPr>
        <w:tc>
          <w:tcPr>
            <w:tcW w:w="252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478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470" w:hRule="exact"/>
        </w:trPr>
        <w:tc>
          <w:tcPr>
            <w:tcW w:w="252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55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p>
        </w:tc>
        <w:tc>
          <w:tcPr>
            <w:tcW w:w="478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316" w:lineRule="auto" w:before="10"/>
        <w:ind w:right="0" w:firstLine="508"/>
        <w:jc w:val="left"/>
      </w:pPr>
      <w:r>
        <w:rPr>
          <w:spacing w:val="-4"/>
        </w:rPr>
        <w:t>每年年度终了，公司对使用寿命有限的无形资产的使用寿命及摊销方法进行复核。经复核，本期末无形资产的使用寿</w:t>
      </w:r>
      <w:r>
        <w:rPr>
          <w:w w:val="101"/>
        </w:rPr>
        <w:t> </w:t>
      </w:r>
      <w:r>
        <w:rPr>
          <w:spacing w:val="-3"/>
        </w:rPr>
        <w:t>命及摊销方法与以前估计未有不同。</w:t>
      </w:r>
    </w:p>
    <w:p>
      <w:pPr>
        <w:pStyle w:val="BodyText"/>
        <w:spacing w:line="319" w:lineRule="auto" w:before="19"/>
        <w:ind w:right="1026" w:firstLine="508"/>
        <w:jc w:val="left"/>
      </w:pPr>
      <w:r>
        <w:rPr>
          <w:spacing w:val="-6"/>
          <w:w w:val="101"/>
        </w:rPr>
        <w:t>②无法预见无形资产为企业带来经济利益期限的，视为使用寿命不确定的无形资产。对于使用寿命不确定的无形资产，</w:t>
      </w:r>
      <w:r>
        <w:rPr>
          <w:w w:val="101"/>
        </w:rPr>
        <w:t> </w:t>
      </w:r>
      <w:r>
        <w:rPr>
          <w:spacing w:val="-4"/>
        </w:rPr>
        <w:t>公司在每年年度终了对使用寿命不确定的无形资产的使用寿命进行复核，如果重新复核后仍为不确定的，于在资产负债表日</w:t>
      </w:r>
      <w:r>
        <w:rPr>
          <w:spacing w:val="38"/>
        </w:rPr>
        <w:t> </w:t>
      </w:r>
      <w:r>
        <w:rPr>
          <w:spacing w:val="38"/>
        </w:rPr>
      </w:r>
      <w:r>
        <w:rPr>
          <w:spacing w:val="-3"/>
        </w:rPr>
        <w:t>进行减值测试。</w:t>
      </w:r>
    </w:p>
    <w:p>
      <w:pPr>
        <w:pStyle w:val="BodyText"/>
        <w:spacing w:line="316" w:lineRule="auto" w:before="17"/>
        <w:ind w:left="662" w:right="0"/>
        <w:jc w:val="left"/>
      </w:pPr>
      <w:r>
        <w:rPr>
          <w:spacing w:val="-3"/>
        </w:rPr>
        <w:t>③无形资产的摊销</w:t>
      </w:r>
      <w:r>
        <w:rPr>
          <w:spacing w:val="-67"/>
        </w:rPr>
        <w:t> </w:t>
      </w:r>
      <w:r>
        <w:rPr>
          <w:spacing w:val="-67"/>
        </w:rPr>
      </w:r>
      <w:r>
        <w:rPr>
          <w:spacing w:val="-4"/>
        </w:rPr>
        <w:t>对于使用寿命有限的无形资产，本公司在取得时判定其使用寿命，在使用寿命内采用直线法系统合理摊销，摊销金额</w:t>
      </w:r>
    </w:p>
    <w:p>
      <w:pPr>
        <w:pStyle w:val="BodyText"/>
        <w:spacing w:line="319" w:lineRule="auto" w:before="19"/>
        <w:ind w:right="1124"/>
        <w:jc w:val="both"/>
      </w:pPr>
      <w:r>
        <w:rPr>
          <w:spacing w:val="-4"/>
        </w:rPr>
        <w:t>按受益项目计入当期损益。具体应摊销金额为其成本扣除预计残值后的金额。已计提减值准备的无形资产，还应扣除已计提</w:t>
      </w:r>
      <w:r>
        <w:rPr>
          <w:spacing w:val="43"/>
        </w:rPr>
        <w:t> </w:t>
      </w:r>
      <w:r>
        <w:rPr>
          <w:spacing w:val="43"/>
        </w:rPr>
      </w:r>
      <w:r>
        <w:rPr>
          <w:spacing w:val="-4"/>
        </w:rPr>
        <w:t>的无形资产减值准备累计金额，残值为零。但下列情况除外：有第三方承诺在无形资产使用寿命结束时购买该无形资产或可</w:t>
      </w:r>
      <w:r>
        <w:rPr>
          <w:spacing w:val="38"/>
        </w:rPr>
        <w:t> </w:t>
      </w:r>
      <w:r>
        <w:rPr>
          <w:spacing w:val="38"/>
        </w:rPr>
      </w:r>
      <w:r>
        <w:rPr>
          <w:spacing w:val="-3"/>
        </w:rPr>
        <w:t>以根据活跃市场得到预计残值信息，并且该市场在无形资产使用寿命结束时很可能存在。</w:t>
      </w:r>
    </w:p>
    <w:p>
      <w:pPr>
        <w:pStyle w:val="BodyText"/>
        <w:spacing w:line="316" w:lineRule="auto" w:before="17"/>
        <w:ind w:right="0" w:firstLine="508"/>
        <w:jc w:val="left"/>
      </w:pPr>
      <w:r>
        <w:rPr>
          <w:spacing w:val="-4"/>
        </w:rPr>
        <w:t>对使用寿命不确定的无形资产，不予摊销。每年年度终了对使用寿命不确定的无形资产的使用寿命进行复核，如果有</w:t>
      </w:r>
      <w:r>
        <w:rPr>
          <w:w w:val="101"/>
        </w:rPr>
        <w:t> </w:t>
      </w:r>
      <w:r>
        <w:rPr>
          <w:spacing w:val="-3"/>
        </w:rPr>
        <w:t>证据表明无形资产的使用寿命是有限的，估计其使用寿命并在预计使用年限内系统合理摊销。</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rFonts w:ascii="Times New Roman" w:hAnsi="Times New Roman" w:cs="Times New Roman" w:eastAsia="Times New Roman" w:hint="default"/>
          <w:spacing w:val="-3"/>
        </w:rPr>
        <w:t>1</w:t>
      </w:r>
      <w:r>
        <w:rPr>
          <w:spacing w:val="-3"/>
        </w:rPr>
        <w:t>）划分内部研究开发项目的研究阶段和开发阶段具体标准</w:t>
      </w:r>
    </w:p>
    <w:p>
      <w:pPr>
        <w:pStyle w:val="BodyText"/>
        <w:spacing w:line="316" w:lineRule="auto" w:before="63"/>
        <w:ind w:right="1026" w:firstLine="508"/>
        <w:jc w:val="left"/>
      </w:pPr>
      <w:r>
        <w:rPr>
          <w:spacing w:val="-4"/>
        </w:rPr>
        <w:t>①本公司将为进一步开发活动进行的资料及相关方面的准备活动作为研究阶段，无形资产研究阶段的支出在发生时计</w:t>
      </w:r>
      <w:r>
        <w:rPr>
          <w:w w:val="101"/>
        </w:rPr>
        <w:t> </w:t>
      </w:r>
      <w:r>
        <w:rPr/>
        <w:t>入当期损益。</w:t>
      </w:r>
    </w:p>
    <w:p>
      <w:pPr>
        <w:pStyle w:val="BodyText"/>
        <w:spacing w:line="240" w:lineRule="auto" w:before="19"/>
        <w:ind w:left="662" w:right="0"/>
        <w:jc w:val="left"/>
      </w:pPr>
      <w:r>
        <w:rPr>
          <w:spacing w:val="-3"/>
        </w:rPr>
        <w:t>②在本公司已完成研究阶段的工作后再进行的开发活动作为开发阶段。</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left="662" w:right="3567"/>
        <w:jc w:val="left"/>
      </w:pPr>
      <w:r>
        <w:rPr>
          <w:rFonts w:ascii="Times New Roman" w:hAnsi="Times New Roman" w:cs="Times New Roman" w:eastAsia="Times New Roman" w:hint="default"/>
          <w:spacing w:val="-3"/>
        </w:rPr>
        <w:t>2</w:t>
      </w:r>
      <w:r>
        <w:rPr>
          <w:spacing w:val="-3"/>
        </w:rPr>
        <w:t>）开发阶段支出资本化的具体条件</w:t>
      </w:r>
      <w:r>
        <w:rPr>
          <w:spacing w:val="-45"/>
        </w:rPr>
        <w:t> </w:t>
      </w:r>
      <w:r>
        <w:rPr>
          <w:spacing w:val="-45"/>
        </w:rPr>
      </w:r>
      <w:r>
        <w:rPr>
          <w:spacing w:val="-3"/>
        </w:rPr>
        <w:t>开发阶段的支出同时满足下列条件时，才能确认为无形资产：</w:t>
      </w:r>
      <w:r>
        <w:rPr>
          <w:spacing w:val="-15"/>
        </w:rPr>
        <w:t> </w:t>
      </w:r>
      <w:r>
        <w:rPr>
          <w:spacing w:val="-15"/>
        </w:rPr>
      </w:r>
      <w:r>
        <w:rPr>
          <w:rFonts w:ascii="Times New Roman" w:hAnsi="Times New Roman" w:cs="Times New Roman" w:eastAsia="Times New Roman" w:hint="default"/>
          <w:spacing w:val="-3"/>
        </w:rPr>
        <w:t>A.</w:t>
      </w:r>
      <w:r>
        <w:rPr>
          <w:spacing w:val="-3"/>
        </w:rPr>
        <w:t>完成该无形资产以使其能够使用或出售在技术上具有可行性；</w:t>
      </w:r>
      <w:r>
        <w:rPr>
          <w:spacing w:val="-6"/>
        </w:rPr>
        <w:t> </w:t>
      </w:r>
      <w:r>
        <w:rPr>
          <w:spacing w:val="-6"/>
        </w:rPr>
      </w:r>
      <w:r>
        <w:rPr>
          <w:rFonts w:ascii="Times New Roman" w:hAnsi="Times New Roman" w:cs="Times New Roman" w:eastAsia="Times New Roman" w:hint="default"/>
          <w:spacing w:val="-3"/>
        </w:rPr>
        <w:t>B.</w:t>
      </w:r>
      <w:r>
        <w:rPr>
          <w:spacing w:val="-3"/>
        </w:rPr>
        <w:t>具有完成该无形资产并使用或出售的意图；</w:t>
      </w:r>
    </w:p>
    <w:p>
      <w:pPr>
        <w:pStyle w:val="BodyText"/>
        <w:spacing w:line="300" w:lineRule="auto" w:before="7"/>
        <w:ind w:right="0" w:firstLine="508"/>
        <w:jc w:val="left"/>
      </w:pPr>
      <w:r>
        <w:rPr>
          <w:rFonts w:ascii="Times New Roman" w:hAnsi="Times New Roman" w:cs="Times New Roman" w:eastAsia="Times New Roman" w:hint="default"/>
          <w:spacing w:val="-4"/>
        </w:rPr>
        <w:t>C.</w:t>
      </w:r>
      <w:r>
        <w:rPr>
          <w:spacing w:val="-4"/>
        </w:rPr>
        <w:t>无形资产产生经济利益的方式，包括能够证明运用该无形资产生产的产品存在市场或无形资产自身存在市场，无形</w:t>
      </w:r>
      <w:r>
        <w:rPr>
          <w:w w:val="101"/>
        </w:rPr>
        <w:t> </w:t>
      </w:r>
      <w:r>
        <w:rPr>
          <w:spacing w:val="-3"/>
        </w:rPr>
        <w:t>资产将在内部使用的，能够证明其有用性；</w:t>
      </w:r>
    </w:p>
    <w:p>
      <w:pPr>
        <w:pStyle w:val="BodyText"/>
        <w:spacing w:line="300" w:lineRule="auto" w:before="31"/>
        <w:ind w:left="662" w:right="0"/>
        <w:jc w:val="left"/>
      </w:pPr>
      <w:r>
        <w:rPr>
          <w:rFonts w:ascii="Times New Roman" w:hAnsi="Times New Roman" w:cs="Times New Roman" w:eastAsia="Times New Roman" w:hint="default"/>
          <w:spacing w:val="-3"/>
        </w:rPr>
        <w:t>D.</w:t>
      </w:r>
      <w:r>
        <w:rPr>
          <w:spacing w:val="-3"/>
        </w:rPr>
        <w:t>有足够的技术、财务资源和其他资源支持，以完成该无形资产的开发，并有能力使用或出售该无形资产；</w:t>
      </w:r>
      <w:r>
        <w:rPr>
          <w:spacing w:val="45"/>
        </w:rPr>
        <w:t> </w:t>
      </w:r>
      <w:r>
        <w:rPr>
          <w:spacing w:val="45"/>
        </w:rPr>
      </w:r>
      <w:r>
        <w:rPr>
          <w:rFonts w:ascii="Times New Roman" w:hAnsi="Times New Roman" w:cs="Times New Roman" w:eastAsia="Times New Roman" w:hint="default"/>
          <w:spacing w:val="-3"/>
        </w:rPr>
        <w:t>E.</w:t>
      </w:r>
      <w:r>
        <w:rPr>
          <w:spacing w:val="-3"/>
        </w:rPr>
        <w:t>归属于该无形资产开发阶段的支出能够可靠地计量。</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0" w:hanging="144"/>
        <w:jc w:val="left"/>
      </w:pPr>
      <w:r>
        <w:rPr>
          <w:spacing w:val="-3"/>
        </w:rPr>
        <w:t>（</w:t>
      </w:r>
      <w:r>
        <w:rPr>
          <w:rFonts w:ascii="Times New Roman" w:hAnsi="Times New Roman" w:cs="Times New Roman" w:eastAsia="Times New Roman" w:hint="default"/>
          <w:spacing w:val="-3"/>
        </w:rPr>
        <w:t>1</w:t>
      </w:r>
      <w:r>
        <w:rPr>
          <w:spacing w:val="-3"/>
        </w:rPr>
        <w:t>）长期股权投资减值测试方法及会计处理方法</w:t>
      </w:r>
      <w:r>
        <w:rPr>
          <w:spacing w:val="-28"/>
        </w:rPr>
        <w:t> </w:t>
      </w:r>
      <w:r>
        <w:rPr>
          <w:spacing w:val="-28"/>
        </w:rPr>
      </w:r>
      <w:r>
        <w:rPr>
          <w:spacing w:val="-4"/>
        </w:rPr>
        <w:t>本公司在资产负债表日对长期股权投资进行逐项检查，根据被投资单位经营政策、法律环境、市场需求、行业及盈利</w:t>
      </w:r>
    </w:p>
    <w:p>
      <w:pPr>
        <w:pStyle w:val="BodyText"/>
        <w:spacing w:line="316" w:lineRule="auto" w:before="32"/>
        <w:ind w:right="0"/>
        <w:jc w:val="left"/>
      </w:pPr>
      <w:r>
        <w:rPr>
          <w:spacing w:val="-4"/>
        </w:rPr>
        <w:t>能力等的各种变化判断长期股权投资是否存在减值迹象。当长期股权投资可收回金额低于账面价值时，将可收回金额低于长</w:t>
      </w:r>
      <w:r>
        <w:rPr>
          <w:spacing w:val="45"/>
        </w:rPr>
        <w:t> </w:t>
      </w:r>
      <w:r>
        <w:rPr>
          <w:spacing w:val="45"/>
        </w:rPr>
      </w:r>
      <w:r>
        <w:rPr>
          <w:spacing w:val="-3"/>
        </w:rPr>
        <w:t>期股权投资账面价值的差额作为长期股权投资减值准备予以计提。资产减值损失一经确认，在以后会计期间不再转回。</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2</w:t>
      </w:r>
      <w:r>
        <w:rPr>
          <w:spacing w:val="-3"/>
        </w:rPr>
        <w:t>）投资性房地产减值测试方法及会计处理方法</w:t>
      </w:r>
      <w:r>
        <w:rPr>
          <w:spacing w:val="-28"/>
        </w:rPr>
        <w:t> </w:t>
      </w:r>
      <w:r>
        <w:rPr>
          <w:spacing w:val="-28"/>
        </w:rPr>
      </w:r>
      <w:r>
        <w:rPr>
          <w:spacing w:val="-4"/>
        </w:rPr>
        <w:t>资产负债表日按投资性房产的成本与可收回金额孰低计价，可收回金额低于成本的，按两者的差额计提减值准备。如</w:t>
      </w:r>
    </w:p>
    <w:p>
      <w:pPr>
        <w:pStyle w:val="BodyText"/>
        <w:spacing w:line="240" w:lineRule="auto" w:before="31"/>
        <w:ind w:right="0"/>
        <w:jc w:val="left"/>
      </w:pPr>
      <w:r>
        <w:rPr>
          <w:spacing w:val="-3"/>
        </w:rPr>
        <w:t>果已经计提减值准备的投资性房地产的价值又得以恢复，前期已计提的减值准备不得转回。</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3</w:t>
      </w:r>
      <w:r>
        <w:rPr>
          <w:spacing w:val="-3"/>
        </w:rPr>
        <w:t>）固定资产的减值测试方法及会计处理方法</w:t>
      </w:r>
      <w:r>
        <w:rPr>
          <w:spacing w:val="-28"/>
        </w:rPr>
        <w:t> </w:t>
      </w:r>
      <w:r>
        <w:rPr>
          <w:spacing w:val="-28"/>
        </w:rPr>
      </w:r>
      <w:r>
        <w:rPr>
          <w:spacing w:val="-4"/>
        </w:rPr>
        <w:t>本公司在资产负债表日对各项固定资产进行判断，当存在减值迹象，估计可收回金额低于其账面价值时，账面价值减</w:t>
      </w:r>
    </w:p>
    <w:p>
      <w:pPr>
        <w:pStyle w:val="BodyText"/>
        <w:spacing w:line="316" w:lineRule="auto" w:before="31"/>
        <w:ind w:right="0"/>
        <w:jc w:val="left"/>
      </w:pPr>
      <w:r>
        <w:rPr>
          <w:spacing w:val="-6"/>
        </w:rPr>
        <w:t>记至可收回金额，减记的金额确认为资产减值损失，计入当期损益，同时计提相应的资产减值准备。资产减值损失一经确认，</w:t>
      </w:r>
      <w:r>
        <w:rPr>
          <w:spacing w:val="63"/>
        </w:rPr>
        <w:t> </w:t>
      </w:r>
      <w:r>
        <w:rPr>
          <w:spacing w:val="63"/>
        </w:rPr>
      </w:r>
      <w:r>
        <w:rPr>
          <w:spacing w:val="-3"/>
        </w:rPr>
        <w:t>在以后会计期间不再转回。当存在下列迹象的，按固定资产单项项目全额计提减值准备：</w:t>
      </w:r>
    </w:p>
    <w:p>
      <w:pPr>
        <w:pStyle w:val="BodyText"/>
        <w:spacing w:line="240" w:lineRule="auto" w:before="19"/>
        <w:ind w:left="662" w:right="0"/>
        <w:jc w:val="left"/>
      </w:pPr>
      <w:r>
        <w:rPr>
          <w:spacing w:val="-3"/>
        </w:rPr>
        <w:t>①长期闲置不用，在可预见的未来不会再使用，且已无转让价值的固定资产；</w:t>
      </w:r>
    </w:p>
    <w:p>
      <w:pPr>
        <w:pStyle w:val="BodyText"/>
        <w:spacing w:line="240" w:lineRule="auto" w:before="76"/>
        <w:ind w:left="662" w:right="0"/>
        <w:jc w:val="left"/>
      </w:pPr>
      <w:r>
        <w:rPr>
          <w:spacing w:val="-3"/>
        </w:rPr>
        <w:t>②由于技术进步等原因，已不可使用的固定资产；</w:t>
      </w:r>
    </w:p>
    <w:p>
      <w:pPr>
        <w:pStyle w:val="BodyText"/>
        <w:spacing w:line="240" w:lineRule="auto" w:before="77"/>
        <w:ind w:left="662" w:right="0"/>
        <w:jc w:val="left"/>
      </w:pPr>
      <w:r>
        <w:rPr>
          <w:spacing w:val="-3"/>
        </w:rPr>
        <w:t>③虽然固定资产尚可使用，但使用后产生大量不合格品的固定资产；</w:t>
      </w:r>
    </w:p>
    <w:p>
      <w:pPr>
        <w:pStyle w:val="BodyText"/>
        <w:spacing w:line="240" w:lineRule="auto" w:before="76"/>
        <w:ind w:left="662" w:right="0"/>
        <w:jc w:val="left"/>
      </w:pPr>
      <w:r>
        <w:rPr>
          <w:spacing w:val="-3"/>
        </w:rPr>
        <w:t>④已遭毁损，以至于不再具有使用价值和转让价值的固定资产；</w:t>
      </w:r>
    </w:p>
    <w:p>
      <w:pPr>
        <w:pStyle w:val="BodyText"/>
        <w:spacing w:line="240" w:lineRule="auto" w:before="76"/>
        <w:ind w:left="662" w:right="0"/>
        <w:jc w:val="left"/>
      </w:pPr>
      <w:r>
        <w:rPr>
          <w:spacing w:val="-3"/>
        </w:rPr>
        <w:t>⑤其他实质上已经不能再给公司带来经济利益的固定资产。</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4</w:t>
      </w:r>
      <w:r>
        <w:rPr>
          <w:spacing w:val="-3"/>
        </w:rPr>
        <w:t>）在建工程减值测试方法及会计处理方法</w:t>
      </w:r>
      <w:r>
        <w:rPr>
          <w:spacing w:val="-34"/>
        </w:rPr>
        <w:t> </w:t>
      </w:r>
      <w:r>
        <w:rPr>
          <w:spacing w:val="-34"/>
        </w:rPr>
      </w:r>
      <w:r>
        <w:rPr>
          <w:spacing w:val="-4"/>
        </w:rPr>
        <w:t>本公司于资产负债表日对在建工程进行全面检查，如果有证据表明在建工程已经发生了减值，估计可收回金额低于其</w:t>
      </w:r>
    </w:p>
    <w:p>
      <w:pPr>
        <w:pStyle w:val="BodyText"/>
        <w:spacing w:line="316" w:lineRule="auto" w:before="32"/>
        <w:ind w:right="0"/>
        <w:jc w:val="left"/>
      </w:pPr>
      <w:r>
        <w:rPr>
          <w:spacing w:val="-6"/>
        </w:rPr>
        <w:t>账面价值时，账面价值减记至可收回金额，减记的金额确认为资产减值损失，计入当期损益，同时计提相应的资产减值准备。</w:t>
      </w:r>
      <w:r>
        <w:rPr>
          <w:spacing w:val="63"/>
        </w:rPr>
        <w:t> </w:t>
      </w:r>
      <w:r>
        <w:rPr>
          <w:spacing w:val="63"/>
        </w:rPr>
      </w:r>
      <w:r>
        <w:rPr>
          <w:spacing w:val="-3"/>
        </w:rPr>
        <w:t>资产减值损失一经确认，在以后会计期间不再转回。存在下列一项或若干项情况的，对在建工程进行减值测试：</w:t>
      </w:r>
    </w:p>
    <w:p>
      <w:pPr>
        <w:pStyle w:val="BodyText"/>
        <w:spacing w:line="240" w:lineRule="auto" w:before="19"/>
        <w:ind w:left="662" w:right="0"/>
        <w:jc w:val="left"/>
      </w:pPr>
      <w:r>
        <w:rPr>
          <w:spacing w:val="-3"/>
        </w:rPr>
        <w:t>①长期停建并且预计在未来</w:t>
      </w:r>
      <w:r>
        <w:rPr>
          <w:rFonts w:ascii="Times New Roman" w:hAnsi="Times New Roman" w:cs="Times New Roman" w:eastAsia="Times New Roman" w:hint="default"/>
          <w:spacing w:val="-3"/>
        </w:rPr>
        <w:t>3</w:t>
      </w:r>
      <w:r>
        <w:rPr>
          <w:spacing w:val="-3"/>
        </w:rPr>
        <w:t>年内不会重新开工的在建工程；</w:t>
      </w:r>
    </w:p>
    <w:p>
      <w:pPr>
        <w:pStyle w:val="BodyText"/>
        <w:spacing w:line="240" w:lineRule="auto" w:before="63"/>
        <w:ind w:left="662" w:right="0"/>
        <w:jc w:val="left"/>
      </w:pPr>
      <w:r>
        <w:rPr>
          <w:spacing w:val="-3"/>
        </w:rPr>
        <w:t>②所建项目无论在性能上，还是在技术上已经落后，并且给企业带来的经济利益具有很大的不确定性；</w:t>
      </w:r>
    </w:p>
    <w:p>
      <w:pPr>
        <w:pStyle w:val="BodyText"/>
        <w:spacing w:line="240" w:lineRule="auto" w:before="76"/>
        <w:ind w:left="662" w:right="0"/>
        <w:jc w:val="left"/>
      </w:pPr>
      <w:r>
        <w:rPr>
          <w:spacing w:val="-3"/>
        </w:rPr>
        <w:t>③其他足以证明在建工程已经发生减值的情形。</w:t>
      </w:r>
    </w:p>
    <w:p>
      <w:pPr>
        <w:pStyle w:val="BodyText"/>
        <w:spacing w:line="300" w:lineRule="auto" w:before="77"/>
        <w:ind w:left="662" w:right="0" w:hanging="144"/>
        <w:jc w:val="left"/>
      </w:pPr>
      <w:r>
        <w:rPr>
          <w:spacing w:val="-3"/>
        </w:rPr>
        <w:t>（</w:t>
      </w:r>
      <w:r>
        <w:rPr>
          <w:rFonts w:ascii="Times New Roman" w:hAnsi="Times New Roman" w:cs="Times New Roman" w:eastAsia="Times New Roman" w:hint="default"/>
          <w:spacing w:val="-3"/>
        </w:rPr>
        <w:t>5</w:t>
      </w:r>
      <w:r>
        <w:rPr>
          <w:spacing w:val="-3"/>
        </w:rPr>
        <w:t>）无形资产减值测试方法及会计处理方法</w:t>
      </w:r>
      <w:r>
        <w:rPr>
          <w:spacing w:val="-34"/>
        </w:rPr>
        <w:t> </w:t>
      </w:r>
      <w:r>
        <w:rPr>
          <w:spacing w:val="-34"/>
        </w:rPr>
      </w:r>
      <w:r>
        <w:rPr>
          <w:spacing w:val="-6"/>
          <w:w w:val="101"/>
        </w:rPr>
        <w:t>当无形资产的可收回金额低于其账面价值时，将资产的账面价值减记至可收回金额，减记的金额确认为资产减值损失，</w:t>
      </w:r>
      <w:r>
        <w:rPr>
          <w:spacing w:val="-6"/>
        </w:rPr>
      </w:r>
    </w:p>
    <w:p>
      <w:pPr>
        <w:pStyle w:val="BodyText"/>
        <w:spacing w:line="316" w:lineRule="auto" w:before="31"/>
        <w:ind w:right="0"/>
        <w:jc w:val="left"/>
      </w:pPr>
      <w:r>
        <w:rPr>
          <w:spacing w:val="-4"/>
        </w:rPr>
        <w:t>计入当期损益，同时计提相应的无形资产减值准备。无形资产减值损失一经确认，在以后会计期间不再转回。存在下列一项</w:t>
      </w:r>
      <w:r>
        <w:rPr>
          <w:spacing w:val="40"/>
        </w:rPr>
        <w:t> </w:t>
      </w:r>
      <w:r>
        <w:rPr>
          <w:spacing w:val="40"/>
        </w:rPr>
      </w:r>
      <w:r>
        <w:rPr>
          <w:spacing w:val="-3"/>
        </w:rPr>
        <w:t>或多项以下情况的，对无形资产进行减值测试：</w:t>
      </w:r>
    </w:p>
    <w:p>
      <w:pPr>
        <w:pStyle w:val="BodyText"/>
        <w:spacing w:line="240" w:lineRule="auto" w:before="19"/>
        <w:ind w:left="662" w:right="0"/>
        <w:jc w:val="left"/>
      </w:pPr>
      <w:r>
        <w:rPr>
          <w:spacing w:val="-3"/>
        </w:rPr>
        <w:t>①该无形资产已被其他新技术等所替代，使其为企业创造经济利益的能力受到重大不利影响；</w:t>
      </w:r>
    </w:p>
    <w:p>
      <w:pPr>
        <w:pStyle w:val="BodyText"/>
        <w:spacing w:line="240" w:lineRule="auto" w:before="77"/>
        <w:ind w:left="662" w:right="0"/>
        <w:jc w:val="left"/>
      </w:pPr>
      <w:r>
        <w:rPr>
          <w:spacing w:val="-3"/>
        </w:rPr>
        <w:t>②该无形资产的市价在当期大幅下跌，并在剩余年限内可能不会回升；</w:t>
      </w:r>
    </w:p>
    <w:p>
      <w:pPr>
        <w:pStyle w:val="BodyText"/>
        <w:spacing w:line="240" w:lineRule="auto" w:before="76"/>
        <w:ind w:left="662" w:right="0"/>
        <w:jc w:val="left"/>
      </w:pPr>
      <w:r>
        <w:rPr>
          <w:spacing w:val="-3"/>
        </w:rPr>
        <w:t>③其他足以表明该无形资产的账面价值已超过可收回金额的情况。</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6</w:t>
      </w:r>
      <w:r>
        <w:rPr>
          <w:spacing w:val="-3"/>
        </w:rPr>
        <w:t>）商誉减值测试</w:t>
      </w:r>
      <w:r>
        <w:rPr>
          <w:spacing w:val="-63"/>
        </w:rPr>
        <w:t> </w:t>
      </w:r>
      <w:r>
        <w:rPr>
          <w:spacing w:val="-63"/>
        </w:rPr>
      </w:r>
      <w:r>
        <w:rPr>
          <w:spacing w:val="-4"/>
        </w:rPr>
        <w:t>企业合并形成的商誉，至少在每年年度终了进行减值测试。本公司在对包含商誉的相关资产组或者资产组组合进行减</w:t>
      </w:r>
    </w:p>
    <w:p>
      <w:pPr>
        <w:pStyle w:val="BodyText"/>
        <w:spacing w:line="240" w:lineRule="auto" w:before="31"/>
        <w:ind w:right="0"/>
        <w:jc w:val="left"/>
      </w:pPr>
      <w:r>
        <w:rPr>
          <w:spacing w:val="-3"/>
        </w:rPr>
        <w:t>值测试时，如与商誉相关的资产组或者资产组组合存在减值迹象的，按以下步骤处理：</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508"/>
        <w:jc w:val="both"/>
      </w:pPr>
      <w:r>
        <w:rPr>
          <w:spacing w:val="-4"/>
        </w:rPr>
        <w:t>首先对不包含商誉的资产组或者资产组组合进行减值测试，计算可收回金额，并与相关资产账面价值比较，确认相应</w:t>
      </w:r>
      <w:r>
        <w:rPr>
          <w:w w:val="101"/>
        </w:rPr>
        <w:t> </w:t>
      </w:r>
      <w:r>
        <w:rPr>
          <w:spacing w:val="-4"/>
        </w:rPr>
        <w:t>的减值损失；然后再对包含商誉的资产组或者资产组这组合进行减值测试，比较这些相关资产组或者资产组组合的账面价值</w:t>
      </w:r>
    </w:p>
    <w:p>
      <w:pPr>
        <w:pStyle w:val="BodyText"/>
        <w:spacing w:line="319" w:lineRule="auto" w:before="19"/>
        <w:ind w:right="1124"/>
        <w:jc w:val="both"/>
      </w:pPr>
      <w:r>
        <w:rPr>
          <w:spacing w:val="-4"/>
        </w:rPr>
        <w:t>（包括所分摊的商誉的账面价值部分）与其可收回金额，如相关资产组或者资产组组合的可收回金额低于其账面价值的，就</w:t>
      </w:r>
      <w:r>
        <w:rPr>
          <w:spacing w:val="43"/>
        </w:rPr>
        <w:t> </w:t>
      </w:r>
      <w:r>
        <w:rPr>
          <w:spacing w:val="43"/>
        </w:rPr>
      </w:r>
      <w:r>
        <w:rPr>
          <w:spacing w:val="-4"/>
        </w:rPr>
        <w:t>其差额确认减值损失。减值损失金额首先抵减分摊至资产组或者资产组组合中商誉的账面价值；再根据资产组或者资产组组</w:t>
      </w:r>
      <w:r>
        <w:rPr>
          <w:spacing w:val="43"/>
        </w:rPr>
        <w:t> </w:t>
      </w:r>
      <w:r>
        <w:rPr>
          <w:spacing w:val="43"/>
        </w:rPr>
      </w:r>
      <w:r>
        <w:rPr>
          <w:spacing w:val="-3"/>
        </w:rPr>
        <w:t>合中除商誉之外的其他各项资产的账面价值所占比重，按比例抵减其他各项资产的账面价值。</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62" w:right="0"/>
        <w:jc w:val="left"/>
      </w:pPr>
      <w:r>
        <w:rPr>
          <w:spacing w:val="-3"/>
        </w:rPr>
        <w:t>长期待摊费用核算本公司已经发生但应由本期和以后各期负担的分摊期限在一年以上的各项费用。</w:t>
      </w:r>
      <w:r>
        <w:rPr>
          <w:spacing w:val="32"/>
        </w:rPr>
        <w:t> </w:t>
      </w:r>
      <w:r>
        <w:rPr>
          <w:spacing w:val="32"/>
        </w:rPr>
      </w:r>
      <w:r>
        <w:rPr>
          <w:spacing w:val="-3"/>
        </w:rPr>
        <w:t>本公司长期待摊费用在受益期内平均摊销。</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62" w:right="0"/>
        <w:jc w:val="left"/>
      </w:pPr>
      <w:r>
        <w:rPr>
          <w:spacing w:val="-3"/>
        </w:rPr>
        <w:t>①职工基本薪酬（工资、奖金、津贴、补贴）</w:t>
      </w:r>
      <w:r>
        <w:rPr>
          <w:spacing w:val="-32"/>
        </w:rPr>
        <w:t> </w:t>
      </w:r>
      <w:r>
        <w:rPr>
          <w:spacing w:val="-32"/>
        </w:rPr>
      </w:r>
      <w:r>
        <w:rPr>
          <w:spacing w:val="-4"/>
        </w:rPr>
        <w:t>本公司在职工为其提供服务的会计期间，将实际发生的短期薪酬确认为负债，并计入当期损益，其他会计准则要求或</w:t>
      </w:r>
    </w:p>
    <w:p>
      <w:pPr>
        <w:pStyle w:val="BodyText"/>
        <w:spacing w:line="240" w:lineRule="auto" w:before="19"/>
        <w:ind w:right="0"/>
        <w:jc w:val="both"/>
      </w:pPr>
      <w:r>
        <w:rPr>
          <w:spacing w:val="-3"/>
        </w:rPr>
        <w:t>允许计入资产成本的除外。</w:t>
      </w:r>
    </w:p>
    <w:p>
      <w:pPr>
        <w:pStyle w:val="BodyText"/>
        <w:spacing w:line="319" w:lineRule="auto" w:before="76"/>
        <w:ind w:left="662" w:right="1026"/>
        <w:jc w:val="left"/>
      </w:pPr>
      <w:r>
        <w:rPr>
          <w:spacing w:val="-3"/>
        </w:rPr>
        <w:t>②职工福利费</w:t>
      </w:r>
      <w:r>
        <w:rPr>
          <w:spacing w:val="-73"/>
        </w:rPr>
        <w:t> </w:t>
      </w:r>
      <w:r>
        <w:rPr>
          <w:spacing w:val="-73"/>
        </w:rPr>
      </w:r>
      <w:r>
        <w:rPr>
          <w:spacing w:val="-4"/>
        </w:rPr>
        <w:t>本公司发生的职工福利费，在实际发生时根据实际发生额计入当期损益或相关资产成本。职工福利费为非货币性福利</w:t>
      </w:r>
    </w:p>
    <w:p>
      <w:pPr>
        <w:pStyle w:val="BodyText"/>
        <w:spacing w:line="240" w:lineRule="auto" w:before="17"/>
        <w:ind w:right="0"/>
        <w:jc w:val="both"/>
      </w:pPr>
      <w:r>
        <w:rPr>
          <w:spacing w:val="-3"/>
        </w:rPr>
        <w:t>的，按照公允价值计量。</w:t>
      </w:r>
    </w:p>
    <w:p>
      <w:pPr>
        <w:pStyle w:val="BodyText"/>
        <w:spacing w:line="316" w:lineRule="auto" w:before="76"/>
        <w:ind w:left="662" w:right="0"/>
        <w:jc w:val="left"/>
      </w:pPr>
      <w:r>
        <w:rPr>
          <w:spacing w:val="-3"/>
        </w:rPr>
        <w:t>③医疗保险费、工伤保险费、生育保险费等社会保险费和住房公积金，以及工会经费和职工教育经费</w:t>
      </w:r>
      <w:r>
        <w:rPr>
          <w:spacing w:val="37"/>
        </w:rPr>
        <w:t> </w:t>
      </w:r>
      <w:r>
        <w:rPr>
          <w:spacing w:val="37"/>
        </w:rPr>
      </w:r>
      <w:r>
        <w:rPr>
          <w:spacing w:val="-4"/>
        </w:rPr>
        <w:t>本公司为职工缴纳的医疗保险费、工伤保险费、生育保险费等社会保险费和住房公积金，以及按规定提取的工会经费</w:t>
      </w:r>
    </w:p>
    <w:p>
      <w:pPr>
        <w:pStyle w:val="BodyText"/>
        <w:spacing w:line="319" w:lineRule="auto" w:before="19"/>
        <w:ind w:right="0"/>
        <w:jc w:val="left"/>
      </w:pPr>
      <w:r>
        <w:rPr>
          <w:spacing w:val="-4"/>
        </w:rPr>
        <w:t>和职工教育经费，在职工为其提供服务的会计期间，根据规定的计提基础和计提比例计算确定相应的职工薪酬金额，并确认</w:t>
      </w:r>
      <w:r>
        <w:rPr>
          <w:spacing w:val="43"/>
        </w:rPr>
        <w:t> </w:t>
      </w:r>
      <w:r>
        <w:rPr>
          <w:spacing w:val="43"/>
        </w:rPr>
      </w:r>
      <w:r>
        <w:rPr>
          <w:spacing w:val="-3"/>
        </w:rPr>
        <w:t>相应负债，计入当期损益或相关资产成本。</w:t>
      </w:r>
    </w:p>
    <w:p>
      <w:pPr>
        <w:pStyle w:val="BodyText"/>
        <w:spacing w:line="316" w:lineRule="auto" w:before="17"/>
        <w:ind w:left="662" w:right="1026"/>
        <w:jc w:val="left"/>
      </w:pPr>
      <w:r>
        <w:rPr>
          <w:spacing w:val="-3"/>
        </w:rPr>
        <w:t>④短期带薪缺勤</w:t>
      </w:r>
      <w:r>
        <w:rPr>
          <w:spacing w:val="-68"/>
        </w:rPr>
        <w:t> </w:t>
      </w:r>
      <w:r>
        <w:rPr>
          <w:spacing w:val="-68"/>
        </w:rPr>
      </w:r>
      <w:r>
        <w:rPr>
          <w:spacing w:val="-4"/>
        </w:rPr>
        <w:t>本公司在职工提供服务从而增加了其未来享有的带薪缺勤权利时，确认与累积带薪缺勤相关的职工薪酬，并以累积未</w:t>
      </w:r>
    </w:p>
    <w:p>
      <w:pPr>
        <w:pStyle w:val="BodyText"/>
        <w:spacing w:line="240" w:lineRule="auto" w:before="19"/>
        <w:ind w:right="0"/>
        <w:jc w:val="both"/>
      </w:pPr>
      <w:r>
        <w:rPr>
          <w:spacing w:val="-3"/>
        </w:rPr>
        <w:t>行使权利而增加的预期支付金额计量。本公司在职工实际发生缺勤的会计期间确认与非累积带薪缺勤相关的职工薪酬。</w:t>
      </w:r>
    </w:p>
    <w:p>
      <w:pPr>
        <w:pStyle w:val="BodyText"/>
        <w:spacing w:line="312" w:lineRule="auto" w:before="76"/>
        <w:ind w:left="662" w:right="3567"/>
        <w:jc w:val="left"/>
      </w:pPr>
      <w:r>
        <w:rPr>
          <w:spacing w:val="-3"/>
        </w:rPr>
        <w:t>⑤短期利润分享计划</w:t>
      </w:r>
      <w:r>
        <w:rPr>
          <w:spacing w:val="-62"/>
        </w:rPr>
        <w:t> </w:t>
      </w:r>
      <w:r>
        <w:rPr>
          <w:spacing w:val="-62"/>
        </w:rPr>
      </w:r>
      <w:r>
        <w:rPr>
          <w:spacing w:val="-3"/>
        </w:rPr>
        <w:t>利润分享计划同时满足下列条件的，本公司确认相关的应付职工薪酬： </w:t>
      </w:r>
      <w:r>
        <w:rPr>
          <w:spacing w:val="-3"/>
        </w:rPr>
      </w:r>
      <w:r>
        <w:rPr>
          <w:rFonts w:ascii="Times New Roman" w:hAnsi="Times New Roman" w:cs="Times New Roman" w:eastAsia="Times New Roman" w:hint="default"/>
          <w:spacing w:val="-3"/>
        </w:rPr>
        <w:t>A.</w:t>
      </w:r>
      <w:r>
        <w:rPr>
          <w:spacing w:val="-3"/>
        </w:rPr>
        <w:t>企业因过去事项导致现在具有支付职工薪酬的法定义务或推定义务；</w:t>
      </w:r>
      <w:r>
        <w:rPr/>
        <w:t> </w:t>
      </w:r>
      <w:r>
        <w:rPr/>
      </w:r>
      <w:r>
        <w:rPr>
          <w:rFonts w:ascii="Times New Roman" w:hAnsi="Times New Roman" w:cs="Times New Roman" w:eastAsia="Times New Roman" w:hint="default"/>
          <w:spacing w:val="-3"/>
        </w:rPr>
        <w:t>B.</w:t>
      </w:r>
      <w:r>
        <w:rPr>
          <w:spacing w:val="-3"/>
        </w:rPr>
        <w:t>因利润分享计划所产生的应付职工薪酬义务金额能够可靠估计。</w:t>
      </w:r>
    </w:p>
    <w:p>
      <w:pPr>
        <w:spacing w:line="240" w:lineRule="auto" w:before="4"/>
        <w:rPr>
          <w:rFonts w:ascii="宋体" w:hAnsi="宋体" w:cs="宋体" w:eastAsia="宋体" w:hint="default"/>
          <w:sz w:val="16"/>
          <w:szCs w:val="1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662" w:right="1026"/>
        <w:jc w:val="left"/>
      </w:pPr>
      <w:r>
        <w:rPr>
          <w:spacing w:val="-3"/>
        </w:rPr>
        <w:t>①设定提存计划</w:t>
      </w:r>
      <w:r>
        <w:rPr>
          <w:spacing w:val="-68"/>
        </w:rPr>
        <w:t> </w:t>
      </w:r>
      <w:r>
        <w:rPr>
          <w:spacing w:val="-68"/>
        </w:rPr>
      </w:r>
      <w:r>
        <w:rPr>
          <w:spacing w:val="-4"/>
        </w:rPr>
        <w:t>本公司在职工为其提供服务的会计期间，将根据设定提存计划计算的应缴存金额确认为负债，并计入当期损益或相关</w:t>
      </w:r>
    </w:p>
    <w:p>
      <w:pPr>
        <w:pStyle w:val="BodyText"/>
        <w:spacing w:line="240" w:lineRule="auto" w:before="19"/>
        <w:ind w:right="0"/>
        <w:jc w:val="both"/>
      </w:pPr>
      <w:r>
        <w:rPr/>
        <w:t>资产成本。</w:t>
      </w:r>
    </w:p>
    <w:p>
      <w:pPr>
        <w:pStyle w:val="BodyText"/>
        <w:spacing w:line="319" w:lineRule="auto" w:before="76"/>
        <w:ind w:right="1128" w:firstLine="508"/>
        <w:jc w:val="both"/>
      </w:pPr>
      <w:r>
        <w:rPr>
          <w:spacing w:val="-4"/>
        </w:rPr>
        <w:t>根据设定提存计划，预期不会在职工提供相关服务的年度报告期结束后十二个月内支付全部应缴存金额的，本公司参</w:t>
      </w:r>
      <w:r>
        <w:rPr>
          <w:w w:val="101"/>
        </w:rPr>
        <w:t> </w:t>
      </w:r>
      <w:r>
        <w:rPr>
          <w:spacing w:val="-4"/>
          <w:w w:val="101"/>
        </w:rPr>
        <w:t>照相应的折现率（根据资产负债表日与设定提存计划义务期限和币种相匹配的国债或活跃市场上的高质量公司债券的市场收</w:t>
      </w:r>
      <w:r>
        <w:rPr>
          <w:w w:val="101"/>
        </w:rPr>
        <w:t> </w:t>
      </w:r>
      <w:r>
        <w:rPr>
          <w:spacing w:val="-3"/>
        </w:rPr>
        <w:t>益率确定），将全部应缴存金额以折现后的金额计量应付职工薪酬。</w:t>
      </w:r>
    </w:p>
    <w:p>
      <w:pPr>
        <w:pStyle w:val="BodyText"/>
        <w:spacing w:line="240" w:lineRule="auto" w:before="17"/>
        <w:ind w:left="662" w:right="0"/>
        <w:jc w:val="left"/>
      </w:pPr>
      <w:r>
        <w:rPr>
          <w:spacing w:val="-3"/>
        </w:rPr>
        <w:t>②设定受益计划</w:t>
      </w:r>
    </w:p>
    <w:p>
      <w:pPr>
        <w:pStyle w:val="BodyText"/>
        <w:spacing w:line="300" w:lineRule="auto" w:before="76"/>
        <w:ind w:left="662" w:right="0"/>
        <w:jc w:val="left"/>
      </w:pPr>
      <w:r>
        <w:rPr>
          <w:rFonts w:ascii="Times New Roman" w:hAnsi="Times New Roman" w:cs="Times New Roman" w:eastAsia="Times New Roman" w:hint="default"/>
          <w:spacing w:val="-3"/>
        </w:rPr>
        <w:t>A</w:t>
      </w:r>
      <w:r>
        <w:rPr>
          <w:spacing w:val="-3"/>
        </w:rPr>
        <w:t>．确定设定受益计划义务的现值和当期服务成本</w:t>
      </w:r>
      <w:r>
        <w:rPr>
          <w:spacing w:val="-24"/>
        </w:rPr>
        <w:t> </w:t>
      </w:r>
      <w:r>
        <w:rPr>
          <w:spacing w:val="-24"/>
        </w:rPr>
      </w:r>
      <w:r>
        <w:rPr>
          <w:spacing w:val="-4"/>
        </w:rPr>
        <w:t>根据预期累计福利单位法，采用无偏且相互一致的精算假设对有关人口统计变量和财务变量等做出估计，计量设定受</w:t>
      </w:r>
    </w:p>
    <w:p>
      <w:pPr>
        <w:pStyle w:val="BodyText"/>
        <w:spacing w:line="240" w:lineRule="auto" w:before="31"/>
        <w:ind w:right="0"/>
        <w:jc w:val="both"/>
      </w:pPr>
      <w:r>
        <w:rPr>
          <w:spacing w:val="-4"/>
        </w:rPr>
        <w:t>益计划所产生的义务，并确定相关义务的归属期间。本公司按照相应的折现率（根据资产负债表日与设定受益计划义务期限</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和币种相匹配的国债或活跃市场上的高质量公司债券的市场收益率确定）将设定受益计划所产生的义务予以折现，以确定设</w:t>
      </w:r>
      <w:r>
        <w:rPr>
          <w:spacing w:val="38"/>
        </w:rPr>
        <w:t> </w:t>
      </w:r>
      <w:r>
        <w:rPr>
          <w:spacing w:val="38"/>
        </w:rPr>
      </w:r>
      <w:r>
        <w:rPr>
          <w:spacing w:val="-3"/>
        </w:rPr>
        <w:t>定受益计划义务的现值和当期服务成本。</w:t>
      </w:r>
    </w:p>
    <w:p>
      <w:pPr>
        <w:pStyle w:val="BodyText"/>
        <w:spacing w:line="300" w:lineRule="auto" w:before="19"/>
        <w:ind w:left="662" w:right="0"/>
        <w:jc w:val="left"/>
      </w:pPr>
      <w:r>
        <w:rPr>
          <w:rFonts w:ascii="Times New Roman" w:hAnsi="Times New Roman" w:cs="Times New Roman" w:eastAsia="Times New Roman" w:hint="default"/>
          <w:spacing w:val="-3"/>
        </w:rPr>
        <w:t>B.</w:t>
      </w:r>
      <w:r>
        <w:rPr>
          <w:spacing w:val="-3"/>
        </w:rPr>
        <w:t>确认设定受益计划净负债或净资产</w:t>
      </w:r>
      <w:r>
        <w:rPr>
          <w:spacing w:val="-41"/>
        </w:rPr>
        <w:t> </w:t>
      </w:r>
      <w:r>
        <w:rPr>
          <w:spacing w:val="-41"/>
        </w:rPr>
      </w:r>
      <w:r>
        <w:rPr>
          <w:spacing w:val="-4"/>
        </w:rPr>
        <w:t>设定受益计划存在资产的，本公司将设定受益计划义务现值减去设定受益计划资产公允价值所形成的赤字或盈余确认</w:t>
      </w:r>
    </w:p>
    <w:p>
      <w:pPr>
        <w:pStyle w:val="BodyText"/>
        <w:spacing w:line="312" w:lineRule="auto" w:before="31"/>
        <w:ind w:left="662" w:right="0" w:hanging="509"/>
        <w:jc w:val="left"/>
      </w:pPr>
      <w:r>
        <w:rPr>
          <w:spacing w:val="-3"/>
        </w:rPr>
        <w:t>为一项设定受益计划净负债或净资产。</w:t>
      </w:r>
      <w:r>
        <w:rPr>
          <w:spacing w:val="-39"/>
        </w:rPr>
        <w:t> </w:t>
      </w:r>
      <w:r>
        <w:rPr>
          <w:spacing w:val="-39"/>
        </w:rPr>
      </w:r>
      <w:r>
        <w:rPr>
          <w:spacing w:val="-3"/>
        </w:rPr>
        <w:t>设定受益计划存在盈余的，本公司以设定受益计划的盈余和资产上限两项的孰低者计量设定受益计划净资产。</w:t>
      </w:r>
      <w:r>
        <w:rPr>
          <w:w w:val="101"/>
        </w:rPr>
        <w:t> </w:t>
      </w:r>
      <w:r>
        <w:rPr>
          <w:rFonts w:ascii="Times New Roman" w:hAnsi="Times New Roman" w:cs="Times New Roman" w:eastAsia="Times New Roman" w:hint="default"/>
          <w:spacing w:val="-3"/>
        </w:rPr>
        <w:t>C.</w:t>
      </w:r>
      <w:r>
        <w:rPr>
          <w:spacing w:val="-3"/>
        </w:rPr>
        <w:t>确定应计入资产成本或当期损益的金额</w:t>
      </w:r>
      <w:r>
        <w:rPr>
          <w:w w:val="101"/>
        </w:rPr>
        <w:t> </w:t>
      </w:r>
      <w:r>
        <w:rPr>
          <w:spacing w:val="-4"/>
        </w:rPr>
        <w:t>服务成本，包括当期服务成本、过去服务成本和结算利得或损失。其中，除了其他会计准则要求或允许计入资产成本</w:t>
      </w:r>
    </w:p>
    <w:p>
      <w:pPr>
        <w:pStyle w:val="BodyText"/>
        <w:spacing w:line="316" w:lineRule="auto" w:before="23"/>
        <w:ind w:left="662" w:right="0" w:hanging="509"/>
        <w:jc w:val="left"/>
      </w:pPr>
      <w:r>
        <w:rPr>
          <w:spacing w:val="-3"/>
        </w:rPr>
        <w:t>的当期服务成本之外，其他服务成本均计入当期损益。</w:t>
      </w:r>
      <w:r>
        <w:rPr>
          <w:spacing w:val="-16"/>
        </w:rPr>
        <w:t> </w:t>
      </w:r>
      <w:r>
        <w:rPr>
          <w:spacing w:val="-16"/>
        </w:rPr>
      </w:r>
      <w:r>
        <w:rPr>
          <w:spacing w:val="-4"/>
        </w:rPr>
        <w:t>设定受益计划净负债或净资产的利息净额，包括计划资产的利息收益、设定受益计划义务的利息费用以及资产上限影</w:t>
      </w:r>
    </w:p>
    <w:p>
      <w:pPr>
        <w:pStyle w:val="BodyText"/>
        <w:spacing w:line="240" w:lineRule="auto" w:before="19"/>
        <w:ind w:right="0"/>
        <w:jc w:val="left"/>
      </w:pPr>
      <w:r>
        <w:rPr>
          <w:spacing w:val="-3"/>
        </w:rPr>
        <w:t>响的利息，均计入当期损益。</w:t>
      </w:r>
    </w:p>
    <w:p>
      <w:pPr>
        <w:pStyle w:val="BodyText"/>
        <w:spacing w:line="300" w:lineRule="auto" w:before="76"/>
        <w:ind w:left="662" w:right="3567"/>
        <w:jc w:val="left"/>
      </w:pPr>
      <w:r>
        <w:rPr>
          <w:rFonts w:ascii="Times New Roman" w:hAnsi="Times New Roman" w:cs="Times New Roman" w:eastAsia="Times New Roman" w:hint="default"/>
          <w:spacing w:val="-3"/>
        </w:rPr>
        <w:t>D.</w:t>
      </w:r>
      <w:r>
        <w:rPr>
          <w:spacing w:val="-3"/>
        </w:rPr>
        <w:t>确定应计入其他综合收益的金额</w:t>
      </w:r>
      <w:r>
        <w:rPr>
          <w:spacing w:val="-43"/>
        </w:rPr>
        <w:t> </w:t>
      </w:r>
      <w:r>
        <w:rPr>
          <w:spacing w:val="-43"/>
        </w:rPr>
      </w:r>
      <w:r>
        <w:rPr>
          <w:spacing w:val="-3"/>
        </w:rPr>
        <w:t>重新计量设定受益计划净负债或净资产所产生的变动，包括：</w:t>
      </w:r>
    </w:p>
    <w:p>
      <w:pPr>
        <w:pStyle w:val="BodyText"/>
        <w:spacing w:line="240" w:lineRule="auto" w:before="32"/>
        <w:ind w:left="518" w:right="0"/>
        <w:jc w:val="left"/>
      </w:pPr>
      <w:r>
        <w:rPr>
          <w:spacing w:val="-3"/>
        </w:rPr>
        <w:t>（</w:t>
      </w:r>
      <w:r>
        <w:rPr>
          <w:rFonts w:ascii="Times New Roman" w:hAnsi="Times New Roman" w:cs="Times New Roman" w:eastAsia="Times New Roman" w:hint="default"/>
          <w:spacing w:val="-3"/>
        </w:rPr>
        <w:t>a</w:t>
      </w:r>
      <w:r>
        <w:rPr>
          <w:spacing w:val="-3"/>
        </w:rPr>
        <w:t>）精算利得或损失，即由于精算假设和经验调整导致之前所计量的设定受益计划义务现值的增加或减少；</w:t>
      </w:r>
    </w:p>
    <w:p>
      <w:pPr>
        <w:pStyle w:val="BodyText"/>
        <w:spacing w:line="240" w:lineRule="auto" w:before="63"/>
        <w:ind w:left="518"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b</w:t>
      </w:r>
      <w:r>
        <w:rPr>
          <w:spacing w:val="-3"/>
        </w:rPr>
        <w:t>）计划资产回报，扣除包括在设定受益计划净负债或净资产的利息净额中的金额</w:t>
      </w:r>
      <w:r>
        <w:rPr>
          <w:rFonts w:ascii="Times New Roman" w:hAnsi="Times New Roman" w:cs="Times New Roman" w:eastAsia="Times New Roman" w:hint="default"/>
          <w:spacing w:val="-3"/>
        </w:rPr>
        <w:t>;</w:t>
      </w:r>
    </w:p>
    <w:p>
      <w:pPr>
        <w:pStyle w:val="BodyText"/>
        <w:spacing w:line="300" w:lineRule="auto" w:before="63"/>
        <w:ind w:left="662" w:right="1131" w:hanging="144"/>
        <w:jc w:val="left"/>
      </w:pPr>
      <w:r>
        <w:rPr>
          <w:spacing w:val="-3"/>
        </w:rPr>
        <w:t>（</w:t>
      </w:r>
      <w:r>
        <w:rPr>
          <w:rFonts w:ascii="Times New Roman" w:hAnsi="Times New Roman" w:cs="Times New Roman" w:eastAsia="Times New Roman" w:hint="default"/>
          <w:spacing w:val="-3"/>
        </w:rPr>
        <w:t>c</w:t>
      </w:r>
      <w:r>
        <w:rPr>
          <w:spacing w:val="-3"/>
        </w:rPr>
        <w:t>）资产上限影响的变动，扣除包括在设定受益计划净负债或净资产的利息净额中的金额。</w:t>
      </w:r>
      <w:r>
        <w:rPr>
          <w:spacing w:val="30"/>
        </w:rPr>
        <w:t> </w:t>
      </w:r>
      <w:r>
        <w:rPr>
          <w:spacing w:val="30"/>
        </w:rPr>
      </w:r>
      <w:r>
        <w:rPr>
          <w:spacing w:val="-3"/>
        </w:rPr>
        <w:t>上述重新计量设定受益计划净负债或净资产所产生的变动直接计入其他综合收益</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6"/>
        </w:rPr>
        <w:t> </w:t>
      </w:r>
      <w:r>
        <w:rPr>
          <w:spacing w:val="-3"/>
        </w:rPr>
        <w:t>并且在后续会计期间不允许转回至</w:t>
      </w:r>
    </w:p>
    <w:p>
      <w:pPr>
        <w:pStyle w:val="BodyText"/>
        <w:spacing w:line="240" w:lineRule="auto" w:before="13"/>
        <w:ind w:right="0"/>
        <w:jc w:val="left"/>
      </w:pPr>
      <w:r>
        <w:rPr>
          <w:spacing w:val="-3"/>
        </w:rPr>
        <w:t>损益，但本公司可以在权益范围内转移这些在其他综合收益中确认的金额。</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本公司向职工提供辞退福利的，在下列两者孰早日确认辞退福利产生的职工薪酬负债，并计入当期损益：</w:t>
      </w:r>
    </w:p>
    <w:p>
      <w:pPr>
        <w:pStyle w:val="BodyText"/>
        <w:spacing w:line="240" w:lineRule="auto" w:before="76"/>
        <w:ind w:left="662" w:right="0"/>
        <w:jc w:val="left"/>
      </w:pPr>
      <w:r>
        <w:rPr>
          <w:spacing w:val="-3"/>
        </w:rPr>
        <w:t>①企业不能单方面撤回因解除劳动关系计划或裁减建议所提供的辞退福利时；</w:t>
      </w:r>
    </w:p>
    <w:p>
      <w:pPr>
        <w:pStyle w:val="BodyText"/>
        <w:spacing w:line="319" w:lineRule="auto" w:before="76"/>
        <w:ind w:left="662" w:right="0"/>
        <w:jc w:val="left"/>
      </w:pPr>
      <w:r>
        <w:rPr>
          <w:spacing w:val="-3"/>
        </w:rPr>
        <w:t>②企业确认与涉及支付辞退福利的重组相关的成本或费用时。</w:t>
      </w:r>
      <w:r>
        <w:rPr>
          <w:spacing w:val="-15"/>
        </w:rPr>
        <w:t> </w:t>
      </w:r>
      <w:r>
        <w:rPr>
          <w:spacing w:val="-15"/>
        </w:rPr>
      </w:r>
      <w:r>
        <w:rPr>
          <w:spacing w:val="-4"/>
        </w:rPr>
        <w:t>辞退福利预期在年度报告期结束后十二个月内不能完全支付的，参照相应的折现率（根据资产负债表日与设定受益计</w:t>
      </w:r>
    </w:p>
    <w:p>
      <w:pPr>
        <w:pStyle w:val="BodyText"/>
        <w:spacing w:line="316" w:lineRule="auto" w:before="17"/>
        <w:ind w:right="0"/>
        <w:jc w:val="left"/>
      </w:pPr>
      <w:r>
        <w:rPr>
          <w:spacing w:val="-4"/>
        </w:rPr>
        <w:t>划义务期限和币种相匹配的国债或活跃市场上的高质量公司债券的市场收益率确定）将辞退福利金额予以折现，以折现后的</w:t>
      </w:r>
      <w:r>
        <w:rPr>
          <w:spacing w:val="39"/>
        </w:rPr>
        <w:t> </w:t>
      </w:r>
      <w:r>
        <w:rPr>
          <w:spacing w:val="39"/>
        </w:rPr>
      </w:r>
      <w:r>
        <w:rPr>
          <w:spacing w:val="-3"/>
        </w:rPr>
        <w:t>金额计量应付职工薪酬。</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662" w:right="0"/>
        <w:jc w:val="left"/>
      </w:pPr>
      <w:r>
        <w:rPr>
          <w:spacing w:val="-3"/>
        </w:rPr>
        <w:t>①符合设定提存计划条件的</w:t>
      </w:r>
      <w:r>
        <w:rPr>
          <w:spacing w:val="-56"/>
        </w:rPr>
        <w:t> </w:t>
      </w:r>
      <w:r>
        <w:rPr>
          <w:spacing w:val="-56"/>
        </w:rPr>
      </w:r>
      <w:r>
        <w:rPr>
          <w:spacing w:val="-4"/>
        </w:rPr>
        <w:t>本公司向职工提供的其他长期职工福利，符合设定提存计划条件的，将全部应缴存金额以折现后的金额计量应付职工</w:t>
      </w:r>
    </w:p>
    <w:p>
      <w:pPr>
        <w:pStyle w:val="BodyText"/>
        <w:spacing w:line="240" w:lineRule="auto" w:before="19"/>
        <w:ind w:right="0"/>
        <w:jc w:val="left"/>
      </w:pPr>
      <w:r>
        <w:rPr/>
        <w:t>薪酬。</w:t>
      </w:r>
    </w:p>
    <w:p>
      <w:pPr>
        <w:pStyle w:val="BodyText"/>
        <w:spacing w:line="319" w:lineRule="auto" w:before="76"/>
        <w:ind w:left="662" w:right="3567"/>
        <w:jc w:val="left"/>
      </w:pPr>
      <w:r>
        <w:rPr>
          <w:spacing w:val="-3"/>
        </w:rPr>
        <w:t>②符合设定受益计划条件的</w:t>
      </w:r>
      <w:r>
        <w:rPr>
          <w:spacing w:val="-56"/>
        </w:rPr>
        <w:t> </w:t>
      </w:r>
      <w:r>
        <w:rPr>
          <w:spacing w:val="-56"/>
        </w:rPr>
      </w:r>
      <w:r>
        <w:rPr>
          <w:spacing w:val="-3"/>
        </w:rPr>
        <w:t>在报告期末，本公司将其他长期职工福利产生的职工薪酬成本确认为下列组成部分：</w:t>
      </w:r>
      <w:r>
        <w:rPr>
          <w:spacing w:val="14"/>
        </w:rPr>
        <w:t> </w:t>
      </w:r>
      <w:r>
        <w:rPr>
          <w:spacing w:val="14"/>
        </w:rPr>
      </w:r>
      <w:r>
        <w:rPr>
          <w:rFonts w:ascii="Times New Roman" w:hAnsi="Times New Roman" w:cs="Times New Roman" w:eastAsia="Times New Roman" w:hint="default"/>
          <w:spacing w:val="-3"/>
        </w:rPr>
        <w:t>A.</w:t>
      </w:r>
      <w:r>
        <w:rPr>
          <w:spacing w:val="-3"/>
        </w:rPr>
        <w:t>服务成本；</w:t>
      </w:r>
    </w:p>
    <w:p>
      <w:pPr>
        <w:pStyle w:val="BodyText"/>
        <w:spacing w:line="300" w:lineRule="auto"/>
        <w:ind w:left="662" w:right="1645"/>
        <w:jc w:val="left"/>
      </w:pPr>
      <w:r>
        <w:rPr>
          <w:rFonts w:ascii="Times New Roman" w:hAnsi="Times New Roman" w:cs="Times New Roman" w:eastAsia="Times New Roman" w:hint="default"/>
          <w:spacing w:val="-3"/>
        </w:rPr>
        <w:t>B.</w:t>
      </w:r>
      <w:r>
        <w:rPr>
          <w:spacing w:val="-3"/>
        </w:rPr>
        <w:t>其他长期职工福利净负债或净资产的利息净额；</w:t>
      </w:r>
      <w:r>
        <w:rPr>
          <w:spacing w:val="-23"/>
        </w:rPr>
        <w:t> </w:t>
      </w:r>
      <w:r>
        <w:rPr>
          <w:spacing w:val="-23"/>
        </w:rPr>
      </w:r>
      <w:r>
        <w:rPr>
          <w:rFonts w:ascii="Times New Roman" w:hAnsi="Times New Roman" w:cs="Times New Roman" w:eastAsia="Times New Roman" w:hint="default"/>
          <w:spacing w:val="-3"/>
        </w:rPr>
        <w:t>C.</w:t>
      </w:r>
      <w:r>
        <w:rPr>
          <w:spacing w:val="-3"/>
        </w:rPr>
        <w:t>重新计量其他长期职工福利净负债或净资产所产生的变动。</w:t>
      </w:r>
      <w:r>
        <w:rPr>
          <w:spacing w:val="-12"/>
        </w:rPr>
        <w:t> </w:t>
      </w:r>
      <w:r>
        <w:rPr>
          <w:spacing w:val="-12"/>
        </w:rPr>
      </w:r>
      <w:r>
        <w:rPr>
          <w:spacing w:val="-3"/>
        </w:rPr>
        <w:t>为简化相关会计处理，上述项目的总净额计入当期损益或相关资产成本。</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3567" w:hanging="144"/>
        <w:jc w:val="left"/>
      </w:pPr>
      <w:r>
        <w:rPr>
          <w:spacing w:val="-3"/>
        </w:rPr>
        <w:t>（</w:t>
      </w:r>
      <w:r>
        <w:rPr>
          <w:rFonts w:ascii="Times New Roman" w:hAnsi="Times New Roman" w:cs="Times New Roman" w:eastAsia="Times New Roman" w:hint="default"/>
          <w:spacing w:val="-3"/>
        </w:rPr>
        <w:t>1</w:t>
      </w:r>
      <w:r>
        <w:rPr>
          <w:spacing w:val="-3"/>
        </w:rPr>
        <w:t>）预计负债的确认标准</w:t>
      </w:r>
      <w:r>
        <w:rPr>
          <w:spacing w:val="-57"/>
        </w:rPr>
        <w:t> </w:t>
      </w:r>
      <w:r>
        <w:rPr>
          <w:spacing w:val="-57"/>
        </w:rPr>
      </w:r>
      <w:r>
        <w:rPr>
          <w:spacing w:val="-3"/>
        </w:rPr>
        <w:t>如果与或有事项相关的义务同时符合以下条件，本公司将其确认为预计负债：</w:t>
      </w:r>
    </w:p>
    <w:p>
      <w:pPr>
        <w:pStyle w:val="BodyText"/>
        <w:spacing w:line="240" w:lineRule="auto" w:before="32"/>
        <w:ind w:left="662" w:right="0"/>
        <w:jc w:val="left"/>
      </w:pPr>
      <w:r>
        <w:rPr>
          <w:spacing w:val="-3"/>
        </w:rPr>
        <w:t>①该义务是本公司承担的现时义务；</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662" w:right="0"/>
        <w:jc w:val="left"/>
      </w:pPr>
      <w:r>
        <w:rPr>
          <w:spacing w:val="-3"/>
        </w:rPr>
        <w:t>②该义务的履行很可能导致经济利益流出本公司；</w:t>
      </w:r>
    </w:p>
    <w:p>
      <w:pPr>
        <w:pStyle w:val="BodyText"/>
        <w:spacing w:line="240" w:lineRule="auto" w:before="76"/>
        <w:ind w:left="662" w:right="0"/>
        <w:jc w:val="left"/>
      </w:pPr>
      <w:r>
        <w:rPr>
          <w:spacing w:val="-3"/>
        </w:rPr>
        <w:t>③该义务的金额能够可靠地计量。</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2</w:t>
      </w:r>
      <w:r>
        <w:rPr>
          <w:spacing w:val="-3"/>
        </w:rPr>
        <w:t>）预计负债的计量方法</w:t>
      </w:r>
      <w:r>
        <w:rPr>
          <w:spacing w:val="-57"/>
        </w:rPr>
        <w:t> </w:t>
      </w:r>
      <w:r>
        <w:rPr>
          <w:spacing w:val="-57"/>
        </w:rPr>
      </w:r>
      <w:r>
        <w:rPr>
          <w:spacing w:val="-4"/>
        </w:rPr>
        <w:t>预计负债按照履行相关现时义务所需支出的最佳估计数进行初始计量，并综合考虑与或事项有关的风险、不确定性和</w:t>
      </w:r>
    </w:p>
    <w:p>
      <w:pPr>
        <w:pStyle w:val="BodyText"/>
        <w:spacing w:line="316" w:lineRule="auto" w:before="31"/>
        <w:ind w:right="0"/>
        <w:jc w:val="left"/>
      </w:pPr>
      <w:r>
        <w:rPr>
          <w:spacing w:val="-4"/>
        </w:rPr>
        <w:t>货币时间价值等因素。每个资产负债表日对预计负债的账面价值进行复核。有确凿证据表明该账面价值不能反映当前最佳估</w:t>
      </w:r>
      <w:r>
        <w:rPr>
          <w:spacing w:val="42"/>
        </w:rPr>
        <w:t> </w:t>
      </w:r>
      <w:r>
        <w:rPr>
          <w:spacing w:val="42"/>
        </w:rPr>
      </w:r>
      <w:r>
        <w:rPr>
          <w:spacing w:val="-3"/>
        </w:rPr>
        <w:t>计数的，按照当前最佳估计数对该账面价值进行调整。</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3567" w:hanging="144"/>
        <w:jc w:val="left"/>
      </w:pPr>
      <w:r>
        <w:rPr>
          <w:spacing w:val="-3"/>
        </w:rPr>
        <w:t>（</w:t>
      </w:r>
      <w:r>
        <w:rPr>
          <w:rFonts w:ascii="Times New Roman" w:hAnsi="Times New Roman" w:cs="Times New Roman" w:eastAsia="Times New Roman" w:hint="default"/>
          <w:spacing w:val="-3"/>
        </w:rPr>
        <w:t>1</w:t>
      </w:r>
      <w:r>
        <w:rPr>
          <w:spacing w:val="-3"/>
        </w:rPr>
        <w:t>）股份支付的种类</w:t>
      </w:r>
      <w:r>
        <w:rPr>
          <w:spacing w:val="-63"/>
        </w:rPr>
        <w:t> </w:t>
      </w:r>
      <w:r>
        <w:rPr>
          <w:spacing w:val="-63"/>
        </w:rPr>
      </w:r>
      <w:r>
        <w:rPr>
          <w:spacing w:val="-3"/>
        </w:rPr>
        <w:t>本公司股份支付包括以现金结算的股份支付和以权益结算的股份支付。</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2</w:t>
      </w:r>
      <w:r>
        <w:rPr>
          <w:spacing w:val="-3"/>
        </w:rPr>
        <w:t>）权益工具公允价值的确定方法</w:t>
      </w:r>
    </w:p>
    <w:p>
      <w:pPr>
        <w:pStyle w:val="BodyText"/>
        <w:spacing w:line="319" w:lineRule="auto" w:before="63"/>
        <w:ind w:right="0" w:firstLine="508"/>
        <w:jc w:val="left"/>
      </w:pPr>
      <w:r>
        <w:rPr>
          <w:spacing w:val="-4"/>
        </w:rPr>
        <w:t>①对于授予职工的股份，其公允价值按公司股份的市场价格计量，同时考虑授予股份所依据的条款和条件（不包括市</w:t>
      </w:r>
      <w:r>
        <w:rPr>
          <w:w w:val="101"/>
        </w:rPr>
        <w:t> </w:t>
      </w:r>
      <w:r>
        <w:rPr>
          <w:spacing w:val="-3"/>
        </w:rPr>
        <w:t>场条件之外的可行权条件）进行调整。</w:t>
      </w:r>
    </w:p>
    <w:p>
      <w:pPr>
        <w:pStyle w:val="BodyText"/>
        <w:spacing w:line="316" w:lineRule="auto" w:before="17"/>
        <w:ind w:right="0" w:firstLine="508"/>
        <w:jc w:val="left"/>
      </w:pPr>
      <w:r>
        <w:rPr>
          <w:spacing w:val="-4"/>
        </w:rPr>
        <w:t>②对于授予职工的股票期权，在许多情况下难以获得其市场价格。如果不存在条款和条件相似的交易期权，公司选择</w:t>
      </w:r>
      <w:r>
        <w:rPr>
          <w:w w:val="101"/>
        </w:rPr>
        <w:t> </w:t>
      </w:r>
      <w:r>
        <w:rPr>
          <w:spacing w:val="-3"/>
        </w:rPr>
        <w:t>适用的期权定价模型估计所授予的期权的公允价值。</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3</w:t>
      </w:r>
      <w:r>
        <w:rPr>
          <w:spacing w:val="-3"/>
        </w:rPr>
        <w:t>）确认可行权权益工具最佳估计的依据</w:t>
      </w:r>
      <w:r>
        <w:rPr>
          <w:spacing w:val="-34"/>
        </w:rPr>
        <w:t> </w:t>
      </w:r>
      <w:r>
        <w:rPr>
          <w:spacing w:val="-34"/>
        </w:rPr>
      </w:r>
      <w:r>
        <w:rPr>
          <w:spacing w:val="-4"/>
        </w:rPr>
        <w:t>在等待期内每个资产负债表日，公司根据最新取得的可行权职工人数变动等后续信息作出最佳估计，修正预计可行权</w:t>
      </w:r>
    </w:p>
    <w:p>
      <w:pPr>
        <w:pStyle w:val="BodyText"/>
        <w:spacing w:line="240" w:lineRule="auto" w:before="31"/>
        <w:ind w:right="0"/>
        <w:jc w:val="left"/>
      </w:pPr>
      <w:r>
        <w:rPr>
          <w:spacing w:val="-3"/>
        </w:rPr>
        <w:t>的权益工具数量，以作出可行权权益工具的最佳估计。</w:t>
      </w:r>
    </w:p>
    <w:p>
      <w:pPr>
        <w:pStyle w:val="BodyText"/>
        <w:spacing w:line="240" w:lineRule="auto" w:before="77"/>
        <w:ind w:left="518" w:right="0"/>
        <w:jc w:val="left"/>
      </w:pPr>
      <w:r>
        <w:rPr>
          <w:spacing w:val="-3"/>
        </w:rPr>
        <w:t>（</w:t>
      </w:r>
      <w:r>
        <w:rPr>
          <w:rFonts w:ascii="Times New Roman" w:hAnsi="Times New Roman" w:cs="Times New Roman" w:eastAsia="Times New Roman" w:hint="default"/>
          <w:spacing w:val="-3"/>
        </w:rPr>
        <w:t>4</w:t>
      </w:r>
      <w:r>
        <w:rPr>
          <w:spacing w:val="-3"/>
        </w:rPr>
        <w:t>）股份支付计划实施的会计处理</w:t>
      </w:r>
    </w:p>
    <w:p>
      <w:pPr>
        <w:pStyle w:val="BodyText"/>
        <w:spacing w:line="316" w:lineRule="auto" w:before="63"/>
        <w:ind w:right="0" w:firstLine="508"/>
        <w:jc w:val="left"/>
      </w:pPr>
      <w:r>
        <w:rPr>
          <w:spacing w:val="-4"/>
        </w:rPr>
        <w:t>①授予后立即可行权的以现金结算的股份支付，在授予日以本公司承担负债的公允价值计入相关成本或费用，相应增</w:t>
      </w:r>
      <w:r>
        <w:rPr>
          <w:w w:val="101"/>
        </w:rPr>
        <w:t> </w:t>
      </w:r>
      <w:r>
        <w:rPr>
          <w:spacing w:val="-3"/>
        </w:rPr>
        <w:t>加负债。并在结算前的每个资产负债表日和结算日对负债的公允价值重新计量，将其变动计入损益。</w:t>
      </w:r>
    </w:p>
    <w:p>
      <w:pPr>
        <w:pStyle w:val="BodyText"/>
        <w:spacing w:line="316" w:lineRule="auto" w:before="19"/>
        <w:ind w:right="0" w:firstLine="508"/>
        <w:jc w:val="left"/>
      </w:pPr>
      <w:r>
        <w:rPr>
          <w:spacing w:val="-4"/>
        </w:rPr>
        <w:t>②完成等待期内的服务或达到规定业绩条件以后才可行权的以现金结算的股份支付，在等待期内的每个资产负债表日</w:t>
      </w:r>
      <w:r>
        <w:rPr>
          <w:w w:val="101"/>
        </w:rPr>
        <w:t> </w:t>
      </w:r>
      <w:r>
        <w:rPr>
          <w:spacing w:val="-3"/>
        </w:rPr>
        <w:t>以对可行权情况的最佳估计为基础，按本公司承担负债的公允价值金额，将当期取得的服务计入成本或费用和相应的负债。</w:t>
      </w:r>
    </w:p>
    <w:p>
      <w:pPr>
        <w:pStyle w:val="BodyText"/>
        <w:spacing w:line="316" w:lineRule="auto" w:before="19"/>
        <w:ind w:right="0" w:firstLine="508"/>
        <w:jc w:val="left"/>
      </w:pPr>
      <w:r>
        <w:rPr>
          <w:spacing w:val="-3"/>
        </w:rPr>
        <w:t>③授予后立即可行权的换取职工服务的以权益结算的股份支付，在授予日以权益工具的公允价值计入相关成本或费</w:t>
      </w:r>
      <w:r>
        <w:rPr>
          <w:w w:val="101"/>
        </w:rPr>
        <w:t> </w:t>
      </w:r>
      <w:r>
        <w:rPr>
          <w:spacing w:val="-3"/>
        </w:rPr>
        <w:t>用，相应增加资本公积。</w:t>
      </w:r>
    </w:p>
    <w:p>
      <w:pPr>
        <w:pStyle w:val="BodyText"/>
        <w:spacing w:line="316" w:lineRule="auto" w:before="19"/>
        <w:ind w:right="1124" w:firstLine="508"/>
        <w:jc w:val="both"/>
      </w:pPr>
      <w:r>
        <w:rPr>
          <w:spacing w:val="-4"/>
        </w:rPr>
        <w:t>④完成等待期内的服务或达到规定业绩条件以后才可行权换取职工服务的以权益结算的股份支付，在等待期内的每个</w:t>
      </w:r>
      <w:r>
        <w:rPr>
          <w:w w:val="101"/>
        </w:rPr>
        <w:t> </w:t>
      </w:r>
      <w:r>
        <w:rPr>
          <w:spacing w:val="-4"/>
        </w:rPr>
        <w:t>资产负债表日，以对可行权权益工具数量的最佳估计为基础，按权益工具授予日的公允价值，将当期取得的服务计入成本或</w:t>
      </w:r>
      <w:r>
        <w:rPr>
          <w:spacing w:val="43"/>
        </w:rPr>
        <w:t> </w:t>
      </w:r>
      <w:r>
        <w:rPr>
          <w:spacing w:val="43"/>
        </w:rPr>
      </w:r>
      <w:r>
        <w:rPr/>
        <w:t>费用和资本公积。</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5</w:t>
      </w:r>
      <w:r>
        <w:rPr>
          <w:spacing w:val="-3"/>
        </w:rPr>
        <w:t>）股份支付计划修改的会计处理</w:t>
      </w:r>
      <w:r>
        <w:rPr>
          <w:spacing w:val="-45"/>
        </w:rPr>
        <w:t> </w:t>
      </w:r>
      <w:r>
        <w:rPr>
          <w:spacing w:val="-45"/>
        </w:rPr>
      </w:r>
      <w:r>
        <w:rPr>
          <w:spacing w:val="-4"/>
        </w:rPr>
        <w:t>本公司对股份支付计划进行修改时，若修改增加了所授予权益工具的公允价值，按照权益工具公允价值的增加相应地</w:t>
      </w:r>
    </w:p>
    <w:p>
      <w:pPr>
        <w:pStyle w:val="BodyText"/>
        <w:spacing w:line="319" w:lineRule="auto" w:before="31"/>
        <w:ind w:right="0"/>
        <w:jc w:val="left"/>
      </w:pPr>
      <w:r>
        <w:rPr>
          <w:spacing w:val="-6"/>
          <w:w w:val="101"/>
        </w:rPr>
        <w:t>确认取得服务的增加；若修改增加了所授予权益工具的数量，则将增加的权益工具的公允价值相应地确认为取得服务的增加。</w:t>
      </w:r>
      <w:r>
        <w:rPr>
          <w:spacing w:val="-64"/>
          <w:w w:val="101"/>
        </w:rPr>
        <w:t> </w:t>
      </w:r>
      <w:r>
        <w:rPr>
          <w:spacing w:val="-64"/>
          <w:w w:val="101"/>
        </w:rPr>
      </w:r>
      <w:r>
        <w:rPr>
          <w:spacing w:val="-4"/>
          <w:w w:val="101"/>
        </w:rPr>
        <w:t>权益工具公允价值的增加是指修改前后的权益工具在修改日的公允价值之间的差额。若修改减少了股份支付公允价值总额或</w:t>
      </w:r>
      <w:r>
        <w:rPr>
          <w:w w:val="101"/>
        </w:rPr>
        <w:t> </w:t>
      </w:r>
      <w:r>
        <w:rPr>
          <w:spacing w:val="-6"/>
          <w:w w:val="101"/>
        </w:rPr>
        <w:t>采用了其他不利于职工的方式修改股份支付计划的条款和条件，则仍继续对取得的服务进行会计处理，视同该变更从未发生，</w:t>
      </w:r>
      <w:r>
        <w:rPr>
          <w:spacing w:val="-71"/>
          <w:w w:val="101"/>
        </w:rPr>
        <w:t> </w:t>
      </w:r>
      <w:r>
        <w:rPr>
          <w:spacing w:val="-71"/>
          <w:w w:val="101"/>
        </w:rPr>
      </w:r>
      <w:r>
        <w:rPr>
          <w:spacing w:val="-3"/>
        </w:rPr>
        <w:t>除非本公司取消了部分或全部已授予的权益工具。</w:t>
      </w:r>
    </w:p>
    <w:p>
      <w:pPr>
        <w:pStyle w:val="BodyText"/>
        <w:spacing w:line="300" w:lineRule="auto" w:before="17"/>
        <w:ind w:left="662" w:right="0" w:hanging="144"/>
        <w:jc w:val="left"/>
      </w:pPr>
      <w:r>
        <w:rPr>
          <w:spacing w:val="-3"/>
        </w:rPr>
        <w:t>（</w:t>
      </w:r>
      <w:r>
        <w:rPr>
          <w:rFonts w:ascii="Times New Roman" w:hAnsi="Times New Roman" w:cs="Times New Roman" w:eastAsia="Times New Roman" w:hint="default"/>
          <w:spacing w:val="-3"/>
        </w:rPr>
        <w:t>6</w:t>
      </w:r>
      <w:r>
        <w:rPr>
          <w:spacing w:val="-3"/>
        </w:rPr>
        <w:t>）股份支付计划终止的会计处理</w:t>
      </w:r>
      <w:r>
        <w:rPr>
          <w:spacing w:val="-45"/>
        </w:rPr>
        <w:t> </w:t>
      </w:r>
      <w:r>
        <w:rPr>
          <w:spacing w:val="-45"/>
        </w:rPr>
      </w:r>
      <w:r>
        <w:rPr>
          <w:spacing w:val="-4"/>
        </w:rPr>
        <w:t>如果在等待期内取消了所授予的权益工具或结算了所授予的权益工具（因未满足可行权条件而被取消的除外），本公</w:t>
      </w:r>
    </w:p>
    <w:p>
      <w:pPr>
        <w:pStyle w:val="BodyText"/>
        <w:spacing w:line="240" w:lineRule="auto" w:before="31"/>
        <w:ind w:right="0"/>
        <w:jc w:val="left"/>
      </w:pPr>
      <w:r>
        <w:rPr/>
        <w:t>司：</w:t>
      </w:r>
    </w:p>
    <w:p>
      <w:pPr>
        <w:pStyle w:val="BodyText"/>
        <w:spacing w:line="240" w:lineRule="auto" w:before="76"/>
        <w:ind w:left="662" w:right="0"/>
        <w:jc w:val="left"/>
      </w:pPr>
      <w:r>
        <w:rPr>
          <w:spacing w:val="-3"/>
        </w:rPr>
        <w:t>①将取消或结算作为加速可行权处理，立即确认原本应在剩余等待期内确认的金额；</w:t>
      </w:r>
    </w:p>
    <w:p>
      <w:pPr>
        <w:pStyle w:val="BodyText"/>
        <w:spacing w:line="240" w:lineRule="auto" w:before="77"/>
        <w:ind w:left="662" w:right="0"/>
        <w:jc w:val="left"/>
      </w:pPr>
      <w:r>
        <w:rPr>
          <w:spacing w:val="-4"/>
        </w:rPr>
        <w:t>②在取消或结算时支付给职工的所有款项均作为权益的回购处理，回购支付的金额高于该权益工具在回购日公允价值</w:t>
      </w:r>
    </w:p>
    <w:p>
      <w:pPr>
        <w:pStyle w:val="BodyText"/>
        <w:spacing w:line="316" w:lineRule="auto" w:before="76"/>
        <w:ind w:left="662" w:right="0" w:hanging="509"/>
        <w:jc w:val="left"/>
      </w:pPr>
      <w:r>
        <w:rPr>
          <w:spacing w:val="-3"/>
        </w:rPr>
        <w:t>的部分，计入当期费用。</w:t>
      </w:r>
      <w:r>
        <w:rPr>
          <w:spacing w:val="-56"/>
        </w:rPr>
        <w:t> </w:t>
      </w:r>
      <w:r>
        <w:rPr>
          <w:spacing w:val="-56"/>
        </w:rPr>
      </w:r>
      <w:r>
        <w:rPr>
          <w:spacing w:val="-4"/>
        </w:rPr>
        <w:t>本公司如果回购其职工已可行权的权益工具，冲减企业的所有者权益；回购支付的款项高于该权益工具在回购日公允</w:t>
      </w:r>
    </w:p>
    <w:p>
      <w:pPr>
        <w:pStyle w:val="BodyText"/>
        <w:spacing w:line="240" w:lineRule="auto" w:before="19"/>
        <w:ind w:right="0"/>
        <w:jc w:val="left"/>
      </w:pPr>
      <w:r>
        <w:rPr>
          <w:spacing w:val="-3"/>
        </w:rPr>
        <w:t>价值的部分，计入当期损益。</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57"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26"/>
        <w:ind w:right="0"/>
        <w:jc w:val="left"/>
      </w:pPr>
      <w:r>
        <w:rPr/>
        <w:t>软件与信息技术服务业</w:t>
      </w:r>
    </w:p>
    <w:p>
      <w:pPr>
        <w:pStyle w:val="BodyText"/>
        <w:spacing w:line="240" w:lineRule="auto" w:before="119"/>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300" w:lineRule="auto" w:before="97"/>
        <w:ind w:left="662" w:right="0" w:hanging="144"/>
        <w:jc w:val="left"/>
      </w:pPr>
      <w:r>
        <w:rPr>
          <w:spacing w:val="-3"/>
        </w:rPr>
        <w:t>（</w:t>
      </w:r>
      <w:r>
        <w:rPr>
          <w:rFonts w:ascii="Times New Roman" w:hAnsi="Times New Roman" w:cs="Times New Roman" w:eastAsia="Times New Roman" w:hint="default"/>
          <w:spacing w:val="-3"/>
        </w:rPr>
        <w:t>1</w:t>
      </w:r>
      <w:r>
        <w:rPr>
          <w:spacing w:val="-3"/>
        </w:rPr>
        <w:t>）销售商品收入</w:t>
      </w:r>
      <w:r>
        <w:rPr>
          <w:spacing w:val="-63"/>
        </w:rPr>
        <w:t> </w:t>
      </w:r>
      <w:r>
        <w:rPr>
          <w:spacing w:val="-63"/>
        </w:rPr>
      </w:r>
      <w:r>
        <w:rPr>
          <w:spacing w:val="-4"/>
        </w:rPr>
        <w:t>公司已将商品所有权上的主要风险和报酬转移给购买方；公司既没有保留与所有权相联系的继续管理权，也没有对已</w:t>
      </w:r>
    </w:p>
    <w:p>
      <w:pPr>
        <w:pStyle w:val="BodyText"/>
        <w:spacing w:line="316" w:lineRule="auto" w:before="31"/>
        <w:ind w:right="0"/>
        <w:jc w:val="left"/>
      </w:pPr>
      <w:r>
        <w:rPr>
          <w:spacing w:val="-4"/>
        </w:rPr>
        <w:t>售出的商品实施有效控制；收入的金额能够可靠地计量；相关的经济利益很可能流入企业；相关的已发生或将发生的成本能</w:t>
      </w:r>
      <w:r>
        <w:rPr>
          <w:spacing w:val="43"/>
        </w:rPr>
        <w:t> </w:t>
      </w:r>
      <w:r>
        <w:rPr>
          <w:spacing w:val="43"/>
        </w:rPr>
      </w:r>
      <w:r>
        <w:rPr>
          <w:spacing w:val="-3"/>
        </w:rPr>
        <w:t>够可靠地计量时，确认商品销售收入实现。</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2</w:t>
      </w:r>
      <w:r>
        <w:rPr>
          <w:spacing w:val="-3"/>
        </w:rPr>
        <w:t>）提供劳务收入</w:t>
      </w:r>
      <w:r>
        <w:rPr>
          <w:spacing w:val="-63"/>
        </w:rPr>
        <w:t> </w:t>
      </w:r>
      <w:r>
        <w:rPr>
          <w:spacing w:val="-63"/>
        </w:rPr>
      </w:r>
      <w:r>
        <w:rPr>
          <w:spacing w:val="-4"/>
        </w:rPr>
        <w:t>在资产负债表日提供劳务交易的结果能够可靠估计的，采用完工百分比法确认提供劳务收入。提供劳务交易的完工进</w:t>
      </w:r>
    </w:p>
    <w:p>
      <w:pPr>
        <w:pStyle w:val="BodyText"/>
        <w:spacing w:line="316" w:lineRule="auto" w:before="31"/>
        <w:ind w:left="662" w:right="0" w:hanging="509"/>
        <w:jc w:val="left"/>
      </w:pPr>
      <w:r>
        <w:rPr>
          <w:spacing w:val="-3"/>
        </w:rPr>
        <w:t>度，依据已完工作的测量确定。</w:t>
      </w:r>
      <w:r>
        <w:rPr>
          <w:spacing w:val="-45"/>
        </w:rPr>
        <w:t> </w:t>
      </w:r>
      <w:r>
        <w:rPr>
          <w:spacing w:val="-45"/>
        </w:rPr>
      </w:r>
      <w:r>
        <w:rPr>
          <w:spacing w:val="-4"/>
        </w:rPr>
        <w:t>本公司按照已收或应收的合同或协议价款确定提供劳务收入总额，但已收或应收的合同或协议价款不公允的除外。资</w:t>
      </w:r>
    </w:p>
    <w:p>
      <w:pPr>
        <w:pStyle w:val="BodyText"/>
        <w:spacing w:line="316" w:lineRule="auto" w:before="19"/>
        <w:ind w:right="1117"/>
        <w:jc w:val="left"/>
      </w:pPr>
      <w:r>
        <w:rPr>
          <w:spacing w:val="-4"/>
          <w:w w:val="101"/>
        </w:rPr>
        <w:t>产负债表日按照提供劳务收入总额乘以完工进度扣除以前会计期间累计已确认提供劳务收入后的金额，确认当期提供劳务收</w:t>
      </w:r>
      <w:r>
        <w:rPr>
          <w:w w:val="101"/>
        </w:rPr>
        <w:t> </w:t>
      </w:r>
      <w:r>
        <w:rPr>
          <w:spacing w:val="-3"/>
        </w:rPr>
        <w:t>入；同时，按照提供劳务估计总成本乘以完工进度扣除以前会计期间累计已确认劳务成本后的金额，结转当期劳务成本。</w:t>
      </w:r>
    </w:p>
    <w:p>
      <w:pPr>
        <w:pStyle w:val="BodyText"/>
        <w:spacing w:line="240" w:lineRule="auto" w:before="19"/>
        <w:ind w:left="662" w:right="0"/>
        <w:jc w:val="left"/>
      </w:pPr>
      <w:r>
        <w:rPr>
          <w:spacing w:val="-3"/>
        </w:rPr>
        <w:t>在资产负债表日提供劳务交易结果不能够可靠估计的，分别下列情况处理：</w:t>
      </w:r>
    </w:p>
    <w:p>
      <w:pPr>
        <w:pStyle w:val="BodyText"/>
        <w:spacing w:line="316" w:lineRule="auto" w:before="76"/>
        <w:ind w:right="1026" w:firstLine="508"/>
        <w:jc w:val="left"/>
      </w:pPr>
      <w:r>
        <w:rPr>
          <w:spacing w:val="-4"/>
        </w:rPr>
        <w:t>①已经发生的劳务成本预计能够得到补偿的，按照已经发生的劳务成本金额确认提供劳务收入，并按相同金额结转劳</w:t>
      </w:r>
      <w:r>
        <w:rPr>
          <w:w w:val="101"/>
        </w:rPr>
        <w:t> </w:t>
      </w:r>
      <w:r>
        <w:rPr/>
        <w:t>务成本。</w:t>
      </w:r>
    </w:p>
    <w:p>
      <w:pPr>
        <w:pStyle w:val="BodyText"/>
        <w:spacing w:line="240" w:lineRule="auto" w:before="19"/>
        <w:ind w:left="662" w:right="0"/>
        <w:jc w:val="left"/>
      </w:pPr>
      <w:r>
        <w:rPr>
          <w:spacing w:val="-3"/>
        </w:rPr>
        <w:t>②已经发生的劳务成本预计不能够得到补偿的，将已经发生的劳务成本计入当期损益，不确认提供劳务收入。</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3</w:t>
      </w:r>
      <w:r>
        <w:rPr>
          <w:spacing w:val="-3"/>
        </w:rPr>
        <w:t>）让渡资产使用权收入</w:t>
      </w:r>
      <w:r>
        <w:rPr>
          <w:spacing w:val="-57"/>
        </w:rPr>
        <w:t> </w:t>
      </w:r>
      <w:r>
        <w:rPr>
          <w:spacing w:val="-57"/>
        </w:rPr>
      </w:r>
      <w:r>
        <w:rPr>
          <w:spacing w:val="-6"/>
          <w:w w:val="101"/>
        </w:rPr>
        <w:t>与交易相关的经济利益很可能流入企业，收入的金额能够可靠地计量时，分别下列情况确定让渡资产使用权收入金额：</w:t>
      </w:r>
      <w:r>
        <w:rPr>
          <w:spacing w:val="-6"/>
        </w:rPr>
      </w:r>
    </w:p>
    <w:p>
      <w:pPr>
        <w:pStyle w:val="BodyText"/>
        <w:spacing w:line="240" w:lineRule="auto" w:before="31"/>
        <w:ind w:left="662" w:right="0"/>
        <w:jc w:val="left"/>
      </w:pPr>
      <w:r>
        <w:rPr>
          <w:spacing w:val="-3"/>
        </w:rPr>
        <w:t>①利息收入金额，按照他人使用本企业货币资金的时间和实际利率计算确定。</w:t>
      </w:r>
    </w:p>
    <w:p>
      <w:pPr>
        <w:pStyle w:val="BodyText"/>
        <w:spacing w:line="240" w:lineRule="auto" w:before="76"/>
        <w:ind w:left="662" w:right="0"/>
        <w:jc w:val="left"/>
      </w:pPr>
      <w:r>
        <w:rPr>
          <w:spacing w:val="-3"/>
        </w:rPr>
        <w:t>②使用费收入金额，按照有关合同或协议约定的收费时间和方法计算确定</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4</w:t>
      </w:r>
      <w:r>
        <w:rPr>
          <w:spacing w:val="-3"/>
        </w:rPr>
        <w:t>）建造合同收入</w:t>
      </w:r>
      <w:r>
        <w:rPr>
          <w:spacing w:val="-63"/>
        </w:rPr>
        <w:t> </w:t>
      </w:r>
      <w:r>
        <w:rPr>
          <w:spacing w:val="-63"/>
        </w:rPr>
      </w:r>
      <w:r>
        <w:rPr>
          <w:spacing w:val="-4"/>
        </w:rPr>
        <w:t>在建造合同的结果能够可靠估计的情况下，于资产负债表日根据完工百分比法确认合同收入和合同费用。完工百分比</w:t>
      </w:r>
    </w:p>
    <w:p>
      <w:pPr>
        <w:pStyle w:val="BodyText"/>
        <w:spacing w:line="316" w:lineRule="auto" w:before="32"/>
        <w:ind w:left="662" w:right="0" w:hanging="509"/>
        <w:jc w:val="left"/>
      </w:pPr>
      <w:r>
        <w:rPr>
          <w:spacing w:val="-3"/>
        </w:rPr>
        <w:t>法根据合同完工进度确认收入与费用。合同完工进度按累计实际发生的合同成本占合同预计总成本的比例确定。</w:t>
      </w:r>
      <w:r>
        <w:rPr>
          <w:spacing w:val="54"/>
        </w:rPr>
        <w:t> </w:t>
      </w:r>
      <w:r>
        <w:rPr>
          <w:spacing w:val="54"/>
        </w:rPr>
      </w:r>
      <w:r>
        <w:rPr>
          <w:spacing w:val="-6"/>
          <w:w w:val="101"/>
        </w:rPr>
        <w:t>如果建造合同的结果不能可靠地估计，但预计合同成本能够收回时，合同收入根据能够收回的实际合同成本予以确认，</w:t>
      </w:r>
      <w:r>
        <w:rPr>
          <w:spacing w:val="-6"/>
        </w:rPr>
      </w:r>
    </w:p>
    <w:p>
      <w:pPr>
        <w:pStyle w:val="BodyText"/>
        <w:spacing w:line="316" w:lineRule="auto" w:before="19"/>
        <w:ind w:left="662" w:right="0" w:hanging="509"/>
        <w:jc w:val="left"/>
      </w:pPr>
      <w:r>
        <w:rPr>
          <w:spacing w:val="-3"/>
        </w:rPr>
        <w:t>合同成本在其发生的当期确认为合同费用；预计合同成本不可能收回时，在发生时立即确认为合同费用，不确认合同收入。</w:t>
      </w:r>
      <w:r>
        <w:rPr>
          <w:spacing w:val="66"/>
        </w:rPr>
        <w:t> </w:t>
      </w:r>
      <w:r>
        <w:rPr>
          <w:spacing w:val="66"/>
        </w:rPr>
      </w:r>
      <w:r>
        <w:rPr>
          <w:spacing w:val="-3"/>
        </w:rPr>
        <w:t>如果预计合同总成本超过合同总收入的，则将预计损失确认为当期费用。</w:t>
      </w:r>
    </w:p>
    <w:p>
      <w:pPr>
        <w:pStyle w:val="BodyText"/>
        <w:spacing w:line="240" w:lineRule="auto" w:before="19"/>
        <w:ind w:left="518" w:right="0"/>
        <w:jc w:val="left"/>
      </w:pPr>
      <w:r>
        <w:rPr>
          <w:spacing w:val="-3"/>
        </w:rPr>
        <w:t>（</w:t>
      </w:r>
      <w:r>
        <w:rPr>
          <w:rFonts w:ascii="Times New Roman" w:hAnsi="Times New Roman" w:cs="Times New Roman" w:eastAsia="Times New Roman" w:hint="default"/>
          <w:spacing w:val="-3"/>
        </w:rPr>
        <w:t>5</w:t>
      </w:r>
      <w:r>
        <w:rPr>
          <w:spacing w:val="-3"/>
        </w:rPr>
        <w:t>）本公司收入确认的具体原则</w:t>
      </w:r>
    </w:p>
    <w:p>
      <w:pPr>
        <w:pStyle w:val="BodyText"/>
        <w:spacing w:line="316" w:lineRule="auto" w:before="63"/>
        <w:ind w:left="662" w:right="6287"/>
        <w:jc w:val="left"/>
      </w:pPr>
      <w:r>
        <w:rPr>
          <w:spacing w:val="-3"/>
        </w:rPr>
        <w:t>①软件开发业务</w:t>
      </w:r>
      <w:r>
        <w:rPr>
          <w:spacing w:val="-68"/>
        </w:rPr>
        <w:t> </w:t>
      </w:r>
      <w:r>
        <w:rPr>
          <w:spacing w:val="-68"/>
        </w:rPr>
      </w:r>
      <w:r>
        <w:rPr>
          <w:spacing w:val="-3"/>
        </w:rPr>
        <w:t>本公司软件开发业务分为以下两类：</w:t>
      </w:r>
    </w:p>
    <w:p>
      <w:pPr>
        <w:pStyle w:val="BodyText"/>
        <w:spacing w:line="300" w:lineRule="auto" w:before="19"/>
        <w:ind w:right="0" w:firstLine="508"/>
        <w:jc w:val="left"/>
      </w:pPr>
      <w:r>
        <w:rPr>
          <w:rFonts w:ascii="Times New Roman" w:hAnsi="Times New Roman" w:cs="Times New Roman" w:eastAsia="Times New Roman" w:hint="default"/>
          <w:spacing w:val="-3"/>
        </w:rPr>
        <w:t>a.</w:t>
      </w:r>
      <w:r>
        <w:rPr>
          <w:spacing w:val="-3"/>
        </w:rPr>
        <w:t>软件外包业务：软件外包业务分为软件定制业务和技术服务业务，其中软件定制业务按照合同约定提交软件开发成</w:t>
      </w:r>
      <w:r>
        <w:rPr>
          <w:w w:val="101"/>
        </w:rPr>
        <w:t> </w:t>
      </w:r>
      <w:r>
        <w:rPr>
          <w:spacing w:val="-3"/>
        </w:rPr>
        <w:t>果并经客户验收后确认收入；技术服务业务按照合同约定提供服务并经客户确认后确认收入。</w:t>
      </w:r>
    </w:p>
    <w:p>
      <w:pPr>
        <w:pStyle w:val="BodyText"/>
        <w:spacing w:line="240" w:lineRule="auto" w:before="31"/>
        <w:ind w:left="662" w:right="0"/>
        <w:jc w:val="left"/>
      </w:pPr>
      <w:r>
        <w:rPr>
          <w:rFonts w:ascii="Times New Roman" w:hAnsi="Times New Roman" w:cs="Times New Roman" w:eastAsia="Times New Roman" w:hint="default"/>
          <w:spacing w:val="-3"/>
        </w:rPr>
        <w:t>b.</w:t>
      </w:r>
      <w:r>
        <w:rPr>
          <w:spacing w:val="-3"/>
        </w:rPr>
        <w:t>自主软件产品销售：按照合同约定在产品交付并经客户验收后确认收入。</w:t>
      </w:r>
    </w:p>
    <w:p>
      <w:pPr>
        <w:pStyle w:val="BodyText"/>
        <w:spacing w:line="319" w:lineRule="auto" w:before="63"/>
        <w:ind w:left="662" w:right="0"/>
        <w:jc w:val="left"/>
      </w:pPr>
      <w:r>
        <w:rPr>
          <w:spacing w:val="-3"/>
        </w:rPr>
        <w:t>②外购产品销售业务</w:t>
      </w:r>
      <w:r>
        <w:rPr>
          <w:spacing w:val="-62"/>
        </w:rPr>
        <w:t> </w:t>
      </w:r>
      <w:r>
        <w:rPr>
          <w:spacing w:val="-62"/>
        </w:rPr>
      </w:r>
      <w:r>
        <w:rPr>
          <w:spacing w:val="-4"/>
        </w:rPr>
        <w:t>合同约定需要安装的在产品安装完成并经客户验收后确认收入，合同约定不需要安装的以产品交付并经客户验收后确</w:t>
      </w:r>
    </w:p>
    <w:p>
      <w:pPr>
        <w:pStyle w:val="BodyText"/>
        <w:spacing w:line="240" w:lineRule="auto" w:before="17"/>
        <w:ind w:right="0"/>
        <w:jc w:val="left"/>
      </w:pPr>
      <w:r>
        <w:rPr/>
        <w:t>认收入。</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6287" w:hanging="144"/>
        <w:jc w:val="left"/>
      </w:pPr>
      <w:r>
        <w:rPr>
          <w:spacing w:val="-3"/>
        </w:rPr>
        <w:t>（</w:t>
      </w:r>
      <w:r>
        <w:rPr>
          <w:rFonts w:ascii="Times New Roman" w:hAnsi="Times New Roman" w:cs="Times New Roman" w:eastAsia="Times New Roman" w:hint="default"/>
          <w:spacing w:val="-3"/>
        </w:rPr>
        <w:t>1</w:t>
      </w:r>
      <w:r>
        <w:rPr>
          <w:spacing w:val="-3"/>
        </w:rPr>
        <w:t>）政府补助的确认</w:t>
      </w:r>
      <w:r>
        <w:rPr>
          <w:spacing w:val="-63"/>
        </w:rPr>
        <w:t> </w:t>
      </w:r>
      <w:r>
        <w:rPr>
          <w:spacing w:val="-63"/>
        </w:rPr>
      </w:r>
      <w:r>
        <w:rPr>
          <w:spacing w:val="-3"/>
        </w:rPr>
        <w:t>政府补助同时满足下列条件的，才能予以确认：</w:t>
      </w:r>
    </w:p>
    <w:p>
      <w:pPr>
        <w:pStyle w:val="BodyText"/>
        <w:spacing w:line="240" w:lineRule="auto" w:before="31"/>
        <w:ind w:left="662" w:right="0"/>
        <w:jc w:val="left"/>
      </w:pPr>
      <w:r>
        <w:rPr>
          <w:spacing w:val="-3"/>
        </w:rPr>
        <w:t>①本公司能够满足政府补助所附条件；</w:t>
      </w:r>
    </w:p>
    <w:p>
      <w:pPr>
        <w:pStyle w:val="BodyText"/>
        <w:spacing w:line="240" w:lineRule="auto" w:before="76"/>
        <w:ind w:left="662" w:right="0"/>
        <w:jc w:val="left"/>
      </w:pPr>
      <w:r>
        <w:rPr>
          <w:spacing w:val="-3"/>
        </w:rPr>
        <w:t>②本公司能够收到政府补助。</w:t>
      </w:r>
    </w:p>
    <w:p>
      <w:pPr>
        <w:pStyle w:val="BodyText"/>
        <w:spacing w:line="300" w:lineRule="auto" w:before="76"/>
        <w:ind w:left="662" w:right="0" w:hanging="144"/>
        <w:jc w:val="left"/>
      </w:pPr>
      <w:r>
        <w:rPr>
          <w:spacing w:val="-3"/>
        </w:rPr>
        <w:t>（</w:t>
      </w:r>
      <w:r>
        <w:rPr>
          <w:rFonts w:ascii="Times New Roman" w:hAnsi="Times New Roman" w:cs="Times New Roman" w:eastAsia="Times New Roman" w:hint="default"/>
          <w:spacing w:val="-3"/>
        </w:rPr>
        <w:t>2</w:t>
      </w:r>
      <w:r>
        <w:rPr>
          <w:spacing w:val="-3"/>
        </w:rPr>
        <w:t>）政府补助的计量</w:t>
      </w:r>
      <w:r>
        <w:rPr>
          <w:spacing w:val="-63"/>
        </w:rPr>
        <w:t> </w:t>
      </w:r>
      <w:r>
        <w:rPr>
          <w:spacing w:val="-63"/>
        </w:rPr>
      </w:r>
      <w:r>
        <w:rPr>
          <w:spacing w:val="-4"/>
        </w:rPr>
        <w:t>政府补助为货币性资产的，按照收到或应收的金额计量。政府补助为非货币性资产的，按照公允价值计量；公允价值</w:t>
      </w:r>
    </w:p>
    <w:p>
      <w:pPr>
        <w:pStyle w:val="BodyText"/>
        <w:spacing w:line="240" w:lineRule="auto" w:before="32"/>
        <w:ind w:right="0"/>
        <w:jc w:val="left"/>
      </w:pPr>
      <w:r>
        <w:rPr>
          <w:spacing w:val="-3"/>
        </w:rPr>
        <w:t>不能可靠取得的，按照名义金额计量。</w:t>
      </w:r>
    </w:p>
    <w:p>
      <w:pPr>
        <w:pStyle w:val="BodyText"/>
        <w:spacing w:line="240" w:lineRule="auto" w:before="76"/>
        <w:ind w:left="518" w:right="0"/>
        <w:jc w:val="left"/>
      </w:pPr>
      <w:r>
        <w:rPr>
          <w:spacing w:val="-3"/>
        </w:rPr>
        <w:t>（</w:t>
      </w:r>
      <w:r>
        <w:rPr>
          <w:rFonts w:ascii="Times New Roman" w:hAnsi="Times New Roman" w:cs="Times New Roman" w:eastAsia="Times New Roman" w:hint="default"/>
          <w:spacing w:val="-3"/>
        </w:rPr>
        <w:t>3</w:t>
      </w:r>
      <w:r>
        <w:rPr>
          <w:spacing w:val="-3"/>
        </w:rPr>
        <w:t>）政府补助的会计处理</w:t>
      </w:r>
    </w:p>
    <w:p>
      <w:pPr>
        <w:pStyle w:val="BodyText"/>
        <w:spacing w:line="316" w:lineRule="auto" w:before="63"/>
        <w:ind w:left="662" w:right="0"/>
        <w:jc w:val="left"/>
      </w:pPr>
      <w:r>
        <w:rPr>
          <w:spacing w:val="-3"/>
        </w:rPr>
        <w:t>①与资产相关的政府补助</w:t>
      </w:r>
      <w:r>
        <w:rPr>
          <w:spacing w:val="-56"/>
        </w:rPr>
        <w:t> </w:t>
      </w:r>
      <w:r>
        <w:rPr>
          <w:spacing w:val="-56"/>
        </w:rPr>
      </w:r>
      <w:r>
        <w:rPr>
          <w:spacing w:val="-4"/>
        </w:rPr>
        <w:t>公司取得的、用于购建或以其他方式形成长期资产的政府补助划分为与资产相关的政府补助。与资产相关的政府补助</w:t>
      </w:r>
    </w:p>
    <w:p>
      <w:pPr>
        <w:pStyle w:val="BodyText"/>
        <w:spacing w:line="319" w:lineRule="auto" w:before="19"/>
        <w:ind w:right="1124"/>
        <w:jc w:val="both"/>
      </w:pPr>
      <w:r>
        <w:rPr>
          <w:spacing w:val="-4"/>
        </w:rPr>
        <w:t>确认为递延收益，在相关资产使用期限内按照合理、系统的方法分期计入损益。按照名义金额计量的政府补助，直接计入当</w:t>
      </w:r>
      <w:r>
        <w:rPr>
          <w:spacing w:val="40"/>
        </w:rPr>
        <w:t> </w:t>
      </w:r>
      <w:r>
        <w:rPr>
          <w:spacing w:val="40"/>
        </w:rPr>
      </w:r>
      <w:r>
        <w:rPr>
          <w:spacing w:val="-4"/>
        </w:rPr>
        <w:t>期损益。相关资产在使用寿命结束前被出售、转让、报废或发生毁损的，将尚未分配的相关递延收益余额转入资产处置当期</w:t>
      </w:r>
      <w:r>
        <w:rPr>
          <w:spacing w:val="40"/>
        </w:rPr>
        <w:t> </w:t>
      </w:r>
      <w:r>
        <w:rPr>
          <w:spacing w:val="40"/>
        </w:rPr>
      </w:r>
      <w:r>
        <w:rPr/>
        <w:t>的损益。</w:t>
      </w:r>
    </w:p>
    <w:p>
      <w:pPr>
        <w:pStyle w:val="BodyText"/>
        <w:spacing w:line="316" w:lineRule="auto" w:before="17"/>
        <w:ind w:left="662" w:right="0"/>
        <w:jc w:val="left"/>
      </w:pPr>
      <w:r>
        <w:rPr>
          <w:spacing w:val="-3"/>
        </w:rPr>
        <w:t>②与收益相关的政府补助</w:t>
      </w:r>
      <w:r>
        <w:rPr>
          <w:spacing w:val="-56"/>
        </w:rPr>
        <w:t> </w:t>
      </w:r>
      <w:r>
        <w:rPr>
          <w:spacing w:val="-56"/>
        </w:rPr>
      </w:r>
      <w:r>
        <w:rPr>
          <w:spacing w:val="-4"/>
        </w:rPr>
        <w:t>除与资产相关的政府补助之外的政府补助划分为与收益相关的政府补助。与收益相关的政府补助，分情况按照以下规</w:t>
      </w:r>
    </w:p>
    <w:p>
      <w:pPr>
        <w:pStyle w:val="BodyText"/>
        <w:spacing w:line="240" w:lineRule="auto" w:before="19"/>
        <w:ind w:right="0"/>
        <w:jc w:val="left"/>
      </w:pPr>
      <w:r>
        <w:rPr/>
        <w:t>定进行会计处理：</w:t>
      </w:r>
    </w:p>
    <w:p>
      <w:pPr>
        <w:pStyle w:val="BodyText"/>
        <w:spacing w:line="316" w:lineRule="auto" w:before="77"/>
        <w:ind w:right="0" w:firstLine="508"/>
        <w:jc w:val="left"/>
      </w:pPr>
      <w:r>
        <w:rPr>
          <w:spacing w:val="-4"/>
        </w:rPr>
        <w:t>用于补偿本公司以后期间的相关成本费用或损失的，确认为递延收益，并在确认相关成本费用或损失的期间，计入当</w:t>
      </w:r>
      <w:r>
        <w:rPr>
          <w:w w:val="101"/>
        </w:rPr>
        <w:t> </w:t>
      </w:r>
      <w:r>
        <w:rPr>
          <w:spacing w:val="-3"/>
        </w:rPr>
        <w:t>期损益；用于补偿本公司已发生的相关成本费用或损失的，直接计入当期损益。</w:t>
      </w:r>
    </w:p>
    <w:p>
      <w:pPr>
        <w:pStyle w:val="BodyText"/>
        <w:spacing w:line="316" w:lineRule="auto" w:before="19"/>
        <w:ind w:right="0" w:firstLine="508"/>
        <w:jc w:val="left"/>
      </w:pPr>
      <w:r>
        <w:rPr>
          <w:spacing w:val="-4"/>
        </w:rPr>
        <w:t>对于同时包含与资产相关部分和与收益相关部分的政府补助，区分不同部分分别进行会计处理；难以区分的，整体归</w:t>
      </w:r>
      <w:r>
        <w:rPr>
          <w:w w:val="101"/>
        </w:rPr>
        <w:t> </w:t>
      </w:r>
      <w:r>
        <w:rPr>
          <w:spacing w:val="-3"/>
        </w:rPr>
        <w:t>类为与收益相关的政府补助。</w:t>
      </w:r>
    </w:p>
    <w:p>
      <w:pPr>
        <w:pStyle w:val="BodyText"/>
        <w:spacing w:line="316" w:lineRule="auto" w:before="19"/>
        <w:ind w:right="1026" w:firstLine="508"/>
        <w:jc w:val="left"/>
      </w:pPr>
      <w:r>
        <w:rPr>
          <w:spacing w:val="-4"/>
        </w:rPr>
        <w:t>与本公司日常活动相关的政府补助，按照经济业务实质，计入其他收益。与本公司日常活动无关的政府补助，计入营</w:t>
      </w:r>
      <w:r>
        <w:rPr>
          <w:w w:val="101"/>
        </w:rPr>
        <w:t> </w:t>
      </w:r>
      <w:r>
        <w:rPr/>
        <w:t>业外收支。</w:t>
      </w:r>
    </w:p>
    <w:p>
      <w:pPr>
        <w:pStyle w:val="BodyText"/>
        <w:spacing w:line="316" w:lineRule="auto" w:before="19"/>
        <w:ind w:left="662" w:right="0"/>
        <w:jc w:val="left"/>
      </w:pPr>
      <w:r>
        <w:rPr>
          <w:spacing w:val="-3"/>
        </w:rPr>
        <w:t>③政策性优惠贷款贴息</w:t>
      </w:r>
      <w:r>
        <w:rPr>
          <w:spacing w:val="-61"/>
        </w:rPr>
        <w:t> </w:t>
      </w:r>
      <w:r>
        <w:rPr>
          <w:spacing w:val="-61"/>
        </w:rPr>
      </w:r>
      <w:r>
        <w:rPr>
          <w:spacing w:val="-4"/>
        </w:rPr>
        <w:t>财政将贴息资金拨付给贷款银行，由贷款银行以政策性优惠利率向本公司提供贷款的，以实际收到的借款金额作为借</w:t>
      </w:r>
    </w:p>
    <w:p>
      <w:pPr>
        <w:pStyle w:val="BodyText"/>
        <w:spacing w:line="316" w:lineRule="auto" w:before="19"/>
        <w:ind w:left="662" w:right="0" w:hanging="509"/>
        <w:jc w:val="left"/>
      </w:pPr>
      <w:r>
        <w:rPr>
          <w:spacing w:val="-3"/>
        </w:rPr>
        <w:t>款的入账价值，按照借款本金和该政策性优惠利率计算相关借款费用。</w:t>
      </w:r>
      <w:r>
        <w:rPr>
          <w:spacing w:val="2"/>
        </w:rPr>
        <w:t> </w:t>
      </w:r>
      <w:r>
        <w:rPr>
          <w:spacing w:val="2"/>
        </w:rPr>
      </w:r>
      <w:r>
        <w:rPr>
          <w:spacing w:val="-3"/>
        </w:rPr>
        <w:t>财政将贴息资金直接拨付给本公司，本公司将对应的贴息冲减相关借款费用。</w:t>
      </w:r>
    </w:p>
    <w:p>
      <w:pPr>
        <w:pStyle w:val="BodyText"/>
        <w:spacing w:line="319" w:lineRule="auto" w:before="19"/>
        <w:ind w:left="662" w:right="0"/>
        <w:jc w:val="left"/>
      </w:pPr>
      <w:r>
        <w:rPr>
          <w:spacing w:val="-3"/>
        </w:rPr>
        <w:t>④政府补助退回</w:t>
      </w:r>
      <w:r>
        <w:rPr>
          <w:spacing w:val="-68"/>
        </w:rPr>
        <w:t> </w:t>
      </w:r>
      <w:r>
        <w:rPr>
          <w:spacing w:val="-68"/>
        </w:rPr>
      </w:r>
      <w:r>
        <w:rPr>
          <w:spacing w:val="-6"/>
        </w:rPr>
        <w:t>已确认的政府补助需要返还时，初始确认时冲减相关资产账面价值的，调整资产账面价值；存在相关递延收益余额的，</w:t>
      </w:r>
    </w:p>
    <w:p>
      <w:pPr>
        <w:pStyle w:val="BodyText"/>
        <w:spacing w:line="240" w:lineRule="auto" w:before="17"/>
        <w:ind w:right="0"/>
        <w:jc w:val="left"/>
      </w:pPr>
      <w:r>
        <w:rPr>
          <w:spacing w:val="-3"/>
        </w:rPr>
        <w:t>冲减相关递延收益账面余额，超出部分计入当期损益；属于其他情况的，直接计入当期损益。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23" w:firstLine="508"/>
        <w:jc w:val="both"/>
      </w:pPr>
      <w:r>
        <w:rPr>
          <w:spacing w:val="-4"/>
        </w:rPr>
        <w:t>本公司通常根据资产与负债在资产负债表日的账面价值与计税基础之间的暂时性差异，采用资产负债表债务法将应纳</w:t>
      </w:r>
      <w:r>
        <w:rPr>
          <w:w w:val="101"/>
        </w:rPr>
        <w:t> </w:t>
      </w:r>
      <w:r>
        <w:rPr>
          <w:spacing w:val="-4"/>
          <w:w w:val="101"/>
        </w:rPr>
        <w:t>税暂时性差异或可抵扣暂时性差异对所得税的影响额确认和计量递延所得税负债或递延所得税资产。本公司不对递延所得税</w:t>
      </w:r>
      <w:r>
        <w:rPr>
          <w:w w:val="101"/>
        </w:rPr>
        <w:t> </w:t>
      </w:r>
      <w:r>
        <w:rPr>
          <w:spacing w:val="-3"/>
        </w:rPr>
        <w:t>资产和递延所得税负债进行折现。</w:t>
      </w:r>
    </w:p>
    <w:p>
      <w:pPr>
        <w:pStyle w:val="BodyText"/>
        <w:spacing w:line="300" w:lineRule="auto" w:before="19"/>
        <w:ind w:left="662" w:right="0" w:hanging="144"/>
        <w:jc w:val="left"/>
      </w:pPr>
      <w:r>
        <w:rPr>
          <w:spacing w:val="-3"/>
        </w:rPr>
        <w:t>（</w:t>
      </w:r>
      <w:r>
        <w:rPr>
          <w:rFonts w:ascii="Times New Roman" w:hAnsi="Times New Roman" w:cs="Times New Roman" w:eastAsia="Times New Roman" w:hint="default"/>
          <w:spacing w:val="-3"/>
        </w:rPr>
        <w:t>1</w:t>
      </w:r>
      <w:r>
        <w:rPr>
          <w:spacing w:val="-3"/>
        </w:rPr>
        <w:t>）递延所得税资产的确认</w:t>
      </w:r>
      <w:r>
        <w:rPr>
          <w:spacing w:val="-51"/>
        </w:rPr>
        <w:t> </w:t>
      </w:r>
      <w:r>
        <w:rPr>
          <w:spacing w:val="-51"/>
        </w:rPr>
      </w:r>
      <w:r>
        <w:rPr>
          <w:spacing w:val="-4"/>
        </w:rPr>
        <w:t>对于可抵扣暂时性差异，其对所得税的影响额按预计转回期间的所得税税率计算，并将该影响额确认为递延所得税资</w:t>
      </w:r>
    </w:p>
    <w:p>
      <w:pPr>
        <w:pStyle w:val="BodyText"/>
        <w:spacing w:line="316" w:lineRule="auto" w:before="32"/>
        <w:ind w:left="662" w:right="0" w:hanging="509"/>
        <w:jc w:val="left"/>
      </w:pPr>
      <w:r>
        <w:rPr>
          <w:spacing w:val="-3"/>
        </w:rPr>
        <w:t>产，但是以本公司很可能取得用来抵扣可抵扣暂时性差异、可抵扣亏损和税款抵减的未来应纳税所得额为限。</w:t>
      </w:r>
      <w:r>
        <w:rPr>
          <w:spacing w:val="49"/>
        </w:rPr>
        <w:t> </w:t>
      </w:r>
      <w:r>
        <w:rPr>
          <w:spacing w:val="49"/>
        </w:rPr>
      </w:r>
      <w:r>
        <w:rPr>
          <w:spacing w:val="-3"/>
        </w:rPr>
        <w:t>同时具有下列特征的交易或事项中因资产或负债的初始确认所产生的可抵扣暂时性差异对所得税的影响额不确认为</w:t>
      </w:r>
    </w:p>
    <w:p>
      <w:pPr>
        <w:pStyle w:val="BodyText"/>
        <w:spacing w:line="240" w:lineRule="auto" w:before="19"/>
        <w:ind w:right="0"/>
        <w:jc w:val="left"/>
      </w:pPr>
      <w:r>
        <w:rPr/>
        <w:t>递延所得税资产：</w:t>
      </w:r>
    </w:p>
    <w:p>
      <w:pPr>
        <w:pStyle w:val="BodyText"/>
        <w:spacing w:line="240" w:lineRule="auto" w:before="76"/>
        <w:ind w:left="662" w:right="0"/>
        <w:jc w:val="left"/>
      </w:pPr>
      <w:r>
        <w:rPr>
          <w:rFonts w:ascii="Times New Roman" w:hAnsi="Times New Roman" w:cs="Times New Roman" w:eastAsia="Times New Roman" w:hint="default"/>
          <w:spacing w:val="-4"/>
        </w:rPr>
        <w:t>A. </w:t>
      </w:r>
      <w:r>
        <w:rPr>
          <w:rFonts w:ascii="Times New Roman" w:hAnsi="Times New Roman" w:cs="Times New Roman" w:eastAsia="Times New Roman" w:hint="default"/>
          <w:spacing w:val="25"/>
        </w:rPr>
        <w:t> </w:t>
      </w:r>
      <w:r>
        <w:rPr>
          <w:spacing w:val="-3"/>
        </w:rPr>
        <w:t>该项交易不是企业合并；</w:t>
      </w:r>
    </w:p>
    <w:p>
      <w:pPr>
        <w:pStyle w:val="BodyText"/>
        <w:spacing w:line="240" w:lineRule="auto" w:before="62"/>
        <w:ind w:left="662"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8"/>
        </w:rPr>
        <w:t> </w:t>
      </w:r>
      <w:r>
        <w:rPr>
          <w:spacing w:val="-3"/>
        </w:rPr>
        <w:t>交易发生时既不影响会计利润也不影响应纳税所得额（或可抵扣亏损）。</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firstLine="508"/>
        <w:jc w:val="left"/>
      </w:pPr>
      <w:r>
        <w:rPr>
          <w:spacing w:val="-4"/>
        </w:rPr>
        <w:t>本公司对与子公司、联营公司及合营企业投资相关的可抵扣暂时性差异，同时满足下列两项条件的，其对所得税的影</w:t>
      </w:r>
      <w:r>
        <w:rPr>
          <w:w w:val="101"/>
        </w:rPr>
        <w:t> </w:t>
      </w:r>
      <w:r>
        <w:rPr>
          <w:spacing w:val="-3"/>
        </w:rPr>
        <w:t>响额（才能）确认为递延所得税资产：</w:t>
      </w:r>
    </w:p>
    <w:p>
      <w:pPr>
        <w:pStyle w:val="BodyText"/>
        <w:spacing w:line="240" w:lineRule="auto" w:before="19"/>
        <w:ind w:left="662" w:right="0"/>
        <w:jc w:val="left"/>
      </w:pPr>
      <w:r>
        <w:rPr>
          <w:rFonts w:ascii="Times New Roman" w:hAnsi="Times New Roman" w:cs="Times New Roman" w:eastAsia="Times New Roman" w:hint="default"/>
          <w:spacing w:val="-4"/>
        </w:rPr>
        <w:t>A.  </w:t>
      </w:r>
      <w:r>
        <w:rPr>
          <w:rFonts w:ascii="Times New Roman" w:hAnsi="Times New Roman" w:cs="Times New Roman" w:eastAsia="Times New Roman" w:hint="default"/>
          <w:spacing w:val="7"/>
        </w:rPr>
        <w:t> </w:t>
      </w:r>
      <w:r>
        <w:rPr>
          <w:spacing w:val="-3"/>
        </w:rPr>
        <w:t>暂时性差异在可预见的未来很可能转回；</w:t>
      </w:r>
    </w:p>
    <w:p>
      <w:pPr>
        <w:pStyle w:val="BodyText"/>
        <w:spacing w:line="300" w:lineRule="auto" w:before="63"/>
        <w:ind w:left="662" w:right="0"/>
        <w:jc w:val="left"/>
      </w:pPr>
      <w:r>
        <w:rPr>
          <w:rFonts w:ascii="Times New Roman" w:hAnsi="Times New Roman" w:cs="Times New Roman" w:eastAsia="Times New Roman" w:hint="default"/>
        </w:rPr>
        <w:t>B. </w:t>
      </w:r>
      <w:r>
        <w:rPr>
          <w:spacing w:val="-3"/>
        </w:rPr>
        <w:t>未来很可能获得用来抵扣可抵扣暂时性差异的应纳税所得额；</w:t>
      </w:r>
      <w:r>
        <w:rPr>
          <w:spacing w:val="-29"/>
        </w:rPr>
        <w:t> </w:t>
      </w:r>
      <w:r>
        <w:rPr>
          <w:spacing w:val="-29"/>
        </w:rPr>
      </w:r>
      <w:r>
        <w:rPr>
          <w:spacing w:val="-4"/>
        </w:rPr>
        <w:t>资产负债表日，有确凿证据表明未来期间很可能获得足够的应纳税所得额用来抵扣可抵扣暂时性差异的，确认以前期</w:t>
      </w:r>
    </w:p>
    <w:p>
      <w:pPr>
        <w:pStyle w:val="BodyText"/>
        <w:spacing w:line="316" w:lineRule="auto" w:before="31"/>
        <w:ind w:left="662" w:right="0" w:hanging="509"/>
        <w:jc w:val="left"/>
      </w:pPr>
      <w:r>
        <w:rPr>
          <w:spacing w:val="-3"/>
        </w:rPr>
        <w:t>间未确认的递延所得税资产。</w:t>
      </w:r>
      <w:r>
        <w:rPr>
          <w:spacing w:val="-50"/>
        </w:rPr>
        <w:t> </w:t>
      </w:r>
      <w:r>
        <w:rPr>
          <w:spacing w:val="-50"/>
        </w:rPr>
      </w:r>
      <w:r>
        <w:rPr>
          <w:spacing w:val="-4"/>
        </w:rPr>
        <w:t>在资产负债表日，本公司对递延所得税资产的账面价值进行复核。如果未来期间很可能无法获得足够的应纳税所得额</w:t>
      </w:r>
    </w:p>
    <w:p>
      <w:pPr>
        <w:pStyle w:val="BodyText"/>
        <w:spacing w:line="319" w:lineRule="auto" w:before="19"/>
        <w:ind w:right="1124"/>
        <w:jc w:val="both"/>
      </w:pPr>
      <w:r>
        <w:rPr>
          <w:spacing w:val="-4"/>
        </w:rPr>
        <w:t>用以抵扣递延所得税资产的利益，减记递延所得税资产的账面价值。在很可能获得足够的应纳税所得额时，减记的金额予以</w:t>
      </w:r>
      <w:r>
        <w:rPr>
          <w:spacing w:val="43"/>
        </w:rPr>
        <w:t> </w:t>
      </w:r>
      <w:r>
        <w:rPr>
          <w:spacing w:val="43"/>
        </w:rPr>
      </w:r>
      <w:r>
        <w:rPr/>
        <w:t>转回。</w:t>
      </w:r>
    </w:p>
    <w:p>
      <w:pPr>
        <w:pStyle w:val="BodyText"/>
        <w:spacing w:line="300" w:lineRule="auto" w:before="17"/>
        <w:ind w:left="662" w:right="0" w:hanging="144"/>
        <w:jc w:val="left"/>
      </w:pPr>
      <w:r>
        <w:rPr>
          <w:spacing w:val="-3"/>
        </w:rPr>
        <w:t>（</w:t>
      </w:r>
      <w:r>
        <w:rPr>
          <w:rFonts w:ascii="Times New Roman" w:hAnsi="Times New Roman" w:cs="Times New Roman" w:eastAsia="Times New Roman" w:hint="default"/>
          <w:spacing w:val="-3"/>
        </w:rPr>
        <w:t>2</w:t>
      </w:r>
      <w:r>
        <w:rPr>
          <w:spacing w:val="-3"/>
        </w:rPr>
        <w:t>）递延所得税负债的确认</w:t>
      </w:r>
      <w:r>
        <w:rPr>
          <w:spacing w:val="-51"/>
        </w:rPr>
        <w:t> </w:t>
      </w:r>
      <w:r>
        <w:rPr>
          <w:spacing w:val="-51"/>
        </w:rPr>
      </w:r>
      <w:r>
        <w:rPr>
          <w:spacing w:val="-4"/>
        </w:rPr>
        <w:t>本公司所有应纳税暂时性差异均按预计转回期间的所得税税率计量对所得税的影响，并将该影响额确认为递延所得税</w:t>
      </w:r>
    </w:p>
    <w:p>
      <w:pPr>
        <w:pStyle w:val="BodyText"/>
        <w:spacing w:line="240" w:lineRule="auto" w:before="31"/>
        <w:ind w:right="0"/>
        <w:jc w:val="both"/>
      </w:pPr>
      <w:r>
        <w:rPr>
          <w:spacing w:val="-3"/>
        </w:rPr>
        <w:t>负债，但下列情况的除外：</w:t>
      </w:r>
    </w:p>
    <w:p>
      <w:pPr>
        <w:pStyle w:val="BodyText"/>
        <w:spacing w:line="240" w:lineRule="auto" w:before="76"/>
        <w:ind w:left="662" w:right="0"/>
        <w:jc w:val="left"/>
      </w:pPr>
      <w:r>
        <w:rPr>
          <w:spacing w:val="-3"/>
        </w:rPr>
        <w:t>①因下列交易或事项中产生的应纳税暂时性差异对所得税的影响不确认为递延所得税负债：</w:t>
      </w:r>
    </w:p>
    <w:p>
      <w:pPr>
        <w:pStyle w:val="BodyText"/>
        <w:spacing w:line="300" w:lineRule="auto" w:before="77"/>
        <w:ind w:left="662" w:right="0"/>
        <w:jc w:val="left"/>
      </w:pPr>
      <w:r>
        <w:rPr>
          <w:rFonts w:ascii="Times New Roman" w:hAnsi="Times New Roman" w:cs="Times New Roman" w:eastAsia="Times New Roman" w:hint="default"/>
          <w:spacing w:val="-3"/>
        </w:rPr>
        <w:t>A.</w:t>
      </w:r>
      <w:r>
        <w:rPr>
          <w:spacing w:val="-3"/>
        </w:rPr>
        <w:t>商誉的初始确认；</w:t>
      </w:r>
      <w:r>
        <w:rPr>
          <w:spacing w:val="-59"/>
        </w:rPr>
        <w:t> </w:t>
      </w:r>
      <w:r>
        <w:rPr>
          <w:spacing w:val="-59"/>
        </w:rPr>
      </w:r>
      <w:r>
        <w:rPr>
          <w:rFonts w:ascii="Times New Roman" w:hAnsi="Times New Roman" w:cs="Times New Roman" w:eastAsia="Times New Roman" w:hint="default"/>
          <w:spacing w:val="-4"/>
        </w:rPr>
        <w:t>B.</w:t>
      </w:r>
      <w:r>
        <w:rPr>
          <w:spacing w:val="-4"/>
        </w:rPr>
        <w:t>具有以下特征的交易中产生的资产或负债的初始确认：该交易不是企业合并，并且交易发生时既不影响会计利润也</w:t>
      </w:r>
    </w:p>
    <w:p>
      <w:pPr>
        <w:pStyle w:val="BodyText"/>
        <w:spacing w:line="240" w:lineRule="auto" w:before="13"/>
        <w:ind w:right="0"/>
        <w:jc w:val="both"/>
      </w:pPr>
      <w:r>
        <w:rPr>
          <w:spacing w:val="-3"/>
        </w:rPr>
        <w:t>不影响应纳税所得额或可抵扣亏损。</w:t>
      </w:r>
    </w:p>
    <w:p>
      <w:pPr>
        <w:pStyle w:val="BodyText"/>
        <w:spacing w:line="316" w:lineRule="auto" w:before="76"/>
        <w:ind w:right="0" w:firstLine="508"/>
        <w:jc w:val="left"/>
      </w:pPr>
      <w:r>
        <w:rPr>
          <w:spacing w:val="-4"/>
        </w:rPr>
        <w:t>②本公司对与子公司、合营企业及联营企业投资相关的应纳税暂时性差异，其对所得税的影响额一般确认为递延所得</w:t>
      </w:r>
      <w:r>
        <w:rPr>
          <w:w w:val="101"/>
        </w:rPr>
        <w:t> </w:t>
      </w:r>
      <w:r>
        <w:rPr>
          <w:spacing w:val="-3"/>
        </w:rPr>
        <w:t>税负债，但同时满足以下两项条件的除外：</w:t>
      </w:r>
    </w:p>
    <w:p>
      <w:pPr>
        <w:pStyle w:val="BodyText"/>
        <w:spacing w:line="300" w:lineRule="auto" w:before="19"/>
        <w:ind w:left="662" w:right="6287"/>
        <w:jc w:val="left"/>
      </w:pPr>
      <w:r>
        <w:rPr>
          <w:rFonts w:ascii="Times New Roman" w:hAnsi="Times New Roman" w:cs="Times New Roman" w:eastAsia="Times New Roman" w:hint="default"/>
          <w:spacing w:val="-3"/>
        </w:rPr>
        <w:t>A.</w:t>
      </w:r>
      <w:r>
        <w:rPr>
          <w:spacing w:val="-3"/>
        </w:rPr>
        <w:t>本公司能够控制暂时性差异转回的时间；</w:t>
      </w:r>
      <w:r>
        <w:rPr>
          <w:spacing w:val="-30"/>
        </w:rPr>
        <w:t> </w:t>
      </w:r>
      <w:r>
        <w:rPr>
          <w:spacing w:val="-30"/>
        </w:rPr>
      </w:r>
      <w:r>
        <w:rPr>
          <w:rFonts w:ascii="Times New Roman" w:hAnsi="Times New Roman" w:cs="Times New Roman" w:eastAsia="Times New Roman" w:hint="default"/>
          <w:spacing w:val="-3"/>
        </w:rPr>
        <w:t>B.</w:t>
      </w:r>
      <w:r>
        <w:rPr>
          <w:spacing w:val="-3"/>
        </w:rPr>
        <w:t>该暂时性差异在可预见的未来很可能不会转回。</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3</w:t>
      </w:r>
      <w:r>
        <w:rPr>
          <w:spacing w:val="-3"/>
        </w:rPr>
        <w:t>）特定交易或事项所涉及的递延所得税负债或资产的确认</w:t>
      </w:r>
    </w:p>
    <w:p>
      <w:pPr>
        <w:pStyle w:val="BodyText"/>
        <w:spacing w:line="316" w:lineRule="auto" w:before="63"/>
        <w:ind w:left="662" w:right="0"/>
        <w:jc w:val="left"/>
      </w:pPr>
      <w:r>
        <w:rPr>
          <w:spacing w:val="-3"/>
        </w:rPr>
        <w:t>①与企业合并相关的递延所得税负债或资产</w:t>
      </w:r>
      <w:r>
        <w:rPr>
          <w:spacing w:val="-33"/>
        </w:rPr>
        <w:t> </w:t>
      </w:r>
      <w:r>
        <w:rPr>
          <w:spacing w:val="-33"/>
        </w:rPr>
      </w:r>
      <w:r>
        <w:rPr>
          <w:spacing w:val="-4"/>
        </w:rPr>
        <w:t>非同一控制下企业合并产生的应纳税暂时性差异或可抵扣暂时性差异，在确认递延所得税负债或递延所得税资产的同</w:t>
      </w:r>
    </w:p>
    <w:p>
      <w:pPr>
        <w:pStyle w:val="BodyText"/>
        <w:spacing w:line="240" w:lineRule="auto" w:before="19"/>
        <w:ind w:right="0"/>
        <w:jc w:val="both"/>
      </w:pPr>
      <w:r>
        <w:rPr>
          <w:spacing w:val="-3"/>
        </w:rPr>
        <w:t>时，相关的递延所得税费用（或收益），通常调整企业合并中所确认的商誉。</w:t>
      </w:r>
    </w:p>
    <w:p>
      <w:pPr>
        <w:pStyle w:val="BodyText"/>
        <w:spacing w:line="316" w:lineRule="auto" w:before="77"/>
        <w:ind w:left="662" w:right="0"/>
        <w:jc w:val="left"/>
      </w:pPr>
      <w:r>
        <w:rPr>
          <w:spacing w:val="-3"/>
        </w:rPr>
        <w:t>②直接计入所有者权益的项目</w:t>
      </w:r>
      <w:r>
        <w:rPr>
          <w:spacing w:val="-50"/>
        </w:rPr>
        <w:t> </w:t>
      </w:r>
      <w:r>
        <w:rPr>
          <w:spacing w:val="-50"/>
        </w:rPr>
      </w:r>
      <w:r>
        <w:rPr>
          <w:spacing w:val="-4"/>
        </w:rPr>
        <w:t>与直接计入所有者权益的交易或者事项相关的当期所得税和递延所得税，计入所有者权益。暂时性差异对所得税的影</w:t>
      </w:r>
    </w:p>
    <w:p>
      <w:pPr>
        <w:pStyle w:val="BodyText"/>
        <w:spacing w:line="316" w:lineRule="auto" w:before="19"/>
        <w:ind w:right="1124"/>
        <w:jc w:val="both"/>
      </w:pPr>
      <w:r>
        <w:rPr>
          <w:spacing w:val="-4"/>
        </w:rPr>
        <w:t>响计入所有者权益的交易或事项包括：可供出售金融资产公允价值变动等形成的其他综合收益、会计政策变更采用追溯调整</w:t>
      </w:r>
      <w:r>
        <w:rPr>
          <w:spacing w:val="44"/>
        </w:rPr>
        <w:t> </w:t>
      </w:r>
      <w:r>
        <w:rPr>
          <w:spacing w:val="44"/>
        </w:rPr>
      </w:r>
      <w:r>
        <w:rPr>
          <w:spacing w:val="-4"/>
        </w:rPr>
        <w:t>法或对前期（重要）会计差错更正差异追溯重述法调整期初留存收益、同时包含负债成份及权益成份的混合金融工具在初始</w:t>
      </w:r>
      <w:r>
        <w:rPr>
          <w:spacing w:val="43"/>
        </w:rPr>
        <w:t> </w:t>
      </w:r>
      <w:r>
        <w:rPr>
          <w:spacing w:val="43"/>
        </w:rPr>
      </w:r>
      <w:r>
        <w:rPr>
          <w:spacing w:val="-3"/>
        </w:rPr>
        <w:t>确认时计入所有者权益等。</w:t>
      </w:r>
    </w:p>
    <w:p>
      <w:pPr>
        <w:pStyle w:val="BodyText"/>
        <w:spacing w:line="240" w:lineRule="auto" w:before="19"/>
        <w:ind w:left="662" w:right="0"/>
        <w:jc w:val="left"/>
      </w:pPr>
      <w:r>
        <w:rPr>
          <w:spacing w:val="-3"/>
        </w:rPr>
        <w:t>③可弥补亏损和税款抵减</w:t>
      </w:r>
    </w:p>
    <w:p>
      <w:pPr>
        <w:pStyle w:val="BodyText"/>
        <w:spacing w:line="300" w:lineRule="auto" w:before="76"/>
        <w:ind w:left="662" w:right="0"/>
        <w:jc w:val="left"/>
      </w:pPr>
      <w:r>
        <w:rPr>
          <w:rFonts w:ascii="Times New Roman" w:hAnsi="Times New Roman" w:cs="Times New Roman" w:eastAsia="Times New Roman" w:hint="default"/>
          <w:spacing w:val="-3"/>
        </w:rPr>
        <w:t>A.</w:t>
      </w:r>
      <w:r>
        <w:rPr>
          <w:spacing w:val="-3"/>
        </w:rPr>
        <w:t>本公司自身经营产生的可弥补亏损以及税款抵减</w:t>
      </w:r>
      <w:r>
        <w:rPr>
          <w:spacing w:val="-24"/>
        </w:rPr>
        <w:t> </w:t>
      </w:r>
      <w:r>
        <w:rPr>
          <w:spacing w:val="-24"/>
        </w:rPr>
      </w:r>
      <w:r>
        <w:rPr>
          <w:spacing w:val="-4"/>
        </w:rPr>
        <w:t>可抵扣亏损是指按照税法规定计算确定的准予用以后年度的应纳税所得额弥补的亏损。对于按照税法规定可以结转以</w:t>
      </w:r>
    </w:p>
    <w:p>
      <w:pPr>
        <w:pStyle w:val="BodyText"/>
        <w:spacing w:line="319" w:lineRule="auto" w:before="31"/>
        <w:ind w:right="1124"/>
        <w:jc w:val="both"/>
      </w:pPr>
      <w:r>
        <w:rPr>
          <w:spacing w:val="-4"/>
        </w:rPr>
        <w:t>后年度的未弥补亏损（可抵扣亏损）和税款抵减，视同可抵扣暂时性差异处理。在预计可利用可弥补亏损或税款抵减的未来</w:t>
      </w:r>
      <w:r>
        <w:rPr>
          <w:spacing w:val="39"/>
        </w:rPr>
        <w:t> </w:t>
      </w:r>
      <w:r>
        <w:rPr>
          <w:spacing w:val="39"/>
        </w:rPr>
      </w:r>
      <w:r>
        <w:rPr>
          <w:spacing w:val="-4"/>
        </w:rPr>
        <w:t>期间内很可能取得足够的应纳税所得额时，以很可能取得的应纳税所得额为限，确认相应的递延所得税资产，同时减少当期</w:t>
      </w:r>
      <w:r>
        <w:rPr>
          <w:spacing w:val="43"/>
        </w:rPr>
        <w:t> </w:t>
      </w:r>
      <w:r>
        <w:rPr>
          <w:spacing w:val="43"/>
        </w:rPr>
      </w:r>
      <w:r>
        <w:rPr>
          <w:spacing w:val="-3"/>
        </w:rPr>
        <w:t>利润表中的所得税费用。</w:t>
      </w:r>
    </w:p>
    <w:p>
      <w:pPr>
        <w:pStyle w:val="BodyText"/>
        <w:spacing w:line="300" w:lineRule="auto" w:before="17"/>
        <w:ind w:left="662" w:right="0"/>
        <w:jc w:val="left"/>
      </w:pPr>
      <w:r>
        <w:rPr>
          <w:rFonts w:ascii="Times New Roman" w:hAnsi="Times New Roman" w:cs="Times New Roman" w:eastAsia="Times New Roman" w:hint="default"/>
          <w:spacing w:val="-3"/>
        </w:rPr>
        <w:t>B.</w:t>
      </w:r>
      <w:r>
        <w:rPr>
          <w:spacing w:val="-3"/>
        </w:rPr>
        <w:t>因企业合并而形成的可弥补的被合并企业的未弥补亏损</w:t>
      </w:r>
      <w:r>
        <w:rPr>
          <w:spacing w:val="-18"/>
        </w:rPr>
        <w:t> </w:t>
      </w:r>
      <w:r>
        <w:rPr>
          <w:spacing w:val="-18"/>
        </w:rPr>
      </w:r>
      <w:r>
        <w:rPr>
          <w:spacing w:val="-6"/>
        </w:rPr>
        <w:t>在企业合并中，本公司取得被购买方的可抵扣暂时性差异，在购买日不符合递延所得税资产确认条件的，不予以确认。</w:t>
      </w:r>
    </w:p>
    <w:p>
      <w:pPr>
        <w:pStyle w:val="BodyText"/>
        <w:spacing w:line="309" w:lineRule="auto" w:before="31"/>
        <w:ind w:right="1122"/>
        <w:jc w:val="both"/>
      </w:pPr>
      <w:r>
        <w:rPr>
          <w:spacing w:val="-4"/>
        </w:rPr>
        <w:t>购买日后</w:t>
      </w:r>
      <w:r>
        <w:rPr>
          <w:rFonts w:ascii="Times New Roman" w:hAnsi="Times New Roman" w:cs="Times New Roman" w:eastAsia="Times New Roman" w:hint="default"/>
          <w:spacing w:val="-4"/>
        </w:rPr>
        <w:t>12</w:t>
      </w:r>
      <w:r>
        <w:rPr>
          <w:spacing w:val="-4"/>
        </w:rPr>
        <w:t>个月内，如取得新的或进一步的信息表明购买日的相关情况已经存在，预期被购买方在购买日可抵扣暂时性差异</w:t>
      </w:r>
      <w:r>
        <w:rPr>
          <w:spacing w:val="49"/>
        </w:rPr>
        <w:t> </w:t>
      </w:r>
      <w:r>
        <w:rPr>
          <w:spacing w:val="49"/>
        </w:rPr>
      </w:r>
      <w:r>
        <w:rPr>
          <w:spacing w:val="-4"/>
        </w:rPr>
        <w:t>带来的经济利益能够实现的，确认相关的递延所得税资产，同时减少商誉，商誉不足冲减的，差额部分确认为当期损益；除</w:t>
      </w:r>
      <w:r>
        <w:rPr>
          <w:spacing w:val="40"/>
        </w:rPr>
        <w:t> </w:t>
      </w:r>
      <w:r>
        <w:rPr>
          <w:spacing w:val="40"/>
        </w:rPr>
      </w:r>
      <w:r>
        <w:rPr>
          <w:spacing w:val="-3"/>
        </w:rPr>
        <w:t>上述情况以外，确认与企业合并相关的递延所得税资产，计入当期损益。</w:t>
      </w:r>
    </w:p>
    <w:p>
      <w:pPr>
        <w:pStyle w:val="BodyText"/>
        <w:spacing w:line="316" w:lineRule="auto" w:before="24"/>
        <w:ind w:left="662" w:right="0"/>
        <w:jc w:val="left"/>
      </w:pPr>
      <w:r>
        <w:rPr>
          <w:spacing w:val="-3"/>
        </w:rPr>
        <w:t>④合并抵销形成的暂时性差异</w:t>
      </w:r>
      <w:r>
        <w:rPr>
          <w:spacing w:val="-50"/>
        </w:rPr>
        <w:t> </w:t>
      </w:r>
      <w:r>
        <w:rPr>
          <w:spacing w:val="-50"/>
        </w:rPr>
      </w:r>
      <w:r>
        <w:rPr>
          <w:spacing w:val="-4"/>
        </w:rPr>
        <w:t>本公司在编制合并财务报表时，因抵销未实现内部销售损益导致合并资产负债表中资产、负债的账面价值与其在所属</w:t>
      </w:r>
    </w:p>
    <w:p>
      <w:pPr>
        <w:pStyle w:val="BodyText"/>
        <w:spacing w:line="316" w:lineRule="auto" w:before="19"/>
        <w:ind w:right="1124"/>
        <w:jc w:val="both"/>
      </w:pPr>
      <w:r>
        <w:rPr>
          <w:spacing w:val="-4"/>
        </w:rPr>
        <w:t>纳税主体的计税基础之间产生暂时性差异的，在合并资产负债表中确认递延所得税资产或递延所得税负债，同时调整合并利</w:t>
      </w:r>
      <w:r>
        <w:rPr>
          <w:spacing w:val="42"/>
        </w:rPr>
        <w:t> </w:t>
      </w:r>
      <w:r>
        <w:rPr>
          <w:spacing w:val="42"/>
        </w:rPr>
      </w:r>
      <w:r>
        <w:rPr>
          <w:spacing w:val="-3"/>
        </w:rPr>
        <w:t>润表中的所得税费用，但与直接计入所有者权益的交易或事项及企业合并相关的递延所得税除外。</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662" w:right="0"/>
        <w:jc w:val="left"/>
      </w:pPr>
      <w:r>
        <w:rPr>
          <w:spacing w:val="-3"/>
        </w:rPr>
        <w:t>⑤以权益结算的股份支付</w:t>
      </w:r>
      <w:r>
        <w:rPr>
          <w:spacing w:val="-56"/>
        </w:rPr>
        <w:t> </w:t>
      </w:r>
      <w:r>
        <w:rPr>
          <w:spacing w:val="-56"/>
        </w:rPr>
      </w:r>
      <w:r>
        <w:rPr>
          <w:spacing w:val="-4"/>
        </w:rPr>
        <w:t>如果税法规定与股份支付相关的支出允许税前扣除，在按照会计准则规定确认成本费用的期间内，本公司根据会计期</w:t>
      </w:r>
    </w:p>
    <w:p>
      <w:pPr>
        <w:pStyle w:val="BodyText"/>
        <w:spacing w:line="319" w:lineRule="auto" w:before="19"/>
        <w:ind w:right="1124"/>
        <w:jc w:val="both"/>
      </w:pPr>
      <w:r>
        <w:rPr>
          <w:spacing w:val="-4"/>
          <w:w w:val="101"/>
        </w:rPr>
        <w:t>末取得信息估计可税前扣除的金额计算确定其计税基础及由此产生的暂时性差异，符合确认条件的情况下确认相关的递延所</w:t>
      </w:r>
      <w:r>
        <w:rPr>
          <w:w w:val="101"/>
        </w:rPr>
        <w:t> </w:t>
      </w:r>
      <w:r>
        <w:rPr>
          <w:spacing w:val="-4"/>
        </w:rPr>
        <w:t>得税。其中预计未来期间可税前扣除的金额超过按照会计准则规定确认的与股份支付相关的成本费用，超过部分的所得税影</w:t>
      </w:r>
      <w:r>
        <w:rPr>
          <w:spacing w:val="43"/>
        </w:rPr>
        <w:t> </w:t>
      </w:r>
      <w:r>
        <w:rPr>
          <w:spacing w:val="43"/>
        </w:rPr>
      </w:r>
      <w:r>
        <w:rPr>
          <w:spacing w:val="-3"/>
        </w:rPr>
        <w:t>响应直接计入所有者权益。</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9" w:lineRule="auto"/>
        <w:ind w:right="1124" w:firstLine="508"/>
        <w:jc w:val="both"/>
      </w:pPr>
      <w:r>
        <w:rPr>
          <w:spacing w:val="-4"/>
        </w:rPr>
        <w:t>①本公司作为经营租赁承租人时，将经营租赁的租金支出，在租赁期内各个期间按照直线法或根据租赁资产的使用量</w:t>
      </w:r>
      <w:r>
        <w:rPr>
          <w:w w:val="101"/>
        </w:rPr>
        <w:t> </w:t>
      </w:r>
      <w:r>
        <w:rPr>
          <w:spacing w:val="-4"/>
        </w:rPr>
        <w:t>计入当期损益。出租人提供免租期的，本公司将租金总额在不扣除免租期的整个租赁期内，按直线法或其他合理的方法进行</w:t>
      </w:r>
      <w:r>
        <w:rPr>
          <w:spacing w:val="43"/>
        </w:rPr>
        <w:t> </w:t>
      </w:r>
      <w:r>
        <w:rPr>
          <w:spacing w:val="43"/>
        </w:rPr>
      </w:r>
      <w:r>
        <w:rPr>
          <w:spacing w:val="-4"/>
        </w:rPr>
        <w:t>分摊，免租期内确认租金费用及相应的负债。出租人承担了承租人某些费用的，本公司按该费用从租金费用总额中扣除后的</w:t>
      </w:r>
      <w:r>
        <w:rPr>
          <w:spacing w:val="43"/>
        </w:rPr>
        <w:t> </w:t>
      </w:r>
      <w:r>
        <w:rPr>
          <w:spacing w:val="43"/>
        </w:rPr>
      </w:r>
      <w:r>
        <w:rPr>
          <w:spacing w:val="-3"/>
        </w:rPr>
        <w:t>租金费用余额在租赁期内进行分摊。</w:t>
      </w:r>
    </w:p>
    <w:p>
      <w:pPr>
        <w:pStyle w:val="BodyText"/>
        <w:spacing w:line="240" w:lineRule="auto" w:before="17"/>
        <w:ind w:left="662" w:right="0"/>
        <w:jc w:val="left"/>
      </w:pPr>
      <w:r>
        <w:rPr>
          <w:spacing w:val="-3"/>
        </w:rPr>
        <w:t>初始直接费用，计入当期损益。如协议约定或有租金的在实际发生时计入当期损益。</w:t>
      </w:r>
    </w:p>
    <w:p>
      <w:pPr>
        <w:pStyle w:val="BodyText"/>
        <w:spacing w:line="316" w:lineRule="auto" w:before="76"/>
        <w:ind w:right="1122" w:firstLine="508"/>
        <w:jc w:val="both"/>
      </w:pPr>
      <w:r>
        <w:rPr>
          <w:spacing w:val="-4"/>
        </w:rPr>
        <w:t>②本公司作为经营租赁出租人时，采用直线法将收到的租金在租赁期内确认为收益。出租人提供免租期的，出租人将</w:t>
      </w:r>
      <w:r>
        <w:rPr>
          <w:w w:val="101"/>
        </w:rPr>
        <w:t> </w:t>
      </w:r>
      <w:r>
        <w:rPr>
          <w:spacing w:val="-4"/>
        </w:rPr>
        <w:t>租金总额在不扣除免租期的整个租赁期内，按直线法或其他合理的方法进行分配，免租期内出租人也确认租金收入。承担了</w:t>
      </w:r>
      <w:r>
        <w:rPr>
          <w:spacing w:val="43"/>
        </w:rPr>
        <w:t> </w:t>
      </w:r>
      <w:r>
        <w:rPr>
          <w:spacing w:val="43"/>
        </w:rPr>
      </w:r>
      <w:r>
        <w:rPr>
          <w:spacing w:val="-3"/>
        </w:rPr>
        <w:t>承租人某些费用的，本公司按该费用自租金收入总额中扣除后的租金收入余额在租赁期内进行分配。</w:t>
      </w:r>
    </w:p>
    <w:p>
      <w:pPr>
        <w:pStyle w:val="BodyText"/>
        <w:spacing w:line="319" w:lineRule="auto" w:before="19"/>
        <w:ind w:right="1124" w:firstLine="508"/>
        <w:jc w:val="both"/>
      </w:pPr>
      <w:r>
        <w:rPr>
          <w:spacing w:val="-4"/>
        </w:rPr>
        <w:t>初始直接费用，计入当期损益。金额较大的予以资本化，在整个经营租赁期内按照与确认租金收入相同的基础分期计</w:t>
      </w:r>
      <w:r>
        <w:rPr>
          <w:w w:val="101"/>
        </w:rPr>
        <w:t> </w:t>
      </w:r>
      <w:r>
        <w:rPr>
          <w:spacing w:val="-3"/>
        </w:rPr>
        <w:t>入当期损益。如协议约定或有租金的在实际发生时计入当期收益。</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4" w:firstLine="508"/>
        <w:jc w:val="both"/>
      </w:pPr>
      <w:r>
        <w:rPr>
          <w:spacing w:val="-4"/>
        </w:rPr>
        <w:t>①本公司作为融资租赁承租人时，在租赁期开始日，将租赁开始日租赁资产公允价值与最低租赁付款额现值两者中较</w:t>
      </w:r>
      <w:r>
        <w:rPr>
          <w:w w:val="101"/>
        </w:rPr>
        <w:t> </w:t>
      </w:r>
      <w:r>
        <w:rPr>
          <w:spacing w:val="-4"/>
        </w:rPr>
        <w:t>低者作为租入资产的入账价值，将最低租赁付款额作为长期应付款的入账价值，其差额作为未确认融资费用。在租赁期内各</w:t>
      </w:r>
      <w:r>
        <w:rPr>
          <w:spacing w:val="43"/>
        </w:rPr>
        <w:t> </w:t>
      </w:r>
      <w:r>
        <w:rPr>
          <w:spacing w:val="43"/>
        </w:rPr>
      </w:r>
      <w:r>
        <w:rPr>
          <w:spacing w:val="-3"/>
        </w:rPr>
        <w:t>个期间采用实际利率法进行分摊，确认为当期融资费用，计入财务费用。</w:t>
      </w:r>
    </w:p>
    <w:p>
      <w:pPr>
        <w:pStyle w:val="BodyText"/>
        <w:spacing w:line="316" w:lineRule="auto" w:before="17"/>
        <w:ind w:left="662" w:right="0"/>
        <w:jc w:val="left"/>
      </w:pPr>
      <w:r>
        <w:rPr>
          <w:spacing w:val="-3"/>
        </w:rPr>
        <w:t>发生的初始直接费用，计入租入资产价值。</w:t>
      </w:r>
      <w:r>
        <w:rPr>
          <w:spacing w:val="-33"/>
        </w:rPr>
        <w:t> </w:t>
      </w:r>
      <w:r>
        <w:rPr>
          <w:spacing w:val="-33"/>
        </w:rPr>
      </w:r>
      <w:r>
        <w:rPr>
          <w:spacing w:val="-4"/>
        </w:rPr>
        <w:t>在计提融资租赁资产折旧时，本公司采用与自有应折旧资产相一致的折旧政策，折旧期间以租赁合同而定。如果能够</w:t>
      </w:r>
    </w:p>
    <w:p>
      <w:pPr>
        <w:pStyle w:val="BodyText"/>
        <w:spacing w:line="319" w:lineRule="auto" w:before="19"/>
        <w:ind w:right="0"/>
        <w:jc w:val="left"/>
      </w:pPr>
      <w:r>
        <w:rPr>
          <w:spacing w:val="-4"/>
        </w:rPr>
        <w:t>合理确定租赁期届满时本公司将会取得租赁资产所有权，以租赁期开始日租赁资产的寿命作为折旧期间；如果无法合理确定</w:t>
      </w:r>
      <w:r>
        <w:rPr>
          <w:spacing w:val="44"/>
        </w:rPr>
        <w:t> </w:t>
      </w:r>
      <w:r>
        <w:rPr>
          <w:spacing w:val="44"/>
        </w:rPr>
      </w:r>
      <w:r>
        <w:rPr>
          <w:spacing w:val="-3"/>
        </w:rPr>
        <w:t>租赁期届满后本公司是否能够取得租赁资产的所有权，以租赁期与租赁资产寿命两者中较短者作为折旧期间。</w:t>
      </w:r>
    </w:p>
    <w:p>
      <w:pPr>
        <w:pStyle w:val="BodyText"/>
        <w:spacing w:line="316" w:lineRule="auto" w:before="17"/>
        <w:ind w:right="1124" w:firstLine="508"/>
        <w:jc w:val="both"/>
      </w:pPr>
      <w:r>
        <w:rPr>
          <w:spacing w:val="-4"/>
        </w:rPr>
        <w:t>②本公司作为融资租赁出租人时，于租赁期开始日将租赁开始日最低租赁应收款额与初始直接费用之和作为应收融资</w:t>
      </w:r>
      <w:r>
        <w:rPr>
          <w:w w:val="101"/>
        </w:rPr>
        <w:t> </w:t>
      </w:r>
      <w:r>
        <w:rPr>
          <w:spacing w:val="-4"/>
        </w:rPr>
        <w:t>租赁款的入账价值，计入资产负债表的长期应收款，同时记录未担保余值；将最低租赁应收款额、初始直接费用及未担保余</w:t>
      </w:r>
      <w:r>
        <w:rPr>
          <w:spacing w:val="40"/>
        </w:rPr>
        <w:t> </w:t>
      </w:r>
      <w:r>
        <w:rPr>
          <w:spacing w:val="40"/>
        </w:rPr>
      </w:r>
      <w:r>
        <w:rPr>
          <w:spacing w:val="-3"/>
        </w:rPr>
        <w:t>值之和与其现值之和的差额作为未实现融资收益，在租赁期内各个期间采用实际利率法确认为租赁收入。</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518" w:right="0"/>
        <w:jc w:val="left"/>
      </w:pPr>
      <w:r>
        <w:rPr>
          <w:spacing w:val="-3"/>
        </w:rPr>
        <w:t>（</w:t>
      </w:r>
      <w:r>
        <w:rPr>
          <w:rFonts w:ascii="Times New Roman" w:hAnsi="Times New Roman" w:cs="Times New Roman" w:eastAsia="Times New Roman" w:hint="default"/>
          <w:spacing w:val="-3"/>
        </w:rPr>
        <w:t>1</w:t>
      </w:r>
      <w:r>
        <w:rPr>
          <w:spacing w:val="-3"/>
        </w:rPr>
        <w:t>）终止经营</w:t>
      </w:r>
    </w:p>
    <w:p>
      <w:pPr>
        <w:pStyle w:val="BodyText"/>
        <w:spacing w:line="300" w:lineRule="auto" w:before="63"/>
        <w:ind w:left="662" w:right="0"/>
        <w:jc w:val="left"/>
      </w:pPr>
      <w:r>
        <w:rPr>
          <w:rFonts w:ascii="Times New Roman" w:hAnsi="Times New Roman" w:cs="Times New Roman" w:eastAsia="Times New Roman" w:hint="default"/>
          <w:spacing w:val="-3"/>
        </w:rPr>
        <w:t>1</w:t>
      </w:r>
      <w:r>
        <w:rPr>
          <w:spacing w:val="-3"/>
        </w:rPr>
        <w:t>）终止经营的认定标准</w:t>
      </w:r>
      <w:r>
        <w:rPr>
          <w:spacing w:val="-57"/>
        </w:rPr>
        <w:t> </w:t>
      </w:r>
      <w:r>
        <w:rPr>
          <w:spacing w:val="-57"/>
        </w:rPr>
      </w:r>
      <w:r>
        <w:rPr>
          <w:spacing w:val="-4"/>
        </w:rPr>
        <w:t>终止经营，是指本公司满足下列条件之一的、能够单独区分的组成部分，且该组成部分已经处置或划分为持有待售类</w:t>
      </w:r>
    </w:p>
    <w:p>
      <w:pPr>
        <w:pStyle w:val="BodyText"/>
        <w:spacing w:line="240" w:lineRule="auto" w:before="32"/>
        <w:ind w:right="0"/>
        <w:jc w:val="left"/>
      </w:pPr>
      <w:r>
        <w:rPr/>
        <w:t>别：</w:t>
      </w:r>
    </w:p>
    <w:p>
      <w:pPr>
        <w:pStyle w:val="BodyText"/>
        <w:spacing w:line="240" w:lineRule="auto" w:before="76"/>
        <w:ind w:left="662" w:right="0"/>
        <w:jc w:val="left"/>
      </w:pPr>
      <w:r>
        <w:rPr>
          <w:spacing w:val="-3"/>
        </w:rPr>
        <w:t>①该组成部分代表一项独立的主要业务或一个单独的主要经营地区；</w:t>
      </w:r>
    </w:p>
    <w:p>
      <w:pPr>
        <w:pStyle w:val="BodyText"/>
        <w:spacing w:line="240" w:lineRule="auto" w:before="76"/>
        <w:ind w:left="662" w:right="0"/>
        <w:jc w:val="left"/>
      </w:pPr>
      <w:r>
        <w:rPr>
          <w:spacing w:val="-3"/>
        </w:rPr>
        <w:t>②该组成部分是拟对一项独立的主要业务或一个单独的主要经营地区进行处置的一项相关联计划的一部分；</w:t>
      </w:r>
    </w:p>
    <w:p>
      <w:pPr>
        <w:pStyle w:val="BodyText"/>
        <w:spacing w:line="240" w:lineRule="auto" w:before="76"/>
        <w:ind w:left="662" w:right="0"/>
        <w:jc w:val="left"/>
      </w:pPr>
      <w:r>
        <w:rPr>
          <w:spacing w:val="-3"/>
        </w:rPr>
        <w:t>③该组成部分是专为转售而取得的子公司。</w:t>
      </w:r>
    </w:p>
    <w:p>
      <w:pPr>
        <w:pStyle w:val="BodyText"/>
        <w:spacing w:line="300" w:lineRule="auto" w:before="76"/>
        <w:ind w:left="662" w:right="0"/>
        <w:jc w:val="left"/>
      </w:pPr>
      <w:r>
        <w:rPr>
          <w:rFonts w:ascii="Times New Roman" w:hAnsi="Times New Roman" w:cs="Times New Roman" w:eastAsia="Times New Roman" w:hint="default"/>
          <w:spacing w:val="-3"/>
        </w:rPr>
        <w:t>2</w:t>
      </w:r>
      <w:r>
        <w:rPr>
          <w:spacing w:val="-3"/>
        </w:rPr>
        <w:t>）终止经营的列示</w:t>
      </w:r>
      <w:r>
        <w:rPr>
          <w:spacing w:val="-63"/>
        </w:rPr>
        <w:t> </w:t>
      </w:r>
      <w:r>
        <w:rPr>
          <w:spacing w:val="-63"/>
        </w:rPr>
      </w:r>
      <w:r>
        <w:rPr>
          <w:spacing w:val="-4"/>
        </w:rPr>
        <w:t>本公司在利润表中分别列示持续经营损益和终止经营损益。对于当期列报的终止经营，本公司在当期财务报表中，将</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3"/>
        </w:rPr>
        <w:t>原来作为持续经营损益列报的信息重新作为可比会计期间的终止经营损益列报。终止经营不再满足持有待售类别划分条件</w:t>
      </w:r>
      <w:r>
        <w:rPr>
          <w:spacing w:val="66"/>
        </w:rPr>
        <w:t> </w:t>
      </w:r>
      <w:r>
        <w:rPr>
          <w:spacing w:val="66"/>
        </w:rPr>
      </w:r>
      <w:r>
        <w:rPr>
          <w:spacing w:val="-3"/>
        </w:rPr>
        <w:t>的，本公司在当期财务报表中，将原来作为终止经营损益列报的信息重新作为可比会计期间的持续经营损益列报。</w:t>
      </w:r>
    </w:p>
    <w:p>
      <w:pPr>
        <w:pStyle w:val="BodyText"/>
        <w:spacing w:line="240" w:lineRule="auto" w:before="19"/>
        <w:ind w:left="510" w:right="8864"/>
        <w:jc w:val="center"/>
      </w:pPr>
      <w:r>
        <w:rPr>
          <w:spacing w:val="-3"/>
        </w:rPr>
        <w:t>（</w:t>
      </w:r>
      <w:r>
        <w:rPr>
          <w:rFonts w:ascii="Times New Roman" w:hAnsi="Times New Roman" w:cs="Times New Roman" w:eastAsia="Times New Roman" w:hint="default"/>
          <w:spacing w:val="-3"/>
        </w:rPr>
        <w:t>2</w:t>
      </w:r>
      <w:r>
        <w:rPr>
          <w:spacing w:val="-3"/>
        </w:rPr>
        <w:t>）回购公司股份</w:t>
      </w:r>
    </w:p>
    <w:p>
      <w:pPr>
        <w:pStyle w:val="BodyText"/>
        <w:spacing w:line="309" w:lineRule="auto" w:before="63"/>
        <w:ind w:right="1124" w:firstLine="508"/>
        <w:jc w:val="both"/>
      </w:pPr>
      <w:r>
        <w:rPr>
          <w:rFonts w:ascii="Times New Roman" w:hAnsi="Times New Roman" w:cs="Times New Roman" w:eastAsia="Times New Roman" w:hint="default"/>
          <w:spacing w:val="-3"/>
        </w:rPr>
        <w:t>1</w:t>
      </w:r>
      <w:r>
        <w:rPr>
          <w:spacing w:val="-3"/>
        </w:rPr>
        <w:t>）本公司按法定程序报经批准采用收购本公司股票方式减资的，按注销股票面值总额减少股本，购回股票支付的价</w:t>
      </w:r>
      <w:r>
        <w:rPr>
          <w:w w:val="101"/>
        </w:rPr>
        <w:t> </w:t>
      </w:r>
      <w:r>
        <w:rPr>
          <w:spacing w:val="-4"/>
        </w:rPr>
        <w:t>款（含交易费用）与股票面值的差额调整所有者权益，超过面值总额的部分，依次冲减资本公积（股本溢价）、盈余公积和</w:t>
      </w:r>
      <w:r>
        <w:rPr>
          <w:spacing w:val="40"/>
        </w:rPr>
        <w:t> </w:t>
      </w:r>
      <w:r>
        <w:rPr>
          <w:spacing w:val="40"/>
        </w:rPr>
      </w:r>
      <w:r>
        <w:rPr>
          <w:spacing w:val="-3"/>
        </w:rPr>
        <w:t>未分配利润；低于面值总额的，低于面值总额的部分增加资本公积（股本溢价）。</w:t>
      </w:r>
    </w:p>
    <w:p>
      <w:pPr>
        <w:pStyle w:val="BodyText"/>
        <w:spacing w:line="240" w:lineRule="auto" w:before="24"/>
        <w:ind w:left="662" w:right="0"/>
        <w:jc w:val="left"/>
      </w:pPr>
      <w:r>
        <w:rPr>
          <w:rFonts w:ascii="Times New Roman" w:hAnsi="Times New Roman" w:cs="Times New Roman" w:eastAsia="Times New Roman" w:hint="default"/>
          <w:spacing w:val="-3"/>
        </w:rPr>
        <w:t>2</w:t>
      </w:r>
      <w:r>
        <w:rPr>
          <w:spacing w:val="-3"/>
        </w:rPr>
        <w:t>）公司回购的股份在注销或者转让之前，作为库存股管理，回购股份的全部支出转作库存股成本。</w:t>
      </w:r>
    </w:p>
    <w:p>
      <w:pPr>
        <w:pStyle w:val="BodyText"/>
        <w:spacing w:line="300" w:lineRule="auto" w:before="63"/>
        <w:ind w:right="1172" w:firstLine="508"/>
        <w:jc w:val="both"/>
      </w:pPr>
      <w:r>
        <w:rPr>
          <w:rFonts w:ascii="Times New Roman" w:hAnsi="Times New Roman" w:cs="Times New Roman" w:eastAsia="Times New Roman" w:hint="default"/>
          <w:spacing w:val="-3"/>
        </w:rPr>
        <w:t>3</w:t>
      </w:r>
      <w:r>
        <w:rPr>
          <w:spacing w:val="-3"/>
        </w:rPr>
        <w:t>）库存股转让时，转让收入高于库存股成本的部分，增加资本公积（股本溢价）；低于库存股成本的部分，依次冲</w:t>
      </w:r>
      <w:r>
        <w:rPr>
          <w:w w:val="101"/>
        </w:rPr>
        <w:t> </w:t>
      </w:r>
      <w:r>
        <w:rPr>
          <w:spacing w:val="-3"/>
        </w:rPr>
        <w:t>减资本公积（股本溢价）、盈余公积、未分配利润。</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6"/>
        <w:ind w:left="0" w:right="1126"/>
        <w:jc w:val="right"/>
      </w:pPr>
      <w:r>
        <w:rPr/>
        <w:pict>
          <v:shape style="position:absolute;margin-left:56.424pt;margin-top:-99.048286pt;width:479.5pt;height:435.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月财政部发布了《企业会计准</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关于权益法下投资净损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3"/>
                            <w:w w:val="101"/>
                            <w:sz w:val="18"/>
                            <w:szCs w:val="18"/>
                          </w:rPr>
                          <w:t>失的会计处理》、《企业会计准则解释第</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关于以使用固定资产产生的收入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3"/>
                            <w:w w:val="101"/>
                            <w:sz w:val="18"/>
                            <w:szCs w:val="18"/>
                          </w:rPr>
                          <w:t>为基础的折旧方法》、《企业会计准则解</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释第 </w:t>
                        </w:r>
                        <w:r>
                          <w:rPr>
                            <w:rFonts w:ascii="Times New Roman" w:hAnsi="Times New Roman" w:cs="Times New Roman" w:eastAsia="Times New Roman" w:hint="default"/>
                            <w:spacing w:val="-5"/>
                            <w:sz w:val="18"/>
                            <w:szCs w:val="18"/>
                          </w:rPr>
                          <w:t>11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关于以使用无形资产产生的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收入为基础的摊销方法》及《企业会计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准则解释第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关于关键管理人员服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务的提供方与接受方是否为关联方》等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四项解释，本公司于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起执</w:t>
                        </w:r>
                        <w:r>
                          <w:rPr>
                            <w:rFonts w:ascii="宋体" w:hAnsi="宋体" w:cs="宋体" w:eastAsia="宋体" w:hint="default"/>
                            <w:spacing w:val="-87"/>
                            <w:sz w:val="18"/>
                            <w:szCs w:val="18"/>
                          </w:rPr>
                          <w:t> </w:t>
                        </w:r>
                        <w:r>
                          <w:rPr>
                            <w:rFonts w:ascii="宋体" w:hAnsi="宋体" w:cs="宋体" w:eastAsia="宋体" w:hint="default"/>
                            <w:sz w:val="18"/>
                            <w:szCs w:val="18"/>
                          </w:rPr>
                          <w:t>行上述解释。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[2017]16 </w:t>
                        </w:r>
                        <w:r>
                          <w:rPr>
                            <w:rFonts w:ascii="宋体" w:hAnsi="宋体" w:cs="宋体" w:eastAsia="宋体" w:hint="default"/>
                            <w:spacing w:val="-5"/>
                            <w:sz w:val="18"/>
                            <w:szCs w:val="18"/>
                          </w:rPr>
                          <w:t>号、财会</w:t>
                        </w:r>
                        <w:r>
                          <w:rPr>
                            <w:rFonts w:ascii="Times New Roman" w:hAnsi="Times New Roman" w:cs="Times New Roman" w:eastAsia="Times New Roman" w:hint="default"/>
                            <w:spacing w:val="-5"/>
                            <w:sz w:val="18"/>
                            <w:szCs w:val="18"/>
                          </w:rPr>
                          <w:t>[2017]17</w:t>
                        </w:r>
                        <w:r>
                          <w:rPr>
                            <w:rFonts w:ascii="Times New Roman" w:hAnsi="Times New Roman" w:cs="Times New Roman" w:eastAsia="Times New Roman" w:hint="default"/>
                            <w:spacing w:val="27"/>
                            <w:sz w:val="18"/>
                            <w:szCs w:val="18"/>
                          </w:rPr>
                          <w:t> </w:t>
                        </w:r>
                        <w:r>
                          <w:rPr>
                            <w:rFonts w:ascii="宋体" w:hAnsi="宋体" w:cs="宋体" w:eastAsia="宋体" w:hint="default"/>
                            <w:spacing w:val="-11"/>
                            <w:sz w:val="18"/>
                            <w:szCs w:val="18"/>
                          </w:rPr>
                          <w:t>号、财会</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[2017]18 </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起执行上述解释</w:t>
                        </w:r>
                      </w:p>
                    </w:tc>
                  </w:tr>
                  <w:tr>
                    <w:trPr>
                      <w:trHeight w:val="477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发</w:t>
                        </w:r>
                        <w:r>
                          <w:rPr>
                            <w:rFonts w:ascii="宋体" w:hAnsi="宋体" w:cs="宋体" w:eastAsia="宋体" w:hint="default"/>
                            <w:w w:val="101"/>
                            <w:sz w:val="18"/>
                            <w:szCs w:val="18"/>
                          </w:rPr>
                          <w:t>布</w:t>
                        </w:r>
                        <w:r>
                          <w:rPr>
                            <w:rFonts w:ascii="宋体" w:hAnsi="宋体" w:cs="宋体" w:eastAsia="宋体" w:hint="default"/>
                            <w:spacing w:val="-92"/>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z w:val="18"/>
                            <w:szCs w:val="18"/>
                          </w:rPr>
                        </w:r>
                      </w:p>
                      <w:p>
                        <w:pPr>
                          <w:pStyle w:val="TableParagraph"/>
                          <w:spacing w:line="304"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年度一般企业财务报表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101"/>
                            <w:sz w:val="18"/>
                            <w:szCs w:val="18"/>
                          </w:rPr>
                          <w:t>格式的通知》（财会</w:t>
                        </w:r>
                        <w:r>
                          <w:rPr>
                            <w:rFonts w:ascii="Times New Roman" w:hAnsi="Times New Roman" w:cs="Times New Roman" w:eastAsia="Times New Roman" w:hint="default"/>
                            <w:spacing w:val="-7"/>
                            <w:w w:val="101"/>
                            <w:sz w:val="18"/>
                            <w:szCs w:val="18"/>
                          </w:rPr>
                          <w:t>[2018]15</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2"/>
                            <w:w w:val="101"/>
                            <w:sz w:val="18"/>
                            <w:szCs w:val="18"/>
                          </w:rPr>
                          <w:t>号）要求，</w:t>
                        </w:r>
                        <w:r>
                          <w:rPr>
                            <w:rFonts w:ascii="宋体" w:hAnsi="宋体" w:cs="宋体" w:eastAsia="宋体" w:hint="default"/>
                            <w:w w:val="101"/>
                            <w:sz w:val="18"/>
                            <w:szCs w:val="18"/>
                          </w:rPr>
                          <w:t> </w:t>
                        </w:r>
                        <w:r>
                          <w:rPr>
                            <w:rFonts w:ascii="宋体" w:hAnsi="宋体" w:cs="宋体" w:eastAsia="宋体" w:hint="default"/>
                            <w:spacing w:val="-3"/>
                            <w:sz w:val="18"/>
                            <w:szCs w:val="18"/>
                          </w:rPr>
                          <w:t>对尚未执行新金融准则和新收入准则的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企业应按如下规定编制财务报表：资产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负债表中将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w:t>
                        </w:r>
                        <w:r>
                          <w:rPr>
                            <w:rFonts w:ascii="宋体" w:hAnsi="宋体" w:cs="宋体" w:eastAsia="宋体" w:hint="default"/>
                            <w:spacing w:val="-34"/>
                            <w:sz w:val="18"/>
                            <w:szCs w:val="18"/>
                          </w:rPr>
                          <w:t> </w:t>
                        </w:r>
                        <w:r>
                          <w:rPr>
                            <w:rFonts w:ascii="宋体" w:hAnsi="宋体" w:cs="宋体" w:eastAsia="宋体" w:hint="default"/>
                            <w:spacing w:val="-3"/>
                            <w:sz w:val="18"/>
                            <w:szCs w:val="18"/>
                          </w:rPr>
                          <w:t>并至新增的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w:t>
                        </w:r>
                        <w:r>
                          <w:rPr>
                            <w:rFonts w:ascii="宋体" w:hAnsi="宋体" w:cs="宋体" w:eastAsia="宋体" w:hint="default"/>
                            <w:spacing w:val="-36"/>
                            <w:sz w:val="18"/>
                            <w:szCs w:val="18"/>
                          </w:rPr>
                          <w:t> </w:t>
                        </w: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归并至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宋体" w:hAnsi="宋体" w:cs="宋体" w:eastAsia="宋体" w:hint="default"/>
                            <w:spacing w:val="-30"/>
                            <w:sz w:val="18"/>
                            <w:szCs w:val="18"/>
                          </w:rPr>
                          <w:t> </w:t>
                        </w:r>
                        <w:r>
                          <w:rPr>
                            <w:rFonts w:ascii="宋体" w:hAnsi="宋体" w:cs="宋体" w:eastAsia="宋体" w:hint="default"/>
                            <w:spacing w:val="-3"/>
                            <w:sz w:val="18"/>
                            <w:szCs w:val="18"/>
                          </w:rPr>
                          <w:t>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固定资产清理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归并至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工程物资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归并至</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w:t>
                        </w:r>
                        <w:r>
                          <w:rPr>
                            <w:rFonts w:ascii="宋体" w:hAnsi="宋体" w:cs="宋体" w:eastAsia="宋体" w:hint="default"/>
                            <w:spacing w:val="-30"/>
                            <w:sz w:val="18"/>
                            <w:szCs w:val="18"/>
                          </w:rPr>
                          <w:t> </w:t>
                        </w:r>
                        <w:r>
                          <w:rPr>
                            <w:rFonts w:ascii="宋体" w:hAnsi="宋体" w:cs="宋体" w:eastAsia="宋体" w:hint="default"/>
                            <w:spacing w:val="-3"/>
                            <w:sz w:val="18"/>
                            <w:szCs w:val="18"/>
                          </w:rPr>
                          <w:t>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归并至新增的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w:t>
                        </w:r>
                        <w:r>
                          <w:rPr>
                            <w:rFonts w:ascii="宋体" w:hAnsi="宋体" w:cs="宋体" w:eastAsia="宋体" w:hint="default"/>
                            <w:spacing w:val="-30"/>
                            <w:sz w:val="18"/>
                            <w:szCs w:val="18"/>
                          </w:rPr>
                          <w:t> </w:t>
                        </w:r>
                        <w:r>
                          <w:rPr>
                            <w:rFonts w:ascii="宋体" w:hAnsi="宋体" w:cs="宋体" w:eastAsia="宋体" w:hint="default"/>
                            <w:spacing w:val="-6"/>
                            <w:sz w:val="18"/>
                            <w:szCs w:val="18"/>
                          </w:rPr>
                          <w:t>并至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其他应付款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项目；将</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专项应付款</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日发布的《关于</w:t>
                        </w:r>
                      </w:p>
                      <w:p>
                        <w:pPr>
                          <w:pStyle w:val="TableParagraph"/>
                          <w:spacing w:line="304" w:lineRule="auto" w:before="58"/>
                          <w:ind w:left="24" w:right="12"/>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年度一般企业财务报表格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w w:val="101"/>
                            <w:sz w:val="18"/>
                            <w:szCs w:val="18"/>
                          </w:rPr>
                          <w:t>式的通知》（财会</w:t>
                        </w:r>
                        <w:r>
                          <w:rPr>
                            <w:rFonts w:ascii="Times New Roman" w:hAnsi="Times New Roman" w:cs="Times New Roman" w:eastAsia="Times New Roman" w:hint="default"/>
                            <w:spacing w:val="-8"/>
                            <w:w w:val="101"/>
                            <w:sz w:val="18"/>
                            <w:szCs w:val="18"/>
                          </w:rPr>
                          <w:t>[2018]15</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5"/>
                            <w:w w:val="101"/>
                            <w:sz w:val="18"/>
                            <w:szCs w:val="18"/>
                          </w:rPr>
                          <w:t>号）</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3" w:right="18"/>
                          <w:jc w:val="left"/>
                          <w:rPr>
                            <w:rFonts w:ascii="宋体" w:hAnsi="宋体" w:cs="宋体" w:eastAsia="宋体" w:hint="default"/>
                            <w:sz w:val="18"/>
                            <w:szCs w:val="18"/>
                          </w:rPr>
                        </w:pPr>
                        <w:r>
                          <w:rPr>
                            <w:rFonts w:ascii="宋体" w:hAnsi="宋体" w:cs="宋体" w:eastAsia="宋体" w:hint="default"/>
                            <w:sz w:val="18"/>
                            <w:szCs w:val="18"/>
                          </w:rPr>
                          <w:t>本公司根据财会</w:t>
                        </w:r>
                        <w:r>
                          <w:rPr>
                            <w:rFonts w:ascii="Times New Roman" w:hAnsi="Times New Roman" w:cs="Times New Roman" w:eastAsia="Times New Roman" w:hint="default"/>
                            <w:sz w:val="18"/>
                            <w:szCs w:val="18"/>
                          </w:rPr>
                          <w:t>[2018]15 </w:t>
                        </w:r>
                        <w:r>
                          <w:rPr>
                            <w:rFonts w:ascii="宋体" w:hAnsi="宋体" w:cs="宋体" w:eastAsia="宋体" w:hint="default"/>
                            <w:spacing w:val="-3"/>
                            <w:sz w:val="18"/>
                            <w:szCs w:val="18"/>
                          </w:rPr>
                          <w:t>号规定的财务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报表格式编制</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年度财务报表，并采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用追溯调整法变更了相关财务报表列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报。</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line="1872" w:lineRule="exact"/>
        <w:ind w:left="3351"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8.950pt;height:93.65pt;mso-position-horizontal-relative:char;mso-position-vertical-relative:line" coordorigin="0,0" coordsize="3179,1873">
            <v:group style="position:absolute;left:0;top:0;width:3179;height:1873" coordorigin="0,0" coordsize="3179,1873">
              <v:shape style="position:absolute;left:0;top:0;width:3179;height:1873" coordorigin="0,0" coordsize="3179,1873" path="m0,1872l3179,1872,3179,0,0,0,0,1872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1872" w:lineRule="exact"/>
        <w:ind w:left="3351"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8.950pt;height:93.65pt;mso-position-horizontal-relative:char;mso-position-vertical-relative:line" coordorigin="0,0" coordsize="3179,1873">
            <v:group style="position:absolute;left:0;top:0;width:3179;height:1873" coordorigin="0,0" coordsize="3179,1873">
              <v:shape style="position:absolute;left:0;top:0;width:3179;height:1873" coordorigin="0,0" coordsize="3179,1873" path="m0,1873l3179,1873,3179,0,0,0,0,1873xe" filled="true" fillcolor="#ffffff" stroked="false">
                <v:path arrowok="t"/>
                <v:fill type="solid"/>
              </v:shape>
            </v:group>
          </v:group>
        </w:pict>
      </w:r>
      <w:r>
        <w:rPr>
          <w:rFonts w:ascii="宋体" w:hAnsi="宋体" w:cs="宋体" w:eastAsia="宋体" w:hint="default"/>
          <w:position w:val="-36"/>
          <w:sz w:val="20"/>
          <w:szCs w:val="20"/>
        </w:rPr>
      </w:r>
    </w:p>
    <w:p>
      <w:pPr>
        <w:pStyle w:val="BodyText"/>
        <w:spacing w:line="240" w:lineRule="auto" w:before="20"/>
        <w:ind w:left="662" w:right="0"/>
        <w:jc w:val="left"/>
      </w:pPr>
      <w:r>
        <w:rPr/>
        <w:pict>
          <v:shape style="position:absolute;margin-left:201.192886pt;margin-top:-238.154282pt;width:174.35pt;height:238.15pt;mso-position-horizontal-relative:page;mso-position-vertical-relative:paragraph;z-index:-1199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目；</w:t>
                  </w:r>
                </w:p>
              </w:txbxContent>
            </v:textbox>
            <w10:wrap type="none"/>
          </v:shape>
        </w:pic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日受影响的合并资产负债表和母公司资产负债表</w:t>
      </w:r>
    </w:p>
    <w:p>
      <w:pPr>
        <w:spacing w:after="0" w:line="240" w:lineRule="auto"/>
        <w:jc w:val="left"/>
        <w:sectPr>
          <w:footerReference w:type="default" r:id="rId16"/>
          <w:pgSz w:w="11910" w:h="16840"/>
          <w:pgMar w:footer="979" w:header="741" w:top="1060" w:bottom="1160" w:left="980" w:right="0"/>
          <w:pgNumType w:start="144"/>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180"/>
        <w:gridCol w:w="1930"/>
        <w:gridCol w:w="1810"/>
        <w:gridCol w:w="1561"/>
        <w:gridCol w:w="1563"/>
      </w:tblGrid>
      <w:tr>
        <w:trPr>
          <w:trHeight w:val="348" w:hRule="exact"/>
        </w:trPr>
        <w:tc>
          <w:tcPr>
            <w:tcW w:w="2180"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3741" w:type="dxa"/>
            <w:gridSpan w:val="2"/>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128" w:right="0"/>
              <w:jc w:val="left"/>
              <w:rPr>
                <w:rFonts w:ascii="宋体" w:hAnsi="宋体" w:cs="宋体" w:eastAsia="宋体" w:hint="default"/>
                <w:sz w:val="21"/>
                <w:szCs w:val="21"/>
              </w:rPr>
            </w:pPr>
            <w:r>
              <w:rPr>
                <w:rFonts w:ascii="宋体" w:hAnsi="宋体" w:cs="宋体" w:eastAsia="宋体" w:hint="default"/>
                <w:sz w:val="21"/>
                <w:szCs w:val="21"/>
              </w:rPr>
              <w:t>合并资产负债表</w:t>
            </w:r>
          </w:p>
        </w:tc>
        <w:tc>
          <w:tcPr>
            <w:tcW w:w="3123" w:type="dxa"/>
            <w:gridSpan w:val="2"/>
            <w:tcBorders>
              <w:top w:val="single" w:sz="6" w:space="0" w:color="000000"/>
              <w:left w:val="single" w:sz="6" w:space="0" w:color="000000"/>
              <w:bottom w:val="single" w:sz="8" w:space="0" w:color="000000"/>
              <w:right w:val="nil" w:sz="6" w:space="0" w:color="auto"/>
            </w:tcBorders>
          </w:tcPr>
          <w:p>
            <w:pPr>
              <w:pStyle w:val="TableParagraph"/>
              <w:spacing w:line="270" w:lineRule="exact"/>
              <w:ind w:left="715" w:right="0"/>
              <w:jc w:val="left"/>
              <w:rPr>
                <w:rFonts w:ascii="宋体" w:hAnsi="宋体" w:cs="宋体" w:eastAsia="宋体" w:hint="default"/>
                <w:sz w:val="21"/>
                <w:szCs w:val="21"/>
              </w:rPr>
            </w:pPr>
            <w:r>
              <w:rPr>
                <w:rFonts w:ascii="宋体" w:hAnsi="宋体" w:cs="宋体" w:eastAsia="宋体" w:hint="default"/>
                <w:sz w:val="21"/>
                <w:szCs w:val="21"/>
              </w:rPr>
              <w:t>母公司资产负债表</w:t>
            </w:r>
          </w:p>
        </w:tc>
      </w:tr>
      <w:tr>
        <w:trPr>
          <w:trHeight w:val="350" w:hRule="exact"/>
        </w:trPr>
        <w:tc>
          <w:tcPr>
            <w:tcW w:w="2180" w:type="dxa"/>
            <w:vMerge/>
            <w:tcBorders>
              <w:left w:val="single" w:sz="6" w:space="0" w:color="000000"/>
              <w:bottom w:val="single" w:sz="8" w:space="0" w:color="000000"/>
              <w:right w:val="single" w:sz="6" w:space="0" w:color="000000"/>
            </w:tcBorders>
          </w:tcPr>
          <w:p>
            <w:pP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9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6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11,921,522.74</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11,771,522.74</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1,029,155,159.36</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9"/>
              <w:jc w:val="right"/>
              <w:rPr>
                <w:rFonts w:ascii="Times New Roman" w:hAnsi="Times New Roman" w:cs="Times New Roman" w:eastAsia="Times New Roman" w:hint="default"/>
                <w:sz w:val="21"/>
                <w:szCs w:val="21"/>
              </w:rPr>
            </w:pPr>
            <w:r>
              <w:rPr>
                <w:rFonts w:ascii="Times New Roman"/>
                <w:spacing w:val="-1"/>
                <w:sz w:val="21"/>
              </w:rPr>
              <w:t>336,446,329.06</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1,041,076,682.10</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348,217,851.80</w:t>
            </w:r>
          </w:p>
        </w:tc>
      </w:tr>
      <w:tr>
        <w:trPr>
          <w:trHeight w:val="350"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55,684,852.76</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55,684,852.76</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9"/>
              <w:jc w:val="right"/>
              <w:rPr>
                <w:rFonts w:ascii="Times New Roman" w:hAnsi="Times New Roman" w:cs="Times New Roman" w:eastAsia="Times New Roman" w:hint="default"/>
                <w:sz w:val="21"/>
                <w:szCs w:val="21"/>
              </w:rPr>
            </w:pPr>
            <w:r>
              <w:rPr>
                <w:rFonts w:ascii="Times New Roman"/>
                <w:spacing w:val="-1"/>
                <w:sz w:val="21"/>
              </w:rPr>
              <w:t>343,665,274.04</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343,665,274.04</w:t>
            </w:r>
          </w:p>
        </w:tc>
      </w:tr>
      <w:tr>
        <w:trPr>
          <w:trHeight w:val="350"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608,629,342.95</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pacing w:val="-1"/>
                <w:sz w:val="21"/>
              </w:rPr>
              <w:t>608,629,342.95</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30,326,874.03</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30,326,874.03</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14,552,771.28</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14,552,771.28</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44,193,756.16</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49,989,836.87</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44,193,756.16</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49,989,836.87</w:t>
            </w:r>
          </w:p>
        </w:tc>
      </w:tr>
      <w:tr>
        <w:trPr>
          <w:trHeight w:val="350"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1,869,099.44</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1,490,162.43</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31,612,607.55</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33,481,706.99</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28,031,703.45</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29,521,865.88</w:t>
            </w:r>
          </w:p>
        </w:tc>
      </w:tr>
      <w:tr>
        <w:trPr>
          <w:trHeight w:val="350"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1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9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240" w:lineRule="auto" w:before="10"/>
        <w:ind w:left="662" w:right="0"/>
        <w:jc w:val="left"/>
      </w:pPr>
      <w:r>
        <w:rPr>
          <w:rFonts w:ascii="Times New Roman" w:hAnsi="Times New Roman" w:cs="Times New Roman" w:eastAsia="Times New Roman" w:hint="default"/>
          <w:spacing w:val="-3"/>
        </w:rPr>
        <w:t>2017</w:t>
      </w:r>
      <w:r>
        <w:rPr>
          <w:spacing w:val="-3"/>
        </w:rPr>
        <w:t>年度受影响的合并利润表和母公司利润表</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137"/>
        <w:gridCol w:w="1532"/>
        <w:gridCol w:w="1839"/>
        <w:gridCol w:w="1681"/>
        <w:gridCol w:w="1673"/>
      </w:tblGrid>
      <w:tr>
        <w:trPr>
          <w:trHeight w:val="348" w:hRule="exact"/>
        </w:trPr>
        <w:tc>
          <w:tcPr>
            <w:tcW w:w="2137"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3371" w:type="dxa"/>
            <w:gridSpan w:val="2"/>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合并利润表</w:t>
            </w:r>
          </w:p>
        </w:tc>
        <w:tc>
          <w:tcPr>
            <w:tcW w:w="3354" w:type="dxa"/>
            <w:gridSpan w:val="2"/>
            <w:tcBorders>
              <w:top w:val="single" w:sz="6" w:space="0" w:color="000000"/>
              <w:left w:val="single" w:sz="6" w:space="0" w:color="000000"/>
              <w:bottom w:val="single" w:sz="8" w:space="0" w:color="000000"/>
              <w:right w:val="nil" w:sz="6" w:space="0" w:color="auto"/>
            </w:tcBorders>
          </w:tcPr>
          <w:p>
            <w:pPr>
              <w:pStyle w:val="TableParagraph"/>
              <w:spacing w:line="270" w:lineRule="exact"/>
              <w:ind w:left="1046" w:right="0"/>
              <w:jc w:val="left"/>
              <w:rPr>
                <w:rFonts w:ascii="宋体" w:hAnsi="宋体" w:cs="宋体" w:eastAsia="宋体" w:hint="default"/>
                <w:sz w:val="21"/>
                <w:szCs w:val="21"/>
              </w:rPr>
            </w:pPr>
            <w:r>
              <w:rPr>
                <w:rFonts w:ascii="宋体" w:hAnsi="宋体" w:cs="宋体" w:eastAsia="宋体" w:hint="default"/>
                <w:sz w:val="21"/>
                <w:szCs w:val="21"/>
              </w:rPr>
              <w:t>母公司利润表</w:t>
            </w:r>
          </w:p>
        </w:tc>
      </w:tr>
      <w:tr>
        <w:trPr>
          <w:trHeight w:val="350" w:hRule="exact"/>
        </w:trPr>
        <w:tc>
          <w:tcPr>
            <w:tcW w:w="2137" w:type="dxa"/>
            <w:vMerge/>
            <w:tcBorders>
              <w:left w:val="single" w:sz="6" w:space="0" w:color="000000"/>
              <w:bottom w:val="single" w:sz="8" w:space="0" w:color="000000"/>
              <w:right w:val="single" w:sz="6" w:space="0" w:color="000000"/>
            </w:tcBorders>
          </w:tcPr>
          <w:p>
            <w:pPr/>
          </w:p>
        </w:tc>
        <w:tc>
          <w:tcPr>
            <w:tcW w:w="153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4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9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7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6" w:hRule="exact"/>
        </w:trPr>
        <w:tc>
          <w:tcPr>
            <w:tcW w:w="213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304,902,841.95</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128,379,552.05</w:t>
            </w:r>
          </w:p>
        </w:tc>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115,887,853.87</w:t>
            </w:r>
          </w:p>
        </w:tc>
        <w:tc>
          <w:tcPr>
            <w:tcW w:w="16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44,411,661.33</w:t>
            </w:r>
          </w:p>
        </w:tc>
      </w:tr>
      <w:tr>
        <w:trPr>
          <w:trHeight w:val="346" w:hRule="exact"/>
        </w:trPr>
        <w:tc>
          <w:tcPr>
            <w:tcW w:w="213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176,523,289.90</w:t>
            </w:r>
          </w:p>
        </w:tc>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71,476,192.54</w:t>
            </w:r>
          </w:p>
        </w:tc>
      </w:tr>
      <w:tr>
        <w:trPr>
          <w:trHeight w:val="346" w:hRule="exact"/>
        </w:trPr>
        <w:tc>
          <w:tcPr>
            <w:tcW w:w="213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7,513,564.48</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7,741,922.54</w:t>
            </w:r>
          </w:p>
        </w:tc>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1,500,000.00</w:t>
            </w:r>
          </w:p>
        </w:tc>
        <w:tc>
          <w:tcPr>
            <w:tcW w:w="16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1,500,000.00</w:t>
            </w:r>
          </w:p>
        </w:tc>
      </w:tr>
      <w:tr>
        <w:trPr>
          <w:trHeight w:val="351" w:hRule="exact"/>
        </w:trPr>
        <w:tc>
          <w:tcPr>
            <w:tcW w:w="213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18,789,289.83</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18,560,931.77</w:t>
            </w:r>
          </w:p>
        </w:tc>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14,966,439.10</w:t>
            </w:r>
          </w:p>
        </w:tc>
        <w:tc>
          <w:tcPr>
            <w:tcW w:w="16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14,966,439.10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spacing w:line="374" w:lineRule="auto" w:before="0"/>
        <w:ind w:left="153" w:right="897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江苏润和软件股份有限公司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西安润和软件信息技术有限公司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北京捷科智诚科技有限公司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福州捷科智诚信息科技有限公司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北京联创智融信息技术有限公司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上海菲耐得信息科技有限公司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62" w:right="1026" w:hanging="144"/>
        <w:jc w:val="left"/>
      </w:pPr>
      <w:r>
        <w:rPr>
          <w:spacing w:val="-3"/>
        </w:rPr>
        <w:t>（</w:t>
      </w:r>
      <w:r>
        <w:rPr>
          <w:rFonts w:ascii="Times New Roman" w:hAnsi="Times New Roman" w:cs="Times New Roman" w:eastAsia="Times New Roman" w:hint="default"/>
          <w:spacing w:val="-3"/>
        </w:rPr>
        <w:t>1</w:t>
      </w:r>
      <w:r>
        <w:rPr>
          <w:spacing w:val="-3"/>
        </w:rPr>
        <w:t>）增值税</w:t>
      </w:r>
      <w:r>
        <w:rPr>
          <w:spacing w:val="-74"/>
        </w:rPr>
        <w:t> </w:t>
      </w:r>
      <w:r>
        <w:rPr>
          <w:spacing w:val="-74"/>
        </w:rPr>
      </w:r>
      <w:r>
        <w:rPr>
          <w:spacing w:val="-4"/>
        </w:rPr>
        <w:t>根据国务院《进一步鼓励软件产业和集成电路产业发展的若干政策》的通知（国发</w:t>
      </w:r>
      <w:r>
        <w:rPr>
          <w:rFonts w:ascii="Times New Roman" w:hAnsi="Times New Roman" w:cs="Times New Roman" w:eastAsia="Times New Roman" w:hint="default"/>
          <w:spacing w:val="-4"/>
        </w:rPr>
        <w:t>[2011]4</w:t>
      </w:r>
      <w:r>
        <w:rPr>
          <w:spacing w:val="-4"/>
        </w:rPr>
        <w:t>号）和财政部、国家税务总</w:t>
      </w:r>
    </w:p>
    <w:p>
      <w:pPr>
        <w:pStyle w:val="BodyText"/>
        <w:spacing w:line="300" w:lineRule="auto" w:before="13"/>
        <w:ind w:right="1190"/>
        <w:jc w:val="both"/>
      </w:pPr>
      <w:r>
        <w:rPr>
          <w:spacing w:val="-3"/>
        </w:rPr>
        <w:t>局《关于软件产品增值税政策的通知》（财税</w:t>
      </w:r>
      <w:r>
        <w:rPr>
          <w:rFonts w:ascii="Times New Roman" w:hAnsi="Times New Roman" w:cs="Times New Roman" w:eastAsia="Times New Roman" w:hint="default"/>
          <w:spacing w:val="-3"/>
        </w:rPr>
        <w:t>[2011]100</w:t>
      </w:r>
      <w:r>
        <w:rPr>
          <w:spacing w:val="-3"/>
        </w:rPr>
        <w:t>号），本公司、捷科智诚、联创智融销售其自行开发生产的软件产</w:t>
      </w:r>
      <w:r>
        <w:rPr>
          <w:spacing w:val="83"/>
        </w:rPr>
        <w:t> </w:t>
      </w:r>
      <w:r>
        <w:rPr>
          <w:spacing w:val="83"/>
        </w:rPr>
      </w:r>
      <w:r>
        <w:rPr>
          <w:spacing w:val="-3"/>
        </w:rPr>
        <w:t>品，按</w:t>
      </w:r>
      <w:r>
        <w:rPr>
          <w:rFonts w:ascii="Times New Roman" w:hAnsi="Times New Roman" w:cs="Times New Roman" w:eastAsia="Times New Roman" w:hint="default"/>
          <w:spacing w:val="-3"/>
        </w:rPr>
        <w:t>17%</w:t>
      </w:r>
      <w:r>
        <w:rPr>
          <w:spacing w:val="-3"/>
        </w:rPr>
        <w:t>的法定税率征收增值税，对实际税负超过</w:t>
      </w:r>
      <w:r>
        <w:rPr>
          <w:rFonts w:ascii="Times New Roman" w:hAnsi="Times New Roman" w:cs="Times New Roman" w:eastAsia="Times New Roman" w:hint="default"/>
          <w:spacing w:val="-3"/>
        </w:rPr>
        <w:t>3%</w:t>
      </w:r>
      <w:r>
        <w:rPr>
          <w:spacing w:val="-3"/>
        </w:rPr>
        <w:t>的部分即征即退。</w:t>
      </w:r>
      <w:r>
        <w:rPr/>
      </w:r>
    </w:p>
    <w:p>
      <w:pPr>
        <w:pStyle w:val="BodyText"/>
        <w:spacing w:line="307" w:lineRule="auto" w:before="13"/>
        <w:ind w:right="1125" w:firstLine="508"/>
        <w:jc w:val="both"/>
      </w:pPr>
      <w:r>
        <w:rPr>
          <w:spacing w:val="-4"/>
        </w:rPr>
        <w:t>根据财政部、国家税务总局下发《关于在全国开展交通运输业和部分现代服务业营业税改征增值税试点税收政策的通</w:t>
      </w:r>
      <w:r>
        <w:rPr>
          <w:w w:val="101"/>
        </w:rPr>
        <w:t> </w:t>
      </w:r>
      <w:r>
        <w:rPr>
          <w:spacing w:val="-3"/>
        </w:rPr>
        <w:t>知》（财税</w:t>
      </w:r>
      <w:r>
        <w:rPr>
          <w:rFonts w:ascii="Times New Roman" w:hAnsi="Times New Roman" w:cs="Times New Roman" w:eastAsia="Times New Roman" w:hint="default"/>
          <w:spacing w:val="-3"/>
        </w:rPr>
        <w:t>[2013]37</w:t>
      </w:r>
      <w:r>
        <w:rPr>
          <w:spacing w:val="-3"/>
        </w:rPr>
        <w:t>号），本公司、北京润和、广州润和、深圳润和汇智、上海润和、捷科智诚、上海捷科、福州捷科、联</w:t>
      </w:r>
      <w:r>
        <w:rPr>
          <w:spacing w:val="53"/>
        </w:rPr>
        <w:t> </w:t>
      </w:r>
      <w:r>
        <w:rPr>
          <w:spacing w:val="53"/>
        </w:rPr>
      </w:r>
      <w:r>
        <w:rPr>
          <w:spacing w:val="-4"/>
        </w:rPr>
        <w:t>创智融、菲耐得、润和云、润和智融、润和捷诚、重庆度融、成都联创、合肥汇聚、南京汇聚、武汉宁润、西安润和、润辰</w:t>
      </w:r>
      <w:r>
        <w:rPr>
          <w:spacing w:val="40"/>
        </w:rPr>
        <w:t> </w:t>
      </w:r>
      <w:r>
        <w:rPr>
          <w:spacing w:val="40"/>
        </w:rPr>
      </w:r>
      <w:r>
        <w:rPr>
          <w:spacing w:val="-3"/>
        </w:rPr>
        <w:t>科技、润和润云、新维数联开发业务、运行维护等服务业务按照</w:t>
      </w:r>
      <w:r>
        <w:rPr>
          <w:rFonts w:ascii="Times New Roman" w:hAnsi="Times New Roman" w:cs="Times New Roman" w:eastAsia="Times New Roman" w:hint="default"/>
          <w:spacing w:val="-3"/>
        </w:rPr>
        <w:t>6%</w:t>
      </w:r>
      <w:r>
        <w:rPr>
          <w:spacing w:val="-3"/>
        </w:rPr>
        <w:t>的法定税率征收增值税；软信和熙对外出租房屋收入采</w:t>
      </w:r>
      <w:r>
        <w:rPr>
          <w:spacing w:val="66"/>
        </w:rPr>
        <w:t> </w:t>
      </w:r>
      <w:r>
        <w:rPr>
          <w:spacing w:val="66"/>
        </w:rPr>
      </w:r>
      <w:r>
        <w:rPr>
          <w:spacing w:val="-4"/>
        </w:rPr>
        <w:t>用</w:t>
      </w:r>
      <w:r>
        <w:rPr>
          <w:rFonts w:ascii="Times New Roman" w:hAnsi="Times New Roman" w:cs="Times New Roman" w:eastAsia="Times New Roman" w:hint="default"/>
          <w:spacing w:val="-4"/>
        </w:rPr>
        <w:t>5%</w:t>
      </w:r>
      <w:r>
        <w:rPr>
          <w:spacing w:val="-4"/>
        </w:rPr>
        <w:t>税率；外包园公司对外出租房屋的收入税率分别为</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5%</w:t>
      </w:r>
      <w:r>
        <w:rPr>
          <w:spacing w:val="-4"/>
        </w:rPr>
        <w:t>，其中适用</w:t>
      </w:r>
      <w:r>
        <w:rPr>
          <w:rFonts w:ascii="Times New Roman" w:hAnsi="Times New Roman" w:cs="Times New Roman" w:eastAsia="Times New Roman" w:hint="default"/>
          <w:spacing w:val="-4"/>
        </w:rPr>
        <w:t>5%</w:t>
      </w:r>
      <w:r>
        <w:rPr>
          <w:spacing w:val="-4"/>
        </w:rPr>
        <w:t>税率为采用简易征收方式；外包园公司物业</w:t>
      </w:r>
      <w:r>
        <w:rPr>
          <w:spacing w:val="78"/>
        </w:rPr>
        <w:t> </w:t>
      </w:r>
      <w:r>
        <w:rPr>
          <w:spacing w:val="78"/>
        </w:rPr>
      </w:r>
      <w:r>
        <w:rPr>
          <w:spacing w:val="-4"/>
        </w:rPr>
        <w:t>管理采用</w:t>
      </w:r>
      <w:r>
        <w:rPr>
          <w:rFonts w:ascii="Times New Roman" w:hAnsi="Times New Roman" w:cs="Times New Roman" w:eastAsia="Times New Roman" w:hint="default"/>
          <w:spacing w:val="-4"/>
        </w:rPr>
        <w:t>6%</w:t>
      </w:r>
      <w:r>
        <w:rPr>
          <w:spacing w:val="-4"/>
        </w:rPr>
        <w:t>税率，电费采用</w:t>
      </w:r>
      <w:r>
        <w:rPr>
          <w:rFonts w:ascii="Times New Roman" w:hAnsi="Times New Roman" w:cs="Times New Roman" w:eastAsia="Times New Roman" w:hint="default"/>
          <w:spacing w:val="-4"/>
        </w:rPr>
        <w:t>17%</w:t>
      </w:r>
      <w:r>
        <w:rPr>
          <w:spacing w:val="-4"/>
        </w:rPr>
        <w:t>税率</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w:t>
      </w:r>
      <w:r>
        <w:rPr>
          <w:spacing w:val="-4"/>
        </w:rPr>
        <w:t>日起变更为</w:t>
      </w:r>
      <w:r>
        <w:rPr>
          <w:rFonts w:ascii="Times New Roman" w:hAnsi="Times New Roman" w:cs="Times New Roman" w:eastAsia="Times New Roman" w:hint="default"/>
          <w:spacing w:val="-4"/>
        </w:rPr>
        <w:t>16%)</w:t>
      </w:r>
      <w:r>
        <w:rPr>
          <w:spacing w:val="-4"/>
        </w:rPr>
        <w:t>，水费采用</w:t>
      </w:r>
      <w:r>
        <w:rPr>
          <w:rFonts w:ascii="Times New Roman" w:hAnsi="Times New Roman" w:cs="Times New Roman" w:eastAsia="Times New Roman" w:hint="default"/>
          <w:spacing w:val="-4"/>
        </w:rPr>
        <w:t>3%</w:t>
      </w:r>
      <w:r>
        <w:rPr>
          <w:spacing w:val="-4"/>
        </w:rPr>
        <w:t>税率；本公司、西安润和、外包园公司、捷</w:t>
      </w:r>
      <w:r>
        <w:rPr>
          <w:spacing w:val="63"/>
        </w:rPr>
        <w:t> </w:t>
      </w:r>
      <w:r>
        <w:rPr>
          <w:spacing w:val="63"/>
        </w:rPr>
      </w:r>
      <w:r>
        <w:rPr>
          <w:spacing w:val="-3"/>
        </w:rPr>
        <w:t>科智诚、联创智融销售软硬件产品按照</w:t>
      </w:r>
      <w:r>
        <w:rPr>
          <w:rFonts w:ascii="Times New Roman" w:hAnsi="Times New Roman" w:cs="Times New Roman" w:eastAsia="Times New Roman" w:hint="default"/>
          <w:spacing w:val="-3"/>
        </w:rPr>
        <w:t>17%</w:t>
      </w:r>
      <w:r>
        <w:rPr>
          <w:spacing w:val="-3"/>
        </w:rPr>
        <w:t>税率</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日起变更为</w:t>
      </w:r>
      <w:r>
        <w:rPr>
          <w:rFonts w:ascii="Times New Roman" w:hAnsi="Times New Roman" w:cs="Times New Roman" w:eastAsia="Times New Roman" w:hint="default"/>
          <w:spacing w:val="-3"/>
        </w:rPr>
        <w:t>16%)</w:t>
      </w:r>
      <w:r>
        <w:rPr>
          <w:spacing w:val="-3"/>
        </w:rPr>
        <w:t>征收增值税。</w:t>
      </w:r>
    </w:p>
    <w:p>
      <w:pPr>
        <w:pStyle w:val="BodyText"/>
        <w:spacing w:line="240" w:lineRule="auto" w:before="7"/>
        <w:ind w:left="662" w:right="0"/>
        <w:jc w:val="left"/>
      </w:pPr>
      <w:r>
        <w:rPr>
          <w:spacing w:val="-3"/>
        </w:rPr>
        <w:t>根据《财政部、国家税务总局关于在北京等</w:t>
      </w:r>
      <w:r>
        <w:rPr>
          <w:rFonts w:ascii="Times New Roman" w:hAnsi="Times New Roman" w:cs="Times New Roman" w:eastAsia="Times New Roman" w:hint="default"/>
          <w:spacing w:val="-3"/>
        </w:rPr>
        <w:t>8</w:t>
      </w:r>
      <w:r>
        <w:rPr>
          <w:spacing w:val="-3"/>
        </w:rPr>
        <w:t>省市开展交通运输业和部分现代服务业营业税改征增值税试点的通知》</w:t>
      </w:r>
    </w:p>
    <w:p>
      <w:pPr>
        <w:pStyle w:val="BodyText"/>
        <w:spacing w:line="309" w:lineRule="auto" w:before="63"/>
        <w:ind w:right="1121"/>
        <w:jc w:val="both"/>
      </w:pPr>
      <w:r>
        <w:rPr>
          <w:spacing w:val="-8"/>
          <w:w w:val="101"/>
        </w:rPr>
        <w:t>（财税</w:t>
      </w:r>
      <w:r>
        <w:rPr>
          <w:rFonts w:ascii="Times New Roman" w:hAnsi="Times New Roman" w:cs="Times New Roman" w:eastAsia="Times New Roman" w:hint="default"/>
          <w:spacing w:val="-8"/>
          <w:w w:val="101"/>
        </w:rPr>
        <w:t>[2012]71</w:t>
      </w:r>
      <w:r>
        <w:rPr>
          <w:spacing w:val="-8"/>
          <w:w w:val="101"/>
        </w:rPr>
        <w:t>号）及《关于在全国开展交通运输业和部分现代服务业营业税改征增值税试点税收政策的通知》（财税</w:t>
      </w:r>
      <w:r>
        <w:rPr>
          <w:rFonts w:ascii="Times New Roman" w:hAnsi="Times New Roman" w:cs="Times New Roman" w:eastAsia="Times New Roman" w:hint="default"/>
          <w:spacing w:val="-8"/>
          <w:w w:val="101"/>
        </w:rPr>
        <w:t>[2013]37</w:t>
      </w:r>
      <w:r>
        <w:rPr>
          <w:rFonts w:ascii="Times New Roman" w:hAnsi="Times New Roman" w:cs="Times New Roman" w:eastAsia="Times New Roman" w:hint="default"/>
          <w:spacing w:val="8"/>
          <w:w w:val="101"/>
        </w:rPr>
        <w:t> </w:t>
      </w:r>
      <w:r>
        <w:rPr>
          <w:rFonts w:ascii="Times New Roman" w:hAnsi="Times New Roman" w:cs="Times New Roman" w:eastAsia="Times New Roman" w:hint="default"/>
          <w:spacing w:val="8"/>
          <w:w w:val="101"/>
        </w:rPr>
      </w:r>
      <w:r>
        <w:rPr>
          <w:spacing w:val="-4"/>
        </w:rPr>
        <w:t>号）本公司、西安润和、上海润和、捷科智诚、福州捷科、联创智融所属从事的技术转让、技术开发业务及与之相关的技术</w:t>
      </w:r>
      <w:r>
        <w:rPr>
          <w:spacing w:val="40"/>
        </w:rPr>
        <w:t> </w:t>
      </w:r>
      <w:r>
        <w:rPr>
          <w:spacing w:val="40"/>
        </w:rPr>
      </w:r>
      <w:r>
        <w:rPr>
          <w:spacing w:val="-3"/>
        </w:rPr>
        <w:t>咨询、技术服务业务取得的收入在取得技术合同认定并经税务局备案后由原先免征营业税部分继续免征增值税。</w:t>
      </w:r>
    </w:p>
    <w:p>
      <w:pPr>
        <w:pStyle w:val="BodyText"/>
        <w:spacing w:line="300" w:lineRule="auto" w:before="24"/>
        <w:ind w:right="1127" w:firstLine="508"/>
        <w:jc w:val="both"/>
      </w:pPr>
      <w:r>
        <w:rPr>
          <w:spacing w:val="-4"/>
        </w:rPr>
        <w:t>根据财政部税务总局关于调整增值税税率的通知（财税〔</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32</w:t>
      </w:r>
      <w:r>
        <w:rPr>
          <w:spacing w:val="-4"/>
        </w:rPr>
        <w:t>号文），纳税人发生增值税应税销售行为或者进口</w:t>
      </w:r>
      <w:r>
        <w:rPr>
          <w:w w:val="101"/>
        </w:rPr>
        <w:t> </w:t>
      </w:r>
      <w:r>
        <w:rPr>
          <w:spacing w:val="-3"/>
        </w:rPr>
        <w:t>货物，原适用</w:t>
      </w:r>
      <w:r>
        <w:rPr>
          <w:rFonts w:ascii="Times New Roman" w:hAnsi="Times New Roman" w:cs="Times New Roman" w:eastAsia="Times New Roman" w:hint="default"/>
          <w:spacing w:val="-3"/>
        </w:rPr>
        <w:t>17%</w:t>
      </w:r>
      <w:r>
        <w:rPr>
          <w:spacing w:val="-3"/>
        </w:rPr>
        <w:t>和</w:t>
      </w:r>
      <w:r>
        <w:rPr>
          <w:rFonts w:ascii="Times New Roman" w:hAnsi="Times New Roman" w:cs="Times New Roman" w:eastAsia="Times New Roman" w:hint="default"/>
          <w:spacing w:val="-3"/>
        </w:rPr>
        <w:t>11%</w:t>
      </w:r>
      <w:r>
        <w:rPr>
          <w:spacing w:val="-3"/>
        </w:rPr>
        <w:t>税率的，税率分别调整为</w:t>
      </w: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10%</w:t>
      </w:r>
      <w:r>
        <w:rPr>
          <w:spacing w:val="-3"/>
        </w:rPr>
        <w:t>。上述通知自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日起执行，公司及其子公司已于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日起遵照执行。</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2</w:t>
      </w:r>
      <w:r>
        <w:rPr>
          <w:spacing w:val="-3"/>
        </w:rPr>
        <w:t>）企业所得税</w:t>
      </w:r>
    </w:p>
    <w:p>
      <w:pPr>
        <w:pStyle w:val="BodyText"/>
        <w:spacing w:line="316" w:lineRule="auto" w:before="63"/>
        <w:ind w:left="662" w:right="1026"/>
        <w:jc w:val="left"/>
      </w:pPr>
      <w:r>
        <w:rPr>
          <w:spacing w:val="-3"/>
        </w:rPr>
        <w:t>①本公司</w:t>
      </w:r>
      <w:r>
        <w:rPr>
          <w:spacing w:val="-79"/>
        </w:rPr>
        <w:t> </w:t>
      </w:r>
      <w:r>
        <w:rPr>
          <w:spacing w:val="-79"/>
        </w:rPr>
      </w:r>
      <w:r>
        <w:rPr>
          <w:spacing w:val="-4"/>
        </w:rPr>
        <w:t>根据《中华人民共和国企业所得税法》规定</w:t>
      </w:r>
      <w:r>
        <w:rPr>
          <w:rFonts w:ascii="Times New Roman" w:hAnsi="Times New Roman" w:cs="Times New Roman" w:eastAsia="Times New Roman" w:hint="default"/>
          <w:spacing w:val="-4"/>
        </w:rPr>
        <w:t>“</w:t>
      </w:r>
      <w:r>
        <w:rPr>
          <w:spacing w:val="-4"/>
        </w:rPr>
        <w:t>对国家需要重点扶持的高新技术企业，减按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w:t>
      </w:r>
    </w:p>
    <w:p>
      <w:pPr>
        <w:pStyle w:val="BodyText"/>
        <w:spacing w:line="300" w:lineRule="auto"/>
        <w:ind w:right="1123"/>
        <w:jc w:val="both"/>
      </w:pPr>
      <w:r>
        <w:rPr>
          <w:spacing w:val="-4"/>
        </w:rPr>
        <w:t>本公司已于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13</w:t>
      </w:r>
      <w:r>
        <w:rPr>
          <w:spacing w:val="-4"/>
        </w:rPr>
        <w:t>日取得江苏省科学技术厅、江苏省财政厅、江苏省国家税务局、江苏省地方税务局批准的《高新技</w:t>
      </w:r>
      <w:r>
        <w:rPr>
          <w:spacing w:val="55"/>
        </w:rPr>
        <w:t> </w:t>
      </w:r>
      <w:r>
        <w:rPr>
          <w:spacing w:val="55"/>
        </w:rPr>
      </w:r>
      <w:r>
        <w:rPr>
          <w:spacing w:val="-3"/>
        </w:rPr>
        <w:t>术企业证书》，</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日高新技术企业复审通过。本公司</w:t>
      </w:r>
      <w:r>
        <w:rPr>
          <w:rFonts w:ascii="Times New Roman" w:hAnsi="Times New Roman" w:cs="Times New Roman" w:eastAsia="Times New Roman" w:hint="default"/>
          <w:spacing w:val="-3"/>
        </w:rPr>
        <w:t>2016</w:t>
      </w:r>
      <w:r>
        <w:rPr>
          <w:spacing w:val="-3"/>
        </w:rPr>
        <w:t>年度、</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年度享受高新技术企业减按</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3"/>
        </w:rPr>
        <w:t>税率征收企业所得税的税收优惠政策。</w:t>
      </w:r>
    </w:p>
    <w:p>
      <w:pPr>
        <w:pStyle w:val="BodyText"/>
        <w:spacing w:line="316" w:lineRule="auto" w:before="31"/>
        <w:ind w:left="662" w:right="1026"/>
        <w:jc w:val="left"/>
      </w:pPr>
      <w:r>
        <w:rPr/>
        <w:t>②西安润和</w:t>
      </w:r>
      <w:r>
        <w:rPr>
          <w:w w:val="101"/>
        </w:rPr>
        <w:t> </w:t>
      </w:r>
      <w:r>
        <w:rPr>
          <w:spacing w:val="-4"/>
        </w:rPr>
        <w:t>根据《中华人民共和国企业所得税法》规定</w:t>
      </w:r>
      <w:r>
        <w:rPr>
          <w:rFonts w:ascii="Times New Roman" w:hAnsi="Times New Roman" w:cs="Times New Roman" w:eastAsia="Times New Roman" w:hint="default"/>
          <w:spacing w:val="-4"/>
        </w:rPr>
        <w:t>“</w:t>
      </w:r>
      <w:r>
        <w:rPr>
          <w:spacing w:val="-4"/>
        </w:rPr>
        <w:t>对国家需要重点扶持的高新技术企业，减按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032"/>
        <w:jc w:val="both"/>
      </w:pPr>
      <w:r>
        <w:rPr>
          <w:spacing w:val="-9"/>
          <w:w w:val="101"/>
        </w:rPr>
        <w:t>西安润和于</w:t>
      </w:r>
      <w:r>
        <w:rPr>
          <w:rFonts w:ascii="Times New Roman" w:hAnsi="Times New Roman" w:cs="Times New Roman" w:eastAsia="Times New Roman" w:hint="default"/>
          <w:spacing w:val="-9"/>
          <w:w w:val="101"/>
        </w:rPr>
        <w:t>2018</w:t>
      </w:r>
      <w:r>
        <w:rPr>
          <w:spacing w:val="-9"/>
          <w:w w:val="101"/>
        </w:rPr>
        <w:t>年</w:t>
      </w:r>
      <w:r>
        <w:rPr>
          <w:rFonts w:ascii="Times New Roman" w:hAnsi="Times New Roman" w:cs="Times New Roman" w:eastAsia="Times New Roman" w:hint="default"/>
          <w:spacing w:val="-9"/>
          <w:w w:val="101"/>
        </w:rPr>
        <w:t>10</w:t>
      </w:r>
      <w:r>
        <w:rPr>
          <w:spacing w:val="-9"/>
          <w:w w:val="101"/>
        </w:rPr>
        <w:t>月</w:t>
      </w:r>
      <w:r>
        <w:rPr>
          <w:rFonts w:ascii="Times New Roman" w:hAnsi="Times New Roman" w:cs="Times New Roman" w:eastAsia="Times New Roman" w:hint="default"/>
          <w:spacing w:val="-9"/>
          <w:w w:val="101"/>
        </w:rPr>
        <w:t>29</w:t>
      </w:r>
      <w:r>
        <w:rPr>
          <w:spacing w:val="-9"/>
          <w:w w:val="101"/>
        </w:rPr>
        <w:t>日取得陕西省科学技术厅、陕西省财政厅、国家税务总局陕西省税务局批准的《高新技术企业证书》。</w:t>
      </w:r>
      <w:r>
        <w:rPr>
          <w:spacing w:val="-41"/>
          <w:w w:val="101"/>
        </w:rPr>
        <w:t> </w:t>
      </w:r>
      <w:r>
        <w:rPr>
          <w:spacing w:val="-41"/>
          <w:w w:val="101"/>
        </w:rPr>
      </w:r>
      <w:r>
        <w:rPr>
          <w:spacing w:val="-3"/>
        </w:rPr>
        <w:t>西安润和</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2019</w:t>
      </w:r>
      <w:r>
        <w:rPr>
          <w:spacing w:val="-3"/>
        </w:rPr>
        <w:t>年度、</w:t>
      </w:r>
      <w:r>
        <w:rPr>
          <w:rFonts w:ascii="Times New Roman" w:hAnsi="Times New Roman" w:cs="Times New Roman" w:eastAsia="Times New Roman" w:hint="default"/>
          <w:spacing w:val="-3"/>
        </w:rPr>
        <w:t>2020</w:t>
      </w:r>
      <w:r>
        <w:rPr>
          <w:spacing w:val="-3"/>
        </w:rPr>
        <w:t>年度享受高新技术企业减按</w:t>
      </w:r>
      <w:r>
        <w:rPr>
          <w:rFonts w:ascii="Times New Roman" w:hAnsi="Times New Roman" w:cs="Times New Roman" w:eastAsia="Times New Roman" w:hint="default"/>
          <w:spacing w:val="-3"/>
        </w:rPr>
        <w:t>15%</w:t>
      </w:r>
      <w:r>
        <w:rPr>
          <w:spacing w:val="-3"/>
        </w:rPr>
        <w:t>税率征收企业所得税的税收优惠政策。</w:t>
      </w:r>
    </w:p>
    <w:p>
      <w:pPr>
        <w:pStyle w:val="BodyText"/>
        <w:spacing w:line="319" w:lineRule="auto" w:before="13"/>
        <w:ind w:left="662" w:right="1026"/>
        <w:jc w:val="left"/>
      </w:pPr>
      <w:r>
        <w:rPr/>
        <w:t>③捷科智诚</w:t>
      </w:r>
      <w:r>
        <w:rPr>
          <w:w w:val="101"/>
        </w:rPr>
        <w:t> </w:t>
      </w:r>
      <w:r>
        <w:rPr>
          <w:spacing w:val="-3"/>
        </w:rPr>
        <w:t>根据财税</w:t>
      </w:r>
      <w:r>
        <w:rPr>
          <w:rFonts w:ascii="Times New Roman" w:hAnsi="Times New Roman" w:cs="Times New Roman" w:eastAsia="Times New Roman" w:hint="default"/>
          <w:spacing w:val="-3"/>
        </w:rPr>
        <w:t>[2016]49</w:t>
      </w:r>
      <w:r>
        <w:rPr>
          <w:spacing w:val="-3"/>
        </w:rPr>
        <w:t>号，国家规划布局内重点软件企业的税收优惠资格认定改为备案制，</w:t>
      </w:r>
      <w:r>
        <w:rPr>
          <w:rFonts w:ascii="Times New Roman" w:hAnsi="Times New Roman" w:cs="Times New Roman" w:eastAsia="Times New Roman" w:hint="default"/>
          <w:spacing w:val="-3"/>
        </w:rPr>
        <w:t>2018</w:t>
      </w:r>
      <w:r>
        <w:rPr>
          <w:spacing w:val="-3"/>
        </w:rPr>
        <w:t>年度捷科智诚符合备案条</w:t>
      </w:r>
    </w:p>
    <w:p>
      <w:pPr>
        <w:pStyle w:val="BodyText"/>
        <w:spacing w:line="246" w:lineRule="exact"/>
        <w:ind w:right="0"/>
        <w:jc w:val="both"/>
      </w:pPr>
      <w:r>
        <w:rPr>
          <w:spacing w:val="-3"/>
        </w:rPr>
        <w:t>件，</w:t>
      </w:r>
      <w:r>
        <w:rPr>
          <w:rFonts w:ascii="Times New Roman" w:hAnsi="Times New Roman" w:cs="Times New Roman" w:eastAsia="Times New Roman" w:hint="default"/>
          <w:spacing w:val="-3"/>
        </w:rPr>
        <w:t>2018</w:t>
      </w:r>
      <w:r>
        <w:rPr>
          <w:spacing w:val="-3"/>
        </w:rPr>
        <w:t>年度暂按享受重点软件企业减按</w:t>
      </w:r>
      <w:r>
        <w:rPr>
          <w:rFonts w:ascii="Times New Roman" w:hAnsi="Times New Roman" w:cs="Times New Roman" w:eastAsia="Times New Roman" w:hint="default"/>
          <w:spacing w:val="-3"/>
        </w:rPr>
        <w:t>10%</w:t>
      </w:r>
      <w:r>
        <w:rPr>
          <w:spacing w:val="-3"/>
        </w:rPr>
        <w:t>税率征收企业所得税的税收优惠政策。</w:t>
      </w:r>
    </w:p>
    <w:p>
      <w:pPr>
        <w:pStyle w:val="BodyText"/>
        <w:spacing w:line="316" w:lineRule="auto" w:before="63"/>
        <w:ind w:left="662" w:right="1026"/>
        <w:jc w:val="left"/>
        <w:rPr>
          <w:rFonts w:ascii="Times New Roman" w:hAnsi="Times New Roman" w:cs="Times New Roman" w:eastAsia="Times New Roman" w:hint="default"/>
        </w:rPr>
      </w:pPr>
      <w:r>
        <w:rPr/>
        <w:t>④福州捷科</w:t>
      </w:r>
      <w:r>
        <w:rPr>
          <w:w w:val="101"/>
        </w:rPr>
        <w:t> </w:t>
      </w:r>
      <w:r>
        <w:rPr>
          <w:spacing w:val="-3"/>
        </w:rPr>
        <w:t>根据财政部、国家税务总局《关于进一步鼓励软件产业和集成电路产业发展企业所得税政策的通知》（财税</w:t>
      </w:r>
      <w:r>
        <w:rPr>
          <w:rFonts w:ascii="Times New Roman" w:hAnsi="Times New Roman" w:cs="Times New Roman" w:eastAsia="Times New Roman" w:hint="default"/>
          <w:spacing w:val="-3"/>
        </w:rPr>
        <w:t>[2012]27</w:t>
      </w:r>
    </w:p>
    <w:p>
      <w:pPr>
        <w:pStyle w:val="BodyText"/>
        <w:spacing w:line="304" w:lineRule="auto"/>
        <w:ind w:right="1122"/>
        <w:jc w:val="both"/>
      </w:pPr>
      <w:r>
        <w:rPr>
          <w:spacing w:val="-4"/>
        </w:rPr>
        <w:t>号）及财政部、国家税务总局、发展改革委、工业和信息化部《关于软件和集成电路产业企业所得税优惠政策有关问题的通</w:t>
      </w:r>
      <w:r>
        <w:rPr>
          <w:spacing w:val="40"/>
        </w:rPr>
        <w:t> </w:t>
      </w:r>
      <w:r>
        <w:rPr>
          <w:spacing w:val="40"/>
        </w:rPr>
      </w:r>
      <w:r>
        <w:rPr>
          <w:spacing w:val="-3"/>
        </w:rPr>
        <w:t>知》（财税</w:t>
      </w:r>
      <w:r>
        <w:rPr>
          <w:rFonts w:ascii="Times New Roman" w:hAnsi="Times New Roman" w:cs="Times New Roman" w:eastAsia="Times New Roman" w:hint="default"/>
          <w:spacing w:val="-3"/>
        </w:rPr>
        <w:t>[2016]49</w:t>
      </w:r>
      <w:r>
        <w:rPr>
          <w:spacing w:val="-3"/>
        </w:rPr>
        <w:t>号），我国境内新办的集成电路设计企业和符合条件的软件企业，经认定后，在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日前自获</w:t>
      </w:r>
      <w:r>
        <w:rPr>
          <w:spacing w:val="71"/>
        </w:rPr>
        <w:t> </w:t>
      </w:r>
      <w:r>
        <w:rPr>
          <w:spacing w:val="71"/>
        </w:rPr>
      </w:r>
      <w:r>
        <w:rPr>
          <w:spacing w:val="-4"/>
        </w:rPr>
        <w:t>利年度起计算优惠期，第一年至第二年免征企业所得税，第三年至第五年按照</w:t>
      </w:r>
      <w:r>
        <w:rPr>
          <w:rFonts w:ascii="Times New Roman" w:hAnsi="Times New Roman" w:cs="Times New Roman" w:eastAsia="Times New Roman" w:hint="default"/>
          <w:spacing w:val="-4"/>
        </w:rPr>
        <w:t>25%</w:t>
      </w:r>
      <w:r>
        <w:rPr>
          <w:spacing w:val="-4"/>
        </w:rPr>
        <w:t>的法定税率减半征收企业所得税，并享受</w:t>
      </w:r>
      <w:r>
        <w:rPr>
          <w:spacing w:val="71"/>
        </w:rPr>
        <w:t> </w:t>
      </w:r>
      <w:r>
        <w:rPr>
          <w:spacing w:val="71"/>
        </w:rPr>
      </w:r>
      <w:r>
        <w:rPr>
          <w:spacing w:val="-4"/>
        </w:rPr>
        <w:t>至期满为止。福州捷科享受两年三减半的政策，</w:t>
      </w:r>
      <w:r>
        <w:rPr>
          <w:rFonts w:ascii="Times New Roman" w:hAnsi="Times New Roman" w:cs="Times New Roman" w:eastAsia="Times New Roman" w:hint="default"/>
          <w:spacing w:val="-4"/>
        </w:rPr>
        <w:t>2016</w:t>
      </w:r>
      <w:r>
        <w:rPr>
          <w:spacing w:val="-4"/>
        </w:rPr>
        <w:t>年起为第一个获利年度，</w:t>
      </w:r>
      <w:r>
        <w:rPr>
          <w:rFonts w:ascii="Times New Roman" w:hAnsi="Times New Roman" w:cs="Times New Roman" w:eastAsia="Times New Roman" w:hint="default"/>
          <w:spacing w:val="-4"/>
        </w:rPr>
        <w:t>2017</w:t>
      </w:r>
      <w:r>
        <w:rPr>
          <w:spacing w:val="-4"/>
        </w:rPr>
        <w:t>年为第二个获利年度，</w:t>
      </w:r>
      <w:r>
        <w:rPr>
          <w:rFonts w:ascii="Times New Roman" w:hAnsi="Times New Roman" w:cs="Times New Roman" w:eastAsia="Times New Roman" w:hint="default"/>
          <w:spacing w:val="-4"/>
        </w:rPr>
        <w:t>2018</w:t>
      </w:r>
      <w:r>
        <w:rPr>
          <w:spacing w:val="-4"/>
        </w:rPr>
        <w:t>年起开始执行</w:t>
      </w:r>
      <w:r>
        <w:rPr>
          <w:spacing w:val="66"/>
        </w:rPr>
        <w:t> </w:t>
      </w:r>
      <w:r>
        <w:rPr>
          <w:spacing w:val="66"/>
        </w:rPr>
      </w:r>
      <w:r>
        <w:rPr>
          <w:spacing w:val="-3"/>
        </w:rPr>
        <w:t>第三年法定所得税率减半征收的税收优惠。</w:t>
      </w:r>
    </w:p>
    <w:p>
      <w:pPr>
        <w:pStyle w:val="BodyText"/>
        <w:spacing w:line="319" w:lineRule="auto" w:before="28"/>
        <w:ind w:left="662" w:right="1026"/>
        <w:jc w:val="left"/>
      </w:pPr>
      <w:r>
        <w:rPr/>
        <w:t>⑤联创智融</w:t>
      </w:r>
      <w:r>
        <w:rPr>
          <w:w w:val="101"/>
        </w:rPr>
        <w:t> </w:t>
      </w:r>
      <w:r>
        <w:rPr>
          <w:spacing w:val="-3"/>
        </w:rPr>
        <w:t>根据财税</w:t>
      </w:r>
      <w:r>
        <w:rPr>
          <w:rFonts w:ascii="Times New Roman" w:hAnsi="Times New Roman" w:cs="Times New Roman" w:eastAsia="Times New Roman" w:hint="default"/>
          <w:spacing w:val="-3"/>
        </w:rPr>
        <w:t>[2016]49</w:t>
      </w:r>
      <w:r>
        <w:rPr>
          <w:spacing w:val="-3"/>
        </w:rPr>
        <w:t>号，国家规划布局内重点软件企业的税收优惠资格认定改为备案制，</w:t>
      </w:r>
      <w:r>
        <w:rPr>
          <w:rFonts w:ascii="Times New Roman" w:hAnsi="Times New Roman" w:cs="Times New Roman" w:eastAsia="Times New Roman" w:hint="default"/>
          <w:spacing w:val="-3"/>
        </w:rPr>
        <w:t>2018</w:t>
      </w:r>
      <w:r>
        <w:rPr>
          <w:spacing w:val="-3"/>
        </w:rPr>
        <w:t>年度联创智融符合备案条</w:t>
      </w:r>
    </w:p>
    <w:p>
      <w:pPr>
        <w:pStyle w:val="BodyText"/>
        <w:spacing w:line="246" w:lineRule="exact"/>
        <w:ind w:right="0"/>
        <w:jc w:val="both"/>
      </w:pPr>
      <w:r>
        <w:rPr>
          <w:spacing w:val="-3"/>
        </w:rPr>
        <w:t>件，</w:t>
      </w:r>
      <w:r>
        <w:rPr>
          <w:rFonts w:ascii="Times New Roman" w:hAnsi="Times New Roman" w:cs="Times New Roman" w:eastAsia="Times New Roman" w:hint="default"/>
          <w:spacing w:val="-3"/>
        </w:rPr>
        <w:t>2018</w:t>
      </w:r>
      <w:r>
        <w:rPr>
          <w:spacing w:val="-3"/>
        </w:rPr>
        <w:t>年度暂按享受重点软件企业减按</w:t>
      </w:r>
      <w:r>
        <w:rPr>
          <w:rFonts w:ascii="Times New Roman" w:hAnsi="Times New Roman" w:cs="Times New Roman" w:eastAsia="Times New Roman" w:hint="default"/>
          <w:spacing w:val="-3"/>
        </w:rPr>
        <w:t>10%</w:t>
      </w:r>
      <w:r>
        <w:rPr>
          <w:spacing w:val="-3"/>
        </w:rPr>
        <w:t>税率征收企业所得税的税收优惠政策。</w:t>
      </w:r>
    </w:p>
    <w:p>
      <w:pPr>
        <w:pStyle w:val="BodyText"/>
        <w:spacing w:line="316" w:lineRule="auto" w:before="63"/>
        <w:ind w:left="662" w:right="1026"/>
        <w:jc w:val="left"/>
      </w:pPr>
      <w:r>
        <w:rPr>
          <w:spacing w:val="-3"/>
        </w:rPr>
        <w:t>⑥菲耐得</w:t>
      </w:r>
      <w:r>
        <w:rPr>
          <w:spacing w:val="-79"/>
        </w:rPr>
        <w:t> </w:t>
      </w:r>
      <w:r>
        <w:rPr>
          <w:spacing w:val="-79"/>
        </w:rPr>
      </w:r>
      <w:r>
        <w:rPr>
          <w:spacing w:val="-4"/>
        </w:rPr>
        <w:t>根据《中华人民共和国企业所得税法》规定</w:t>
      </w:r>
      <w:r>
        <w:rPr>
          <w:rFonts w:ascii="Times New Roman" w:hAnsi="Times New Roman" w:cs="Times New Roman" w:eastAsia="Times New Roman" w:hint="default"/>
          <w:spacing w:val="-4"/>
        </w:rPr>
        <w:t>“</w:t>
      </w:r>
      <w:r>
        <w:rPr>
          <w:spacing w:val="-4"/>
        </w:rPr>
        <w:t>对国家需要重点扶持的高新技术企业，减按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w:t>
      </w:r>
    </w:p>
    <w:p>
      <w:pPr>
        <w:pStyle w:val="BodyText"/>
        <w:spacing w:line="300" w:lineRule="auto"/>
        <w:ind w:right="1074"/>
        <w:jc w:val="both"/>
      </w:pPr>
      <w:r>
        <w:rPr>
          <w:spacing w:val="-4"/>
        </w:rPr>
        <w:t>菲耐得于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24</w:t>
      </w:r>
      <w:r>
        <w:rPr>
          <w:spacing w:val="-4"/>
        </w:rPr>
        <w:t>日取得上海市科学技术委员会、上海市财政局、上海市国家税务局、上海市地方税务局批准的《高新</w:t>
      </w:r>
      <w:r>
        <w:rPr>
          <w:spacing w:val="56"/>
        </w:rPr>
        <w:t> </w:t>
      </w:r>
      <w:r>
        <w:rPr>
          <w:spacing w:val="56"/>
        </w:rPr>
      </w:r>
      <w:r>
        <w:rPr>
          <w:spacing w:val="-3"/>
        </w:rPr>
        <w:t>技术企业证书》。菲耐得</w:t>
      </w:r>
      <w:r>
        <w:rPr>
          <w:rFonts w:ascii="Times New Roman" w:hAnsi="Times New Roman" w:cs="Times New Roman" w:eastAsia="Times New Roman" w:hint="default"/>
          <w:spacing w:val="-3"/>
        </w:rPr>
        <w:t>2016</w:t>
      </w:r>
      <w:r>
        <w:rPr>
          <w:spacing w:val="-3"/>
        </w:rPr>
        <w:t>年度、</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年度享受高新技术企业减按</w:t>
      </w:r>
      <w:r>
        <w:rPr>
          <w:rFonts w:ascii="Times New Roman" w:hAnsi="Times New Roman" w:cs="Times New Roman" w:eastAsia="Times New Roman" w:hint="default"/>
          <w:spacing w:val="-3"/>
        </w:rPr>
        <w:t>15%</w:t>
      </w:r>
      <w:r>
        <w:rPr>
          <w:spacing w:val="-3"/>
        </w:rPr>
        <w:t>税率征收企业所得税的税收优惠政策。</w:t>
      </w:r>
    </w:p>
    <w:p>
      <w:pPr>
        <w:pStyle w:val="BodyText"/>
        <w:spacing w:line="343" w:lineRule="auto" w:before="13"/>
        <w:ind w:right="1842" w:firstLine="508"/>
        <w:jc w:val="left"/>
      </w:pPr>
      <w:r>
        <w:rPr>
          <w:spacing w:val="-3"/>
        </w:rPr>
        <w:t>⑦除上述六家公司外，其他境内公司</w:t>
      </w:r>
      <w:r>
        <w:rPr>
          <w:rFonts w:ascii="Times New Roman" w:hAnsi="Times New Roman" w:cs="Times New Roman" w:eastAsia="Times New Roman" w:hint="default"/>
          <w:spacing w:val="-3"/>
        </w:rPr>
        <w:t>2018</w:t>
      </w:r>
      <w:r>
        <w:rPr>
          <w:spacing w:val="-3"/>
        </w:rPr>
        <w:t>年度均执行</w:t>
      </w:r>
      <w:r>
        <w:rPr>
          <w:rFonts w:ascii="Times New Roman" w:hAnsi="Times New Roman" w:cs="Times New Roman" w:eastAsia="Times New Roman" w:hint="default"/>
          <w:spacing w:val="-3"/>
        </w:rPr>
        <w:t>25%</w:t>
      </w:r>
      <w:r>
        <w:rPr>
          <w:spacing w:val="-3"/>
        </w:rPr>
        <w:t>的企业所得税税率。</w:t>
      </w:r>
      <w:r>
        <w:rPr>
          <w:w w:val="101"/>
        </w:rPr>
        <w:t> </w:t>
      </w: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3"/>
        </w:rPr>
        <w:t>境外公司主要税种及税率</w:t>
      </w:r>
    </w:p>
    <w:p>
      <w:pPr>
        <w:pStyle w:val="BodyText"/>
        <w:spacing w:line="300" w:lineRule="auto" w:before="76"/>
        <w:ind w:left="662" w:right="5503" w:hanging="144"/>
        <w:jc w:val="left"/>
      </w:pPr>
      <w:r>
        <w:rPr>
          <w:spacing w:val="-3"/>
        </w:rPr>
        <w:t>（</w:t>
      </w:r>
      <w:r>
        <w:rPr>
          <w:rFonts w:ascii="Times New Roman" w:hAnsi="Times New Roman" w:cs="Times New Roman" w:eastAsia="Times New Roman" w:hint="default"/>
          <w:spacing w:val="-3"/>
        </w:rPr>
        <w:t>1</w:t>
      </w:r>
      <w:r>
        <w:rPr>
          <w:spacing w:val="-3"/>
        </w:rPr>
        <w:t>）东京润和</w:t>
      </w:r>
      <w:r>
        <w:rPr>
          <w:spacing w:val="-69"/>
        </w:rPr>
        <w:t> </w:t>
      </w:r>
      <w:r>
        <w:rPr>
          <w:spacing w:val="-69"/>
        </w:rPr>
      </w:r>
      <w:r>
        <w:rPr>
          <w:spacing w:val="-3"/>
        </w:rPr>
        <w:t>东京润和注册于日本东京，其主要税种、税率如下：</w:t>
      </w:r>
    </w:p>
    <w:tbl>
      <w:tblPr>
        <w:tblW w:w="0" w:type="auto"/>
        <w:jc w:val="left"/>
        <w:tblInd w:w="143" w:type="dxa"/>
        <w:tblLayout w:type="fixed"/>
        <w:tblCellMar>
          <w:top w:w="0" w:type="dxa"/>
          <w:left w:w="0" w:type="dxa"/>
          <w:bottom w:w="0" w:type="dxa"/>
          <w:right w:w="0" w:type="dxa"/>
        </w:tblCellMar>
        <w:tblLook w:val="01E0"/>
      </w:tblPr>
      <w:tblGrid>
        <w:gridCol w:w="2214"/>
        <w:gridCol w:w="2219"/>
        <w:gridCol w:w="2213"/>
        <w:gridCol w:w="2216"/>
      </w:tblGrid>
      <w:tr>
        <w:trPr>
          <w:trHeight w:val="348" w:hRule="exact"/>
        </w:trPr>
        <w:tc>
          <w:tcPr>
            <w:tcW w:w="221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75"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219"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216"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891"/>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21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21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13"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p>
        </w:tc>
        <w:tc>
          <w:tcPr>
            <w:tcW w:w="2216" w:type="dxa"/>
            <w:tcBorders>
              <w:top w:val="single" w:sz="8" w:space="0" w:color="000000"/>
              <w:left w:val="single" w:sz="6" w:space="0" w:color="000000"/>
              <w:bottom w:val="single" w:sz="8" w:space="0" w:color="000000"/>
              <w:right w:val="nil" w:sz="6" w:space="0" w:color="auto"/>
            </w:tcBorders>
          </w:tcPr>
          <w:p>
            <w:pPr>
              <w:pStyle w:val="TableParagraph"/>
              <w:spacing w:line="281" w:lineRule="exact"/>
              <w:ind w:right="948"/>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50" w:hRule="exact"/>
        </w:trPr>
        <w:tc>
          <w:tcPr>
            <w:tcW w:w="221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1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216" w:type="dxa"/>
            <w:tcBorders>
              <w:top w:val="single" w:sz="8" w:space="0" w:color="000000"/>
              <w:left w:val="single" w:sz="6" w:space="0" w:color="000000"/>
              <w:bottom w:val="single" w:sz="8" w:space="0" w:color="000000"/>
              <w:right w:val="nil" w:sz="6" w:space="0" w:color="auto"/>
            </w:tcBorders>
          </w:tcPr>
          <w:p>
            <w:pPr>
              <w:pStyle w:val="TableParagraph"/>
              <w:spacing w:line="281" w:lineRule="exact"/>
              <w:ind w:right="948"/>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bl>
    <w:p>
      <w:pPr>
        <w:pStyle w:val="BodyText"/>
        <w:spacing w:line="300" w:lineRule="auto" w:before="31"/>
        <w:ind w:right="0" w:firstLine="508"/>
        <w:jc w:val="left"/>
      </w:pPr>
      <w:r>
        <w:rPr>
          <w:spacing w:val="-3"/>
        </w:rPr>
        <w:t>注</w:t>
      </w:r>
      <w:r>
        <w:rPr>
          <w:rFonts w:ascii="Times New Roman" w:hAnsi="Times New Roman" w:cs="Times New Roman" w:eastAsia="Times New Roman" w:hint="default"/>
          <w:spacing w:val="-3"/>
        </w:rPr>
        <w:t>1</w:t>
      </w:r>
      <w:r>
        <w:rPr>
          <w:spacing w:val="-3"/>
        </w:rPr>
        <w:t>：消费税是对商品和劳务的增值额课征的一种税，征收实行单一比例税率，税率为</w:t>
      </w:r>
      <w:r>
        <w:rPr>
          <w:rFonts w:ascii="Times New Roman" w:hAnsi="Times New Roman" w:cs="Times New Roman" w:eastAsia="Times New Roman" w:hint="default"/>
          <w:spacing w:val="-3"/>
        </w:rPr>
        <w:t>8%</w:t>
      </w:r>
      <w:r>
        <w:rPr>
          <w:spacing w:val="-3"/>
        </w:rPr>
        <w:t>，以纳税人的总销货额与总</w:t>
      </w:r>
      <w:r>
        <w:rPr>
          <w:w w:val="101"/>
        </w:rPr>
        <w:t> </w:t>
      </w:r>
      <w:r>
        <w:rPr>
          <w:spacing w:val="-3"/>
        </w:rPr>
        <w:t>进货额的差额为计税依据，类似于国内的增值税。</w:t>
      </w:r>
    </w:p>
    <w:p>
      <w:pPr>
        <w:pStyle w:val="BodyText"/>
        <w:spacing w:line="240" w:lineRule="auto" w:before="31"/>
        <w:ind w:left="662" w:right="0"/>
        <w:jc w:val="left"/>
      </w:pPr>
      <w:r>
        <w:rPr>
          <w:spacing w:val="-3"/>
        </w:rPr>
        <w:t>注</w:t>
      </w:r>
      <w:r>
        <w:rPr>
          <w:rFonts w:ascii="Times New Roman" w:hAnsi="Times New Roman" w:cs="Times New Roman" w:eastAsia="Times New Roman" w:hint="default"/>
          <w:spacing w:val="-3"/>
        </w:rPr>
        <w:t>2</w:t>
      </w:r>
      <w:r>
        <w:rPr>
          <w:spacing w:val="-3"/>
        </w:rPr>
        <w:t>：企业所得税包括法人税、法人居民税、法人事业税、地方法人特别税。</w:t>
      </w:r>
    </w:p>
    <w:p>
      <w:pPr>
        <w:pStyle w:val="BodyText"/>
        <w:spacing w:line="309" w:lineRule="auto" w:before="63"/>
        <w:ind w:left="662" w:right="4626" w:hanging="144"/>
        <w:jc w:val="left"/>
      </w:pPr>
      <w:r>
        <w:rPr>
          <w:spacing w:val="-3"/>
        </w:rPr>
        <w:t>（</w:t>
      </w:r>
      <w:r>
        <w:rPr>
          <w:rFonts w:ascii="Times New Roman" w:hAnsi="Times New Roman" w:cs="Times New Roman" w:eastAsia="Times New Roman" w:hint="default"/>
          <w:spacing w:val="-3"/>
        </w:rPr>
        <w:t>2</w:t>
      </w:r>
      <w:r>
        <w:rPr>
          <w:spacing w:val="-3"/>
        </w:rPr>
        <w:t>）波士顿润和</w:t>
      </w:r>
      <w:r>
        <w:rPr>
          <w:spacing w:val="-68"/>
        </w:rPr>
        <w:t> </w:t>
      </w:r>
      <w:r>
        <w:rPr>
          <w:spacing w:val="-68"/>
        </w:rPr>
      </w:r>
      <w:r>
        <w:rPr>
          <w:spacing w:val="-3"/>
        </w:rPr>
        <w:t>波士顿润和注册于美国特拉华州，适用美国联邦企业累进所得税率。</w:t>
      </w:r>
      <w:r>
        <w:rPr>
          <w:w w:val="101"/>
        </w:rPr>
        <w:t> </w:t>
      </w:r>
      <w:r>
        <w:rPr>
          <w:spacing w:val="-3"/>
        </w:rPr>
        <w:t>其他地方税按照有关规定计算缴纳。</w:t>
      </w:r>
    </w:p>
    <w:p>
      <w:pPr>
        <w:pStyle w:val="BodyText"/>
        <w:spacing w:line="240" w:lineRule="auto" w:before="24"/>
        <w:ind w:left="518" w:right="0"/>
        <w:jc w:val="left"/>
      </w:pPr>
      <w:r>
        <w:rPr>
          <w:spacing w:val="-3"/>
        </w:rPr>
        <w:t>（</w:t>
      </w:r>
      <w:r>
        <w:rPr>
          <w:rFonts w:ascii="Times New Roman" w:hAnsi="Times New Roman" w:cs="Times New Roman" w:eastAsia="Times New Roman" w:hint="default"/>
          <w:spacing w:val="-3"/>
        </w:rPr>
        <w:t>3</w:t>
      </w:r>
      <w:r>
        <w:rPr>
          <w:spacing w:val="-3"/>
        </w:rPr>
        <w:t>）新加坡润和</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214"/>
        <w:gridCol w:w="2219"/>
        <w:gridCol w:w="2213"/>
        <w:gridCol w:w="2216"/>
      </w:tblGrid>
      <w:tr>
        <w:trPr>
          <w:trHeight w:val="348" w:hRule="exact"/>
        </w:trPr>
        <w:tc>
          <w:tcPr>
            <w:tcW w:w="221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75"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219"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216"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891"/>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21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21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13"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7%</w:t>
            </w:r>
          </w:p>
        </w:tc>
        <w:tc>
          <w:tcPr>
            <w:tcW w:w="2216" w:type="dxa"/>
            <w:tcBorders>
              <w:top w:val="single" w:sz="8" w:space="0" w:color="000000"/>
              <w:left w:val="single" w:sz="6" w:space="0" w:color="000000"/>
              <w:bottom w:val="single" w:sz="8" w:space="0" w:color="000000"/>
              <w:right w:val="nil" w:sz="6" w:space="0" w:color="auto"/>
            </w:tcBorders>
          </w:tcPr>
          <w:p>
            <w:pPr>
              <w:pStyle w:val="TableParagraph"/>
              <w:spacing w:line="281" w:lineRule="exact"/>
              <w:ind w:right="948"/>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50" w:hRule="exact"/>
        </w:trPr>
        <w:tc>
          <w:tcPr>
            <w:tcW w:w="221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1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17%</w:t>
            </w:r>
          </w:p>
        </w:tc>
        <w:tc>
          <w:tcPr>
            <w:tcW w:w="2216" w:type="dxa"/>
            <w:tcBorders>
              <w:top w:val="single" w:sz="8" w:space="0" w:color="000000"/>
              <w:left w:val="single" w:sz="6" w:space="0" w:color="000000"/>
              <w:bottom w:val="single" w:sz="8" w:space="0" w:color="000000"/>
              <w:right w:val="nil" w:sz="6" w:space="0" w:color="auto"/>
            </w:tcBorders>
          </w:tcPr>
          <w:p>
            <w:pPr/>
          </w:p>
        </w:tc>
      </w:tr>
    </w:tbl>
    <w:p>
      <w:pPr>
        <w:pStyle w:val="BodyText"/>
        <w:spacing w:line="307" w:lineRule="auto" w:before="10"/>
        <w:ind w:right="1123" w:firstLine="508"/>
        <w:jc w:val="both"/>
      </w:pPr>
      <w:r>
        <w:rPr>
          <w:spacing w:val="-3"/>
        </w:rPr>
        <w:t>注</w:t>
      </w:r>
      <w:r>
        <w:rPr>
          <w:rFonts w:ascii="Times New Roman" w:hAnsi="Times New Roman" w:cs="Times New Roman" w:eastAsia="Times New Roman" w:hint="default"/>
          <w:spacing w:val="-3"/>
        </w:rPr>
        <w:t>1</w:t>
      </w:r>
      <w:r>
        <w:rPr>
          <w:spacing w:val="-3"/>
        </w:rPr>
        <w:t>：消费税</w:t>
      </w:r>
      <w:r>
        <w:rPr>
          <w:rFonts w:ascii="Times New Roman" w:hAnsi="Times New Roman" w:cs="Times New Roman" w:eastAsia="Times New Roman" w:hint="default"/>
          <w:spacing w:val="-3"/>
        </w:rPr>
        <w:t>(Goods </w:t>
      </w:r>
      <w:r>
        <w:rPr>
          <w:rFonts w:ascii="Times New Roman" w:hAnsi="Times New Roman" w:cs="Times New Roman" w:eastAsia="Times New Roman" w:hint="default"/>
        </w:rPr>
        <w:t>and Services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Tax)</w:t>
      </w:r>
      <w:r>
        <w:rPr>
          <w:spacing w:val="-3"/>
        </w:rPr>
        <w:t>是对进口货物和所有在新加坡提供货物和劳务服务征收的一种税，税负由最终的</w:t>
      </w:r>
      <w:r>
        <w:rPr>
          <w:w w:val="101"/>
        </w:rPr>
        <w:t> </w:t>
      </w:r>
      <w:r>
        <w:rPr>
          <w:spacing w:val="-3"/>
        </w:rPr>
        <w:t>消费者负担，从事提供货物和劳务服务且年营业额在</w:t>
      </w:r>
      <w:r>
        <w:rPr>
          <w:rFonts w:ascii="Times New Roman" w:hAnsi="Times New Roman" w:cs="Times New Roman" w:eastAsia="Times New Roman" w:hint="default"/>
          <w:spacing w:val="-3"/>
        </w:rPr>
        <w:t>100</w:t>
      </w:r>
      <w:r>
        <w:rPr>
          <w:spacing w:val="-3"/>
        </w:rPr>
        <w:t>万新元以上的纳税人，应进行消费税的纳税登记，进行了消费税登</w:t>
      </w:r>
      <w:r>
        <w:rPr>
          <w:spacing w:val="73"/>
        </w:rPr>
        <w:t> </w:t>
      </w:r>
      <w:r>
        <w:rPr>
          <w:spacing w:val="73"/>
        </w:rPr>
      </w:r>
      <w:r>
        <w:rPr>
          <w:spacing w:val="-4"/>
        </w:rPr>
        <w:t>记的纳税人，其消费税应纳税额为销项税额减去购进货物或服务支付的进项税额后的差额，类似于国内的增值税，对于出口</w:t>
      </w:r>
      <w:r>
        <w:rPr>
          <w:spacing w:val="43"/>
        </w:rPr>
        <w:t> </w:t>
      </w:r>
      <w:r>
        <w:rPr>
          <w:spacing w:val="43"/>
        </w:rPr>
      </w:r>
      <w:r>
        <w:rPr>
          <w:spacing w:val="-3"/>
        </w:rPr>
        <w:t>货物和服务的消费税税率为零，新加坡润和目前所从事的软件外包业务属于出口服务，免征消费税。</w:t>
      </w:r>
    </w:p>
    <w:p>
      <w:pPr>
        <w:spacing w:after="0" w:line="307"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662" w:right="6287" w:hanging="144"/>
        <w:jc w:val="left"/>
      </w:pPr>
      <w:r>
        <w:rPr>
          <w:spacing w:val="-3"/>
        </w:rPr>
        <w:t>（</w:t>
      </w:r>
      <w:r>
        <w:rPr>
          <w:rFonts w:ascii="Times New Roman" w:hAnsi="Times New Roman" w:cs="Times New Roman" w:eastAsia="Times New Roman" w:hint="default"/>
          <w:spacing w:val="-3"/>
        </w:rPr>
        <w:t>4</w:t>
      </w:r>
      <w:r>
        <w:rPr>
          <w:spacing w:val="-3"/>
        </w:rPr>
        <w:t>）香港润和</w:t>
      </w:r>
      <w:r>
        <w:rPr>
          <w:spacing w:val="-69"/>
        </w:rPr>
        <w:t> </w:t>
      </w:r>
      <w:r>
        <w:rPr>
          <w:spacing w:val="-69"/>
        </w:rPr>
      </w:r>
      <w:r>
        <w:rPr>
          <w:spacing w:val="-3"/>
        </w:rPr>
        <w:t>香港润和注册于中国香港，利得税税率为</w:t>
      </w:r>
      <w:r>
        <w:rPr>
          <w:rFonts w:ascii="Times New Roman" w:hAnsi="Times New Roman" w:cs="Times New Roman" w:eastAsia="Times New Roman" w:hint="default"/>
          <w:spacing w:val="-3"/>
        </w:rPr>
        <w:t>16.50%</w:t>
      </w:r>
      <w:r>
        <w:rPr>
          <w:spacing w:val="-3"/>
        </w:rPr>
        <w:t>。</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78,054.28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369,675.05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986,473,500.37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874,698,220.24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266,000,272.04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7,875,242.20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1,252,551,826.69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882,943,137.49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67,179,443.29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201,214,640.61</w:t>
            </w:r>
          </w:p>
        </w:tc>
      </w:tr>
    </w:tbl>
    <w:p>
      <w:pPr>
        <w:pStyle w:val="BodyText"/>
        <w:spacing w:line="240" w:lineRule="auto" w:before="53"/>
        <w:ind w:right="0"/>
        <w:jc w:val="left"/>
      </w:pPr>
      <w:r>
        <w:rPr/>
        <w:t>其他说明</w:t>
      </w:r>
    </w:p>
    <w:p>
      <w:pPr>
        <w:pStyle w:val="BodyText"/>
        <w:spacing w:line="300" w:lineRule="auto" w:before="115"/>
        <w:ind w:right="1175" w:firstLine="364"/>
        <w:jc w:val="both"/>
      </w:pPr>
      <w:r>
        <w:rPr>
          <w:spacing w:val="-2"/>
        </w:rPr>
        <w:t>（</w:t>
      </w:r>
      <w:r>
        <w:rPr>
          <w:rFonts w:ascii="Times New Roman" w:hAnsi="Times New Roman" w:cs="Times New Roman" w:eastAsia="Times New Roman" w:hint="default"/>
          <w:spacing w:val="-2"/>
        </w:rPr>
        <w:t>1</w:t>
      </w:r>
      <w:r>
        <w:rPr>
          <w:spacing w:val="-2"/>
        </w:rPr>
        <w:t>）本期末其他货币资金中</w:t>
      </w:r>
      <w:r>
        <w:rPr>
          <w:rFonts w:ascii="Times New Roman" w:hAnsi="Times New Roman" w:cs="Times New Roman" w:eastAsia="Times New Roman" w:hint="default"/>
          <w:spacing w:val="-2"/>
        </w:rPr>
        <w:t>260,000,000.00</w:t>
      </w:r>
      <w:r>
        <w:rPr>
          <w:spacing w:val="-2"/>
        </w:rPr>
        <w:t>元为定期存款，到期日为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25,114.04</w:t>
      </w:r>
      <w:r>
        <w:rPr>
          <w:spacing w:val="-2"/>
        </w:rPr>
        <w:t>元系本公司为回购公司股份</w:t>
      </w:r>
      <w:r>
        <w:rPr>
          <w:w w:val="101"/>
        </w:rPr>
        <w:t> </w:t>
      </w:r>
      <w:r>
        <w:rPr>
          <w:spacing w:val="-3"/>
        </w:rPr>
        <w:t>存入证券账户的货币资金；</w:t>
      </w:r>
    </w:p>
    <w:p>
      <w:pPr>
        <w:pStyle w:val="BodyText"/>
        <w:spacing w:line="300" w:lineRule="auto" w:before="31"/>
        <w:ind w:right="1127" w:firstLine="364"/>
        <w:jc w:val="both"/>
      </w:pPr>
      <w:r>
        <w:rPr>
          <w:spacing w:val="-3"/>
        </w:rPr>
        <w:t>（</w:t>
      </w:r>
      <w:r>
        <w:rPr>
          <w:rFonts w:ascii="Times New Roman" w:hAnsi="Times New Roman" w:cs="Times New Roman" w:eastAsia="Times New Roman" w:hint="default"/>
          <w:spacing w:val="-3"/>
        </w:rPr>
        <w:t>2</w:t>
      </w:r>
      <w:r>
        <w:rPr>
          <w:spacing w:val="-3"/>
        </w:rPr>
        <w:t>）本期末其他货币资金中</w:t>
      </w:r>
      <w:r>
        <w:rPr>
          <w:rFonts w:ascii="Times New Roman" w:hAnsi="Times New Roman" w:cs="Times New Roman" w:eastAsia="Times New Roman" w:hint="default"/>
          <w:spacing w:val="-3"/>
        </w:rPr>
        <w:t>477,500.00</w:t>
      </w:r>
      <w:r>
        <w:rPr>
          <w:spacing w:val="-3"/>
        </w:rPr>
        <w:t>元系本公司为开具保函存入的保证金；</w:t>
      </w:r>
      <w:r>
        <w:rPr>
          <w:rFonts w:ascii="Times New Roman" w:hAnsi="Times New Roman" w:cs="Times New Roman" w:eastAsia="Times New Roman" w:hint="default"/>
          <w:spacing w:val="-3"/>
        </w:rPr>
        <w:t>200,000.00</w:t>
      </w:r>
      <w:r>
        <w:rPr>
          <w:spacing w:val="-3"/>
        </w:rPr>
        <w:t>元系本公司为银行借款质押的</w:t>
      </w:r>
      <w:r>
        <w:rPr>
          <w:w w:val="101"/>
        </w:rPr>
        <w:t> </w:t>
      </w:r>
      <w:r>
        <w:rPr>
          <w:spacing w:val="-3"/>
        </w:rPr>
        <w:t>银行存单；</w:t>
      </w:r>
      <w:r>
        <w:rPr>
          <w:rFonts w:ascii="Times New Roman" w:hAnsi="Times New Roman" w:cs="Times New Roman" w:eastAsia="Times New Roman" w:hint="default"/>
          <w:spacing w:val="-3"/>
        </w:rPr>
        <w:t>5,297,658.00</w:t>
      </w:r>
      <w:r>
        <w:rPr>
          <w:spacing w:val="-3"/>
        </w:rPr>
        <w:t>元系子公司捷科智诚为开具保函存入的保证金，除此之外，货币资金中无其他因抵押或冻结等对使</w:t>
      </w:r>
      <w:r>
        <w:rPr>
          <w:spacing w:val="1"/>
        </w:rPr>
        <w:t> </w:t>
      </w:r>
      <w:r>
        <w:rPr>
          <w:spacing w:val="1"/>
        </w:rPr>
      </w:r>
      <w:r>
        <w:rPr>
          <w:spacing w:val="-3"/>
        </w:rPr>
        <w:t>用有限制、有潜在回收风险的款项；</w:t>
      </w:r>
    </w:p>
    <w:p>
      <w:pPr>
        <w:pStyle w:val="BodyText"/>
        <w:spacing w:line="300" w:lineRule="auto" w:before="31"/>
        <w:ind w:right="1128" w:firstLine="364"/>
        <w:jc w:val="both"/>
      </w:pPr>
      <w:r>
        <w:rPr>
          <w:spacing w:val="-3"/>
        </w:rPr>
        <w:t>（</w:t>
      </w:r>
      <w:r>
        <w:rPr>
          <w:rFonts w:ascii="Times New Roman" w:hAnsi="Times New Roman" w:cs="Times New Roman" w:eastAsia="Times New Roman" w:hint="default"/>
          <w:spacing w:val="-3"/>
        </w:rPr>
        <w:t>3</w:t>
      </w:r>
      <w:r>
        <w:rPr>
          <w:spacing w:val="-3"/>
        </w:rPr>
        <w:t>）货币资金期末余额较期初余额增长</w:t>
      </w:r>
      <w:r>
        <w:rPr>
          <w:rFonts w:ascii="Times New Roman" w:hAnsi="Times New Roman" w:cs="Times New Roman" w:eastAsia="Times New Roman" w:hint="default"/>
          <w:spacing w:val="-3"/>
        </w:rPr>
        <w:t>41.86%</w:t>
      </w:r>
      <w:r>
        <w:rPr>
          <w:spacing w:val="-3"/>
        </w:rPr>
        <w:t>，主要原因是非公开发行股票募集资金到位以及本期经营活动现金净流</w:t>
      </w:r>
      <w:r>
        <w:rPr>
          <w:w w:val="101"/>
        </w:rPr>
        <w:t> </w:t>
      </w:r>
      <w:r>
        <w:rPr>
          <w:spacing w:val="-3"/>
        </w:rPr>
        <w:t>量增加，货币资金期末余额增加。</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11,921,522.74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1,209,334,647.06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1,029,155,159.36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1,226,078,619.17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1,041,076,682.10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11,921,522.74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11,921,522.74</w:t>
            </w:r>
          </w:p>
        </w:tc>
      </w:tr>
    </w:tbl>
    <w:p>
      <w:pPr>
        <w:pStyle w:val="BodyText"/>
        <w:spacing w:line="240" w:lineRule="auto" w:before="54"/>
        <w:ind w:right="0"/>
        <w:jc w:val="left"/>
      </w:pPr>
      <w:r>
        <w:rPr>
          <w:rFonts w:ascii="Times New Roman" w:hAnsi="Times New Roman" w:cs="Times New Roman" w:eastAsia="Times New Roman" w:hint="default"/>
          <w:spacing w:val="-3"/>
        </w:rPr>
        <w:t>2)</w:t>
      </w:r>
      <w:r>
        <w:rPr>
          <w:spacing w:val="-3"/>
        </w:rPr>
        <w:t>期末公司已质押的应收票据</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pStyle w:val="BodyText"/>
        <w:spacing w:line="240" w:lineRule="auto" w:before="53"/>
        <w:ind w:right="0"/>
        <w:jc w:val="left"/>
      </w:pPr>
      <w:r>
        <w:rPr>
          <w:rFonts w:ascii="Times New Roman" w:hAnsi="Times New Roman" w:cs="Times New Roman" w:eastAsia="Times New Roman" w:hint="default"/>
          <w:spacing w:val="-3"/>
        </w:rPr>
        <w:t>3)</w:t>
      </w:r>
      <w:r>
        <w:rPr>
          <w:spacing w:val="-3"/>
        </w:rPr>
        <w:t>期末公司已背书或贴现且在资产负债表日尚未到期的应收票据</w:t>
      </w:r>
    </w:p>
    <w:p>
      <w:pPr>
        <w:pStyle w:val="BodyText"/>
        <w:spacing w:line="240" w:lineRule="auto" w:before="102"/>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pStyle w:val="BodyText"/>
        <w:spacing w:line="240" w:lineRule="auto" w:before="53"/>
        <w:ind w:right="0"/>
        <w:jc w:val="left"/>
      </w:pPr>
      <w:r>
        <w:rPr>
          <w:rFonts w:ascii="Times New Roman" w:hAnsi="Times New Roman" w:cs="Times New Roman" w:eastAsia="Times New Roman" w:hint="default"/>
          <w:spacing w:val="-3"/>
        </w:rPr>
        <w:t>4)</w:t>
      </w:r>
      <w:r>
        <w:rPr>
          <w:spacing w:val="-3"/>
        </w:rPr>
        <w:t>期末公司因出票人未履约而将其转应收账款的票据</w:t>
      </w:r>
    </w:p>
    <w:p>
      <w:pPr>
        <w:pStyle w:val="BodyText"/>
        <w:spacing w:line="240" w:lineRule="auto" w:before="10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应收票据期末余额较期初余额增长</w:t>
      </w:r>
      <w:r>
        <w:rPr>
          <w:rFonts w:ascii="Times New Roman" w:hAnsi="Times New Roman" w:cs="Times New Roman" w:eastAsia="Times New Roman" w:hint="default"/>
          <w:spacing w:val="-3"/>
        </w:rPr>
        <w:t>40.45%</w:t>
      </w:r>
      <w:r>
        <w:rPr>
          <w:spacing w:val="-3"/>
        </w:rPr>
        <w:t>，主要原因是客户采用票据方式结算金额增加。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应收账款分类披露</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1,300,60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5,140.16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91,270,4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1,209,334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,647.06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1,110,6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2"/>
                <w:sz w:val="18"/>
              </w:rPr>
              <w:t>01,206.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81,446,04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1,029,155,1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59.36</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1,300,60</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5,140.16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91,270,4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93.10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1,209,334</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,647.06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1,110,6</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01,206.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81,446,04</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7.26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1,029,155,1</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59.36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期末单项金额重大并单项计提坏账准备的应收账款：</w:t>
      </w:r>
    </w:p>
    <w:p>
      <w:pPr>
        <w:pStyle w:val="BodyText"/>
        <w:spacing w:line="343"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组合中，按账龄分析法计提坏账准备的应收账款：</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534"/>
            <w:col w:w="2099"/>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1,137,085,812.84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56,854,290.65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1,137,085,812.84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56,854,290.65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132,906,155.50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13,290,615.55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18,975,169.88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9,487,584.96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11,638,001.94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11,638,001.94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1,300,605,140.16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91,270,493.10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7.02%</w:t>
            </w:r>
          </w:p>
        </w:tc>
      </w:tr>
    </w:tbl>
    <w:p>
      <w:pPr>
        <w:pStyle w:val="BodyText"/>
        <w:spacing w:line="352" w:lineRule="auto" w:before="53"/>
        <w:ind w:left="662" w:right="0" w:hanging="509"/>
        <w:jc w:val="left"/>
      </w:pPr>
      <w:r>
        <w:rPr>
          <w:spacing w:val="-3"/>
        </w:rPr>
        <w:t>确定该组合依据的说明：</w:t>
      </w:r>
      <w:r>
        <w:rPr>
          <w:spacing w:val="-56"/>
        </w:rPr>
        <w:t> </w:t>
      </w:r>
      <w:r>
        <w:rPr>
          <w:spacing w:val="-56"/>
        </w:rPr>
      </w:r>
      <w:r>
        <w:rPr>
          <w:spacing w:val="-4"/>
        </w:rPr>
        <w:t>对单项金额重大单独测试未发生减值的应收款项汇同单项金额不重大的应收款项，本公司以账龄作为信用风险特征组</w:t>
      </w:r>
    </w:p>
    <w:p>
      <w:pPr>
        <w:pStyle w:val="BodyText"/>
        <w:spacing w:line="362" w:lineRule="auto"/>
        <w:ind w:right="6287"/>
        <w:jc w:val="left"/>
      </w:pPr>
      <w:r>
        <w:rPr/>
        <w:t>合。</w:t>
      </w:r>
      <w:r>
        <w:rPr>
          <w:spacing w:val="-86"/>
        </w:rPr>
        <w:t> </w:t>
      </w:r>
      <w:r>
        <w:rPr>
          <w:spacing w:val="-3"/>
        </w:rPr>
        <w:t>组合中，采用余额百分比法计提坏账准备的应收账款：</w:t>
      </w:r>
    </w:p>
    <w:p>
      <w:pPr>
        <w:pStyle w:val="BodyText"/>
        <w:spacing w:line="338" w:lineRule="auto" w:before="28"/>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p>
    <w:p>
      <w:pPr>
        <w:pStyle w:val="BodyText"/>
        <w:spacing w:line="240" w:lineRule="auto" w:before="46"/>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本期计提、收回或转回的坏账准备情况</w:t>
      </w:r>
    </w:p>
    <w:p>
      <w:pPr>
        <w:pStyle w:val="BodyText"/>
        <w:spacing w:line="343" w:lineRule="auto" w:before="101"/>
        <w:ind w:right="4374"/>
        <w:jc w:val="left"/>
      </w:pPr>
      <w:r>
        <w:rPr/>
        <w:t>本期计提坏账准备金额</w:t>
      </w:r>
      <w:r>
        <w:rPr>
          <w:spacing w:val="-35"/>
        </w:rPr>
        <w:t> </w:t>
      </w:r>
      <w:r>
        <w:rPr>
          <w:rFonts w:ascii="Times New Roman" w:hAnsi="Times New Roman" w:cs="Times New Roman" w:eastAsia="Times New Roman" w:hint="default"/>
        </w:rPr>
        <w:t>10,785,068.29</w:t>
      </w:r>
      <w:r>
        <w:rPr>
          <w:rFonts w:ascii="Times New Roman" w:hAnsi="Times New Roman" w:cs="Times New Roman" w:eastAsia="Times New Roman" w:hint="default"/>
          <w:spacing w:val="11"/>
        </w:rPr>
        <w:t> </w:t>
      </w:r>
      <w:r>
        <w:rPr>
          <w:spacing w:val="-3"/>
        </w:rPr>
        <w:t>元；本期收回或转回坏账准备金额</w:t>
      </w:r>
      <w:r>
        <w:rPr>
          <w:spacing w:val="-3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spacing w:val="-5"/>
        </w:rPr>
        <w:t>元。</w:t>
      </w:r>
      <w:r>
        <w:rPr>
          <w:spacing w:val="-86"/>
        </w:rPr>
        <w:t> </w:t>
      </w:r>
      <w:r>
        <w:rPr>
          <w:spacing w:val="-3"/>
        </w:rPr>
        <w:t>其中本期坏账准备收回或转回金额重要的：</w:t>
      </w:r>
    </w:p>
    <w:p>
      <w:pPr>
        <w:pStyle w:val="BodyText"/>
        <w:spacing w:line="240" w:lineRule="auto" w:before="37"/>
        <w:ind w:left="0" w:right="1121"/>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59"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1,429,280.02</w:t>
            </w:r>
          </w:p>
        </w:tc>
      </w:tr>
    </w:tbl>
    <w:p>
      <w:pPr>
        <w:pStyle w:val="BodyText"/>
        <w:spacing w:line="240" w:lineRule="auto" w:before="53"/>
        <w:ind w:right="0"/>
        <w:jc w:val="left"/>
      </w:pPr>
      <w:r>
        <w:rPr>
          <w:spacing w:val="-3"/>
        </w:rPr>
        <w:t>其中重要的应收账款核销情况：</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350" w:lineRule="auto" w:before="53"/>
        <w:ind w:right="6287"/>
        <w:jc w:val="left"/>
      </w:pPr>
      <w:r>
        <w:rPr>
          <w:spacing w:val="-3"/>
        </w:rPr>
        <w:t>应收账款核销说明：</w:t>
      </w:r>
      <w:r>
        <w:rPr>
          <w:spacing w:val="-62"/>
        </w:rPr>
        <w:t> </w:t>
      </w:r>
      <w:r>
        <w:rPr>
          <w:spacing w:val="-62"/>
        </w:rPr>
      </w:r>
      <w:r>
        <w:rPr>
          <w:rFonts w:ascii="Times New Roman" w:hAnsi="Times New Roman" w:cs="Times New Roman" w:eastAsia="Times New Roman" w:hint="default"/>
          <w:spacing w:val="-3"/>
        </w:rPr>
        <w:t>4)</w:t>
      </w:r>
      <w:r>
        <w:rPr>
          <w:spacing w:val="-3"/>
        </w:rPr>
        <w:t>按欠款方归集的期末余额前五名的应收账款情况</w:t>
      </w:r>
      <w:r>
        <w:rPr>
          <w:spacing w:val="-18"/>
        </w:rPr>
        <w:t> </w:t>
      </w:r>
      <w:r>
        <w:rPr>
          <w:spacing w:val="-18"/>
        </w:rPr>
      </w:r>
      <w:r>
        <w:rPr>
          <w:spacing w:val="-3"/>
        </w:rPr>
        <w:t>公司是否需要遵守特殊行业的披露要求</w:t>
      </w:r>
    </w:p>
    <w:p>
      <w:pPr>
        <w:pStyle w:val="BodyText"/>
        <w:spacing w:line="357" w:lineRule="auto" w:before="32"/>
        <w:ind w:right="8838"/>
        <w:jc w:val="left"/>
      </w:pPr>
      <w:r>
        <w:rPr/>
        <w:t>是</w:t>
      </w:r>
      <w:r>
        <w:rPr>
          <w:spacing w:val="-88"/>
        </w:rPr>
        <w:t> </w:t>
      </w:r>
      <w:r>
        <w:rPr>
          <w:spacing w:val="-2"/>
        </w:rPr>
        <w:t>软件与信息技术服务业</w:t>
      </w:r>
    </w:p>
    <w:tbl>
      <w:tblPr>
        <w:tblW w:w="0" w:type="auto"/>
        <w:jc w:val="left"/>
        <w:tblInd w:w="143" w:type="dxa"/>
        <w:tblLayout w:type="fixed"/>
        <w:tblCellMar>
          <w:top w:w="0" w:type="dxa"/>
          <w:left w:w="0" w:type="dxa"/>
          <w:bottom w:w="0" w:type="dxa"/>
          <w:right w:w="0" w:type="dxa"/>
        </w:tblCellMar>
        <w:tblLook w:val="01E0"/>
      </w:tblPr>
      <w:tblGrid>
        <w:gridCol w:w="1527"/>
        <w:gridCol w:w="2579"/>
        <w:gridCol w:w="2122"/>
        <w:gridCol w:w="2634"/>
      </w:tblGrid>
      <w:tr>
        <w:trPr>
          <w:trHeight w:val="660" w:hRule="exact"/>
        </w:trPr>
        <w:tc>
          <w:tcPr>
            <w:tcW w:w="152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9"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22"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374" w:right="0"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2634"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888" w:right="891"/>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1248" w:right="0"/>
              <w:jc w:val="left"/>
              <w:rPr>
                <w:rFonts w:ascii="Times New Roman" w:hAnsi="Times New Roman" w:cs="Times New Roman" w:eastAsia="Times New Roman" w:hint="default"/>
                <w:sz w:val="21"/>
                <w:szCs w:val="21"/>
              </w:rPr>
            </w:pPr>
            <w:r>
              <w:rPr>
                <w:rFonts w:ascii="Times New Roman"/>
                <w:sz w:val="21"/>
              </w:rPr>
              <w:t>119,194,750.53</w:t>
            </w:r>
          </w:p>
        </w:tc>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9.16</w:t>
            </w:r>
          </w:p>
        </w:tc>
        <w:tc>
          <w:tcPr>
            <w:tcW w:w="26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1512" w:right="0"/>
              <w:jc w:val="left"/>
              <w:rPr>
                <w:rFonts w:ascii="Times New Roman" w:hAnsi="Times New Roman" w:cs="Times New Roman" w:eastAsia="Times New Roman" w:hint="default"/>
                <w:sz w:val="21"/>
                <w:szCs w:val="21"/>
              </w:rPr>
            </w:pPr>
            <w:r>
              <w:rPr>
                <w:rFonts w:ascii="Times New Roman"/>
                <w:sz w:val="21"/>
              </w:rPr>
              <w:t>5,963,287.53</w:t>
            </w:r>
          </w:p>
        </w:tc>
      </w:tr>
    </w:tbl>
    <w:p>
      <w:pPr>
        <w:spacing w:after="0" w:line="240" w:lineRule="auto"/>
        <w:jc w:val="lef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527"/>
        <w:gridCol w:w="2579"/>
        <w:gridCol w:w="2122"/>
        <w:gridCol w:w="2634"/>
      </w:tblGrid>
      <w:tr>
        <w:trPr>
          <w:trHeight w:val="348" w:hRule="exact"/>
        </w:trPr>
        <w:tc>
          <w:tcPr>
            <w:tcW w:w="152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57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109,180,775.33</w:t>
            </w:r>
          </w:p>
        </w:tc>
        <w:tc>
          <w:tcPr>
            <w:tcW w:w="21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8.39</w:t>
            </w:r>
          </w:p>
        </w:tc>
        <w:tc>
          <w:tcPr>
            <w:tcW w:w="263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10,169,731.56</w:t>
            </w:r>
          </w:p>
        </w:tc>
      </w:tr>
      <w:tr>
        <w:trPr>
          <w:trHeight w:val="350"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72,080,412.17</w:t>
            </w:r>
          </w:p>
        </w:tc>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5.54</w:t>
            </w:r>
          </w:p>
        </w:tc>
        <w:tc>
          <w:tcPr>
            <w:tcW w:w="26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4,510,560.27</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41,822,889.45</w:t>
            </w:r>
          </w:p>
        </w:tc>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3.22</w:t>
            </w:r>
          </w:p>
        </w:tc>
        <w:tc>
          <w:tcPr>
            <w:tcW w:w="26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2,091,144.47</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39,118,932.54</w:t>
            </w:r>
          </w:p>
        </w:tc>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3.01</w:t>
            </w:r>
          </w:p>
        </w:tc>
        <w:tc>
          <w:tcPr>
            <w:tcW w:w="26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1,955,946.63</w:t>
            </w:r>
          </w:p>
        </w:tc>
      </w:tr>
      <w:tr>
        <w:trPr>
          <w:trHeight w:val="350"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tabs>
                <w:tab w:pos="931" w:val="left" w:leader="none"/>
              </w:tabs>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381,397,760.02</w:t>
            </w:r>
          </w:p>
        </w:tc>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29.32</w:t>
            </w:r>
          </w:p>
        </w:tc>
        <w:tc>
          <w:tcPr>
            <w:tcW w:w="26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24,690,670.46</w:t>
            </w:r>
          </w:p>
        </w:tc>
      </w:tr>
    </w:tbl>
    <w:p>
      <w:pPr>
        <w:spacing w:line="240" w:lineRule="auto" w:before="5"/>
        <w:rPr>
          <w:rFonts w:ascii="宋体" w:hAnsi="宋体" w:cs="宋体" w:eastAsia="宋体" w:hint="default"/>
          <w:sz w:val="24"/>
          <w:szCs w:val="24"/>
        </w:rPr>
      </w:pPr>
    </w:p>
    <w:p>
      <w:pPr>
        <w:pStyle w:val="BodyText"/>
        <w:spacing w:line="240" w:lineRule="auto" w:before="46"/>
        <w:ind w:right="0"/>
        <w:jc w:val="left"/>
      </w:pPr>
      <w:r>
        <w:rPr>
          <w:rFonts w:ascii="Times New Roman" w:hAnsi="Times New Roman" w:cs="Times New Roman" w:eastAsia="Times New Roman" w:hint="default"/>
          <w:spacing w:val="-3"/>
        </w:rPr>
        <w:t>5)</w:t>
      </w:r>
      <w:r>
        <w:rPr>
          <w:spacing w:val="-3"/>
        </w:rPr>
        <w:t>因金融资产转移而终止确认的应收账款</w:t>
      </w:r>
    </w:p>
    <w:p>
      <w:pPr>
        <w:pStyle w:val="BodyText"/>
        <w:spacing w:line="343" w:lineRule="auto" w:before="101"/>
        <w:ind w:right="6287"/>
        <w:jc w:val="left"/>
      </w:pPr>
      <w:r>
        <w:rPr>
          <w:rFonts w:ascii="Times New Roman" w:hAnsi="Times New Roman" w:cs="Times New Roman" w:eastAsia="Times New Roman" w:hint="default"/>
          <w:spacing w:val="-3"/>
        </w:rPr>
        <w:t>6)</w:t>
      </w:r>
      <w:r>
        <w:rPr>
          <w:spacing w:val="-3"/>
        </w:rPr>
        <w:t>转移应收账款且继续涉入形成的资产、负债金额</w:t>
      </w:r>
      <w:r>
        <w:rPr>
          <w:spacing w:val="-18"/>
        </w:rPr>
        <w:t> </w:t>
      </w:r>
      <w:r>
        <w:rPr>
          <w:spacing w:val="-18"/>
        </w:rPr>
      </w:r>
      <w:r>
        <w:rPr/>
        <w:t>其他说明：</w:t>
      </w:r>
    </w:p>
    <w:p>
      <w:pPr>
        <w:pStyle w:val="BodyText"/>
        <w:spacing w:line="240" w:lineRule="auto" w:before="32"/>
        <w:ind w:left="662" w:right="0"/>
        <w:jc w:val="left"/>
      </w:pPr>
      <w:r>
        <w:rPr>
          <w:spacing w:val="-2"/>
        </w:rPr>
        <w:t>本期计提坏账准备金额</w:t>
      </w:r>
      <w:r>
        <w:rPr>
          <w:rFonts w:ascii="Times New Roman" w:hAnsi="Times New Roman" w:cs="Times New Roman" w:eastAsia="Times New Roman" w:hint="default"/>
          <w:spacing w:val="-2"/>
        </w:rPr>
        <w:t>10,785,068.29</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spacing w:val="-2"/>
        </w:rPr>
        <w:t>元，因非同一控制下企业合并新增子公司新维数联坏账准备</w:t>
      </w:r>
      <w:r>
        <w:rPr>
          <w:rFonts w:ascii="Times New Roman" w:hAnsi="Times New Roman" w:cs="Times New Roman" w:eastAsia="Times New Roman" w:hint="default"/>
          <w:spacing w:val="-2"/>
        </w:rPr>
        <w:t>468,657.57</w:t>
      </w:r>
      <w:r>
        <w:rPr>
          <w:spacing w:val="-2"/>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9,517,687.72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16,588,205.05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87.84%</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48,367.26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2,297,169.80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9,582,685.90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18,885,374.85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3" w:type="dxa"/>
        <w:tblLayout w:type="fixed"/>
        <w:tblCellMar>
          <w:top w:w="0" w:type="dxa"/>
          <w:left w:w="0" w:type="dxa"/>
          <w:bottom w:w="0" w:type="dxa"/>
          <w:right w:w="0" w:type="dxa"/>
        </w:tblCellMar>
        <w:tblLook w:val="01E0"/>
      </w:tblPr>
      <w:tblGrid>
        <w:gridCol w:w="3496"/>
        <w:gridCol w:w="1584"/>
        <w:gridCol w:w="3781"/>
      </w:tblGrid>
      <w:tr>
        <w:trPr>
          <w:trHeight w:val="348" w:hRule="exact"/>
        </w:trPr>
        <w:tc>
          <w:tcPr>
            <w:tcW w:w="349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8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781"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占预付款项期末余额合计数的比例</w:t>
            </w:r>
            <w:r>
              <w:rPr>
                <w:rFonts w:ascii="Times New Roman" w:hAnsi="Times New Roman" w:cs="Times New Roman" w:eastAsia="Times New Roman" w:hint="default"/>
                <w:sz w:val="21"/>
                <w:szCs w:val="21"/>
              </w:rPr>
              <w:t>(%)</w:t>
            </w:r>
          </w:p>
        </w:tc>
      </w:tr>
      <w:tr>
        <w:trPr>
          <w:trHeight w:val="658"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新华人寿保险股份有限公司北京分公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874,187.62</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9.12</w:t>
            </w:r>
          </w:p>
        </w:tc>
      </w:tr>
      <w:tr>
        <w:trPr>
          <w:trHeight w:val="346"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北京科瑞明软件有限公司</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827,200.00</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8.63</w:t>
            </w:r>
          </w:p>
        </w:tc>
      </w:tr>
      <w:tr>
        <w:trPr>
          <w:trHeight w:val="351"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Massachusetts Institute </w:t>
            </w:r>
            <w:r>
              <w:rPr>
                <w:rFonts w:ascii="Times New Roman"/>
                <w:spacing w:val="-3"/>
                <w:sz w:val="21"/>
              </w:rPr>
              <w:t>of</w:t>
            </w:r>
            <w:r>
              <w:rPr>
                <w:rFonts w:ascii="Times New Roman"/>
                <w:spacing w:val="-10"/>
                <w:sz w:val="21"/>
              </w:rPr>
              <w:t> </w:t>
            </w:r>
            <w:r>
              <w:rPr>
                <w:rFonts w:ascii="Times New Roman"/>
                <w:sz w:val="21"/>
              </w:rPr>
              <w:t>Technology</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614,256.40</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6.41</w:t>
            </w:r>
          </w:p>
        </w:tc>
      </w:tr>
      <w:tr>
        <w:trPr>
          <w:trHeight w:val="346"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曾祥涛（办公场所出租方）</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513,019.03</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5.35</w:t>
            </w:r>
          </w:p>
        </w:tc>
      </w:tr>
      <w:tr>
        <w:trPr>
          <w:trHeight w:val="346"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オークシステム</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501,890.57</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5.24</w:t>
            </w:r>
          </w:p>
        </w:tc>
      </w:tr>
      <w:tr>
        <w:trPr>
          <w:trHeight w:val="350" w:hRule="exact"/>
        </w:trPr>
        <w:tc>
          <w:tcPr>
            <w:tcW w:w="3496" w:type="dxa"/>
            <w:tcBorders>
              <w:top w:val="single" w:sz="8" w:space="0" w:color="000000"/>
              <w:left w:val="single" w:sz="6" w:space="0" w:color="000000"/>
              <w:bottom w:val="single" w:sz="8" w:space="0" w:color="000000"/>
              <w:right w:val="single" w:sz="6" w:space="0" w:color="000000"/>
            </w:tcBorders>
          </w:tcPr>
          <w:p>
            <w:pPr>
              <w:pStyle w:val="TableParagraph"/>
              <w:tabs>
                <w:tab w:pos="474" w:val="left" w:leader="none"/>
              </w:tabs>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3,330,553.62</w:t>
            </w:r>
          </w:p>
        </w:tc>
        <w:tc>
          <w:tcPr>
            <w:tcW w:w="378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34.75</w:t>
            </w:r>
          </w:p>
        </w:tc>
      </w:tr>
    </w:tbl>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before="46"/>
        <w:ind w:right="0"/>
        <w:jc w:val="left"/>
      </w:pPr>
      <w:r>
        <w:rPr/>
        <w:t>其他说明：</w:t>
      </w:r>
    </w:p>
    <w:p>
      <w:pPr>
        <w:pStyle w:val="BodyText"/>
        <w:spacing w:line="240" w:lineRule="auto" w:before="110"/>
        <w:ind w:left="662" w:right="0"/>
        <w:jc w:val="left"/>
      </w:pPr>
      <w:r>
        <w:rPr>
          <w:spacing w:val="-3"/>
        </w:rPr>
        <w:t>预付款项期末余额比期初余额减少</w:t>
      </w:r>
      <w:r>
        <w:rPr>
          <w:rFonts w:ascii="Times New Roman" w:hAnsi="Times New Roman" w:cs="Times New Roman" w:eastAsia="Times New Roman" w:hint="default"/>
          <w:spacing w:val="-3"/>
        </w:rPr>
        <w:t>49.26%</w:t>
      </w:r>
      <w:r>
        <w:rPr>
          <w:spacing w:val="-3"/>
        </w:rPr>
        <w:t>，主要原因是公司本期预付款业务减少。</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391,111.11</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28,829,086.62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55,684,852.76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29,220,197.73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55,684,852.76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应收利息分类</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391,111.11</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391,111.11</w:t>
            </w:r>
          </w:p>
        </w:tc>
        <w:tc>
          <w:tcPr>
            <w:tcW w:w="31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rFonts w:ascii="Times New Roman" w:hAnsi="Times New Roman" w:cs="Times New Roman" w:eastAsia="Times New Roman" w:hint="default"/>
        </w:rPr>
        <w:t>2)</w:t>
      </w:r>
      <w:r>
        <w:rPr/>
        <w:t>重要逾期利息</w:t>
      </w:r>
    </w:p>
    <w:p>
      <w:pPr>
        <w:pStyle w:val="BodyText"/>
        <w:spacing w:line="240" w:lineRule="auto" w:before="10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年的应收股利</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60"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7" w:right="0"/>
              <w:jc w:val="left"/>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31,665,3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23.57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2,836,23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28,829,08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6.62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60,270,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799.55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4,585,946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55,684,852.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76</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31,665,3</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23.57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2,836,23</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6.95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28,829,08</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6.62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60,270,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799.55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4,585,946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55,684,852.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期末单项金额重大并单项计提坏账准备的其他应收款：</w:t>
      </w:r>
    </w:p>
    <w:p>
      <w:pPr>
        <w:pStyle w:val="BodyText"/>
        <w:spacing w:line="338"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479" w:space="4351"/>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21,171,756.80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1,058,587.84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21,171,756.80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1,058,587.84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9,302,399.78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930,239.98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687,515.73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343,757.87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503,651.26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503,651.26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31,665,323.57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2,836,236.95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8.96%</w:t>
            </w:r>
          </w:p>
        </w:tc>
      </w:tr>
    </w:tbl>
    <w:p>
      <w:pPr>
        <w:pStyle w:val="BodyText"/>
        <w:spacing w:line="352" w:lineRule="auto" w:before="53"/>
        <w:ind w:left="662" w:right="0" w:hanging="509"/>
        <w:jc w:val="left"/>
      </w:pPr>
      <w:r>
        <w:rPr>
          <w:spacing w:val="-3"/>
        </w:rPr>
        <w:t>确定该组合依据的说明：</w:t>
      </w:r>
      <w:r>
        <w:rPr>
          <w:spacing w:val="-56"/>
        </w:rPr>
        <w:t> </w:t>
      </w:r>
      <w:r>
        <w:rPr>
          <w:spacing w:val="-56"/>
        </w:rPr>
      </w:r>
      <w:r>
        <w:rPr>
          <w:spacing w:val="-4"/>
        </w:rPr>
        <w:t>对单项金额重大单独测试未发生减值的应收款项汇同单项金额不重大的应收款项，本公司以账龄作为信用风险特征组</w:t>
      </w:r>
    </w:p>
    <w:p>
      <w:pPr>
        <w:spacing w:after="0" w:line="352" w:lineRule="auto"/>
        <w:jc w:val="left"/>
        <w:sectPr>
          <w:type w:val="continuous"/>
          <w:pgSz w:w="11910" w:h="16840"/>
          <w:pgMar w:top="1060" w:bottom="1160" w:left="980" w:right="0"/>
        </w:sectPr>
      </w:pPr>
    </w:p>
    <w:p>
      <w:pPr>
        <w:pStyle w:val="BodyText"/>
        <w:spacing w:line="362" w:lineRule="auto"/>
        <w:ind w:right="1549"/>
        <w:jc w:val="left"/>
      </w:pPr>
      <w:r>
        <w:rPr/>
        <w:t>合。</w:t>
      </w:r>
      <w:r>
        <w:rPr>
          <w:spacing w:val="-86"/>
        </w:rPr>
        <w:t> </w:t>
      </w:r>
      <w:r>
        <w:rPr>
          <w:spacing w:val="-3"/>
        </w:rPr>
        <w:t>组合中，采用余额百分比法计提坏账准备的其他应收款：</w:t>
      </w:r>
    </w:p>
    <w:p>
      <w:pPr>
        <w:pStyle w:val="BodyText"/>
        <w:spacing w:line="338" w:lineRule="auto" w:before="28"/>
        <w:ind w:right="15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46"/>
        <w:ind w:right="15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549"/>
        <w:jc w:val="left"/>
      </w:pPr>
      <w:r>
        <w:rPr>
          <w:rFonts w:ascii="Times New Roman" w:hAnsi="Times New Roman" w:cs="Times New Roman" w:eastAsia="Times New Roman" w:hint="default"/>
          <w:spacing w:val="-3"/>
        </w:rPr>
        <w:t>2)</w:t>
      </w:r>
      <w:r>
        <w:rPr>
          <w:spacing w:val="-3"/>
        </w:rPr>
        <w:t>本期计提、收回或转回的坏账准备情况</w:t>
      </w:r>
    </w:p>
    <w:p>
      <w:pPr>
        <w:pStyle w:val="BodyText"/>
        <w:spacing w:line="343" w:lineRule="auto" w:before="101"/>
        <w:ind w:right="-8"/>
        <w:jc w:val="left"/>
      </w:pPr>
      <w:r>
        <w:rPr/>
        <w:t>本期计提坏账准备金额</w:t>
      </w:r>
      <w:r>
        <w:rPr>
          <w:rFonts w:ascii="Times New Roman" w:hAnsi="Times New Roman" w:cs="Times New Roman" w:eastAsia="Times New Roman" w:hint="default"/>
        </w:rPr>
        <w:t>-1,774,415.23 </w:t>
      </w:r>
      <w:r>
        <w:rPr>
          <w:spacing w:val="-3"/>
        </w:rPr>
        <w:t>元；本期收回或转回坏账准备金额 </w:t>
      </w:r>
      <w:r>
        <w:rPr>
          <w:rFonts w:ascii="Times New Roman" w:hAnsi="Times New Roman" w:cs="Times New Roman" w:eastAsia="Times New Roman" w:hint="default"/>
        </w:rPr>
        <w:t>0.00 </w:t>
      </w:r>
      <w:r>
        <w:rPr>
          <w:spacing w:val="-5"/>
        </w:rPr>
        <w:t>元。</w:t>
      </w:r>
      <w:r>
        <w:rPr>
          <w:spacing w:val="-86"/>
        </w:rPr>
        <w:t> </w:t>
      </w:r>
      <w:r>
        <w:rPr>
          <w:spacing w:val="-3"/>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6468" w:space="2362"/>
            <w:col w:w="210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59"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3"/>
        <w:ind w:right="0"/>
        <w:jc w:val="left"/>
      </w:pPr>
      <w:r>
        <w:rPr>
          <w:rFonts w:ascii="Times New Roman" w:hAnsi="Times New Roman" w:cs="Times New Roman" w:eastAsia="Times New Roman" w:hint="default"/>
          <w:spacing w:val="-3"/>
        </w:rPr>
        <w:t>3)</w:t>
      </w:r>
      <w:r>
        <w:rPr>
          <w:spacing w:val="-3"/>
        </w:rPr>
        <w:t>本期实际核销的其他应收款情况</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121"/>
        <w:jc w:val="right"/>
      </w:pPr>
      <w:r>
        <w:rPr/>
        <w:t>单位：</w:t>
      </w:r>
      <w:r>
        <w:rPr>
          <w:spacing w:val="5"/>
        </w:rPr>
        <w:t> </w:t>
      </w:r>
      <w:r>
        <w:rPr/>
        <w:t>元</w:t>
      </w:r>
    </w:p>
    <w:p>
      <w:pPr>
        <w:spacing w:after="0" w:line="240" w:lineRule="auto"/>
        <w:jc w:val="right"/>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pStyle w:val="BodyText"/>
        <w:spacing w:line="240" w:lineRule="auto" w:before="54"/>
        <w:ind w:right="0"/>
        <w:jc w:val="left"/>
      </w:pPr>
      <w:r>
        <w:rPr/>
        <w:t>其他应收款核销说明：</w:t>
      </w:r>
    </w:p>
    <w:p>
      <w:pPr>
        <w:pStyle w:val="BodyText"/>
        <w:spacing w:line="240" w:lineRule="auto" w:before="115"/>
        <w:ind w:right="0"/>
        <w:jc w:val="left"/>
      </w:pPr>
      <w:r>
        <w:rPr>
          <w:rFonts w:ascii="Times New Roman" w:hAnsi="Times New Roman" w:cs="Times New Roman" w:eastAsia="Times New Roman" w:hint="default"/>
          <w:spacing w:val="-3"/>
        </w:rPr>
        <w:t>4)</w:t>
      </w:r>
      <w:r>
        <w:rPr>
          <w:spacing w:val="-3"/>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828" w:space="6003"/>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15,134,956.65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18,572,708.53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8,827,000.00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25,900,000.00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2,911,050.43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8,938,709.53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4,792,316.49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6,859,381.49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31,665,323.57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60,270,799.55</w:t>
            </w:r>
          </w:p>
        </w:tc>
      </w:tr>
    </w:tbl>
    <w:p>
      <w:pPr>
        <w:pStyle w:val="BodyText"/>
        <w:spacing w:line="240" w:lineRule="auto" w:before="53"/>
        <w:ind w:right="0"/>
        <w:jc w:val="left"/>
      </w:pPr>
      <w:r>
        <w:rPr>
          <w:rFonts w:ascii="Times New Roman" w:hAnsi="Times New Roman" w:cs="Times New Roman" w:eastAsia="Times New Roman" w:hint="default"/>
          <w:spacing w:val="-3"/>
        </w:rPr>
        <w:t>5)</w:t>
      </w:r>
      <w:r>
        <w:rPr>
          <w:spacing w:val="-3"/>
        </w:rPr>
        <w:t>按欠款方归集的期末余额前五名的其他应收款情况</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孙旭初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7,238,140.00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640,707.00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南京优芙得餐饮管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4"/>
              <w:jc w:val="left"/>
              <w:rPr>
                <w:rFonts w:ascii="宋体" w:hAnsi="宋体" w:cs="宋体" w:eastAsia="宋体" w:hint="default"/>
                <w:sz w:val="18"/>
                <w:szCs w:val="18"/>
              </w:rPr>
            </w:pPr>
            <w:r>
              <w:rPr>
                <w:rFonts w:ascii="宋体" w:hAnsi="宋体" w:cs="宋体" w:eastAsia="宋体" w:hint="default"/>
                <w:spacing w:val="-2"/>
                <w:sz w:val="18"/>
                <w:szCs w:val="18"/>
              </w:rPr>
              <w:t>餐费充值及代缴水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1,676,826.86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83,841.34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1,588,860.00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140,643.00</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江苏兴力建设集团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1,130,092.00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56,504.60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both"/>
              <w:rPr>
                <w:rFonts w:ascii="宋体" w:hAnsi="宋体" w:cs="宋体" w:eastAsia="宋体" w:hint="default"/>
                <w:sz w:val="18"/>
                <w:szCs w:val="18"/>
              </w:rPr>
            </w:pPr>
            <w:r>
              <w:rPr>
                <w:rFonts w:ascii="宋体" w:hAnsi="宋体" w:cs="宋体" w:eastAsia="宋体" w:hint="default"/>
                <w:spacing w:val="-2"/>
                <w:sz w:val="18"/>
                <w:szCs w:val="18"/>
              </w:rPr>
              <w:t>交通银行股份有限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公司太平洋信用卡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12,653,918.86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972,695.94</w:t>
            </w:r>
          </w:p>
        </w:tc>
      </w:tr>
    </w:tbl>
    <w:p>
      <w:pPr>
        <w:pStyle w:val="BodyText"/>
        <w:spacing w:line="240" w:lineRule="auto" w:before="53"/>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pStyle w:val="BodyText"/>
        <w:spacing w:line="240" w:lineRule="auto" w:before="53"/>
        <w:ind w:right="0"/>
        <w:jc w:val="left"/>
      </w:pPr>
      <w:r>
        <w:rPr>
          <w:rFonts w:ascii="Times New Roman" w:hAnsi="Times New Roman" w:cs="Times New Roman" w:eastAsia="Times New Roman" w:hint="default"/>
          <w:spacing w:val="-3"/>
        </w:rPr>
        <w:t>7)</w:t>
      </w:r>
      <w:r>
        <w:rPr>
          <w:spacing w:val="-3"/>
        </w:rPr>
        <w:t>因金融资产转移而终止确认的其他应收款</w:t>
      </w:r>
    </w:p>
    <w:p>
      <w:pPr>
        <w:pStyle w:val="BodyText"/>
        <w:spacing w:line="338" w:lineRule="auto" w:before="106"/>
        <w:ind w:right="6287"/>
        <w:jc w:val="left"/>
      </w:pPr>
      <w:r>
        <w:rPr>
          <w:rFonts w:ascii="Times New Roman" w:hAnsi="Times New Roman" w:cs="Times New Roman" w:eastAsia="Times New Roman" w:hint="default"/>
          <w:spacing w:val="-3"/>
        </w:rPr>
        <w:t>8)</w:t>
      </w:r>
      <w:r>
        <w:rPr>
          <w:spacing w:val="-3"/>
        </w:rPr>
        <w:t>转移其他应收款且继续涉入形成的资产、负债金额</w:t>
      </w:r>
      <w:r>
        <w:rPr>
          <w:spacing w:val="-18"/>
        </w:rPr>
        <w:t> </w:t>
      </w:r>
      <w:r>
        <w:rPr>
          <w:spacing w:val="-18"/>
        </w:rPr>
      </w:r>
      <w:r>
        <w:rPr/>
        <w:t>其他说明：</w:t>
      </w:r>
    </w:p>
    <w:p>
      <w:pPr>
        <w:pStyle w:val="BodyText"/>
        <w:spacing w:line="240" w:lineRule="auto" w:before="36"/>
        <w:ind w:left="518" w:right="0"/>
        <w:jc w:val="left"/>
      </w:pPr>
      <w:r>
        <w:rPr>
          <w:spacing w:val="-3"/>
        </w:rPr>
        <w:t>（</w:t>
      </w:r>
      <w:r>
        <w:rPr>
          <w:rFonts w:ascii="Times New Roman" w:hAnsi="Times New Roman" w:cs="Times New Roman" w:eastAsia="Times New Roman" w:hint="default"/>
          <w:spacing w:val="-3"/>
        </w:rPr>
        <w:t>1</w:t>
      </w:r>
      <w:r>
        <w:rPr>
          <w:spacing w:val="-3"/>
        </w:rPr>
        <w:t>）本期计提坏账准备金额</w:t>
      </w:r>
      <w:r>
        <w:rPr>
          <w:rFonts w:ascii="Times New Roman" w:hAnsi="Times New Roman" w:cs="Times New Roman" w:eastAsia="Times New Roman" w:hint="default"/>
          <w:spacing w:val="-3"/>
        </w:rPr>
        <w:t>-1,774,415.23</w:t>
      </w:r>
      <w:r>
        <w:rPr>
          <w:spacing w:val="-3"/>
        </w:rPr>
        <w:t>元，因非同一控制下企业合并新增子公司新维数联坏账准备</w:t>
      </w:r>
      <w:r>
        <w:rPr>
          <w:rFonts w:ascii="Times New Roman" w:hAnsi="Times New Roman" w:cs="Times New Roman" w:eastAsia="Times New Roman" w:hint="default"/>
          <w:spacing w:val="-3"/>
        </w:rPr>
        <w:t>24,705.39</w:t>
      </w:r>
      <w:r>
        <w:rPr>
          <w:spacing w:val="-3"/>
        </w:rPr>
        <w:t>元。</w:t>
      </w:r>
      <w:r>
        <w:rPr/>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）其他应收款期末余额较期初余额减少</w:t>
      </w:r>
      <w:r>
        <w:rPr>
          <w:rFonts w:ascii="Times New Roman" w:hAnsi="Times New Roman" w:cs="Times New Roman" w:eastAsia="Times New Roman" w:hint="default"/>
          <w:spacing w:val="-3"/>
        </w:rPr>
        <w:t>47.46%</w:t>
      </w:r>
      <w:r>
        <w:rPr>
          <w:spacing w:val="-3"/>
        </w:rPr>
        <w:t>，主要原因是本期收回前期股权转让款。</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公司是否需要遵守房地产行业的披露要求</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w w:val="101"/>
        </w:rPr>
        <w:t>否</w:t>
      </w:r>
      <w:r>
        <w:rPr/>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43" w:lineRule="auto" w:before="54"/>
        <w:ind w:right="2424"/>
        <w:jc w:val="left"/>
      </w:pPr>
      <w:r>
        <w:rPr>
          <w:spacing w:val="-3"/>
        </w:rPr>
        <w:t>公司是否需遵守《深圳证券交易所行业信息披露指引第 </w:t>
      </w:r>
      <w:r>
        <w:rPr>
          <w:rFonts w:ascii="Times New Roman" w:hAnsi="Times New Roman" w:cs="Times New Roman" w:eastAsia="Times New Roman" w:hint="default"/>
        </w:rPr>
        <w:t>4 </w:t>
      </w:r>
      <w:r>
        <w:rPr>
          <w:spacing w:val="-3"/>
        </w:rPr>
        <w:t>号</w:t>
      </w:r>
      <w:r>
        <w:rPr>
          <w:rFonts w:ascii="Times New Roman" w:hAnsi="Times New Roman" w:cs="Times New Roman" w:eastAsia="Times New Roman" w:hint="default"/>
          <w:spacing w:val="-3"/>
        </w:rPr>
        <w:t>—</w:t>
      </w:r>
      <w:r>
        <w:rPr>
          <w:spacing w:val="-3"/>
        </w:rPr>
        <w:t>上市公司从事种业、种植业务》的披露要求</w:t>
      </w:r>
      <w:r>
        <w:rPr>
          <w:spacing w:val="-46"/>
        </w:rPr>
        <w:t> </w:t>
      </w:r>
      <w:r>
        <w:rPr>
          <w:spacing w:val="-46"/>
        </w:rPr>
      </w:r>
      <w:r>
        <w:rPr/>
        <w:t>否</w:t>
      </w:r>
    </w:p>
    <w:p>
      <w:pPr>
        <w:pStyle w:val="BodyText"/>
        <w:spacing w:line="343" w:lineRule="auto" w:before="37"/>
        <w:ind w:right="1645"/>
        <w:jc w:val="left"/>
      </w:pPr>
      <w:r>
        <w:rPr>
          <w:spacing w:val="-3"/>
        </w:rPr>
        <w:t>公司是否需遵守《深圳证券交易所创业板行业信息披露指引第 </w:t>
      </w:r>
      <w:r>
        <w:rPr>
          <w:rFonts w:ascii="Times New Roman" w:hAnsi="Times New Roman" w:cs="Times New Roman" w:eastAsia="Times New Roman" w:hint="default"/>
        </w:rPr>
        <w:t>1 </w:t>
      </w:r>
      <w:r>
        <w:rPr>
          <w:spacing w:val="-3"/>
        </w:rPr>
        <w:t>号</w:t>
      </w:r>
      <w:r>
        <w:rPr>
          <w:rFonts w:ascii="Times New Roman" w:hAnsi="Times New Roman" w:cs="Times New Roman" w:eastAsia="Times New Roman" w:hint="default"/>
          <w:spacing w:val="-3"/>
        </w:rPr>
        <w:t>——</w:t>
      </w:r>
      <w:r>
        <w:rPr>
          <w:spacing w:val="-3"/>
        </w:rPr>
        <w:t>上市公司从事广播电影电视业务》的披露要求</w:t>
      </w:r>
      <w:r>
        <w:rPr>
          <w:spacing w:val="-29"/>
        </w:rPr>
        <w:t> </w:t>
      </w:r>
      <w:r>
        <w:rPr>
          <w:spacing w:val="-29"/>
        </w:rPr>
      </w:r>
      <w:r>
        <w:rPr/>
        <w:t>否</w:t>
      </w:r>
    </w:p>
    <w:p>
      <w:pPr>
        <w:pStyle w:val="BodyText"/>
        <w:spacing w:line="338" w:lineRule="auto" w:before="37"/>
        <w:ind w:right="1716"/>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30"/>
        </w:rPr>
        <w:t> </w:t>
      </w:r>
      <w:r>
        <w:rPr>
          <w:spacing w:val="-30"/>
        </w:rPr>
      </w:r>
      <w:r>
        <w:rPr/>
        <w:t>否</w:t>
      </w:r>
    </w:p>
    <w:p>
      <w:pPr>
        <w:pStyle w:val="BodyText"/>
        <w:spacing w:line="338" w:lineRule="auto" w:before="46"/>
        <w:ind w:right="2697"/>
        <w:jc w:val="left"/>
      </w:pPr>
      <w:r>
        <w:rPr>
          <w:spacing w:val="-3"/>
        </w:rPr>
        <w:t>公司需遵守《深圳证券交易所行业信息披露指引第 </w:t>
      </w:r>
      <w:r>
        <w:rPr>
          <w:rFonts w:ascii="Times New Roman" w:hAnsi="Times New Roman" w:cs="Times New Roman" w:eastAsia="Times New Roman" w:hint="default"/>
          <w:spacing w:val="-3"/>
        </w:rPr>
        <w:t>11 </w:t>
      </w:r>
      <w:r>
        <w:rPr>
          <w:spacing w:val="-3"/>
        </w:rPr>
        <w:t>号</w:t>
      </w:r>
      <w:r>
        <w:rPr>
          <w:rFonts w:ascii="Times New Roman" w:hAnsi="Times New Roman" w:cs="Times New Roman" w:eastAsia="Times New Roman" w:hint="default"/>
          <w:spacing w:val="-3"/>
        </w:rPr>
        <w:t>——</w:t>
      </w:r>
      <w:r>
        <w:rPr>
          <w:spacing w:val="-3"/>
        </w:rPr>
        <w:t>上市公司从事珠宝相关业务》的披露要求</w:t>
      </w:r>
      <w:r>
        <w:rPr>
          <w:spacing w:val="-44"/>
        </w:rPr>
        <w:t> </w:t>
      </w:r>
      <w:r>
        <w:rPr>
          <w:spacing w:val="-44"/>
        </w:rPr>
      </w:r>
      <w:r>
        <w:rPr/>
        <w:t>否</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4"/>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270,050,000.00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2,647,470.44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373,667.81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增值税进项留抵税额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5,664,037.96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3,928,496.90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408,387.50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278,361,508.40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4,710,552.21</w:t>
            </w:r>
          </w:p>
        </w:tc>
      </w:tr>
    </w:tbl>
    <w:p>
      <w:pPr>
        <w:pStyle w:val="BodyText"/>
        <w:spacing w:line="240" w:lineRule="auto" w:before="53"/>
        <w:ind w:right="0"/>
        <w:jc w:val="left"/>
      </w:pPr>
      <w:r>
        <w:rPr/>
        <w:t>其他说明：</w:t>
      </w:r>
    </w:p>
    <w:p>
      <w:pPr>
        <w:pStyle w:val="BodyText"/>
        <w:spacing w:line="300" w:lineRule="auto" w:before="110"/>
        <w:ind w:right="1026" w:firstLine="508"/>
        <w:jc w:val="left"/>
      </w:pPr>
      <w:r>
        <w:rPr>
          <w:spacing w:val="-4"/>
        </w:rPr>
        <w:t>其他流动资产期末余额较期初余额增长</w:t>
      </w:r>
      <w:r>
        <w:rPr>
          <w:rFonts w:ascii="Times New Roman" w:hAnsi="Times New Roman" w:cs="Times New Roman" w:eastAsia="Times New Roman" w:hint="default"/>
          <w:spacing w:val="-4"/>
        </w:rPr>
        <w:t>5809.32%</w:t>
      </w:r>
      <w:r>
        <w:rPr>
          <w:spacing w:val="-4"/>
        </w:rPr>
        <w:t>，主要原因是公司为提高资金使用效率，本期购买的银行理财产品金</w:t>
      </w:r>
      <w:r>
        <w:rPr>
          <w:w w:val="101"/>
        </w:rPr>
        <w:t> </w:t>
      </w:r>
      <w:r>
        <w:rPr/>
        <w:t>额增加。</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3"/>
        <w:gridCol w:w="1196"/>
        <w:gridCol w:w="1196"/>
        <w:gridCol w:w="1195"/>
        <w:gridCol w:w="1249"/>
        <w:gridCol w:w="1368"/>
        <w:gridCol w:w="1369"/>
      </w:tblGrid>
      <w:tr>
        <w:trPr>
          <w:trHeight w:val="401" w:hRule="exact"/>
        </w:trPr>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20,892,385.13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20,892,385.13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12,938,355.32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12,938,355.32</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20,892,385.13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20,892,385.13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12,938,355.32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12,938,355.32</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20,892,385.13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20,892,385.13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12,938,355.32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12,938,355.32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4"/>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98"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5"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62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江苏鑫合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易家信息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6,430,000.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1,070,000.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7,500,000.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江苏开拓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信息与系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6,508,355.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6,508,355.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92"/>
              <w:jc w:val="left"/>
              <w:rPr>
                <w:rFonts w:ascii="Times New Roman" w:hAnsi="Times New Roman" w:cs="Times New Roman" w:eastAsia="Times New Roman" w:hint="default"/>
                <w:sz w:val="18"/>
                <w:szCs w:val="18"/>
              </w:rPr>
            </w:pPr>
            <w:r>
              <w:rPr>
                <w:rFonts w:ascii="Times New Roman"/>
                <w:spacing w:val="-7"/>
                <w:sz w:val="18"/>
              </w:rPr>
              <w:t>NEVADA</w:t>
            </w:r>
            <w:r>
              <w:rPr>
                <w:rFonts w:ascii="Times New Roman"/>
                <w:spacing w:val="-29"/>
                <w:sz w:val="18"/>
              </w:rPr>
              <w:t> </w:t>
            </w:r>
            <w:r>
              <w:rPr>
                <w:rFonts w:ascii="Times New Roman"/>
                <w:spacing w:val="-29"/>
                <w:sz w:val="18"/>
              </w:rPr>
            </w:r>
            <w:r>
              <w:rPr>
                <w:rFonts w:ascii="Times New Roman"/>
                <w:spacing w:val="-3"/>
                <w:sz w:val="18"/>
              </w:rPr>
              <w:t>NANOTE</w:t>
            </w:r>
            <w:r>
              <w:rPr>
                <w:rFonts w:ascii="Times New Roman"/>
                <w:spacing w:val="-33"/>
                <w:sz w:val="18"/>
              </w:rPr>
              <w:t> </w:t>
            </w:r>
            <w:r>
              <w:rPr>
                <w:rFonts w:ascii="Times New Roman"/>
                <w:spacing w:val="-33"/>
                <w:sz w:val="18"/>
              </w:rPr>
            </w:r>
            <w:r>
              <w:rPr>
                <w:rFonts w:ascii="Times New Roman"/>
                <w:sz w:val="18"/>
              </w:rPr>
              <w:t>CH</w:t>
            </w:r>
            <w:r>
              <w:rPr>
                <w:rFonts w:ascii="Times New Roman"/>
                <w:w w:val="101"/>
                <w:sz w:val="18"/>
              </w:rPr>
              <w:t> </w:t>
            </w:r>
            <w:r>
              <w:rPr>
                <w:rFonts w:ascii="Times New Roman"/>
                <w:sz w:val="18"/>
              </w:rPr>
              <w:t>SYSTEM</w:t>
            </w:r>
            <w:r>
              <w:rPr>
                <w:rFonts w:ascii="Times New Roman"/>
                <w:w w:val="101"/>
                <w:sz w:val="18"/>
              </w:rPr>
              <w:t> </w:t>
            </w:r>
            <w:r>
              <w:rPr>
                <w:rFonts w:ascii="Times New Roman"/>
                <w:sz w:val="18"/>
              </w:rPr>
              <w:t>S</w:t>
            </w:r>
            <w:r>
              <w:rPr>
                <w:rFonts w:ascii="Times New Roman"/>
                <w:spacing w:val="11"/>
                <w:sz w:val="18"/>
              </w:rPr>
              <w:t> </w:t>
            </w:r>
            <w:r>
              <w:rPr>
                <w:rFonts w:ascii="Times New Roman"/>
                <w:spacing w:val="-4"/>
                <w:sz w:val="18"/>
              </w:rPr>
              <w:t>INC.</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6,884,029.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81</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6,884,029.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1.48%</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12,938,355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7,954,029.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81</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20,892,385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4"/>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08" w:right="46" w:hanging="360"/>
              <w:jc w:val="left"/>
              <w:rPr>
                <w:rFonts w:ascii="宋体" w:hAnsi="宋体" w:cs="宋体" w:eastAsia="宋体" w:hint="default"/>
                <w:sz w:val="18"/>
                <w:szCs w:val="18"/>
              </w:rPr>
            </w:pPr>
            <w:r>
              <w:rPr>
                <w:rFonts w:ascii="宋体" w:hAnsi="宋体" w:cs="宋体" w:eastAsia="宋体" w:hint="default"/>
                <w:spacing w:val="-3"/>
                <w:sz w:val="18"/>
                <w:szCs w:val="18"/>
              </w:rPr>
              <w:t>可供出售权益工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8" w:right="46"/>
              <w:jc w:val="left"/>
              <w:rPr>
                <w:rFonts w:ascii="宋体" w:hAnsi="宋体" w:cs="宋体" w:eastAsia="宋体" w:hint="default"/>
                <w:sz w:val="18"/>
                <w:szCs w:val="18"/>
              </w:rPr>
            </w:pPr>
            <w:r>
              <w:rPr>
                <w:rFonts w:ascii="宋体" w:hAnsi="宋体" w:cs="宋体" w:eastAsia="宋体" w:hint="default"/>
                <w:spacing w:val="-3"/>
                <w:sz w:val="18"/>
                <w:szCs w:val="18"/>
              </w:rPr>
              <w:t>公允价值相对于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成本的下跌幅度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已计提减值金额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pacing w:val="-3"/>
                <w:sz w:val="18"/>
                <w:szCs w:val="18"/>
              </w:rPr>
              <w:t>未计提减值原因</w:t>
            </w:r>
          </w:p>
        </w:tc>
      </w:tr>
    </w:tbl>
    <w:p>
      <w:pPr>
        <w:pStyle w:val="BodyText"/>
        <w:spacing w:line="240" w:lineRule="auto" w:before="54"/>
        <w:ind w:right="0"/>
        <w:jc w:val="left"/>
      </w:pPr>
      <w:r>
        <w:rPr/>
        <w:t>其他说明</w:t>
      </w:r>
    </w:p>
    <w:p>
      <w:pPr>
        <w:pStyle w:val="BodyText"/>
        <w:spacing w:line="300" w:lineRule="auto" w:before="115"/>
        <w:ind w:right="1026" w:firstLine="364"/>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月，公司支付了对江苏鑫合易家信息技术有限责任公司前期出资款</w:t>
      </w:r>
      <w:r>
        <w:rPr>
          <w:rFonts w:ascii="Times New Roman" w:hAnsi="Times New Roman" w:cs="Times New Roman" w:eastAsia="Times New Roman" w:hint="default"/>
          <w:spacing w:val="-3"/>
        </w:rPr>
        <w:t>1,070,000.00</w:t>
      </w:r>
      <w:r>
        <w:rPr>
          <w:spacing w:val="-3"/>
        </w:rPr>
        <w:t>元，完成了对该公司的出</w:t>
      </w:r>
      <w:r>
        <w:rPr>
          <w:w w:val="101"/>
        </w:rPr>
        <w:t> </w:t>
      </w:r>
      <w:r>
        <w:rPr/>
        <w:t>资。</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月，子公司波士顿润和新增对</w:t>
      </w:r>
      <w:r>
        <w:rPr>
          <w:rFonts w:ascii="Times New Roman" w:hAnsi="Times New Roman" w:cs="Times New Roman" w:eastAsia="Times New Roman" w:hint="default"/>
          <w:spacing w:val="-3"/>
        </w:rPr>
        <w:t>NEVADA </w:t>
      </w:r>
      <w:r>
        <w:rPr>
          <w:rFonts w:ascii="Times New Roman" w:hAnsi="Times New Roman" w:cs="Times New Roman" w:eastAsia="Times New Roman" w:hint="default"/>
        </w:rPr>
        <w:t>NANOTECH SYSTEMS</w:t>
      </w:r>
      <w:r>
        <w:rPr>
          <w:rFonts w:ascii="Times New Roman" w:hAnsi="Times New Roman" w:cs="Times New Roman" w:eastAsia="Times New Roman" w:hint="default"/>
          <w:spacing w:val="31"/>
        </w:rPr>
        <w:t> </w:t>
      </w:r>
      <w:r>
        <w:rPr>
          <w:rFonts w:ascii="Times New Roman" w:hAnsi="Times New Roman" w:cs="Times New Roman" w:eastAsia="Times New Roman" w:hint="default"/>
        </w:rPr>
        <w:t>INC.</w:t>
      </w:r>
      <w:r>
        <w:rPr/>
        <w:t>的投资</w:t>
      </w:r>
      <w:r>
        <w:rPr>
          <w:rFonts w:ascii="Times New Roman" w:hAnsi="Times New Roman" w:cs="Times New Roman" w:eastAsia="Times New Roman" w:hint="default"/>
        </w:rPr>
        <w:t>1,003,035.00</w:t>
      </w:r>
      <w:r>
        <w:rPr/>
        <w:t>美元，折合人民</w:t>
      </w:r>
      <w:r>
        <w:rPr>
          <w:w w:val="101"/>
        </w:rPr>
        <w:t> </w:t>
      </w:r>
      <w:r>
        <w:rPr>
          <w:spacing w:val="-3"/>
        </w:rPr>
        <w:t>币</w:t>
      </w:r>
      <w:r>
        <w:rPr>
          <w:rFonts w:ascii="Times New Roman" w:hAnsi="Times New Roman" w:cs="Times New Roman" w:eastAsia="Times New Roman" w:hint="default"/>
          <w:spacing w:val="-3"/>
        </w:rPr>
        <w:t>6,884,029.81</w:t>
      </w:r>
      <w:r>
        <w:rPr>
          <w:spacing w:val="-3"/>
        </w:rPr>
        <w:t>元，持有其</w:t>
      </w:r>
      <w:r>
        <w:rPr>
          <w:rFonts w:ascii="Times New Roman" w:hAnsi="Times New Roman" w:cs="Times New Roman" w:eastAsia="Times New Roman" w:hint="default"/>
          <w:spacing w:val="-3"/>
        </w:rPr>
        <w:t>55</w:t>
      </w:r>
      <w:r>
        <w:rPr>
          <w:spacing w:val="-3"/>
        </w:rPr>
        <w:t>万股</w:t>
      </w:r>
      <w:r>
        <w:rPr>
          <w:rFonts w:ascii="Times New Roman" w:hAnsi="Times New Roman" w:cs="Times New Roman" w:eastAsia="Times New Roman" w:hint="default"/>
          <w:spacing w:val="-3"/>
        </w:rPr>
        <w:t>B</w:t>
      </w:r>
      <w:r>
        <w:rPr>
          <w:spacing w:val="-3"/>
        </w:rPr>
        <w:t>系列优先股，总持股比例为</w:t>
      </w:r>
      <w:r>
        <w:rPr>
          <w:rFonts w:ascii="Times New Roman" w:hAnsi="Times New Roman" w:cs="Times New Roman" w:eastAsia="Times New Roman" w:hint="default"/>
          <w:spacing w:val="-3"/>
        </w:rPr>
        <w:t>1.48%</w:t>
      </w:r>
      <w:r>
        <w:rPr>
          <w:spacing w:val="-3"/>
        </w:rPr>
        <w:t>，不具有重大影响，作为可供出售金融资产核算。</w:t>
      </w:r>
    </w:p>
    <w:p>
      <w:pPr>
        <w:pStyle w:val="BodyText"/>
        <w:spacing w:line="300" w:lineRule="auto" w:before="13"/>
        <w:ind w:right="1026" w:firstLine="364"/>
        <w:jc w:val="left"/>
      </w:pPr>
      <w:r>
        <w:rPr>
          <w:spacing w:val="-3"/>
        </w:rPr>
        <w:t>（</w:t>
      </w:r>
      <w:r>
        <w:rPr>
          <w:rFonts w:ascii="Times New Roman" w:hAnsi="Times New Roman" w:cs="Times New Roman" w:eastAsia="Times New Roman" w:hint="default"/>
          <w:spacing w:val="-3"/>
        </w:rPr>
        <w:t>3</w:t>
      </w:r>
      <w:r>
        <w:rPr>
          <w:spacing w:val="-3"/>
        </w:rPr>
        <w:t>）可供出售金融资产期末余额较期初余额增长</w:t>
      </w:r>
      <w:r>
        <w:rPr>
          <w:rFonts w:ascii="Times New Roman" w:hAnsi="Times New Roman" w:cs="Times New Roman" w:eastAsia="Times New Roman" w:hint="default"/>
          <w:spacing w:val="-3"/>
        </w:rPr>
        <w:t>61.48%</w:t>
      </w:r>
      <w:r>
        <w:rPr>
          <w:spacing w:val="-3"/>
        </w:rPr>
        <w:t>，主要原因是子公司波士顿润和新增对</w:t>
      </w:r>
      <w:r>
        <w:rPr>
          <w:rFonts w:ascii="Times New Roman" w:hAnsi="Times New Roman" w:cs="Times New Roman" w:eastAsia="Times New Roman" w:hint="default"/>
          <w:spacing w:val="-3"/>
        </w:rPr>
        <w:t>NEVADA</w:t>
      </w:r>
      <w:r>
        <w:rPr>
          <w:rFonts w:ascii="Times New Roman" w:hAnsi="Times New Roman" w:cs="Times New Roman" w:eastAsia="Times New Roman" w:hint="default"/>
          <w:spacing w:val="37"/>
        </w:rPr>
        <w:t> </w:t>
      </w:r>
      <w:r>
        <w:rPr>
          <w:rFonts w:ascii="Times New Roman" w:hAnsi="Times New Roman" w:cs="Times New Roman" w:eastAsia="Times New Roman" w:hint="default"/>
        </w:rPr>
        <w:t>NANOTECH</w:t>
      </w:r>
      <w:r>
        <w:rPr>
          <w:rFonts w:ascii="Times New Roman" w:hAnsi="Times New Roman" w:cs="Times New Roman" w:eastAsia="Times New Roman" w:hint="default"/>
          <w:w w:val="101"/>
        </w:rPr>
        <w:t> </w:t>
      </w:r>
      <w:r>
        <w:rPr>
          <w:rFonts w:ascii="Times New Roman" w:hAnsi="Times New Roman" w:cs="Times New Roman" w:eastAsia="Times New Roman" w:hint="default"/>
          <w:spacing w:val="-2"/>
        </w:rPr>
        <w:t>SYSTEMS</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INC.</w:t>
      </w:r>
      <w:r>
        <w:rPr>
          <w:spacing w:val="-2"/>
        </w:rPr>
        <w:t>的投资</w:t>
      </w:r>
      <w:r>
        <w:rPr>
          <w:rFonts w:ascii="Times New Roman" w:hAnsi="Times New Roman" w:cs="Times New Roman" w:eastAsia="Times New Roman" w:hint="default"/>
          <w:spacing w:val="-2"/>
        </w:rPr>
        <w:t>6,884,029.81</w:t>
      </w:r>
      <w:r>
        <w:rPr>
          <w:spacing w:val="-2"/>
        </w:rPr>
        <w:t>元。</w:t>
      </w:r>
      <w:r>
        <w:rPr/>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1"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4"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苏州博纳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讯动软件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426,647.8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27,202,99</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36"/>
              <w:jc w:val="left"/>
              <w:rPr>
                <w:rFonts w:ascii="宋体" w:hAnsi="宋体" w:cs="宋体" w:eastAsia="宋体" w:hint="default"/>
                <w:sz w:val="18"/>
                <w:szCs w:val="18"/>
              </w:rPr>
            </w:pPr>
            <w:r>
              <w:rPr>
                <w:rFonts w:ascii="宋体" w:hAnsi="宋体" w:cs="宋体" w:eastAsia="宋体" w:hint="default"/>
                <w:sz w:val="18"/>
                <w:szCs w:val="18"/>
              </w:rPr>
              <w:t>奥特酷智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能科技</w:t>
            </w:r>
          </w:p>
          <w:p>
            <w:pPr>
              <w:pStyle w:val="TableParagraph"/>
              <w:spacing w:line="321" w:lineRule="auto" w:before="22"/>
              <w:ind w:left="24" w:right="36"/>
              <w:jc w:val="left"/>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-344,117.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19,655,88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8" w:right="0"/>
        <w:jc w:val="left"/>
      </w:pPr>
      <w:r>
        <w:rPr>
          <w:spacing w:val="-3"/>
        </w:rPr>
        <w:t>（</w:t>
      </w:r>
      <w:r>
        <w:rPr>
          <w:rFonts w:ascii="Times New Roman" w:hAnsi="Times New Roman" w:cs="Times New Roman" w:eastAsia="Times New Roman" w:hint="default"/>
          <w:spacing w:val="-3"/>
        </w:rPr>
        <w:t>1</w:t>
      </w:r>
      <w:r>
        <w:rPr>
          <w:spacing w:val="-3"/>
        </w:rPr>
        <w:t>）苏州博纳讯动软件有限公司其他权益变动系该公司本期增资扩股，本公司相应确认其他权益变动</w:t>
      </w:r>
      <w:r>
        <w:rPr>
          <w:rFonts w:ascii="Times New Roman" w:hAnsi="Times New Roman" w:cs="Times New Roman" w:eastAsia="Times New Roman" w:hint="default"/>
          <w:spacing w:val="-3"/>
        </w:rPr>
        <w:t>12,371,356.58</w:t>
      </w:r>
      <w:r>
        <w:rPr>
          <w:spacing w:val="-3"/>
        </w:rPr>
        <w:t>元。</w:t>
      </w:r>
    </w:p>
    <w:p>
      <w:pPr>
        <w:pStyle w:val="BodyText"/>
        <w:spacing w:line="300" w:lineRule="auto" w:before="63"/>
        <w:ind w:right="0" w:firstLine="364"/>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8</w:t>
      </w:r>
      <w:r>
        <w:rPr>
          <w:spacing w:val="-3"/>
        </w:rPr>
        <w:t>日，公司第五届董事会第三十四次会议审议通过《关于公司增资参股奥特酷智能科技（南京）有限公</w:t>
      </w:r>
      <w:r>
        <w:rPr>
          <w:w w:val="101"/>
        </w:rPr>
        <w:t> </w:t>
      </w:r>
      <w:r>
        <w:rPr>
          <w:spacing w:val="-3"/>
        </w:rPr>
        <w:t>司的议案》，公司以自有资金共计</w:t>
      </w:r>
      <w:r>
        <w:rPr>
          <w:rFonts w:ascii="Times New Roman" w:hAnsi="Times New Roman" w:cs="Times New Roman" w:eastAsia="Times New Roman" w:hint="default"/>
          <w:spacing w:val="-3"/>
        </w:rPr>
        <w:t>20,000,000.00</w:t>
      </w:r>
      <w:r>
        <w:rPr>
          <w:spacing w:val="-3"/>
        </w:rPr>
        <w:t>元人民币向奥特酷智能科技（南京）有限公司（以下简称</w:t>
      </w:r>
      <w:r>
        <w:rPr>
          <w:rFonts w:ascii="Times New Roman" w:hAnsi="Times New Roman" w:cs="Times New Roman" w:eastAsia="Times New Roman" w:hint="default"/>
          <w:spacing w:val="-3"/>
        </w:rPr>
        <w:t>“</w:t>
      </w:r>
      <w:r>
        <w:rPr>
          <w:spacing w:val="-3"/>
        </w:rPr>
        <w:t>奥特酷</w:t>
      </w:r>
      <w:r>
        <w:rPr>
          <w:rFonts w:ascii="Times New Roman" w:hAnsi="Times New Roman" w:cs="Times New Roman" w:eastAsia="Times New Roman" w:hint="default"/>
          <w:spacing w:val="-3"/>
        </w:rPr>
        <w:t>”</w:t>
      </w:r>
      <w:r>
        <w:rPr>
          <w:spacing w:val="-3"/>
        </w:rPr>
        <w:t>）增资。</w:t>
      </w:r>
      <w:r>
        <w:rPr>
          <w:spacing w:val="5"/>
        </w:rPr>
        <w:t> </w:t>
      </w:r>
      <w:r>
        <w:rPr>
          <w:spacing w:val="5"/>
        </w:rPr>
      </w:r>
      <w:r>
        <w:rPr>
          <w:spacing w:val="-4"/>
        </w:rPr>
        <w:t>本次增资完成后，公司持有奥特酷</w:t>
      </w:r>
      <w:r>
        <w:rPr>
          <w:rFonts w:ascii="Times New Roman" w:hAnsi="Times New Roman" w:cs="Times New Roman" w:eastAsia="Times New Roman" w:hint="default"/>
          <w:spacing w:val="-4"/>
        </w:rPr>
        <w:t>16%</w:t>
      </w:r>
      <w:r>
        <w:rPr>
          <w:spacing w:val="-4"/>
        </w:rPr>
        <w:t>的股权，奥特酷成为公司的参股公司。根据奥特酷章程规定，公司设立董事会，董事</w:t>
      </w:r>
      <w:r>
        <w:rPr>
          <w:spacing w:val="75"/>
        </w:rPr>
        <w:t> </w:t>
      </w:r>
      <w:r>
        <w:rPr>
          <w:spacing w:val="75"/>
        </w:rPr>
      </w:r>
      <w:r>
        <w:rPr>
          <w:spacing w:val="-4"/>
        </w:rPr>
        <w:t>会成员为</w:t>
      </w:r>
      <w:r>
        <w:rPr>
          <w:rFonts w:ascii="Times New Roman" w:hAnsi="Times New Roman" w:cs="Times New Roman" w:eastAsia="Times New Roman" w:hint="default"/>
          <w:spacing w:val="-4"/>
        </w:rPr>
        <w:t>3</w:t>
      </w:r>
      <w:r>
        <w:rPr>
          <w:spacing w:val="-4"/>
        </w:rPr>
        <w:t>人；本公司增资后向奥特酷派遣一名董事会成员，对被投资单位生产经营决策有重大影响。截止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spacing w:val="65"/>
        </w:rPr>
        <w:t> </w:t>
      </w:r>
      <w:r>
        <w:rPr/>
        <w:t>公司已出资</w:t>
      </w:r>
      <w:r>
        <w:rPr>
          <w:rFonts w:ascii="Times New Roman" w:hAnsi="Times New Roman" w:cs="Times New Roman" w:eastAsia="Times New Roman" w:hint="default"/>
        </w:rPr>
        <w:t>20,000,000.00</w:t>
      </w:r>
      <w:r>
        <w:rPr/>
        <w:t>元人民币。</w:t>
      </w:r>
    </w:p>
    <w:p>
      <w:pPr>
        <w:pStyle w:val="BodyText"/>
        <w:spacing w:line="300" w:lineRule="auto" w:before="13"/>
        <w:ind w:right="0" w:firstLine="364"/>
        <w:jc w:val="left"/>
      </w:pPr>
      <w:r>
        <w:rPr>
          <w:spacing w:val="-3"/>
        </w:rPr>
        <w:t>（</w:t>
      </w:r>
      <w:r>
        <w:rPr>
          <w:rFonts w:ascii="Times New Roman" w:hAnsi="Times New Roman" w:cs="Times New Roman" w:eastAsia="Times New Roman" w:hint="default"/>
          <w:spacing w:val="-3"/>
        </w:rPr>
        <w:t>3</w:t>
      </w:r>
      <w:r>
        <w:rPr>
          <w:spacing w:val="-3"/>
        </w:rPr>
        <w:t>）长期股权投资期末余额较期初余额增长</w:t>
      </w:r>
      <w:r>
        <w:rPr>
          <w:rFonts w:ascii="Times New Roman" w:hAnsi="Times New Roman" w:cs="Times New Roman" w:eastAsia="Times New Roman" w:hint="default"/>
          <w:spacing w:val="-3"/>
        </w:rPr>
        <w:t>225.30%</w:t>
      </w:r>
      <w:r>
        <w:rPr>
          <w:spacing w:val="-3"/>
        </w:rPr>
        <w:t>，主要原因是公司本期新增对奥特酷的股权投资，以及公司参股</w:t>
      </w:r>
      <w:r>
        <w:rPr>
          <w:w w:val="101"/>
        </w:rPr>
        <w:t> </w:t>
      </w:r>
      <w:r>
        <w:rPr>
          <w:spacing w:val="-3"/>
        </w:rPr>
        <w:t>公司博纳讯动增资扩股，公司按照权益法核算相应增加长期股权投资账面价值。</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630,185,392.19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608,629,342.95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630,185,392.19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608,629,342.95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626,595,623.39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10,101,483.96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52,453,614.45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689,150,721.80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38,317,397.08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711,619.97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8,833,539.61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47,862,556.66</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711,619.97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8,833,539.61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9,545,159.58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38,317,397.08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38,317,397.08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1,610,851.64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2,649,434.05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185,523.85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4,445,809.54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1,610,851.64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2,649,434.05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185,523.85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4,445,809.54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663,302,168.83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8,163,669.88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61,101,630.21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732,567,468.92</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44,627,952.72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6,398,300.54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29,495,125.59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80,521,378.85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16,503,238.14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1,158,869.20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6,730,420.41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24,392,527.75</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16,503,238.14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1,158,869.20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6,730,420.41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24,392,527.75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321,985.12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2,089,014.32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120,830.43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2,531,829.87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321,985.12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2,089,014.32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166,908.06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2,577,907.50</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）外币报表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折算</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-46,077.63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-46,077.63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60,809,205.74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5,468,155.42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36,104,715.57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102,382,076.73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602,492,963.09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2,695,514.46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24,996,914.64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630,185,392.19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581,967,670.67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3,703,183.42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22,958,488.86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608,629,342.95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353,689,430.52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6"/>
        <w:ind w:right="0"/>
        <w:jc w:val="left"/>
      </w:pPr>
      <w:r>
        <w:rPr/>
        <w:t>其他说明</w:t>
      </w:r>
    </w:p>
    <w:p>
      <w:pPr>
        <w:pStyle w:val="BodyText"/>
        <w:spacing w:line="240" w:lineRule="auto" w:before="110"/>
        <w:ind w:left="0" w:right="1084"/>
        <w:jc w:val="right"/>
      </w:pPr>
      <w:r>
        <w:rPr>
          <w:spacing w:val="-3"/>
        </w:rPr>
        <w:t>（</w:t>
      </w:r>
      <w:r>
        <w:rPr>
          <w:rFonts w:ascii="Times New Roman" w:hAnsi="Times New Roman" w:cs="Times New Roman" w:eastAsia="Times New Roman" w:hint="default"/>
          <w:spacing w:val="-3"/>
        </w:rPr>
        <w:t>1</w:t>
      </w:r>
      <w:r>
        <w:rPr>
          <w:spacing w:val="-3"/>
        </w:rPr>
        <w:t>）本公司子公司外包园公司固定资产</w:t>
      </w:r>
      <w:r>
        <w:rPr>
          <w:rFonts w:ascii="Times New Roman" w:hAnsi="Times New Roman" w:cs="Times New Roman" w:eastAsia="Times New Roman" w:hint="default"/>
          <w:spacing w:val="-3"/>
        </w:rPr>
        <w:t>2018</w:t>
      </w:r>
      <w:r>
        <w:rPr>
          <w:spacing w:val="-3"/>
        </w:rPr>
        <w:t>年末账面价值为</w:t>
      </w:r>
      <w:r>
        <w:rPr>
          <w:rFonts w:ascii="Times New Roman" w:hAnsi="Times New Roman" w:cs="Times New Roman" w:eastAsia="Times New Roman" w:hint="default"/>
          <w:spacing w:val="-3"/>
        </w:rPr>
        <w:t>338,304,268.23</w:t>
      </w:r>
      <w:r>
        <w:rPr>
          <w:spacing w:val="-3"/>
        </w:rPr>
        <w:t>元的房屋建筑物已用作银行借款的抵押物。</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）年末固定资产没有发生减值的情形，故未计提固定资产减值准备。</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97"/>
        <w:gridCol w:w="3813"/>
        <w:gridCol w:w="3861"/>
      </w:tblGrid>
      <w:tr>
        <w:trPr>
          <w:trHeight w:val="398" w:hRule="exact"/>
        </w:trPr>
        <w:tc>
          <w:tcPr>
            <w:tcW w:w="1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59,537.93</w:t>
            </w:r>
          </w:p>
        </w:tc>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14,552,771.28</w:t>
            </w:r>
          </w:p>
        </w:tc>
      </w:tr>
      <w:tr>
        <w:trPr>
          <w:trHeight w:val="403" w:hRule="exact"/>
        </w:trPr>
        <w:tc>
          <w:tcPr>
            <w:tcW w:w="1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59,537.93</w:t>
            </w:r>
          </w:p>
        </w:tc>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14,552,771.28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装修、绿化工程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14,552,771.28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14,552,771.28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14,552,771.28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14,552,771.28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4"/>
        <w:gridCol w:w="735"/>
        <w:gridCol w:w="739"/>
        <w:gridCol w:w="735"/>
        <w:gridCol w:w="735"/>
        <w:gridCol w:w="739"/>
        <w:gridCol w:w="735"/>
        <w:gridCol w:w="734"/>
        <w:gridCol w:w="740"/>
        <w:gridCol w:w="735"/>
        <w:gridCol w:w="734"/>
        <w:gridCol w:w="740"/>
      </w:tblGrid>
      <w:tr>
        <w:trPr>
          <w:trHeight w:val="134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4"/>
                <w:sz w:val="18"/>
                <w:szCs w:val="18"/>
              </w:rPr>
              <w:t>装修、绿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化工程</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14,552,7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71.28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24,856,1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38,317,3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1,032,00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14,552,7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71.28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24,856,1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38,317,3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1,032,00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3"/>
        <w:ind w:right="0"/>
        <w:jc w:val="left"/>
      </w:pPr>
      <w:r>
        <w:rPr/>
        <w:t>其他说明</w:t>
      </w:r>
    </w:p>
    <w:p>
      <w:pPr>
        <w:pStyle w:val="BodyText"/>
        <w:spacing w:line="240" w:lineRule="auto" w:before="115"/>
        <w:ind w:left="518" w:right="0"/>
        <w:jc w:val="left"/>
      </w:pPr>
      <w:r>
        <w:rPr>
          <w:spacing w:val="-3"/>
        </w:rPr>
        <w:t>（</w:t>
      </w:r>
      <w:r>
        <w:rPr>
          <w:rFonts w:ascii="Times New Roman" w:hAnsi="Times New Roman" w:cs="Times New Roman" w:eastAsia="Times New Roman" w:hint="default"/>
          <w:spacing w:val="-3"/>
        </w:rPr>
        <w:t>1</w:t>
      </w:r>
      <w:r>
        <w:rPr>
          <w:spacing w:val="-3"/>
        </w:rPr>
        <w:t>）年末在建工程没有发生减值的情形，故未计提在建工程减值准备。</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）本公司在建工程无用于抵押、担保或其他所有权受到限制的情况。</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3</w:t>
      </w:r>
      <w:r>
        <w:rPr>
          <w:spacing w:val="-3"/>
        </w:rPr>
        <w:t>）在建工程期末余额较期初余额减少</w:t>
      </w:r>
      <w:r>
        <w:rPr>
          <w:rFonts w:ascii="Times New Roman" w:hAnsi="Times New Roman" w:cs="Times New Roman" w:eastAsia="Times New Roman" w:hint="default"/>
          <w:spacing w:val="-3"/>
        </w:rPr>
        <w:t>99.59%</w:t>
      </w:r>
      <w:r>
        <w:rPr>
          <w:spacing w:val="-3"/>
        </w:rPr>
        <w:t>，主要原因是本期在建工程完工转入固定资产。</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38" w:lineRule="auto"/>
        <w:ind w:right="1716"/>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30"/>
        </w:rPr>
        <w:t> </w:t>
      </w:r>
      <w:r>
        <w:rPr>
          <w:spacing w:val="-30"/>
        </w:rPr>
      </w:r>
      <w:r>
        <w:rPr/>
        <w:t>否</w:t>
      </w:r>
    </w:p>
    <w:p>
      <w:pPr>
        <w:pStyle w:val="BodyText"/>
        <w:spacing w:line="240" w:lineRule="auto" w:before="4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48,602,970.51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113,933,949.71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162,536,920.22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24,401,336.33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24,401,336.33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4,539,306.07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4,539,306.07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19,862,030.26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19,862,030.26</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3"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2,520,659.85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84,087.01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2,604,746.86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2,520,659.85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84,087.01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2,604,746.86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46,082,310.66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138,251,199.03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184,333,509.69</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7,913,284.51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55,233,725.52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63,147,010.03</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1,052,479.37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33,251,667.08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34,304,146.45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1,052,479.37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33,251,667.08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34,304,146.45</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949,475.44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84,226.32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1,033,701.76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949,475.44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80,558.34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1,030,033.78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币报表折算</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3,667.98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3,667.98</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8,016,288.44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88,401,166.28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96,417,454.72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38,066,022.22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49,850,032.75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87,916,054.97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40,689,686.00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58,700,224.19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99,389,910.19</w:t>
            </w:r>
          </w:p>
        </w:tc>
      </w:tr>
    </w:tbl>
    <w:p>
      <w:pPr>
        <w:pStyle w:val="BodyText"/>
        <w:spacing w:line="240" w:lineRule="auto" w:before="53"/>
        <w:ind w:right="0"/>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38.19%</w:t>
      </w:r>
      <w:r>
        <w:rPr/>
        <w:t>。</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本公司子公司外包园公司无形资产</w:t>
      </w:r>
      <w:r>
        <w:rPr>
          <w:rFonts w:ascii="Times New Roman" w:hAnsi="Times New Roman" w:cs="Times New Roman" w:eastAsia="Times New Roman" w:hint="default"/>
          <w:spacing w:val="-3"/>
        </w:rPr>
        <w:t>2018</w:t>
      </w:r>
      <w:r>
        <w:rPr>
          <w:spacing w:val="-3"/>
        </w:rPr>
        <w:t>年末账面价值为</w:t>
      </w:r>
      <w:r>
        <w:rPr>
          <w:rFonts w:ascii="Times New Roman" w:hAnsi="Times New Roman" w:cs="Times New Roman" w:eastAsia="Times New Roman" w:hint="default"/>
          <w:spacing w:val="-3"/>
        </w:rPr>
        <w:t>38,066,022.22</w:t>
      </w:r>
      <w:r>
        <w:rPr>
          <w:spacing w:val="-3"/>
        </w:rPr>
        <w:t>元的土地使用权已用作银行借款的抵押物。</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39"/>
              <w:jc w:val="righ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4"/>
                <w:sz w:val="18"/>
                <w:szCs w:val="18"/>
              </w:rPr>
              <w:t>互联网分布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式核心系统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8,345,863.34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3,676,284.08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12,022,147.4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模式客户</w:t>
            </w:r>
            <w:r>
              <w:rPr>
                <w:rFonts w:ascii="宋体" w:hAnsi="宋体" w:cs="宋体" w:eastAsia="宋体" w:hint="default"/>
                <w:w w:val="101"/>
                <w:sz w:val="18"/>
                <w:szCs w:val="18"/>
              </w:rPr>
              <w:t> </w:t>
            </w:r>
            <w:r>
              <w:rPr>
                <w:rFonts w:ascii="宋体" w:hAnsi="宋体" w:cs="宋体" w:eastAsia="宋体" w:hint="default"/>
                <w:sz w:val="18"/>
                <w:szCs w:val="18"/>
              </w:rPr>
              <w:t>营销服务平</w:t>
            </w:r>
            <w:r>
              <w:rPr>
                <w:rFonts w:ascii="宋体" w:hAnsi="宋体" w:cs="宋体" w:eastAsia="宋体" w:hint="default"/>
                <w:w w:val="101"/>
                <w:sz w:val="18"/>
                <w:szCs w:val="18"/>
              </w:rPr>
              <w:t> </w:t>
            </w:r>
            <w:r>
              <w:rPr>
                <w:rFonts w:ascii="宋体" w:hAnsi="宋体" w:cs="宋体" w:eastAsia="宋体" w:hint="default"/>
                <w:sz w:val="18"/>
                <w:szCs w:val="18"/>
              </w:rPr>
              <w:t>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5,714,197.09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2,125,685.75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7,839,882.84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新一代分布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式金融核心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60,442,202.1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60,442,202.1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14,060,060.4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66,244,171.9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19,862,030.2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60,442,202.1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240" w:lineRule="auto" w:before="53"/>
        <w:ind w:right="0"/>
        <w:jc w:val="left"/>
      </w:pPr>
      <w:r>
        <w:rPr/>
        <w:t>其他说明</w:t>
      </w:r>
    </w:p>
    <w:p>
      <w:pPr>
        <w:pStyle w:val="BodyText"/>
        <w:spacing w:line="300" w:lineRule="auto" w:before="114"/>
        <w:ind w:right="0" w:firstLine="364"/>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w:t>
      </w:r>
      <w:r>
        <w:rPr>
          <w:spacing w:val="-4"/>
        </w:rPr>
        <w:t>新一代分布式金融核心系统</w:t>
      </w:r>
      <w:r>
        <w:rPr>
          <w:rFonts w:ascii="Times New Roman" w:hAnsi="Times New Roman" w:cs="Times New Roman" w:eastAsia="Times New Roman" w:hint="default"/>
          <w:spacing w:val="-4"/>
        </w:rPr>
        <w:t>”</w:t>
      </w:r>
      <w:r>
        <w:rPr>
          <w:spacing w:val="-4"/>
        </w:rPr>
        <w:t>系公司启动的战略性研发项目，其《可行性研究报告》于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月通过评审，根据</w:t>
      </w:r>
      <w:r>
        <w:rPr>
          <w:w w:val="101"/>
        </w:rPr>
        <w:t> </w:t>
      </w:r>
      <w:r>
        <w:rPr>
          <w:spacing w:val="-4"/>
        </w:rPr>
        <w:t>公司研发资本化适用的会计政策规定（详见第十一节、五</w:t>
      </w:r>
      <w:r>
        <w:rPr>
          <w:rFonts w:ascii="Times New Roman" w:hAnsi="Times New Roman" w:cs="Times New Roman" w:eastAsia="Times New Roman" w:hint="default"/>
          <w:spacing w:val="-4"/>
        </w:rPr>
        <w:t>“</w:t>
      </w:r>
      <w:r>
        <w:rPr>
          <w:spacing w:val="-4"/>
        </w:rPr>
        <w:t>重要会计政策及会计估计</w:t>
      </w:r>
      <w:r>
        <w:rPr>
          <w:rFonts w:ascii="Times New Roman" w:hAnsi="Times New Roman" w:cs="Times New Roman" w:eastAsia="Times New Roman" w:hint="default"/>
          <w:spacing w:val="-4"/>
        </w:rPr>
        <w:t>”</w:t>
      </w:r>
      <w:r>
        <w:rPr>
          <w:spacing w:val="-4"/>
        </w:rPr>
        <w:t>之第</w:t>
      </w:r>
      <w:r>
        <w:rPr>
          <w:rFonts w:ascii="Times New Roman" w:hAnsi="Times New Roman" w:cs="Times New Roman" w:eastAsia="Times New Roman" w:hint="default"/>
          <w:spacing w:val="-4"/>
        </w:rPr>
        <w:t>21</w:t>
      </w:r>
      <w:r>
        <w:rPr>
          <w:spacing w:val="-4"/>
        </w:rPr>
        <w:t>项</w:t>
      </w:r>
      <w:r>
        <w:rPr>
          <w:rFonts w:ascii="Times New Roman" w:hAnsi="Times New Roman" w:cs="Times New Roman" w:eastAsia="Times New Roman" w:hint="default"/>
          <w:spacing w:val="-4"/>
        </w:rPr>
        <w:t>“</w:t>
      </w:r>
      <w:r>
        <w:rPr>
          <w:spacing w:val="-4"/>
        </w:rPr>
        <w:t>无形资产</w:t>
      </w:r>
      <w:r>
        <w:rPr>
          <w:rFonts w:ascii="Times New Roman" w:hAnsi="Times New Roman" w:cs="Times New Roman" w:eastAsia="Times New Roman" w:hint="default"/>
          <w:spacing w:val="-4"/>
        </w:rPr>
        <w:t>”</w:t>
      </w:r>
      <w:r>
        <w:rPr>
          <w:spacing w:val="-4"/>
        </w:rPr>
        <w:t>），在《可行性研</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4"/>
        </w:rPr>
        <w:t>究报告》评审通过后至项目完成验收期间发生的研发费用计入开发支出。截至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日，该研发项目的开发进度约为</w:t>
      </w:r>
    </w:p>
    <w:p>
      <w:pPr>
        <w:pStyle w:val="BodyText"/>
        <w:spacing w:line="240" w:lineRule="auto" w:before="63"/>
        <w:ind w:right="0"/>
        <w:jc w:val="left"/>
      </w:pPr>
      <w:r>
        <w:rPr>
          <w:rFonts w:ascii="Times New Roman" w:hAnsi="Times New Roman" w:cs="Times New Roman" w:eastAsia="Times New Roman" w:hint="default"/>
        </w:rPr>
        <w:t>60%</w:t>
      </w:r>
      <w:r>
        <w:rPr/>
        <w:t>。</w:t>
      </w:r>
    </w:p>
    <w:p>
      <w:pPr>
        <w:pStyle w:val="BodyText"/>
        <w:spacing w:line="240" w:lineRule="auto" w:before="63"/>
        <w:ind w:left="0" w:right="1035"/>
        <w:jc w:val="right"/>
      </w:pPr>
      <w:r>
        <w:rPr>
          <w:spacing w:val="-5"/>
          <w:w w:val="101"/>
        </w:rPr>
        <w:t>（</w:t>
      </w:r>
      <w:r>
        <w:rPr>
          <w:rFonts w:ascii="Times New Roman" w:hAnsi="Times New Roman" w:cs="Times New Roman" w:eastAsia="Times New Roman" w:hint="default"/>
          <w:spacing w:val="-5"/>
          <w:w w:val="101"/>
        </w:rPr>
        <w:t>2</w:t>
      </w:r>
      <w:r>
        <w:rPr>
          <w:spacing w:val="-82"/>
          <w:w w:val="101"/>
        </w:rPr>
        <w:t>）</w:t>
      </w:r>
      <w:r>
        <w:rPr>
          <w:spacing w:val="-5"/>
          <w:w w:val="101"/>
        </w:rPr>
        <w:t>开</w:t>
      </w:r>
      <w:r>
        <w:rPr>
          <w:w w:val="101"/>
        </w:rPr>
        <w:t>发</w:t>
      </w:r>
      <w:r>
        <w:rPr>
          <w:spacing w:val="-5"/>
          <w:w w:val="101"/>
        </w:rPr>
        <w:t>支</w:t>
      </w:r>
      <w:r>
        <w:rPr>
          <w:w w:val="101"/>
        </w:rPr>
        <w:t>出</w:t>
      </w:r>
      <w:r>
        <w:rPr>
          <w:spacing w:val="-5"/>
          <w:w w:val="101"/>
        </w:rPr>
        <w:t>期</w:t>
      </w:r>
      <w:r>
        <w:rPr>
          <w:w w:val="101"/>
        </w:rPr>
        <w:t>末</w:t>
      </w:r>
      <w:r>
        <w:rPr>
          <w:spacing w:val="-5"/>
          <w:w w:val="101"/>
        </w:rPr>
        <w:t>余</w:t>
      </w:r>
      <w:r>
        <w:rPr>
          <w:w w:val="101"/>
        </w:rPr>
        <w:t>额</w:t>
      </w:r>
      <w:r>
        <w:rPr>
          <w:spacing w:val="-5"/>
          <w:w w:val="101"/>
        </w:rPr>
        <w:t>比</w:t>
      </w:r>
      <w:r>
        <w:rPr>
          <w:w w:val="101"/>
        </w:rPr>
        <w:t>期</w:t>
      </w:r>
      <w:r>
        <w:rPr>
          <w:spacing w:val="-5"/>
          <w:w w:val="101"/>
        </w:rPr>
        <w:t>初</w:t>
      </w:r>
      <w:r>
        <w:rPr>
          <w:w w:val="101"/>
        </w:rPr>
        <w:t>余</w:t>
      </w:r>
      <w:r>
        <w:rPr>
          <w:spacing w:val="-5"/>
          <w:w w:val="101"/>
        </w:rPr>
        <w:t>额</w:t>
      </w:r>
      <w:r>
        <w:rPr>
          <w:w w:val="101"/>
        </w:rPr>
        <w:t>增</w:t>
      </w:r>
      <w:r>
        <w:rPr>
          <w:spacing w:val="1"/>
          <w:w w:val="101"/>
        </w:rPr>
        <w:t>长</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4"/>
          <w:w w:val="101"/>
        </w:rPr>
        <w:t>%</w:t>
      </w:r>
      <w:r>
        <w:rPr>
          <w:spacing w:val="-82"/>
          <w:w w:val="101"/>
        </w:rPr>
        <w:t>，</w:t>
      </w:r>
      <w:r>
        <w:rPr>
          <w:spacing w:val="-5"/>
          <w:w w:val="101"/>
        </w:rPr>
        <w:t>主</w:t>
      </w:r>
      <w:r>
        <w:rPr>
          <w:w w:val="101"/>
        </w:rPr>
        <w:t>要</w:t>
      </w:r>
      <w:r>
        <w:rPr>
          <w:spacing w:val="-5"/>
          <w:w w:val="101"/>
        </w:rPr>
        <w:t>原因</w:t>
      </w:r>
      <w:r>
        <w:rPr>
          <w:w w:val="101"/>
        </w:rPr>
        <w:t>是</w:t>
      </w:r>
      <w:r>
        <w:rPr>
          <w:spacing w:val="-5"/>
          <w:w w:val="101"/>
        </w:rPr>
        <w:t>公</w:t>
      </w:r>
      <w:r>
        <w:rPr>
          <w:w w:val="101"/>
        </w:rPr>
        <w:t>司</w:t>
      </w:r>
      <w:r>
        <w:rPr>
          <w:spacing w:val="-5"/>
          <w:w w:val="101"/>
        </w:rPr>
        <w:t>新</w:t>
      </w:r>
      <w:r>
        <w:rPr>
          <w:w w:val="101"/>
        </w:rPr>
        <w:t>增对</w:t>
      </w:r>
      <w:r>
        <w:rPr>
          <w:rFonts w:ascii="Times New Roman" w:hAnsi="Times New Roman" w:cs="Times New Roman" w:eastAsia="Times New Roman" w:hint="default"/>
          <w:spacing w:val="-5"/>
          <w:w w:val="101"/>
        </w:rPr>
        <w:t>“</w:t>
      </w:r>
      <w:r>
        <w:rPr>
          <w:w w:val="101"/>
        </w:rPr>
        <w:t>新</w:t>
      </w:r>
      <w:r>
        <w:rPr>
          <w:spacing w:val="-5"/>
          <w:w w:val="101"/>
        </w:rPr>
        <w:t>一</w:t>
      </w:r>
      <w:r>
        <w:rPr>
          <w:w w:val="101"/>
        </w:rPr>
        <w:t>代</w:t>
      </w:r>
      <w:r>
        <w:rPr>
          <w:spacing w:val="-5"/>
          <w:w w:val="101"/>
        </w:rPr>
        <w:t>分</w:t>
      </w:r>
      <w:r>
        <w:rPr>
          <w:w w:val="101"/>
        </w:rPr>
        <w:t>布</w:t>
      </w:r>
      <w:r>
        <w:rPr>
          <w:spacing w:val="-5"/>
          <w:w w:val="101"/>
        </w:rPr>
        <w:t>式</w:t>
      </w:r>
      <w:r>
        <w:rPr>
          <w:w w:val="101"/>
        </w:rPr>
        <w:t>金</w:t>
      </w:r>
      <w:r>
        <w:rPr>
          <w:spacing w:val="-5"/>
          <w:w w:val="101"/>
        </w:rPr>
        <w:t>融</w:t>
      </w:r>
      <w:r>
        <w:rPr>
          <w:w w:val="101"/>
        </w:rPr>
        <w:t>核</w:t>
      </w:r>
      <w:r>
        <w:rPr>
          <w:spacing w:val="-5"/>
          <w:w w:val="101"/>
        </w:rPr>
        <w:t>心</w:t>
      </w:r>
      <w:r>
        <w:rPr>
          <w:w w:val="101"/>
        </w:rPr>
        <w:t>系</w:t>
      </w:r>
      <w:r>
        <w:rPr>
          <w:spacing w:val="-5"/>
          <w:w w:val="101"/>
        </w:rPr>
        <w:t>统</w:t>
      </w:r>
      <w:r>
        <w:rPr>
          <w:rFonts w:ascii="Times New Roman" w:hAnsi="Times New Roman" w:cs="Times New Roman" w:eastAsia="Times New Roman" w:hint="default"/>
          <w:w w:val="101"/>
        </w:rPr>
        <w:t>”</w:t>
      </w:r>
      <w:r>
        <w:rPr>
          <w:spacing w:val="-5"/>
          <w:w w:val="101"/>
        </w:rPr>
        <w:t>项</w:t>
      </w:r>
      <w:r>
        <w:rPr>
          <w:w w:val="101"/>
        </w:rPr>
        <w:t>目</w:t>
      </w:r>
      <w:r>
        <w:rPr>
          <w:spacing w:val="-5"/>
          <w:w w:val="101"/>
        </w:rPr>
        <w:t>的</w:t>
      </w:r>
      <w:r>
        <w:rPr>
          <w:w w:val="101"/>
        </w:rPr>
        <w:t>研</w:t>
      </w:r>
      <w:r>
        <w:rPr>
          <w:spacing w:val="-5"/>
          <w:w w:val="101"/>
        </w:rPr>
        <w:t>发</w:t>
      </w:r>
      <w:r>
        <w:rPr>
          <w:w w:val="101"/>
        </w:rPr>
        <w:t>投</w:t>
      </w:r>
      <w:r>
        <w:rPr>
          <w:spacing w:val="-5"/>
          <w:w w:val="101"/>
        </w:rPr>
        <w:t>入</w:t>
      </w:r>
      <w:r>
        <w:rPr>
          <w:w w:val="101"/>
        </w:rPr>
        <w:t>。</w:t>
      </w:r>
      <w:r>
        <w:rPr/>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1,893,909,895.75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1,893,909,895.75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655,923,170.20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655,923,170.20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66,014,888.55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66,014,888.55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22,176,701.16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22,176,701.16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2,616,143,951.25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22,176,701.16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2,638,320,652.41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295,996.75</w:t>
            </w:r>
          </w:p>
        </w:tc>
      </w:tr>
    </w:tbl>
    <w:p>
      <w:pPr>
        <w:pStyle w:val="BodyText"/>
        <w:spacing w:line="240" w:lineRule="auto" w:before="53"/>
        <w:ind w:right="0"/>
        <w:jc w:val="left"/>
      </w:pPr>
      <w:r>
        <w:rPr>
          <w:spacing w:val="-3"/>
        </w:rPr>
        <w:t>商誉所在资产组或资产组组合的相关信息</w:t>
      </w:r>
    </w:p>
    <w:p>
      <w:pPr>
        <w:pStyle w:val="BodyText"/>
        <w:spacing w:line="309" w:lineRule="auto" w:before="110"/>
        <w:ind w:right="0" w:firstLine="508"/>
        <w:jc w:val="left"/>
      </w:pPr>
      <w:r>
        <w:rPr>
          <w:spacing w:val="-3"/>
        </w:rPr>
        <w:t>①联创智融：本公司于</w:t>
      </w:r>
      <w:r>
        <w:rPr>
          <w:rFonts w:ascii="Times New Roman" w:hAnsi="Times New Roman" w:cs="Times New Roman" w:eastAsia="Times New Roman" w:hint="default"/>
          <w:spacing w:val="-3"/>
        </w:rPr>
        <w:t>2015</w:t>
      </w:r>
      <w:r>
        <w:rPr>
          <w:spacing w:val="-3"/>
        </w:rPr>
        <w:t>年收购联创智融</w:t>
      </w:r>
      <w:r>
        <w:rPr>
          <w:rFonts w:ascii="Times New Roman" w:hAnsi="Times New Roman" w:cs="Times New Roman" w:eastAsia="Times New Roman" w:hint="default"/>
          <w:spacing w:val="-3"/>
        </w:rPr>
        <w:t>100%</w:t>
      </w:r>
      <w:r>
        <w:rPr>
          <w:spacing w:val="-3"/>
        </w:rPr>
        <w:t>股权，形成商誉人民币</w:t>
      </w:r>
      <w:r>
        <w:rPr>
          <w:rFonts w:ascii="Times New Roman" w:hAnsi="Times New Roman" w:cs="Times New Roman" w:eastAsia="Times New Roman" w:hint="default"/>
          <w:spacing w:val="-3"/>
        </w:rPr>
        <w:t>1,893,909,895.75</w:t>
      </w:r>
      <w:r>
        <w:rPr>
          <w:spacing w:val="-3"/>
        </w:rPr>
        <w:t>元，并购后联创智融业务、</w:t>
      </w:r>
      <w:r>
        <w:rPr>
          <w:w w:val="101"/>
        </w:rPr>
        <w:t> </w:t>
      </w:r>
      <w:r>
        <w:rPr>
          <w:spacing w:val="-4"/>
        </w:rPr>
        <w:t>技术及人员仍然相对独立，且独立产生现金流入，因此公司将该商誉分配至联创智融资产组，联创智融资产组与购买日、以</w:t>
      </w:r>
      <w:r>
        <w:rPr>
          <w:spacing w:val="42"/>
        </w:rPr>
        <w:t> </w:t>
      </w:r>
      <w:r>
        <w:rPr>
          <w:spacing w:val="42"/>
        </w:rPr>
      </w:r>
      <w:r>
        <w:rPr>
          <w:spacing w:val="-3"/>
        </w:rPr>
        <w:t>前年度商誉减值测试时所确定的资产组一致；</w:t>
      </w:r>
    </w:p>
    <w:p>
      <w:pPr>
        <w:pStyle w:val="BodyText"/>
        <w:spacing w:line="309" w:lineRule="auto" w:before="24"/>
        <w:ind w:right="1124" w:firstLine="508"/>
        <w:jc w:val="both"/>
      </w:pPr>
      <w:r>
        <w:rPr>
          <w:spacing w:val="-3"/>
        </w:rPr>
        <w:t>②捷科智诚：本公司于</w:t>
      </w:r>
      <w:r>
        <w:rPr>
          <w:rFonts w:ascii="Times New Roman" w:hAnsi="Times New Roman" w:cs="Times New Roman" w:eastAsia="Times New Roman" w:hint="default"/>
          <w:spacing w:val="-3"/>
        </w:rPr>
        <w:t>2014</w:t>
      </w:r>
      <w:r>
        <w:rPr>
          <w:spacing w:val="-3"/>
        </w:rPr>
        <w:t>年收购捷科智诚</w:t>
      </w:r>
      <w:r>
        <w:rPr>
          <w:rFonts w:ascii="Times New Roman" w:hAnsi="Times New Roman" w:cs="Times New Roman" w:eastAsia="Times New Roman" w:hint="default"/>
          <w:spacing w:val="-3"/>
        </w:rPr>
        <w:t>100%</w:t>
      </w:r>
      <w:r>
        <w:rPr>
          <w:spacing w:val="-3"/>
        </w:rPr>
        <w:t>股权，形成商誉人民币</w:t>
      </w:r>
      <w:r>
        <w:rPr>
          <w:rFonts w:ascii="Times New Roman" w:hAnsi="Times New Roman" w:cs="Times New Roman" w:eastAsia="Times New Roman" w:hint="default"/>
          <w:spacing w:val="-3"/>
        </w:rPr>
        <w:t>655,923,170.20</w:t>
      </w:r>
      <w:r>
        <w:rPr>
          <w:spacing w:val="-3"/>
        </w:rPr>
        <w:t>元，并购后捷科智诚业务、技</w:t>
      </w:r>
      <w:r>
        <w:rPr>
          <w:w w:val="101"/>
        </w:rPr>
        <w:t> </w:t>
      </w:r>
      <w:r>
        <w:rPr>
          <w:spacing w:val="-4"/>
        </w:rPr>
        <w:t>术及人员仍然相对独立，且独立产生现金流入，因此公司将该商誉分配至捷科智诚资产组，捷科智诚资产组与购买日、以前</w:t>
      </w:r>
      <w:r>
        <w:rPr>
          <w:spacing w:val="40"/>
        </w:rPr>
        <w:t> </w:t>
      </w:r>
      <w:r>
        <w:rPr>
          <w:spacing w:val="40"/>
        </w:rPr>
      </w:r>
      <w:r>
        <w:rPr>
          <w:spacing w:val="-3"/>
        </w:rPr>
        <w:t>年度商誉减值测试时所确定的资产组一致；</w:t>
      </w:r>
    </w:p>
    <w:p>
      <w:pPr>
        <w:pStyle w:val="BodyText"/>
        <w:spacing w:line="309" w:lineRule="auto" w:before="24"/>
        <w:ind w:right="1124" w:firstLine="508"/>
        <w:jc w:val="both"/>
      </w:pPr>
      <w:r>
        <w:rPr>
          <w:spacing w:val="-4"/>
        </w:rPr>
        <w:t>③菲耐得：本公司于</w:t>
      </w:r>
      <w:r>
        <w:rPr>
          <w:rFonts w:ascii="Times New Roman" w:hAnsi="Times New Roman" w:cs="Times New Roman" w:eastAsia="Times New Roman" w:hint="default"/>
          <w:spacing w:val="-4"/>
        </w:rPr>
        <w:t>2015</w:t>
      </w:r>
      <w:r>
        <w:rPr>
          <w:spacing w:val="-4"/>
        </w:rPr>
        <w:t>年收购菲耐得</w:t>
      </w:r>
      <w:r>
        <w:rPr>
          <w:rFonts w:ascii="Times New Roman" w:hAnsi="Times New Roman" w:cs="Times New Roman" w:eastAsia="Times New Roman" w:hint="default"/>
          <w:spacing w:val="-4"/>
        </w:rPr>
        <w:t>100%</w:t>
      </w:r>
      <w:r>
        <w:rPr>
          <w:spacing w:val="-4"/>
        </w:rPr>
        <w:t>股权产生商誉</w:t>
      </w:r>
      <w:r>
        <w:rPr>
          <w:rFonts w:ascii="Times New Roman" w:hAnsi="Times New Roman" w:cs="Times New Roman" w:eastAsia="Times New Roman" w:hint="default"/>
          <w:spacing w:val="-4"/>
        </w:rPr>
        <w:t>66,014,888.55</w:t>
      </w:r>
      <w:r>
        <w:rPr>
          <w:spacing w:val="-4"/>
        </w:rPr>
        <w:t>元，并购后菲耐得业务、技术及人员仍然相对</w:t>
      </w:r>
      <w:r>
        <w:rPr>
          <w:w w:val="101"/>
        </w:rPr>
        <w:t> </w:t>
      </w:r>
      <w:r>
        <w:rPr>
          <w:spacing w:val="-4"/>
        </w:rPr>
        <w:t>独立，且独立产生现金流入，因此公司将该商誉分配至菲耐得资产组，菲耐得资产组与购买日、以前年度商誉减值测试时所</w:t>
      </w:r>
      <w:r>
        <w:rPr>
          <w:spacing w:val="40"/>
        </w:rPr>
        <w:t> </w:t>
      </w:r>
      <w:r>
        <w:rPr>
          <w:spacing w:val="40"/>
        </w:rPr>
      </w:r>
      <w:r>
        <w:rPr>
          <w:spacing w:val="-3"/>
        </w:rPr>
        <w:t>确定的资产组一致；</w:t>
      </w:r>
    </w:p>
    <w:p>
      <w:pPr>
        <w:pStyle w:val="BodyText"/>
        <w:spacing w:line="309" w:lineRule="auto" w:before="24"/>
        <w:ind w:right="1124" w:firstLine="508"/>
        <w:jc w:val="both"/>
      </w:pPr>
      <w:r>
        <w:rPr>
          <w:spacing w:val="-3"/>
        </w:rPr>
        <w:t>④东京润和：本公司于</w:t>
      </w:r>
      <w:r>
        <w:rPr>
          <w:rFonts w:ascii="Times New Roman" w:hAnsi="Times New Roman" w:cs="Times New Roman" w:eastAsia="Times New Roman" w:hint="default"/>
          <w:spacing w:val="-3"/>
        </w:rPr>
        <w:t>2008</w:t>
      </w:r>
      <w:r>
        <w:rPr>
          <w:spacing w:val="-3"/>
        </w:rPr>
        <w:t>年收购东京润和</w:t>
      </w:r>
      <w:r>
        <w:rPr>
          <w:rFonts w:ascii="Times New Roman" w:hAnsi="Times New Roman" w:cs="Times New Roman" w:eastAsia="Times New Roman" w:hint="default"/>
          <w:spacing w:val="-3"/>
        </w:rPr>
        <w:t>91.67%</w:t>
      </w:r>
      <w:r>
        <w:rPr>
          <w:spacing w:val="-3"/>
        </w:rPr>
        <w:t>股权产生商誉</w:t>
      </w:r>
      <w:r>
        <w:rPr>
          <w:rFonts w:ascii="Times New Roman" w:hAnsi="Times New Roman" w:cs="Times New Roman" w:eastAsia="Times New Roman" w:hint="default"/>
          <w:spacing w:val="-3"/>
        </w:rPr>
        <w:t>295,996.75</w:t>
      </w:r>
      <w:r>
        <w:rPr>
          <w:spacing w:val="-3"/>
        </w:rPr>
        <w:t>元，并购后东京润和业务、技术及人员仍</w:t>
      </w:r>
      <w:r>
        <w:rPr>
          <w:w w:val="101"/>
        </w:rPr>
        <w:t> </w:t>
      </w:r>
      <w:r>
        <w:rPr>
          <w:spacing w:val="-4"/>
        </w:rPr>
        <w:t>然相对独立，且独立产出现金流入，因此公司将该商誉分配至东京润和资产组，东京润和资产组与购买日、以前年度商誉减</w:t>
      </w:r>
      <w:r>
        <w:rPr>
          <w:spacing w:val="40"/>
        </w:rPr>
        <w:t> </w:t>
      </w:r>
      <w:r>
        <w:rPr>
          <w:spacing w:val="40"/>
        </w:rPr>
      </w:r>
      <w:r>
        <w:rPr>
          <w:spacing w:val="-3"/>
        </w:rPr>
        <w:t>值测试时所确定的资产组一致；</w:t>
      </w:r>
    </w:p>
    <w:p>
      <w:pPr>
        <w:pStyle w:val="BodyText"/>
        <w:spacing w:line="240" w:lineRule="auto" w:before="24"/>
        <w:ind w:left="662" w:right="0"/>
        <w:jc w:val="left"/>
      </w:pPr>
      <w:r>
        <w:rPr>
          <w:spacing w:val="-3"/>
        </w:rPr>
        <w:t>⑤新维数联：本公司于</w:t>
      </w:r>
      <w:r>
        <w:rPr>
          <w:rFonts w:ascii="Times New Roman" w:hAnsi="Times New Roman" w:cs="Times New Roman" w:eastAsia="Times New Roman" w:hint="default"/>
          <w:spacing w:val="-3"/>
        </w:rPr>
        <w:t>2018</w:t>
      </w:r>
      <w:r>
        <w:rPr>
          <w:spacing w:val="-3"/>
        </w:rPr>
        <w:t>年收购新维数联</w:t>
      </w:r>
      <w:r>
        <w:rPr>
          <w:rFonts w:ascii="Times New Roman" w:hAnsi="Times New Roman" w:cs="Times New Roman" w:eastAsia="Times New Roman" w:hint="default"/>
          <w:spacing w:val="-3"/>
        </w:rPr>
        <w:t>30%</w:t>
      </w:r>
      <w:r>
        <w:rPr>
          <w:spacing w:val="-3"/>
        </w:rPr>
        <w:t>股权产生商誉</w:t>
      </w:r>
      <w:r>
        <w:rPr>
          <w:rFonts w:ascii="Times New Roman" w:hAnsi="Times New Roman" w:cs="Times New Roman" w:eastAsia="Times New Roman" w:hint="default"/>
          <w:spacing w:val="-3"/>
        </w:rPr>
        <w:t>22,176,701.16</w:t>
      </w:r>
      <w:r>
        <w:rPr>
          <w:spacing w:val="-3"/>
        </w:rPr>
        <w:t>元，并购后新维数联业务、技术及人员仍</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40" w:lineRule="auto" w:before="46"/>
        <w:ind w:right="1026"/>
        <w:jc w:val="left"/>
      </w:pPr>
      <w:r>
        <w:rPr>
          <w:spacing w:val="-4"/>
        </w:rPr>
        <w:t>然相对独立，且独立产出现金流入，因此公司将该商誉分配至新维数联资产组，新维数联资产组与购买日所确定的资产组一</w:t>
      </w:r>
      <w:r>
        <w:rPr>
          <w:spacing w:val="43"/>
        </w:rPr>
        <w:t> </w:t>
      </w:r>
      <w:r>
        <w:rPr>
          <w:spacing w:val="43"/>
        </w:rPr>
      </w:r>
      <w:r>
        <w:rPr/>
        <w:t>致；</w:t>
      </w:r>
      <w:r>
        <w:rPr>
          <w:spacing w:val="-86"/>
        </w:rPr>
        <w:t> </w:t>
      </w:r>
      <w:r>
        <w:rPr>
          <w:spacing w:val="-4"/>
        </w:rPr>
        <w:t>说明商誉减值测试过程、关键参数（如预计未来现金流量现值时的预测期增长率、稳定期增长率、利润率、折现率、预测期</w:t>
      </w:r>
    </w:p>
    <w:p>
      <w:pPr>
        <w:pStyle w:val="BodyText"/>
        <w:spacing w:line="240" w:lineRule="auto" w:before="1"/>
        <w:ind w:right="0"/>
        <w:jc w:val="left"/>
      </w:pPr>
      <w:r>
        <w:rPr>
          <w:spacing w:val="-3"/>
        </w:rPr>
        <w:t>等）及商誉减值损失的确认方法：</w:t>
      </w:r>
    </w:p>
    <w:p>
      <w:pPr>
        <w:pStyle w:val="BodyText"/>
        <w:spacing w:line="300" w:lineRule="auto" w:before="115"/>
        <w:ind w:left="662" w:right="0"/>
        <w:jc w:val="left"/>
      </w:pP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日对上述商誉执行了减值测试。本年均未发生减值，本公司本年无需计提商誉减值准备。</w:t>
      </w:r>
      <w:r>
        <w:rPr>
          <w:spacing w:val="60"/>
        </w:rPr>
        <w:t> </w:t>
      </w:r>
      <w:r>
        <w:rPr>
          <w:spacing w:val="60"/>
        </w:rPr>
      </w:r>
      <w:r>
        <w:rPr>
          <w:spacing w:val="-3"/>
        </w:rPr>
        <w:t>本公司对商誉相关资产组的可收回金额采用预计未来现金流量的现值，根据管理层批准的</w:t>
      </w:r>
      <w:r>
        <w:rPr>
          <w:rFonts w:ascii="Times New Roman" w:hAnsi="Times New Roman" w:cs="Times New Roman" w:eastAsia="Times New Roman" w:hint="default"/>
          <w:spacing w:val="-3"/>
        </w:rPr>
        <w:t>5</w:t>
      </w:r>
      <w:r>
        <w:rPr>
          <w:spacing w:val="-3"/>
        </w:rPr>
        <w:t>年期的财务预算基础上的</w:t>
      </w:r>
    </w:p>
    <w:p>
      <w:pPr>
        <w:pStyle w:val="BodyText"/>
        <w:spacing w:line="316" w:lineRule="auto" w:before="13"/>
        <w:ind w:left="662" w:right="1026" w:hanging="509"/>
        <w:jc w:val="left"/>
      </w:pPr>
      <w:r>
        <w:rPr/>
        <w:t>现金流量预测来确定。</w:t>
      </w:r>
      <w:r>
        <w:rPr>
          <w:spacing w:val="-86"/>
        </w:rPr>
        <w:t> </w:t>
      </w:r>
      <w:r>
        <w:rPr>
          <w:spacing w:val="-86"/>
        </w:rPr>
      </w:r>
      <w:r>
        <w:rPr>
          <w:spacing w:val="-4"/>
        </w:rPr>
        <w:t>计算相关资产组于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日预计未来现金流量现值采用了假设，以下详述了管理层为进行商誉的减值测试，在</w:t>
      </w:r>
    </w:p>
    <w:p>
      <w:pPr>
        <w:pStyle w:val="BodyText"/>
        <w:spacing w:line="316" w:lineRule="auto"/>
        <w:ind w:left="662" w:right="0" w:hanging="509"/>
        <w:jc w:val="left"/>
      </w:pPr>
      <w:r>
        <w:rPr>
          <w:spacing w:val="-3"/>
        </w:rPr>
        <w:t>确定现金流量预测时作出的关键假设：</w:t>
      </w:r>
      <w:r>
        <w:rPr>
          <w:spacing w:val="-39"/>
        </w:rPr>
        <w:t> </w:t>
      </w:r>
      <w:r>
        <w:rPr>
          <w:spacing w:val="-39"/>
        </w:rPr>
      </w:r>
      <w:r>
        <w:rPr>
          <w:spacing w:val="-4"/>
        </w:rPr>
        <w:t>收入增长：确定基础是在预算年度前一年及历史上实现的收入增长率基础上，根据预计的市场需求及自身的业务发展</w:t>
      </w:r>
    </w:p>
    <w:p>
      <w:pPr>
        <w:pStyle w:val="BodyText"/>
        <w:spacing w:line="316" w:lineRule="auto" w:before="19"/>
        <w:ind w:left="662" w:right="0" w:hanging="509"/>
        <w:jc w:val="left"/>
      </w:pPr>
      <w:r>
        <w:rPr>
          <w:spacing w:val="-3"/>
        </w:rPr>
        <w:t>及营销战略而保持相应的增长率。</w:t>
      </w:r>
      <w:r>
        <w:rPr>
          <w:spacing w:val="-44"/>
        </w:rPr>
        <w:t> </w:t>
      </w:r>
      <w:r>
        <w:rPr>
          <w:spacing w:val="-44"/>
        </w:rPr>
      </w:r>
      <w:r>
        <w:rPr>
          <w:spacing w:val="-4"/>
        </w:rPr>
        <w:t>预算毛利：确定基础是在预算年度前一年实现的平均毛利率基础上，根据预计效率的提高及预计市场开发情况适当调</w:t>
      </w:r>
    </w:p>
    <w:p>
      <w:pPr>
        <w:pStyle w:val="BodyText"/>
        <w:spacing w:line="240" w:lineRule="auto" w:before="19"/>
        <w:ind w:right="0"/>
        <w:jc w:val="left"/>
      </w:pPr>
      <w:r>
        <w:rPr/>
        <w:t>整该平均毛利率。</w:t>
      </w:r>
    </w:p>
    <w:p>
      <w:pPr>
        <w:pStyle w:val="BodyText"/>
        <w:spacing w:line="316" w:lineRule="auto" w:before="77"/>
        <w:ind w:left="662" w:right="3567"/>
        <w:jc w:val="left"/>
      </w:pPr>
      <w:r>
        <w:rPr>
          <w:spacing w:val="-3"/>
        </w:rPr>
        <w:t>折现率：采用的折现率是反映相关资产组特定风险的税前折现率。</w:t>
      </w:r>
      <w:r>
        <w:rPr>
          <w:spacing w:val="-8"/>
        </w:rPr>
        <w:t> </w:t>
      </w:r>
      <w:r>
        <w:rPr>
          <w:spacing w:val="-8"/>
        </w:rPr>
      </w:r>
      <w:r>
        <w:rPr>
          <w:spacing w:val="-3"/>
        </w:rPr>
        <w:t>关键商誉减值结果如下：</w:t>
      </w:r>
    </w:p>
    <w:p>
      <w:pPr>
        <w:pStyle w:val="BodyText"/>
        <w:spacing w:line="316" w:lineRule="auto" w:before="19"/>
        <w:ind w:left="662" w:right="0"/>
        <w:jc w:val="left"/>
      </w:pPr>
      <w:r>
        <w:rPr>
          <w:spacing w:val="-3"/>
        </w:rPr>
        <w:t>①联创智融资产组</w:t>
      </w:r>
      <w:r>
        <w:rPr>
          <w:spacing w:val="-67"/>
        </w:rPr>
        <w:t> </w:t>
      </w:r>
      <w:r>
        <w:rPr>
          <w:spacing w:val="-67"/>
        </w:rPr>
      </w:r>
      <w:r>
        <w:rPr>
          <w:spacing w:val="-4"/>
        </w:rPr>
        <w:t>本公司对该资产组可收回金额是根据资产组的预计未来现金流量现值来确定。预计未来现金流量来源为管理层批准的</w:t>
      </w:r>
    </w:p>
    <w:p>
      <w:pPr>
        <w:pStyle w:val="BodyText"/>
        <w:spacing w:line="309" w:lineRule="auto" w:before="19"/>
        <w:ind w:left="662" w:right="6287" w:hanging="509"/>
        <w:jc w:val="left"/>
      </w:pPr>
      <w:r>
        <w:rPr>
          <w:rFonts w:ascii="Times New Roman" w:hAnsi="Times New Roman" w:cs="Times New Roman" w:eastAsia="Times New Roman" w:hint="default"/>
          <w:spacing w:val="-3"/>
        </w:rPr>
        <w:t>5</w:t>
      </w:r>
      <w:r>
        <w:rPr>
          <w:spacing w:val="-3"/>
        </w:rPr>
        <w:t>年期财务预算中的现金流量预测数据。</w:t>
      </w:r>
      <w:r>
        <w:rPr>
          <w:spacing w:val="-34"/>
        </w:rPr>
        <w:t> </w:t>
      </w:r>
      <w:r>
        <w:rPr>
          <w:spacing w:val="-34"/>
        </w:rPr>
      </w:r>
      <w:r>
        <w:rPr>
          <w:spacing w:val="-3"/>
        </w:rPr>
        <w:t>业绩承诺的完成情况及其对商誉减值测试的影响</w:t>
      </w:r>
      <w:r>
        <w:rPr>
          <w:w w:val="101"/>
        </w:rPr>
        <w:t> </w:t>
      </w:r>
      <w:r>
        <w:rPr>
          <w:spacing w:val="-3"/>
        </w:rPr>
        <w:t>形成商誉时的并购重组业绩承诺完成情况：</w:t>
      </w:r>
    </w:p>
    <w:p>
      <w:pPr>
        <w:spacing w:line="240" w:lineRule="auto" w:before="9"/>
        <w:rPr>
          <w:rFonts w:ascii="宋体" w:hAnsi="宋体" w:cs="宋体" w:eastAsia="宋体" w:hint="default"/>
          <w:sz w:val="25"/>
          <w:szCs w:val="25"/>
        </w:rPr>
      </w:pPr>
    </w:p>
    <w:p>
      <w:pPr>
        <w:pStyle w:val="BodyText"/>
        <w:spacing w:line="240" w:lineRule="auto"/>
        <w:ind w:right="0"/>
        <w:jc w:val="left"/>
      </w:pPr>
      <w:r>
        <w:rPr/>
        <w:t>单位：万元</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810"/>
        <w:gridCol w:w="1983"/>
        <w:gridCol w:w="1849"/>
        <w:gridCol w:w="1839"/>
        <w:gridCol w:w="1380"/>
      </w:tblGrid>
      <w:tr>
        <w:trPr>
          <w:trHeight w:val="348" w:hRule="exact"/>
        </w:trPr>
        <w:tc>
          <w:tcPr>
            <w:tcW w:w="1810"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849"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6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839"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5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380"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346" w:hRule="exact"/>
        </w:trPr>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当年业绩承诺</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13,000.00</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16,600.00</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18,800.00</w:t>
            </w:r>
          </w:p>
        </w:tc>
        <w:tc>
          <w:tcPr>
            <w:tcW w:w="138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22,600.00</w:t>
            </w:r>
          </w:p>
        </w:tc>
      </w:tr>
      <w:tr>
        <w:trPr>
          <w:trHeight w:val="350" w:hRule="exact"/>
        </w:trPr>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实际完成情况</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13,484.79</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16,880.33</w:t>
            </w:r>
          </w:p>
        </w:tc>
        <w:tc>
          <w:tcPr>
            <w:tcW w:w="18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19,333.79</w:t>
            </w:r>
          </w:p>
        </w:tc>
        <w:tc>
          <w:tcPr>
            <w:tcW w:w="138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23,633.11</w:t>
            </w:r>
          </w:p>
        </w:tc>
      </w:tr>
    </w:tbl>
    <w:p>
      <w:pPr>
        <w:pStyle w:val="BodyText"/>
        <w:spacing w:line="300" w:lineRule="auto" w:before="10"/>
        <w:ind w:left="662" w:right="2686"/>
        <w:jc w:val="left"/>
      </w:pPr>
      <w:r>
        <w:rPr/>
        <w:t>联创智融</w:t>
      </w:r>
      <w:r>
        <w:rPr>
          <w:rFonts w:ascii="Times New Roman" w:hAnsi="Times New Roman" w:cs="Times New Roman" w:eastAsia="Times New Roman" w:hint="default"/>
        </w:rPr>
        <w:t>2015-2018</w:t>
      </w:r>
      <w:r>
        <w:rPr/>
        <w:t>年度的业绩承诺已经实现。</w:t>
      </w:r>
      <w:r>
        <w:rPr>
          <w:w w:val="101"/>
        </w:rPr>
        <w:t> </w:t>
      </w:r>
      <w:r>
        <w:rPr>
          <w:spacing w:val="-3"/>
        </w:rPr>
        <w:t>根据商誉减值测试过程，收购联创智融确认的商誉截止</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6"/>
        </w:rPr>
        <w:t> </w:t>
      </w:r>
      <w:r>
        <w:rPr>
          <w:spacing w:val="-3"/>
        </w:rPr>
        <w:t>日无需计提减值准备。</w:t>
      </w:r>
    </w:p>
    <w:p>
      <w:pPr>
        <w:pStyle w:val="BodyText"/>
        <w:spacing w:line="319" w:lineRule="auto" w:before="13"/>
        <w:ind w:left="662" w:right="0"/>
        <w:jc w:val="left"/>
      </w:pPr>
      <w:r>
        <w:rPr>
          <w:spacing w:val="-3"/>
        </w:rPr>
        <w:t>②捷科智诚资产组</w:t>
      </w:r>
      <w:r>
        <w:rPr>
          <w:spacing w:val="-67"/>
        </w:rPr>
        <w:t> </w:t>
      </w:r>
      <w:r>
        <w:rPr>
          <w:spacing w:val="-67"/>
        </w:rPr>
      </w:r>
      <w:r>
        <w:rPr>
          <w:spacing w:val="-4"/>
        </w:rPr>
        <w:t>本公司对该资产组可收回金额是根据资产组的预计未来现金流量现值来确定。预计未来现金流量来源为管理层批准的</w:t>
      </w:r>
    </w:p>
    <w:p>
      <w:pPr>
        <w:pStyle w:val="BodyText"/>
        <w:spacing w:line="240" w:lineRule="auto" w:before="17"/>
        <w:ind w:right="0"/>
        <w:jc w:val="left"/>
      </w:pPr>
      <w:r>
        <w:rPr>
          <w:rFonts w:ascii="Times New Roman" w:hAnsi="Times New Roman" w:cs="Times New Roman" w:eastAsia="Times New Roman" w:hint="default"/>
          <w:spacing w:val="-3"/>
        </w:rPr>
        <w:t>5</w:t>
      </w:r>
      <w:r>
        <w:rPr>
          <w:spacing w:val="-3"/>
        </w:rPr>
        <w:t>年期财务预算中的现金流量预测数据。根据商誉减值测试结果，本公司无需对该商誉计提减值准备。</w:t>
      </w:r>
    </w:p>
    <w:p>
      <w:pPr>
        <w:pStyle w:val="BodyText"/>
        <w:spacing w:line="316" w:lineRule="auto" w:before="63"/>
        <w:ind w:left="662" w:right="1026"/>
        <w:jc w:val="left"/>
      </w:pPr>
      <w:r>
        <w:rPr>
          <w:spacing w:val="-3"/>
        </w:rPr>
        <w:t>③菲耐得资产组</w:t>
      </w:r>
      <w:r>
        <w:rPr>
          <w:spacing w:val="-68"/>
        </w:rPr>
        <w:t> </w:t>
      </w:r>
      <w:r>
        <w:rPr>
          <w:spacing w:val="-68"/>
        </w:rPr>
      </w:r>
      <w:r>
        <w:rPr>
          <w:spacing w:val="-4"/>
        </w:rPr>
        <w:t>本公司对该资产组可收回金额是根据资产组的预计未来现金流量现值来确定。预计未来现金流量来源为管理层批准的</w:t>
      </w:r>
    </w:p>
    <w:p>
      <w:pPr>
        <w:pStyle w:val="BodyText"/>
        <w:spacing w:line="343" w:lineRule="auto" w:before="19"/>
        <w:ind w:right="1645"/>
        <w:jc w:val="left"/>
      </w:pPr>
      <w:r>
        <w:rPr>
          <w:rFonts w:ascii="Times New Roman" w:hAnsi="Times New Roman" w:cs="Times New Roman" w:eastAsia="Times New Roman" w:hint="default"/>
          <w:spacing w:val="-3"/>
        </w:rPr>
        <w:t>5</w:t>
      </w:r>
      <w:r>
        <w:rPr>
          <w:spacing w:val="-3"/>
        </w:rPr>
        <w:t>年期财务预算中的现金流量预测数据。根据商誉减值测试结果，本公司无需对该商誉计提减值准备。</w:t>
      </w:r>
      <w:r>
        <w:rPr>
          <w:spacing w:val="47"/>
        </w:rPr>
        <w:t> </w:t>
      </w:r>
      <w:r>
        <w:rPr>
          <w:spacing w:val="47"/>
        </w:rPr>
      </w:r>
      <w:r>
        <w:rPr>
          <w:spacing w:val="-3"/>
        </w:rPr>
        <w:t>商誉减值测试的影响</w:t>
      </w:r>
    </w:p>
    <w:p>
      <w:pPr>
        <w:pStyle w:val="BodyText"/>
        <w:spacing w:line="316" w:lineRule="auto" w:before="32"/>
        <w:ind w:left="662" w:right="0"/>
        <w:jc w:val="left"/>
      </w:pPr>
      <w:r>
        <w:rPr>
          <w:spacing w:val="-3"/>
        </w:rPr>
        <w:t>联创智融、捷科智诚、菲耐得在承诺期内均完成了业绩承诺，经测试，本公司商誉均未发生减值迹象。</w:t>
      </w:r>
      <w:r>
        <w:rPr>
          <w:spacing w:val="37"/>
        </w:rPr>
        <w:t> </w:t>
      </w:r>
      <w:r>
        <w:rPr>
          <w:spacing w:val="37"/>
        </w:rPr>
      </w:r>
      <w:r>
        <w:rPr>
          <w:spacing w:val="-3"/>
        </w:rPr>
        <w:t>联创智融、捷科智诚、菲耐得承诺期内业绩完成情况如下：</w:t>
      </w:r>
    </w:p>
    <w:p>
      <w:pPr>
        <w:pStyle w:val="BodyText"/>
        <w:spacing w:line="636" w:lineRule="auto" w:before="19"/>
        <w:ind w:right="7602" w:firstLine="508"/>
        <w:jc w:val="left"/>
      </w:pPr>
      <w:r>
        <w:rPr/>
        <w:pict>
          <v:shape style="position:absolute;margin-left:56.183998pt;margin-top:47.251682pt;width:416.85pt;height:53.0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5"/>
                    <w:gridCol w:w="1863"/>
                    <w:gridCol w:w="1733"/>
                    <w:gridCol w:w="1724"/>
                    <w:gridCol w:w="1294"/>
                  </w:tblGrid>
                  <w:tr>
                    <w:trPr>
                      <w:trHeight w:val="353" w:hRule="exact"/>
                    </w:trPr>
                    <w:tc>
                      <w:tcPr>
                        <w:tcW w:w="1695"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3"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733"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724"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294" w:type="dxa"/>
                        <w:tcBorders>
                          <w:top w:val="single" w:sz="6" w:space="0" w:color="000000"/>
                          <w:left w:val="single" w:sz="6" w:space="0" w:color="000000"/>
                          <w:bottom w:val="single" w:sz="8" w:space="0" w:color="000000"/>
                          <w:right w:val="nil" w:sz="6" w:space="0" w:color="auto"/>
                        </w:tcBorders>
                      </w:tcPr>
                      <w:p>
                        <w:pPr>
                          <w:pStyle w:val="TableParagraph"/>
                          <w:spacing w:line="290" w:lineRule="exact"/>
                          <w:ind w:left="3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346" w:hRule="exact"/>
                    </w:trPr>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当年业绩承诺</w:t>
                        </w:r>
                      </w:p>
                    </w:tc>
                    <w:tc>
                      <w:tcPr>
                        <w:tcW w:w="18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13,000.00</w:t>
                        </w:r>
                      </w:p>
                    </w:tc>
                    <w:tc>
                      <w:tcPr>
                        <w:tcW w:w="1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16,600.00</w:t>
                        </w:r>
                      </w:p>
                    </w:tc>
                    <w:tc>
                      <w:tcPr>
                        <w:tcW w:w="17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18,800.00</w:t>
                        </w:r>
                      </w:p>
                    </w:tc>
                    <w:tc>
                      <w:tcPr>
                        <w:tcW w:w="129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22,600.00</w:t>
                        </w:r>
                      </w:p>
                    </w:tc>
                  </w:tr>
                  <w:tr>
                    <w:trPr>
                      <w:trHeight w:val="346" w:hRule="exact"/>
                    </w:trPr>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实际完成情况</w:t>
                        </w:r>
                      </w:p>
                    </w:tc>
                    <w:tc>
                      <w:tcPr>
                        <w:tcW w:w="18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13,484.79</w:t>
                        </w:r>
                      </w:p>
                    </w:tc>
                    <w:tc>
                      <w:tcPr>
                        <w:tcW w:w="1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16,880.33</w:t>
                        </w:r>
                      </w:p>
                    </w:tc>
                    <w:tc>
                      <w:tcPr>
                        <w:tcW w:w="17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19,333.79</w:t>
                        </w:r>
                      </w:p>
                    </w:tc>
                    <w:tc>
                      <w:tcPr>
                        <w:tcW w:w="129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23,633.11</w:t>
                        </w:r>
                      </w:p>
                    </w:tc>
                  </w:tr>
                </w:tbl>
                <w:p>
                  <w:pPr/>
                </w:p>
              </w:txbxContent>
            </v:textbox>
            <w10:wrap type="none"/>
          </v:shape>
        </w:pict>
      </w:r>
      <w:r>
        <w:rPr>
          <w:spacing w:val="-3"/>
        </w:rPr>
        <w:t>①联创智融业绩承诺完成情况：</w:t>
      </w:r>
      <w:r>
        <w:rPr>
          <w:w w:val="101"/>
        </w:rPr>
        <w:t> </w:t>
      </w: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6"/>
        <w:ind w:left="662" w:right="0"/>
        <w:jc w:val="left"/>
      </w:pPr>
      <w:r>
        <w:rPr>
          <w:spacing w:val="-3"/>
        </w:rPr>
        <w:t>②捷科智诚业绩承诺完成情况：</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6"/>
        <w:ind w:right="0"/>
        <w:jc w:val="left"/>
      </w:pPr>
      <w:r>
        <w:rPr/>
        <w:t>单位：万元</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844"/>
        <w:gridCol w:w="2127"/>
        <w:gridCol w:w="2127"/>
        <w:gridCol w:w="2211"/>
      </w:tblGrid>
      <w:tr>
        <w:trPr>
          <w:trHeight w:val="348" w:hRule="exact"/>
        </w:trPr>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2211"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351" w:hRule="exact"/>
        </w:trPr>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当年业绩承诺</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4,850.00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6,300.00</w:t>
            </w:r>
          </w:p>
        </w:tc>
        <w:tc>
          <w:tcPr>
            <w:tcW w:w="22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6,805.00</w:t>
            </w:r>
          </w:p>
        </w:tc>
      </w:tr>
      <w:tr>
        <w:trPr>
          <w:trHeight w:val="346" w:hRule="exact"/>
        </w:trPr>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实际完成情况</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4,986.97</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6,474.43</w:t>
            </w:r>
          </w:p>
        </w:tc>
        <w:tc>
          <w:tcPr>
            <w:tcW w:w="22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7,005.30</w:t>
            </w:r>
          </w:p>
        </w:tc>
      </w:tr>
    </w:tbl>
    <w:p>
      <w:pPr>
        <w:pStyle w:val="BodyText"/>
        <w:spacing w:line="636" w:lineRule="auto" w:before="10"/>
        <w:ind w:right="7602" w:firstLine="508"/>
        <w:jc w:val="left"/>
      </w:pPr>
      <w:r>
        <w:rPr/>
        <w:pict>
          <v:shape style="position:absolute;margin-left:56.183998pt;margin-top:46.791744pt;width:416.85pt;height:53.0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7"/>
                    <w:gridCol w:w="2127"/>
                    <w:gridCol w:w="2211"/>
                  </w:tblGrid>
                  <w:tr>
                    <w:trPr>
                      <w:trHeight w:val="348" w:hRule="exact"/>
                    </w:trPr>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211"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350" w:hRule="exact"/>
                    </w:trPr>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当年业绩承诺</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600.00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720.00</w:t>
                        </w:r>
                      </w:p>
                    </w:tc>
                    <w:tc>
                      <w:tcPr>
                        <w:tcW w:w="22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864.00</w:t>
                        </w:r>
                      </w:p>
                    </w:tc>
                  </w:tr>
                  <w:tr>
                    <w:trPr>
                      <w:trHeight w:val="346" w:hRule="exact"/>
                    </w:trPr>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实际完成情况</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828.61</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1,225.19</w:t>
                        </w:r>
                      </w:p>
                    </w:tc>
                    <w:tc>
                      <w:tcPr>
                        <w:tcW w:w="22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1,135.40</w:t>
                        </w:r>
                      </w:p>
                    </w:tc>
                  </w:tr>
                </w:tbl>
                <w:p>
                  <w:pPr/>
                </w:p>
              </w:txbxContent>
            </v:textbox>
            <w10:wrap type="none"/>
          </v:shape>
        </w:pict>
      </w:r>
      <w:r>
        <w:rPr>
          <w:spacing w:val="-3"/>
        </w:rPr>
        <w:t>③菲耐得业绩承诺完成情况：</w:t>
      </w:r>
      <w:r>
        <w:rPr>
          <w:w w:val="101"/>
        </w:rPr>
        <w:t> </w:t>
      </w: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6"/>
        <w:ind w:right="0"/>
        <w:jc w:val="left"/>
      </w:pPr>
      <w:r>
        <w:rPr/>
        <w:t>其他说明</w:t>
      </w:r>
    </w:p>
    <w:p>
      <w:pPr>
        <w:pStyle w:val="BodyText"/>
        <w:spacing w:line="300" w:lineRule="auto" w:before="115"/>
        <w:ind w:right="0" w:firstLine="508"/>
        <w:jc w:val="left"/>
      </w:pPr>
      <w:r>
        <w:rPr>
          <w:spacing w:val="-3"/>
        </w:rPr>
        <w:t>本期商誉增加系非同一控制下企业合并新增子公司新维数联所产生，具体计算过程见附注八、合并范围的变更</w:t>
      </w:r>
      <w:r>
        <w:rPr>
          <w:rFonts w:ascii="Times New Roman" w:hAnsi="Times New Roman" w:cs="Times New Roman" w:eastAsia="Times New Roman" w:hint="default"/>
          <w:spacing w:val="-3"/>
        </w:rPr>
        <w:t>1</w:t>
      </w:r>
      <w:r>
        <w:rPr>
          <w:spacing w:val="-3"/>
        </w:rPr>
        <w:t>、非</w:t>
      </w:r>
      <w:r>
        <w:rPr>
          <w:w w:val="101"/>
        </w:rPr>
        <w:t> </w:t>
      </w:r>
      <w:r>
        <w:rPr/>
        <w:t>同一控制下企业合并。</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借款顾问费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7,487,595.58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5,318,820.87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2,168,774.71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6,430,099.39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3,529,285.02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2,608,187.68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7,351,196.73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60,283.02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60,283.02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13,917,694.97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3,589,568.04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7,927,008.55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9,580,254.46</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长期待摊费用期末余额较期初余额减少</w:t>
      </w:r>
      <w:r>
        <w:rPr>
          <w:rFonts w:ascii="Times New Roman" w:hAnsi="Times New Roman" w:cs="Times New Roman" w:eastAsia="Times New Roman" w:hint="default"/>
          <w:spacing w:val="-3"/>
        </w:rPr>
        <w:t>31.16%</w:t>
      </w:r>
      <w:r>
        <w:rPr>
          <w:spacing w:val="-3"/>
        </w:rPr>
        <w:t>，主要原因是公司并购借款顾问费本期摊销转入财务费用。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92,379,193.71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11,065,915.08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85,438,988.99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10,293,576.75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5,407,294.58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811,094.19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8,526,521.71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1,278,978.26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301,590,108.24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49,865,527.38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179,021,055.38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28,760,761.74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44,810,740.00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6,721,611.00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无形资产摊销会计与税</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17,627,241.61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2,542,350.71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10,008,953.01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1,524,430.29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6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法差异</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1,938,106.91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290,716.04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1,938,106.91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290,716.04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367,500.00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426,441,945.05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65,700,603.40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332,194,366.00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49,237,574.08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12,138,273.61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1,220,862.16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24,991,896.16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2,620,561.79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12,138,273.61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1,220,862.16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24,991,896.16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2,620,561.79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51"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65,700,603.40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49,237,574.08</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1,220,862.16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2,620,561.79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1,727,536.34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593,005.06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32,306,064.53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1,736,145.16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34,033,600.87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2,329,150.22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88,283.66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2,554,314.36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5,147,852.94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1,535,167.85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3,876,621.31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200,977.31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20,638,992.26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32,306,064.53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1,736,145.16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t>其他说明：</w:t>
      </w:r>
    </w:p>
    <w:p>
      <w:pPr>
        <w:pStyle w:val="BodyText"/>
        <w:spacing w:line="240" w:lineRule="auto" w:before="110"/>
        <w:ind w:left="518" w:right="0"/>
        <w:jc w:val="left"/>
      </w:pPr>
      <w:r>
        <w:rPr>
          <w:spacing w:val="-3"/>
        </w:rPr>
        <w:t>（</w:t>
      </w:r>
      <w:r>
        <w:rPr>
          <w:rFonts w:ascii="Times New Roman" w:hAnsi="Times New Roman" w:cs="Times New Roman" w:eastAsia="Times New Roman" w:hint="default"/>
          <w:spacing w:val="-3"/>
        </w:rPr>
        <w:t>1</w:t>
      </w:r>
      <w:r>
        <w:rPr>
          <w:spacing w:val="-3"/>
        </w:rPr>
        <w:t>）本期因非同一控制下企业合并新增子公司新维数联增加递延所得税资产</w:t>
      </w:r>
      <w:r>
        <w:rPr>
          <w:rFonts w:ascii="Times New Roman" w:hAnsi="Times New Roman" w:cs="Times New Roman" w:eastAsia="Times New Roman" w:hint="default"/>
          <w:spacing w:val="-3"/>
        </w:rPr>
        <w:t>4,607,537.42</w:t>
      </w:r>
      <w:r>
        <w:rPr>
          <w:spacing w:val="-3"/>
        </w:rPr>
        <w:t>元。</w:t>
      </w:r>
      <w:r>
        <w:rPr/>
      </w:r>
    </w:p>
    <w:p>
      <w:pPr>
        <w:pStyle w:val="BodyText"/>
        <w:spacing w:line="300" w:lineRule="auto" w:before="63"/>
        <w:ind w:right="1026" w:firstLine="364"/>
        <w:jc w:val="left"/>
      </w:pPr>
      <w:r>
        <w:rPr>
          <w:spacing w:val="-3"/>
        </w:rPr>
        <w:t>（</w:t>
      </w:r>
      <w:r>
        <w:rPr>
          <w:rFonts w:ascii="Times New Roman" w:hAnsi="Times New Roman" w:cs="Times New Roman" w:eastAsia="Times New Roman" w:hint="default"/>
          <w:spacing w:val="-3"/>
        </w:rPr>
        <w:t>2</w:t>
      </w:r>
      <w:r>
        <w:rPr>
          <w:spacing w:val="-3"/>
        </w:rPr>
        <w:t>）递延所得税资产期末余额较期初余额增长</w:t>
      </w:r>
      <w:r>
        <w:rPr>
          <w:rFonts w:ascii="Times New Roman" w:hAnsi="Times New Roman" w:cs="Times New Roman" w:eastAsia="Times New Roman" w:hint="default"/>
          <w:spacing w:val="-3"/>
        </w:rPr>
        <w:t>33.44%</w:t>
      </w:r>
      <w:r>
        <w:rPr>
          <w:spacing w:val="-3"/>
        </w:rPr>
        <w:t>，主要原因是本期可抵扣亏损大幅提高，确认的递延所得税资产</w:t>
      </w:r>
      <w:r>
        <w:rPr>
          <w:w w:val="101"/>
        </w:rPr>
        <w:t> </w:t>
      </w:r>
      <w:r>
        <w:rPr/>
        <w:t>相应增加。</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3</w:t>
      </w:r>
      <w:r>
        <w:rPr>
          <w:spacing w:val="-3"/>
        </w:rPr>
        <w:t>）递延所得税负债期末余额较期初余额减少</w:t>
      </w:r>
      <w:r>
        <w:rPr>
          <w:rFonts w:ascii="Times New Roman" w:hAnsi="Times New Roman" w:cs="Times New Roman" w:eastAsia="Times New Roman" w:hint="default"/>
          <w:spacing w:val="-3"/>
        </w:rPr>
        <w:t>53.41%</w:t>
      </w:r>
      <w:r>
        <w:rPr>
          <w:spacing w:val="-3"/>
        </w:rPr>
        <w:t>，主要原因是非同一控制下被合并方评估增值形成的递延所得税</w:t>
      </w:r>
      <w:r>
        <w:rPr>
          <w:w w:val="101"/>
        </w:rPr>
        <w:t> </w:t>
      </w:r>
      <w:r>
        <w:rPr>
          <w:spacing w:val="-3"/>
        </w:rPr>
        <w:t>负债本期转入所得税费用。</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710,000,000.00</w:t>
            </w:r>
          </w:p>
        </w:tc>
      </w:tr>
    </w:tbl>
    <w:p>
      <w:pPr>
        <w:pStyle w:val="BodyText"/>
        <w:spacing w:line="240" w:lineRule="auto" w:before="53"/>
        <w:ind w:right="0"/>
        <w:jc w:val="left"/>
      </w:pPr>
      <w:r>
        <w:rPr/>
        <w:t>短期借款分类的说明：</w:t>
      </w:r>
    </w:p>
    <w:p>
      <w:pPr>
        <w:pStyle w:val="BodyText"/>
        <w:spacing w:line="300" w:lineRule="auto" w:before="115"/>
        <w:ind w:right="0" w:firstLine="364"/>
        <w:jc w:val="left"/>
      </w:pPr>
      <w:r>
        <w:rPr>
          <w:spacing w:val="-3"/>
        </w:rPr>
        <w:t>（</w:t>
      </w:r>
      <w:r>
        <w:rPr>
          <w:rFonts w:ascii="Times New Roman" w:hAnsi="Times New Roman" w:cs="Times New Roman" w:eastAsia="Times New Roman" w:hint="default"/>
          <w:spacing w:val="-3"/>
        </w:rPr>
        <w:t>1</w:t>
      </w:r>
      <w:r>
        <w:rPr>
          <w:spacing w:val="-3"/>
        </w:rPr>
        <w:t>）抵押借款</w:t>
      </w:r>
      <w:r>
        <w:rPr>
          <w:rFonts w:ascii="Times New Roman" w:hAnsi="Times New Roman" w:cs="Times New Roman" w:eastAsia="Times New Roman" w:hint="default"/>
          <w:spacing w:val="-3"/>
        </w:rPr>
        <w:t>200,000,000.00</w:t>
      </w:r>
      <w:r>
        <w:rPr>
          <w:spacing w:val="-3"/>
        </w:rPr>
        <w:t>元系本公司向中国工商银行南京玄武支行取得的借款，由董事长周红卫进行担保、江苏润</w:t>
      </w:r>
      <w:r>
        <w:rPr>
          <w:w w:val="101"/>
        </w:rPr>
        <w:t> </w:t>
      </w:r>
      <w:r>
        <w:rPr>
          <w:spacing w:val="-3"/>
        </w:rPr>
        <w:t>和南京软件外包园投资有限公司以房产和土地设定抵押。截止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日，该抵押合同未到期。</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2</w:t>
      </w:r>
      <w:r>
        <w:rPr>
          <w:spacing w:val="-3"/>
        </w:rPr>
        <w:t>）保证借款期末余额的担保情况如下：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105"/>
        <w:gridCol w:w="3188"/>
        <w:gridCol w:w="2766"/>
        <w:gridCol w:w="1803"/>
      </w:tblGrid>
      <w:tr>
        <w:trPr>
          <w:trHeight w:val="348" w:hRule="exact"/>
        </w:trPr>
        <w:tc>
          <w:tcPr>
            <w:tcW w:w="110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318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276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借款银行</w:t>
            </w:r>
          </w:p>
        </w:tc>
        <w:tc>
          <w:tcPr>
            <w:tcW w:w="1803"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475" w:right="0"/>
              <w:jc w:val="left"/>
              <w:rPr>
                <w:rFonts w:ascii="宋体" w:hAnsi="宋体" w:cs="宋体" w:eastAsia="宋体" w:hint="default"/>
                <w:sz w:val="21"/>
                <w:szCs w:val="21"/>
              </w:rPr>
            </w:pPr>
            <w:r>
              <w:rPr>
                <w:rFonts w:ascii="宋体" w:hAnsi="宋体" w:cs="宋体" w:eastAsia="宋体" w:hint="default"/>
                <w:sz w:val="21"/>
                <w:szCs w:val="21"/>
              </w:rPr>
              <w:t>借款金额</w:t>
            </w:r>
          </w:p>
        </w:tc>
      </w:tr>
      <w:tr>
        <w:trPr>
          <w:trHeight w:val="658"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南京银行城南支行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40,000,000.00</w:t>
            </w:r>
          </w:p>
        </w:tc>
      </w:tr>
      <w:tr>
        <w:trPr>
          <w:trHeight w:val="662"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南京银行城南支行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40,000,000.00</w:t>
            </w:r>
          </w:p>
        </w:tc>
      </w:tr>
      <w:tr>
        <w:trPr>
          <w:trHeight w:val="658"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南京银行城南支行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50,000,000.00</w:t>
            </w:r>
          </w:p>
        </w:tc>
      </w:tr>
      <w:tr>
        <w:trPr>
          <w:trHeight w:val="658"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南京银行城南支行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20,000,000.00</w:t>
            </w:r>
          </w:p>
        </w:tc>
      </w:tr>
      <w:tr>
        <w:trPr>
          <w:trHeight w:val="662"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建行湖北路支行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105"/>
        <w:gridCol w:w="3188"/>
        <w:gridCol w:w="2766"/>
        <w:gridCol w:w="1803"/>
      </w:tblGrid>
      <w:tr>
        <w:trPr>
          <w:trHeight w:val="660" w:hRule="exact"/>
        </w:trPr>
        <w:tc>
          <w:tcPr>
            <w:tcW w:w="110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周红卫、姚宁</w:t>
            </w:r>
          </w:p>
        </w:tc>
        <w:tc>
          <w:tcPr>
            <w:tcW w:w="276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民生银行城东支行</w:t>
            </w:r>
          </w:p>
        </w:tc>
        <w:tc>
          <w:tcPr>
            <w:tcW w:w="180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70,000,000.00</w:t>
            </w:r>
          </w:p>
        </w:tc>
      </w:tr>
      <w:tr>
        <w:trPr>
          <w:trHeight w:val="663"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7"/>
                <w:sz w:val="21"/>
                <w:szCs w:val="21"/>
              </w:rPr>
              <w:t> </w:t>
            </w:r>
            <w:r>
              <w:rPr>
                <w:rFonts w:ascii="宋体" w:hAnsi="宋体" w:cs="宋体" w:eastAsia="宋体" w:hint="default"/>
                <w:sz w:val="21"/>
                <w:szCs w:val="21"/>
              </w:rPr>
              <w:t>周红卫、姚宁</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农行四平路支行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50,000,000.00</w:t>
            </w:r>
          </w:p>
        </w:tc>
      </w:tr>
      <w:tr>
        <w:trPr>
          <w:trHeight w:val="658"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江苏润和科技投资集团有限公司、</w:t>
            </w:r>
            <w:r>
              <w:rPr>
                <w:rFonts w:ascii="宋体" w:hAnsi="宋体" w:cs="宋体" w:eastAsia="宋体" w:hint="default"/>
                <w:spacing w:val="-88"/>
                <w:sz w:val="21"/>
                <w:szCs w:val="21"/>
              </w:rPr>
              <w:t> </w:t>
            </w:r>
            <w:r>
              <w:rPr>
                <w:rFonts w:ascii="宋体" w:hAnsi="宋体" w:cs="宋体" w:eastAsia="宋体" w:hint="default"/>
                <w:sz w:val="21"/>
                <w:szCs w:val="21"/>
              </w:rPr>
              <w:t>周红卫</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中行江宁开发区支行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50,000,000.00</w:t>
            </w:r>
          </w:p>
        </w:tc>
      </w:tr>
      <w:tr>
        <w:trPr>
          <w:trHeight w:val="346"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捷科智诚</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江苏润和软件股份有限公司</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北京银行中关村支行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90,000,000.00</w:t>
            </w:r>
          </w:p>
        </w:tc>
      </w:tr>
      <w:tr>
        <w:trPr>
          <w:trHeight w:val="658"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北京联创</w:t>
            </w:r>
          </w:p>
        </w:tc>
        <w:tc>
          <w:tcPr>
            <w:tcW w:w="31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周帮建、江苏润和软件股份有限公</w:t>
            </w:r>
            <w:r>
              <w:rPr>
                <w:rFonts w:ascii="宋体" w:hAnsi="宋体" w:cs="宋体" w:eastAsia="宋体" w:hint="default"/>
                <w:spacing w:val="-87"/>
                <w:sz w:val="21"/>
                <w:szCs w:val="21"/>
              </w:rPr>
              <w:t> </w:t>
            </w:r>
            <w:r>
              <w:rPr>
                <w:rFonts w:ascii="宋体" w:hAnsi="宋体" w:cs="宋体" w:eastAsia="宋体" w:hint="default"/>
                <w:sz w:val="21"/>
                <w:szCs w:val="21"/>
              </w:rPr>
              <w:t>司</w:t>
            </w:r>
          </w:p>
        </w:tc>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北京银行中关村海淀园中行</w:t>
            </w: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80,000,000.00</w:t>
            </w:r>
          </w:p>
        </w:tc>
      </w:tr>
      <w:tr>
        <w:trPr>
          <w:trHeight w:val="350" w:hRule="exact"/>
        </w:trPr>
        <w:tc>
          <w:tcPr>
            <w:tcW w:w="1105" w:type="dxa"/>
            <w:tcBorders>
              <w:top w:val="single" w:sz="8" w:space="0" w:color="000000"/>
              <w:left w:val="single" w:sz="6" w:space="0" w:color="000000"/>
              <w:bottom w:val="single" w:sz="8" w:space="0" w:color="000000"/>
              <w:right w:val="single" w:sz="6" w:space="0" w:color="000000"/>
            </w:tcBorders>
          </w:tcPr>
          <w:p>
            <w:pPr>
              <w:pStyle w:val="TableParagraph"/>
              <w:tabs>
                <w:tab w:pos="556" w:val="left" w:leader="none"/>
              </w:tabs>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88" w:type="dxa"/>
            <w:tcBorders>
              <w:top w:val="single" w:sz="8" w:space="0" w:color="000000"/>
              <w:left w:val="single" w:sz="6" w:space="0" w:color="000000"/>
              <w:bottom w:val="single" w:sz="8" w:space="0" w:color="000000"/>
              <w:right w:val="single" w:sz="6" w:space="0" w:color="000000"/>
            </w:tcBorders>
          </w:tcPr>
          <w:p>
            <w:pPr/>
          </w:p>
        </w:tc>
        <w:tc>
          <w:tcPr>
            <w:tcW w:w="2766" w:type="dxa"/>
            <w:tcBorders>
              <w:top w:val="single" w:sz="8" w:space="0" w:color="000000"/>
              <w:left w:val="single" w:sz="6" w:space="0" w:color="000000"/>
              <w:bottom w:val="single" w:sz="8" w:space="0" w:color="000000"/>
              <w:right w:val="single" w:sz="6" w:space="0" w:color="000000"/>
            </w:tcBorders>
          </w:tcPr>
          <w:p>
            <w:pPr/>
          </w:p>
        </w:tc>
        <w:tc>
          <w:tcPr>
            <w:tcW w:w="180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540,000,000.00</w:t>
            </w:r>
          </w:p>
        </w:tc>
      </w:tr>
    </w:tbl>
    <w:p>
      <w:pPr>
        <w:pStyle w:val="BodyText"/>
        <w:spacing w:line="240" w:lineRule="auto" w:before="10"/>
        <w:ind w:left="518" w:right="0"/>
        <w:jc w:val="left"/>
      </w:pPr>
      <w:r>
        <w:rPr>
          <w:spacing w:val="-3"/>
        </w:rPr>
        <w:t>（</w:t>
      </w:r>
      <w:r>
        <w:rPr>
          <w:rFonts w:ascii="Times New Roman" w:hAnsi="Times New Roman" w:cs="Times New Roman" w:eastAsia="Times New Roman" w:hint="default"/>
          <w:spacing w:val="-3"/>
        </w:rPr>
        <w:t>3</w:t>
      </w:r>
      <w:r>
        <w:rPr>
          <w:spacing w:val="-3"/>
        </w:rPr>
        <w:t>）短期借款期末余额中无已逾期未偿还的借款。</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spacing w:val="-3"/>
        </w:rPr>
        <w:t>本期末已逾期未偿还的短期借款总额为元，其中重要的已逾期未偿还的短期借款情况如下：</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32,568,373.74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44,193,756.16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32,568,373.74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44,193,756.16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spacing w:val="-3"/>
        </w:rPr>
        <w:t>本期末已到期未支付的应付票据总额为元。</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28,712,038.91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38,836,378.14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3,856,334.83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5,357,378.02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32,568,373.74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44,193,756.16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pStyle w:val="BodyText"/>
        <w:spacing w:line="240" w:lineRule="auto" w:before="53"/>
        <w:ind w:right="0"/>
        <w:jc w:val="left"/>
      </w:pPr>
      <w:r>
        <w:rPr/>
        <w:t>其他说明：</w:t>
      </w:r>
    </w:p>
    <w:p>
      <w:pPr>
        <w:pStyle w:val="BodyText"/>
        <w:spacing w:line="240" w:lineRule="auto" w:before="110"/>
        <w:ind w:left="662" w:right="0"/>
        <w:jc w:val="left"/>
      </w:pPr>
      <w:r>
        <w:rPr>
          <w:spacing w:val="-3"/>
        </w:rPr>
        <w:t>应付账款期末余额中无账龄超过</w:t>
      </w:r>
      <w:r>
        <w:rPr>
          <w:rFonts w:ascii="Times New Roman" w:hAnsi="Times New Roman" w:cs="Times New Roman" w:eastAsia="Times New Roman" w:hint="default"/>
          <w:spacing w:val="-3"/>
        </w:rPr>
        <w:t>1</w:t>
      </w:r>
      <w:r>
        <w:rPr>
          <w:spacing w:val="-3"/>
        </w:rPr>
        <w:t>年的大额应付款项。</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5,098,770.22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5,448,995.91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5,098,770.22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5,448,995.91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预收款项期末余额中无账龄超过</w:t>
      </w:r>
      <w:r>
        <w:rPr>
          <w:rFonts w:ascii="Times New Roman" w:hAnsi="Times New Roman" w:cs="Times New Roman" w:eastAsia="Times New Roman" w:hint="default"/>
          <w:spacing w:val="-3"/>
        </w:rPr>
        <w:t>1</w:t>
      </w:r>
      <w:r>
        <w:rPr>
          <w:spacing w:val="-3"/>
        </w:rPr>
        <w:t>年的重要预收款项。</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74,231,832.55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1,027,503,881.91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985,796,801.45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115,938,913.01</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3,241,765.77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73,886,336.24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73,352,239.43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3,775,862.58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1,010,751.77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1,010,751.77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77,473,598.32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1,102,400,969.92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1,060,159,792.65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119,714,775.59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70,580,711.89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929,788,911.48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889,615,268.54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110,754,354.83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12,223,601.54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12,202,205.54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21,396.00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2,068,644.25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44,422,806.04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44,053,928.50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2,437,521.79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1,854,563.56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40,035,090.30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39,709,563.33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2,180,090.53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50,526.95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1,015,922.80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1,001,546.09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64,903.66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163,553.74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3,371,792.94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3,342,819.08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192,527.60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648,938.00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33,997,752.69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33,889,526.69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757,164.00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933,538.41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7,070,810.16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6,035,872.18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1,968,476.39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74,231,832.55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1,027,503,881.91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985,796,801.45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115,938,913.01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3,133,077.64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71,572,633.20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71,054,214.77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3,651,496.07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108,688.13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2,313,703.04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2,298,024.66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124,366.51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3,241,765.77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73,886,336.24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73,352,239.43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3,775,862.58</w:t>
            </w:r>
          </w:p>
        </w:tc>
      </w:tr>
    </w:tbl>
    <w:p>
      <w:pPr>
        <w:pStyle w:val="BodyText"/>
        <w:spacing w:line="240" w:lineRule="auto" w:before="53"/>
        <w:ind w:right="0"/>
        <w:jc w:val="left"/>
      </w:pPr>
      <w:r>
        <w:rPr/>
        <w:t>其他说明：</w:t>
      </w:r>
    </w:p>
    <w:p>
      <w:pPr>
        <w:pStyle w:val="BodyText"/>
        <w:spacing w:line="240" w:lineRule="auto" w:before="110"/>
        <w:ind w:left="518" w:right="0"/>
        <w:jc w:val="left"/>
      </w:pPr>
      <w:r>
        <w:rPr>
          <w:spacing w:val="-3"/>
        </w:rPr>
        <w:t>（</w:t>
      </w:r>
      <w:r>
        <w:rPr>
          <w:rFonts w:ascii="Times New Roman" w:hAnsi="Times New Roman" w:cs="Times New Roman" w:eastAsia="Times New Roman" w:hint="default"/>
          <w:spacing w:val="-3"/>
        </w:rPr>
        <w:t>1</w:t>
      </w:r>
      <w:r>
        <w:rPr>
          <w:spacing w:val="-3"/>
        </w:rPr>
        <w:t>）本期因非同一控制下企业合并新增子公司新维数联应付职工薪酬期末余额</w:t>
      </w:r>
      <w:r>
        <w:rPr>
          <w:rFonts w:ascii="Times New Roman" w:hAnsi="Times New Roman" w:cs="Times New Roman" w:eastAsia="Times New Roman" w:hint="default"/>
          <w:spacing w:val="-3"/>
        </w:rPr>
        <w:t>5,199,823.26</w:t>
      </w:r>
      <w:r>
        <w:rPr>
          <w:spacing w:val="-3"/>
        </w:rPr>
        <w:t>元。</w:t>
      </w:r>
    </w:p>
    <w:p>
      <w:pPr>
        <w:pStyle w:val="BodyText"/>
        <w:spacing w:line="300" w:lineRule="auto" w:before="63"/>
        <w:ind w:right="0" w:firstLine="364"/>
        <w:jc w:val="left"/>
      </w:pPr>
      <w:r>
        <w:rPr>
          <w:spacing w:val="-3"/>
        </w:rPr>
        <w:t>（</w:t>
      </w:r>
      <w:r>
        <w:rPr>
          <w:rFonts w:ascii="Times New Roman" w:hAnsi="Times New Roman" w:cs="Times New Roman" w:eastAsia="Times New Roman" w:hint="default"/>
          <w:spacing w:val="-3"/>
        </w:rPr>
        <w:t>2</w:t>
      </w:r>
      <w:r>
        <w:rPr>
          <w:spacing w:val="-3"/>
        </w:rPr>
        <w:t>）应付职工薪酬期末余额较期初余额增长</w:t>
      </w:r>
      <w:r>
        <w:rPr>
          <w:rFonts w:ascii="Times New Roman" w:hAnsi="Times New Roman" w:cs="Times New Roman" w:eastAsia="Times New Roman" w:hint="default"/>
          <w:spacing w:val="-3"/>
        </w:rPr>
        <w:t>54.52%</w:t>
      </w:r>
      <w:r>
        <w:rPr>
          <w:spacing w:val="-3"/>
        </w:rPr>
        <w:t>，主要原因是伴随公司业务规模扩张，员工数量较上年大幅增加，</w:t>
      </w:r>
      <w:r>
        <w:rPr>
          <w:w w:val="101"/>
        </w:rPr>
        <w:t> </w:t>
      </w:r>
      <w:r>
        <w:rPr>
          <w:spacing w:val="-3"/>
        </w:rPr>
        <w:t>导致期末应付职工薪酬增加。</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20,438,777.25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13,992,839.21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9,812,547.74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10,179,879.13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4,543,152.09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5,210,238.25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2,590,183.26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2,181,691.92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1,140,481.73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1,417,841.81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1,565,937.09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1,294,366.77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94,724.19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2,227,866.14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40,185,803.35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36,504,723.23</w:t>
            </w:r>
          </w:p>
        </w:tc>
      </w:tr>
    </w:tbl>
    <w:p>
      <w:pPr>
        <w:pStyle w:val="BodyText"/>
        <w:spacing w:line="240" w:lineRule="auto" w:before="53"/>
        <w:ind w:right="0"/>
        <w:jc w:val="left"/>
      </w:pPr>
      <w:r>
        <w:rPr/>
        <w:t>其他说明：</w:t>
      </w:r>
    </w:p>
    <w:p>
      <w:pPr>
        <w:pStyle w:val="BodyText"/>
        <w:spacing w:line="240" w:lineRule="auto" w:before="110"/>
        <w:ind w:left="662" w:right="0"/>
        <w:jc w:val="left"/>
      </w:pPr>
      <w:r>
        <w:rPr>
          <w:spacing w:val="-3"/>
        </w:rPr>
        <w:t>东京润和消费税类似国内增值税，列示时并入增值税。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2,034,038.71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1,869,099.44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19,738,907.14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31,612,607.55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21,772,945.85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33,481,706.99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长短期借款应付利息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2,034,038.71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1,869,099.44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2,034,038.71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1,869,099.44</w:t>
            </w:r>
          </w:p>
        </w:tc>
      </w:tr>
    </w:tbl>
    <w:p>
      <w:pPr>
        <w:pStyle w:val="BodyText"/>
        <w:spacing w:line="240" w:lineRule="auto" w:before="53"/>
        <w:ind w:right="0"/>
        <w:jc w:val="left"/>
      </w:pPr>
      <w:r>
        <w:rPr>
          <w:spacing w:val="-3"/>
        </w:rPr>
        <w:t>重要的已逾期未支付的利息情况：</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3"/>
        <w:ind w:right="0"/>
        <w:jc w:val="left"/>
      </w:pPr>
      <w:r>
        <w:rPr/>
        <w:t>其他说明：</w:t>
      </w:r>
    </w:p>
    <w:p>
      <w:pPr>
        <w:pStyle w:val="BodyText"/>
        <w:spacing w:line="240" w:lineRule="auto" w:before="115"/>
        <w:ind w:left="662" w:right="0"/>
        <w:jc w:val="left"/>
      </w:pPr>
      <w:r>
        <w:rPr>
          <w:rFonts w:ascii="Times New Roman" w:hAnsi="Times New Roman" w:cs="Times New Roman" w:eastAsia="Times New Roman" w:hint="default"/>
          <w:spacing w:val="-3"/>
        </w:rPr>
        <w:t>2018</w:t>
      </w:r>
      <w:r>
        <w:rPr>
          <w:spacing w:val="-3"/>
        </w:rPr>
        <w:t>年末公司无已逾期未支付的利息。</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spacing w:val="-3"/>
        </w:rPr>
        <w:t>1)</w:t>
      </w:r>
      <w:r>
        <w:rPr>
          <w:spacing w:val="-3"/>
        </w:rPr>
        <w:t>按款项性质列示其他应付款</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7,610,538.62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4,345,150.22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7,803,450.42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6,855,096.90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11,508,681.90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1,053,688.81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4,324,918.10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7,849,989.72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19,738,907.14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31,612,607.55</w:t>
            </w:r>
          </w:p>
        </w:tc>
      </w:tr>
    </w:tbl>
    <w:p>
      <w:pPr>
        <w:pStyle w:val="BodyText"/>
        <w:spacing w:line="240" w:lineRule="auto" w:before="54"/>
        <w:ind w:right="0"/>
        <w:jc w:val="left"/>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3"/>
        </w:rPr>
        <w:t>年的重要其他应付款</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pStyle w:val="BodyText"/>
        <w:spacing w:line="240" w:lineRule="auto" w:before="53"/>
        <w:ind w:right="0"/>
        <w:jc w:val="left"/>
      </w:pPr>
      <w:r>
        <w:rPr/>
        <w:t>其他说明</w:t>
      </w:r>
    </w:p>
    <w:p>
      <w:pPr>
        <w:pStyle w:val="BodyText"/>
        <w:spacing w:line="240" w:lineRule="auto" w:before="115"/>
        <w:ind w:left="518" w:right="0"/>
        <w:jc w:val="left"/>
      </w:pPr>
      <w:r>
        <w:rPr>
          <w:spacing w:val="-3"/>
        </w:rPr>
        <w:t>（</w:t>
      </w:r>
      <w:r>
        <w:rPr>
          <w:rFonts w:ascii="Times New Roman" w:hAnsi="Times New Roman" w:cs="Times New Roman" w:eastAsia="Times New Roman" w:hint="default"/>
          <w:spacing w:val="-3"/>
        </w:rPr>
        <w:t>1</w:t>
      </w:r>
      <w:r>
        <w:rPr>
          <w:spacing w:val="-3"/>
        </w:rPr>
        <w:t>）期末无账龄超过</w:t>
      </w:r>
      <w:r>
        <w:rPr>
          <w:rFonts w:ascii="Times New Roman" w:hAnsi="Times New Roman" w:cs="Times New Roman" w:eastAsia="Times New Roman" w:hint="default"/>
          <w:spacing w:val="-3"/>
        </w:rPr>
        <w:t>1</w:t>
      </w:r>
      <w:r>
        <w:rPr>
          <w:spacing w:val="-3"/>
        </w:rPr>
        <w:t>年的重要其他应付款。</w:t>
      </w:r>
    </w:p>
    <w:p>
      <w:pPr>
        <w:pStyle w:val="BodyText"/>
        <w:spacing w:line="240" w:lineRule="auto" w:before="63"/>
        <w:ind w:left="0" w:right="1031"/>
        <w:jc w:val="right"/>
      </w:pPr>
      <w:r>
        <w:rPr>
          <w:spacing w:val="-5"/>
        </w:rPr>
        <w:t>（</w:t>
      </w:r>
      <w:r>
        <w:rPr>
          <w:rFonts w:ascii="Times New Roman" w:hAnsi="Times New Roman" w:cs="Times New Roman" w:eastAsia="Times New Roman" w:hint="default"/>
          <w:spacing w:val="-5"/>
        </w:rPr>
        <w:t>2</w:t>
      </w:r>
      <w:r>
        <w:rPr>
          <w:spacing w:val="-5"/>
        </w:rPr>
        <w:t>）其他应付款期末余额较期初余额减少</w:t>
      </w:r>
      <w:r>
        <w:rPr>
          <w:rFonts w:ascii="Times New Roman" w:hAnsi="Times New Roman" w:cs="Times New Roman" w:eastAsia="Times New Roman" w:hint="default"/>
          <w:spacing w:val="-5"/>
        </w:rPr>
        <w:t>34.97%</w:t>
      </w:r>
      <w:r>
        <w:rPr>
          <w:spacing w:val="-5"/>
        </w:rPr>
        <w:t>，主要原因是公司本期支付了股权收购款，其他应付款余额相应减少。</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6"/>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3"/>
        <w:ind w:right="0"/>
        <w:jc w:val="left"/>
      </w:pPr>
      <w:r>
        <w:rPr/>
        <w:t>其他说明：</w:t>
      </w:r>
    </w:p>
    <w:p>
      <w:pPr>
        <w:pStyle w:val="BodyText"/>
        <w:spacing w:line="300" w:lineRule="auto" w:before="110"/>
        <w:ind w:right="1127" w:firstLine="364"/>
        <w:jc w:val="both"/>
      </w:pPr>
      <w:r>
        <w:rPr>
          <w:spacing w:val="-3"/>
        </w:rPr>
        <w:t>（</w:t>
      </w:r>
      <w:r>
        <w:rPr>
          <w:rFonts w:ascii="Times New Roman" w:hAnsi="Times New Roman" w:cs="Times New Roman" w:eastAsia="Times New Roman" w:hint="default"/>
          <w:spacing w:val="-3"/>
        </w:rPr>
        <w:t>1</w:t>
      </w:r>
      <w:r>
        <w:rPr>
          <w:spacing w:val="-3"/>
        </w:rPr>
        <w:t>）子公司外包园公司保证借款余额</w:t>
      </w:r>
      <w:r>
        <w:rPr>
          <w:rFonts w:ascii="Times New Roman" w:hAnsi="Times New Roman" w:cs="Times New Roman" w:eastAsia="Times New Roman" w:hint="default"/>
          <w:spacing w:val="-3"/>
        </w:rPr>
        <w:t>60,000,000.00</w:t>
      </w:r>
      <w:r>
        <w:rPr>
          <w:spacing w:val="-3"/>
        </w:rPr>
        <w:t>元，系向中国工商银行南京玄武支行取得的</w:t>
      </w:r>
      <w:r>
        <w:rPr>
          <w:rFonts w:ascii="Times New Roman" w:hAnsi="Times New Roman" w:cs="Times New Roman" w:eastAsia="Times New Roman" w:hint="default"/>
          <w:spacing w:val="-3"/>
        </w:rPr>
        <w:t>“</w:t>
      </w:r>
      <w:r>
        <w:rPr>
          <w:spacing w:val="-3"/>
        </w:rPr>
        <w:t>润和国际软件外包研发</w:t>
      </w:r>
      <w:r>
        <w:rPr>
          <w:w w:val="101"/>
        </w:rPr>
        <w:t> </w:t>
      </w:r>
      <w:r>
        <w:rPr>
          <w:spacing w:val="-3"/>
        </w:rPr>
        <w:t>总部基地</w:t>
      </w:r>
      <w:r>
        <w:rPr>
          <w:rFonts w:ascii="Times New Roman" w:hAnsi="Times New Roman" w:cs="Times New Roman" w:eastAsia="Times New Roman" w:hint="default"/>
          <w:spacing w:val="-3"/>
        </w:rPr>
        <w:t>”</w:t>
      </w:r>
      <w:r>
        <w:rPr>
          <w:spacing w:val="-3"/>
        </w:rPr>
        <w:t>项目的专门借款，本公司为该笔借款提供担保，截至</w:t>
      </w:r>
      <w:r>
        <w:rPr>
          <w:rFonts w:ascii="Times New Roman" w:hAnsi="Times New Roman" w:cs="Times New Roman" w:eastAsia="Times New Roman" w:hint="default"/>
          <w:spacing w:val="-3"/>
        </w:rPr>
        <w:t>2018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日止，该长期借款年末余额</w:t>
      </w:r>
      <w:r>
        <w:rPr>
          <w:rFonts w:ascii="Times New Roman" w:hAnsi="Times New Roman" w:cs="Times New Roman" w:eastAsia="Times New Roman" w:hint="default"/>
          <w:spacing w:val="-3"/>
        </w:rPr>
        <w:t>60,000,000.00</w:t>
      </w:r>
      <w:r>
        <w:rPr>
          <w:spacing w:val="-3"/>
        </w:rPr>
        <w:t>元将</w:t>
      </w:r>
      <w:r>
        <w:rPr>
          <w:spacing w:val="-56"/>
        </w:rPr>
        <w:t> </w:t>
      </w:r>
      <w:r>
        <w:rPr>
          <w:spacing w:val="-3"/>
        </w:rPr>
        <w:t>于一年内到期，重分类至一年内到期的非流动负债。</w:t>
      </w:r>
    </w:p>
    <w:p>
      <w:pPr>
        <w:pStyle w:val="BodyText"/>
        <w:spacing w:line="300" w:lineRule="auto" w:before="31"/>
        <w:ind w:right="0" w:firstLine="364"/>
        <w:jc w:val="left"/>
      </w:pPr>
      <w:r>
        <w:rPr>
          <w:spacing w:val="-4"/>
        </w:rPr>
        <w:t>（</w:t>
      </w:r>
      <w:r>
        <w:rPr>
          <w:rFonts w:ascii="Times New Roman" w:hAnsi="Times New Roman" w:cs="Times New Roman" w:eastAsia="Times New Roman" w:hint="default"/>
          <w:spacing w:val="-4"/>
        </w:rPr>
        <w:t>2</w:t>
      </w:r>
      <w:r>
        <w:rPr>
          <w:spacing w:val="-4"/>
        </w:rPr>
        <w:t>）本公司保证借款余额</w:t>
      </w:r>
      <w:r>
        <w:rPr>
          <w:rFonts w:ascii="Times New Roman" w:hAnsi="Times New Roman" w:cs="Times New Roman" w:eastAsia="Times New Roman" w:hint="default"/>
          <w:spacing w:val="-4"/>
        </w:rPr>
        <w:t>250,000,000.00</w:t>
      </w:r>
      <w:r>
        <w:rPr>
          <w:spacing w:val="-4"/>
        </w:rPr>
        <w:t>元，系向中国工商银行南京玄武支行取得的</w:t>
      </w:r>
      <w:r>
        <w:rPr>
          <w:rFonts w:ascii="Times New Roman" w:hAnsi="Times New Roman" w:cs="Times New Roman" w:eastAsia="Times New Roman" w:hint="default"/>
          <w:spacing w:val="-4"/>
        </w:rPr>
        <w:t>400,000,000.00</w:t>
      </w:r>
      <w:r>
        <w:rPr>
          <w:spacing w:val="-4"/>
        </w:rPr>
        <w:t>元置换存量融资及补</w:t>
      </w:r>
      <w:r>
        <w:rPr>
          <w:w w:val="101"/>
        </w:rPr>
        <w:t> </w:t>
      </w:r>
      <w:r>
        <w:rPr>
          <w:spacing w:val="-3"/>
        </w:rPr>
        <w:t>充营运资金借款，江苏润和科技投资集团有限公司为该笔借款提供担保。截至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日止，该长期借款年末余额</w:t>
      </w:r>
      <w:r>
        <w:rPr>
          <w:spacing w:val="72"/>
        </w:rPr>
        <w:t> </w:t>
      </w:r>
      <w:r>
        <w:rPr>
          <w:spacing w:val="72"/>
        </w:rPr>
      </w:r>
      <w:r>
        <w:rPr>
          <w:rFonts w:ascii="Times New Roman" w:hAnsi="Times New Roman" w:cs="Times New Roman" w:eastAsia="Times New Roman" w:hint="default"/>
        </w:rPr>
        <w:t>250,000,000.00</w:t>
      </w:r>
      <w:r>
        <w:rPr/>
        <w:t>元将于一年内到期，重分类至一年内到期的非流动负债。</w:t>
      </w:r>
    </w:p>
    <w:p>
      <w:pPr>
        <w:pStyle w:val="BodyText"/>
        <w:spacing w:line="300" w:lineRule="auto" w:before="13"/>
        <w:ind w:right="0" w:firstLine="364"/>
        <w:jc w:val="left"/>
      </w:pPr>
      <w:r>
        <w:rPr>
          <w:spacing w:val="-3"/>
        </w:rPr>
        <w:t>（</w:t>
      </w:r>
      <w:r>
        <w:rPr>
          <w:rFonts w:ascii="Times New Roman" w:hAnsi="Times New Roman" w:cs="Times New Roman" w:eastAsia="Times New Roman" w:hint="default"/>
          <w:spacing w:val="-3"/>
        </w:rPr>
        <w:t>3</w:t>
      </w:r>
      <w:r>
        <w:rPr>
          <w:spacing w:val="-3"/>
        </w:rPr>
        <w:t>）本公司质押借款期末余额</w:t>
      </w:r>
      <w:r>
        <w:rPr>
          <w:rFonts w:ascii="Times New Roman" w:hAnsi="Times New Roman" w:cs="Times New Roman" w:eastAsia="Times New Roman" w:hint="default"/>
          <w:spacing w:val="-3"/>
        </w:rPr>
        <w:t>200,000,000.00</w:t>
      </w:r>
      <w:r>
        <w:rPr>
          <w:spacing w:val="-3"/>
        </w:rPr>
        <w:t>元，系向中国工商银行南京玄武支行取得并购资金借款，以子公司联创智</w:t>
      </w:r>
      <w:r>
        <w:rPr>
          <w:w w:val="101"/>
        </w:rPr>
        <w:t> </w:t>
      </w:r>
      <w:r>
        <w:rPr>
          <w:spacing w:val="-3"/>
        </w:rPr>
        <w:t>融</w:t>
      </w:r>
      <w:r>
        <w:rPr>
          <w:rFonts w:ascii="Times New Roman" w:hAnsi="Times New Roman" w:cs="Times New Roman" w:eastAsia="Times New Roman" w:hint="default"/>
          <w:spacing w:val="-3"/>
        </w:rPr>
        <w:t>100%</w:t>
      </w:r>
      <w:r>
        <w:rPr>
          <w:spacing w:val="-3"/>
        </w:rPr>
        <w:t>股权作为质押物；以苏（</w:t>
      </w:r>
      <w:r>
        <w:rPr>
          <w:rFonts w:ascii="Times New Roman" w:hAnsi="Times New Roman" w:cs="Times New Roman" w:eastAsia="Times New Roman" w:hint="default"/>
          <w:spacing w:val="-3"/>
        </w:rPr>
        <w:t>2018</w:t>
      </w:r>
      <w:r>
        <w:rPr>
          <w:spacing w:val="-3"/>
        </w:rPr>
        <w:t>）宁雨不动产权第</w:t>
      </w:r>
      <w:r>
        <w:rPr>
          <w:rFonts w:ascii="Times New Roman" w:hAnsi="Times New Roman" w:cs="Times New Roman" w:eastAsia="Times New Roman" w:hint="default"/>
          <w:spacing w:val="-3"/>
        </w:rPr>
        <w:t>0013728</w:t>
      </w:r>
      <w:r>
        <w:rPr>
          <w:spacing w:val="-3"/>
        </w:rPr>
        <w:t>号权证中的第</w:t>
      </w:r>
      <w:r>
        <w:rPr>
          <w:rFonts w:ascii="Times New Roman" w:hAnsi="Times New Roman" w:cs="Times New Roman" w:eastAsia="Times New Roman" w:hint="default"/>
          <w:spacing w:val="-3"/>
        </w:rPr>
        <w:t>2</w:t>
      </w:r>
      <w:r>
        <w:rPr>
          <w:spacing w:val="-3"/>
        </w:rPr>
        <w:t>幢房屋及建筑物作为抵押；同时江苏润和科</w:t>
      </w:r>
      <w:r>
        <w:rPr>
          <w:spacing w:val="3"/>
        </w:rPr>
        <w:t> </w:t>
      </w:r>
      <w:r>
        <w:rPr>
          <w:spacing w:val="3"/>
        </w:rPr>
      </w:r>
      <w:r>
        <w:rPr>
          <w:spacing w:val="-3"/>
        </w:rPr>
        <w:t>技投资集团有限公司为该笔借款提供担保，截至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日止，该长期借款年末余额</w:t>
      </w:r>
      <w:r>
        <w:rPr>
          <w:rFonts w:ascii="Times New Roman" w:hAnsi="Times New Roman" w:cs="Times New Roman" w:eastAsia="Times New Roman" w:hint="default"/>
          <w:spacing w:val="-3"/>
        </w:rPr>
        <w:t>100,000,000.00</w:t>
      </w:r>
      <w:r>
        <w:rPr>
          <w:spacing w:val="-3"/>
        </w:rPr>
        <w:t>元将于一年内到期，</w:t>
      </w:r>
      <w:r>
        <w:rPr>
          <w:spacing w:val="65"/>
        </w:rPr>
        <w:t> </w:t>
      </w:r>
      <w:r>
        <w:rPr>
          <w:spacing w:val="65"/>
        </w:rPr>
      </w:r>
      <w:r>
        <w:rPr>
          <w:spacing w:val="-3"/>
        </w:rPr>
        <w:t>重分类至一年内到期的非流动负债。</w:t>
      </w:r>
    </w:p>
    <w:p>
      <w:pPr>
        <w:pStyle w:val="BodyText"/>
        <w:spacing w:line="240" w:lineRule="auto" w:before="31"/>
        <w:ind w:left="518" w:right="0"/>
        <w:jc w:val="left"/>
      </w:pPr>
      <w:r>
        <w:rPr>
          <w:spacing w:val="-3"/>
        </w:rPr>
        <w:t>（</w:t>
      </w:r>
      <w:r>
        <w:rPr>
          <w:rFonts w:ascii="Times New Roman" w:hAnsi="Times New Roman" w:cs="Times New Roman" w:eastAsia="Times New Roman" w:hint="default"/>
          <w:spacing w:val="-3"/>
        </w:rPr>
        <w:t>4</w:t>
      </w:r>
      <w:r>
        <w:rPr>
          <w:spacing w:val="-3"/>
        </w:rPr>
        <w:t>）一年内到期的非流动负债期末余额较期初余额增长</w:t>
      </w:r>
      <w:r>
        <w:rPr>
          <w:rFonts w:ascii="Times New Roman" w:hAnsi="Times New Roman" w:cs="Times New Roman" w:eastAsia="Times New Roman" w:hint="default"/>
          <w:spacing w:val="-3"/>
        </w:rPr>
        <w:t>485.71%</w:t>
      </w:r>
      <w:r>
        <w:rPr>
          <w:spacing w:val="-3"/>
        </w:rPr>
        <w:t>，主要原因是公司一年内到期的长期借款增加。</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应交税费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待转销项税额贷方余额重分</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71,874,092.70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60,947,371.45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71,874,092.70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60,947,371.45</w:t>
            </w:r>
          </w:p>
        </w:tc>
      </w:tr>
    </w:tbl>
    <w:p>
      <w:pPr>
        <w:pStyle w:val="BodyText"/>
        <w:spacing w:line="240" w:lineRule="auto" w:before="54"/>
        <w:ind w:right="0"/>
        <w:jc w:val="left"/>
      </w:pPr>
      <w:r>
        <w:rPr>
          <w:spacing w:val="-3"/>
        </w:rPr>
        <w:t>短期应付债券的增减变动：</w:t>
      </w:r>
    </w:p>
    <w:p>
      <w:pPr>
        <w:pStyle w:val="BodyText"/>
        <w:spacing w:line="240" w:lineRule="auto" w:before="119"/>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25" w:right="26"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4"/>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660,000,000.00</w:t>
            </w:r>
          </w:p>
        </w:tc>
      </w:tr>
    </w:tbl>
    <w:p>
      <w:pPr>
        <w:pStyle w:val="BodyText"/>
        <w:spacing w:line="240" w:lineRule="auto" w:before="53"/>
        <w:ind w:right="0"/>
        <w:jc w:val="left"/>
      </w:pPr>
      <w:r>
        <w:rPr/>
        <w:t>长期借款分类的说明：</w:t>
      </w:r>
    </w:p>
    <w:p>
      <w:pPr>
        <w:pStyle w:val="BodyText"/>
        <w:spacing w:line="300" w:lineRule="auto" w:before="115"/>
        <w:ind w:right="0" w:firstLine="364"/>
        <w:jc w:val="left"/>
      </w:pPr>
      <w:r>
        <w:rPr>
          <w:spacing w:val="-3"/>
        </w:rPr>
        <w:t>（</w:t>
      </w:r>
      <w:r>
        <w:rPr>
          <w:rFonts w:ascii="Times New Roman" w:hAnsi="Times New Roman" w:cs="Times New Roman" w:eastAsia="Times New Roman" w:hint="default"/>
          <w:spacing w:val="-3"/>
        </w:rPr>
        <w:t>1</w:t>
      </w:r>
      <w:r>
        <w:rPr>
          <w:spacing w:val="-3"/>
        </w:rPr>
        <w:t>）本公司质押借款期末余额</w:t>
      </w:r>
      <w:r>
        <w:rPr>
          <w:rFonts w:ascii="Times New Roman" w:hAnsi="Times New Roman" w:cs="Times New Roman" w:eastAsia="Times New Roman" w:hint="default"/>
          <w:spacing w:val="-3"/>
        </w:rPr>
        <w:t>200,000,000.00</w:t>
      </w:r>
      <w:r>
        <w:rPr>
          <w:spacing w:val="-3"/>
        </w:rPr>
        <w:t>元，系向中国工商银行南京玄武支行取得并购资金借款，以子公司联创智</w:t>
      </w:r>
      <w:r>
        <w:rPr>
          <w:w w:val="101"/>
        </w:rPr>
        <w:t> </w:t>
      </w:r>
      <w:r>
        <w:rPr>
          <w:spacing w:val="-3"/>
        </w:rPr>
        <w:t>融</w:t>
      </w:r>
      <w:r>
        <w:rPr>
          <w:rFonts w:ascii="Times New Roman" w:hAnsi="Times New Roman" w:cs="Times New Roman" w:eastAsia="Times New Roman" w:hint="default"/>
          <w:spacing w:val="-3"/>
        </w:rPr>
        <w:t>100%</w:t>
      </w:r>
      <w:r>
        <w:rPr>
          <w:spacing w:val="-3"/>
        </w:rPr>
        <w:t>股权作为质押物；以苏（</w:t>
      </w:r>
      <w:r>
        <w:rPr>
          <w:rFonts w:ascii="Times New Roman" w:hAnsi="Times New Roman" w:cs="Times New Roman" w:eastAsia="Times New Roman" w:hint="default"/>
          <w:spacing w:val="-3"/>
        </w:rPr>
        <w:t>2018</w:t>
      </w:r>
      <w:r>
        <w:rPr>
          <w:spacing w:val="-3"/>
        </w:rPr>
        <w:t>）宁雨不动产权第</w:t>
      </w:r>
      <w:r>
        <w:rPr>
          <w:rFonts w:ascii="Times New Roman" w:hAnsi="Times New Roman" w:cs="Times New Roman" w:eastAsia="Times New Roman" w:hint="default"/>
          <w:spacing w:val="-3"/>
        </w:rPr>
        <w:t>0013728</w:t>
      </w:r>
      <w:r>
        <w:rPr>
          <w:spacing w:val="-3"/>
        </w:rPr>
        <w:t>号权证中的第</w:t>
      </w:r>
      <w:r>
        <w:rPr>
          <w:rFonts w:ascii="Times New Roman" w:hAnsi="Times New Roman" w:cs="Times New Roman" w:eastAsia="Times New Roman" w:hint="default"/>
          <w:spacing w:val="-3"/>
        </w:rPr>
        <w:t>2</w:t>
      </w:r>
      <w:r>
        <w:rPr>
          <w:spacing w:val="-3"/>
        </w:rPr>
        <w:t>幢房屋及建筑物作为抵押；同时江苏润和科</w:t>
      </w:r>
      <w:r>
        <w:rPr>
          <w:spacing w:val="3"/>
        </w:rPr>
        <w:t> </w:t>
      </w:r>
      <w:r>
        <w:rPr>
          <w:spacing w:val="3"/>
        </w:rPr>
      </w:r>
      <w:r>
        <w:rPr>
          <w:spacing w:val="-3"/>
        </w:rPr>
        <w:t>技投资集团有限公司为该笔借款提供担保，截至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日止，该长期借款年末余额</w:t>
      </w:r>
      <w:r>
        <w:rPr>
          <w:rFonts w:ascii="Times New Roman" w:hAnsi="Times New Roman" w:cs="Times New Roman" w:eastAsia="Times New Roman" w:hint="default"/>
          <w:spacing w:val="-3"/>
        </w:rPr>
        <w:t>100,000,000.00</w:t>
      </w:r>
      <w:r>
        <w:rPr>
          <w:spacing w:val="-3"/>
        </w:rPr>
        <w:t>元将于一年内到期，</w:t>
      </w:r>
      <w:r>
        <w:rPr>
          <w:spacing w:val="65"/>
        </w:rPr>
        <w:t> </w:t>
      </w:r>
      <w:r>
        <w:rPr>
          <w:spacing w:val="65"/>
        </w:rPr>
      </w:r>
      <w:r>
        <w:rPr>
          <w:spacing w:val="-3"/>
        </w:rPr>
        <w:t>重分类至一年内到期的非流动负债。</w:t>
      </w:r>
    </w:p>
    <w:p>
      <w:pPr>
        <w:pStyle w:val="BodyText"/>
        <w:spacing w:line="300" w:lineRule="auto" w:before="31"/>
        <w:ind w:right="0" w:firstLine="364"/>
        <w:jc w:val="left"/>
      </w:pPr>
      <w:r>
        <w:rPr>
          <w:spacing w:val="-3"/>
        </w:rPr>
        <w:t>（</w:t>
      </w:r>
      <w:r>
        <w:rPr>
          <w:rFonts w:ascii="Times New Roman" w:hAnsi="Times New Roman" w:cs="Times New Roman" w:eastAsia="Times New Roman" w:hint="default"/>
          <w:spacing w:val="-3"/>
        </w:rPr>
        <w:t>2</w:t>
      </w:r>
      <w:r>
        <w:rPr>
          <w:spacing w:val="-3"/>
        </w:rPr>
        <w:t>）长期借款期末余额较期初余额减少</w:t>
      </w:r>
      <w:r>
        <w:rPr>
          <w:rFonts w:ascii="Times New Roman" w:hAnsi="Times New Roman" w:cs="Times New Roman" w:eastAsia="Times New Roman" w:hint="default"/>
          <w:spacing w:val="-3"/>
        </w:rPr>
        <w:t>84.85%</w:t>
      </w:r>
      <w:r>
        <w:rPr>
          <w:spacing w:val="-3"/>
        </w:rPr>
        <w:t>，主要原因是公司本期长期借款重分类至一年内到期的非流动负债，以</w:t>
      </w:r>
      <w:r>
        <w:rPr>
          <w:w w:val="101"/>
        </w:rPr>
        <w:t> </w:t>
      </w:r>
      <w:r>
        <w:rPr/>
        <w:t>及部分借款到期归还。</w:t>
      </w:r>
    </w:p>
    <w:p>
      <w:pPr>
        <w:pStyle w:val="BodyText"/>
        <w:spacing w:line="240" w:lineRule="auto" w:before="74"/>
        <w:ind w:right="0"/>
        <w:jc w:val="left"/>
      </w:pPr>
      <w:r>
        <w:rPr>
          <w:spacing w:val="-3"/>
        </w:rPr>
        <w:t>其他说明，包括利率区间：</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2103"/>
        <w:gridCol w:w="2367"/>
        <w:gridCol w:w="2098"/>
        <w:gridCol w:w="2077"/>
      </w:tblGrid>
      <w:tr>
        <w:trPr>
          <w:trHeight w:val="353" w:hRule="exact"/>
        </w:trPr>
        <w:tc>
          <w:tcPr>
            <w:tcW w:w="2103" w:type="dxa"/>
            <w:tcBorders>
              <w:top w:val="single" w:sz="6" w:space="0" w:color="000000"/>
              <w:left w:val="single" w:sz="6" w:space="0" w:color="000000"/>
              <w:bottom w:val="single" w:sz="8" w:space="0" w:color="000000"/>
              <w:right w:val="single" w:sz="6" w:space="0" w:color="000000"/>
            </w:tcBorders>
          </w:tcPr>
          <w:p>
            <w:pPr>
              <w:pStyle w:val="TableParagraph"/>
              <w:tabs>
                <w:tab w:pos="552" w:val="left" w:leader="none"/>
              </w:tabs>
              <w:spacing w:line="240" w:lineRule="auto"/>
              <w:ind w:right="65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6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9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77" w:type="dxa"/>
            <w:tcBorders>
              <w:top w:val="single" w:sz="6" w:space="0" w:color="000000"/>
              <w:left w:val="single" w:sz="6" w:space="0" w:color="000000"/>
              <w:bottom w:val="single" w:sz="8" w:space="0" w:color="000000"/>
              <w:right w:val="nil" w:sz="6" w:space="0" w:color="auto"/>
            </w:tcBorders>
          </w:tcPr>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利率区间</w:t>
            </w:r>
          </w:p>
        </w:tc>
      </w:tr>
      <w:tr>
        <w:trPr>
          <w:trHeight w:val="346" w:hRule="exact"/>
        </w:trPr>
        <w:tc>
          <w:tcPr>
            <w:tcW w:w="210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367" w:type="dxa"/>
            <w:tcBorders>
              <w:top w:val="single" w:sz="8" w:space="0" w:color="000000"/>
              <w:left w:val="single" w:sz="6" w:space="0" w:color="000000"/>
              <w:bottom w:val="single" w:sz="8" w:space="0" w:color="000000"/>
              <w:right w:val="single" w:sz="6" w:space="0" w:color="000000"/>
            </w:tcBorders>
          </w:tcPr>
          <w:p>
            <w:pPr/>
          </w:p>
        </w:tc>
        <w:tc>
          <w:tcPr>
            <w:tcW w:w="20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460,000,000.00</w:t>
            </w:r>
          </w:p>
        </w:tc>
        <w:tc>
          <w:tcPr>
            <w:tcW w:w="20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5.248%</w:t>
            </w:r>
          </w:p>
        </w:tc>
      </w:tr>
      <w:tr>
        <w:trPr>
          <w:trHeight w:val="346" w:hRule="exact"/>
        </w:trPr>
        <w:tc>
          <w:tcPr>
            <w:tcW w:w="210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3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100,000,000.00</w:t>
            </w:r>
          </w:p>
        </w:tc>
        <w:tc>
          <w:tcPr>
            <w:tcW w:w="20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200,000,000.00</w:t>
            </w:r>
          </w:p>
        </w:tc>
        <w:tc>
          <w:tcPr>
            <w:tcW w:w="20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4.725%</w:t>
            </w:r>
          </w:p>
        </w:tc>
      </w:tr>
      <w:tr>
        <w:trPr>
          <w:trHeight w:val="350" w:hRule="exact"/>
        </w:trPr>
        <w:tc>
          <w:tcPr>
            <w:tcW w:w="2103" w:type="dxa"/>
            <w:tcBorders>
              <w:top w:val="single" w:sz="8" w:space="0" w:color="000000"/>
              <w:left w:val="single" w:sz="6" w:space="0" w:color="000000"/>
              <w:bottom w:val="single" w:sz="8" w:space="0" w:color="000000"/>
              <w:right w:val="single" w:sz="6" w:space="0" w:color="000000"/>
            </w:tcBorders>
          </w:tcPr>
          <w:p>
            <w:pPr>
              <w:pStyle w:val="TableParagraph"/>
              <w:tabs>
                <w:tab w:pos="552" w:val="left" w:leader="none"/>
              </w:tabs>
              <w:spacing w:line="265" w:lineRule="exact"/>
              <w:ind w:right="65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100,000,000.00</w:t>
            </w:r>
          </w:p>
        </w:tc>
        <w:tc>
          <w:tcPr>
            <w:tcW w:w="20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pacing w:val="-1"/>
                <w:sz w:val="21"/>
              </w:rPr>
              <w:t>660,000,000.00</w:t>
            </w:r>
          </w:p>
        </w:tc>
        <w:tc>
          <w:tcPr>
            <w:tcW w:w="2077"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7"/>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0"/>
        </w:sectPr>
      </w:pPr>
    </w:p>
    <w:p>
      <w:pPr>
        <w:pStyle w:val="BodyText"/>
        <w:spacing w:line="357" w:lineRule="auto" w:before="46"/>
        <w:ind w:right="0"/>
        <w:jc w:val="left"/>
      </w:pPr>
      <w:r>
        <w:rPr>
          <w:spacing w:val="-3"/>
        </w:rPr>
        <w:t>期末发行在外的优先股、永续债等其他金融工具基本情况</w:t>
      </w:r>
      <w:r>
        <w:rPr>
          <w:spacing w:val="-15"/>
        </w:rPr>
        <w:t> </w:t>
      </w:r>
      <w:r>
        <w:rPr>
          <w:spacing w:val="-15"/>
        </w:rPr>
      </w:r>
      <w:r>
        <w:rPr>
          <w:spacing w:val="-3"/>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657" w:space="417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3"/>
        <w:ind w:right="6967"/>
        <w:jc w:val="left"/>
      </w:pPr>
      <w:r>
        <w:rPr>
          <w:spacing w:val="-3"/>
        </w:rPr>
        <w:t>其他金融工具划分为金融负债的依据说明</w:t>
      </w:r>
      <w:r>
        <w:rPr>
          <w:spacing w:val="-33"/>
        </w:rPr>
        <w:t> </w:t>
      </w:r>
      <w:r>
        <w:rPr>
          <w:spacing w:val="-33"/>
        </w:rPr>
      </w:r>
      <w:r>
        <w:rPr/>
        <w:t>其他说明</w:t>
      </w: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3"/>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spacing w:val="-3"/>
        </w:rPr>
        <w:t>设定受益计划义务现值：</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4"/>
        <w:ind w:right="0"/>
        <w:jc w:val="left"/>
      </w:pPr>
      <w:r>
        <w:rPr/>
        <w:t>计划资产：</w:t>
      </w:r>
    </w:p>
    <w:p>
      <w:pPr>
        <w:pStyle w:val="BodyText"/>
        <w:spacing w:line="240" w:lineRule="auto" w:before="119"/>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spacing w:val="-3"/>
        </w:rPr>
        <w:t>设定受益计划净负债（净资产）</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2" w:lineRule="auto" w:before="53"/>
        <w:ind w:right="0"/>
        <w:jc w:val="left"/>
      </w:pPr>
      <w:r>
        <w:rPr>
          <w:spacing w:val="-3"/>
        </w:rPr>
        <w:t>设定受益计划的内容及与之相关风险、对公司未来现金流量、时间和不确定性的影响说明：</w:t>
      </w:r>
      <w:r>
        <w:rPr>
          <w:spacing w:val="25"/>
        </w:rPr>
        <w:t> </w:t>
      </w:r>
      <w:r>
        <w:rPr>
          <w:spacing w:val="25"/>
        </w:rPr>
      </w:r>
      <w:r>
        <w:rPr>
          <w:spacing w:val="-3"/>
        </w:rPr>
        <w:t>设定受益计划重大精算假设及敏感性分析结果说明：</w:t>
      </w:r>
    </w:p>
    <w:p>
      <w:pPr>
        <w:pStyle w:val="BodyText"/>
        <w:spacing w:line="240" w:lineRule="auto" w:before="23"/>
        <w:ind w:right="0"/>
        <w:jc w:val="left"/>
      </w:pP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6"/>
        <w:ind w:right="0"/>
        <w:jc w:val="left"/>
      </w:pPr>
      <w:r>
        <w:rPr>
          <w:spacing w:val="-3"/>
        </w:rPr>
        <w:t>其他说明，包括重要预计负债的相关重要假设、估计说明：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16,172,500.00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16,172,500.00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20"/>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69"/>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6" w:right="70"/>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bl>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润和国际软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件外包研发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总部基地项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7,945,000.00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7,735,000.00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金融云服务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平台建设项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2,450,000.00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23"/>
              <w:jc w:val="both"/>
              <w:rPr>
                <w:rFonts w:ascii="宋体" w:hAnsi="宋体" w:cs="宋体" w:eastAsia="宋体" w:hint="default"/>
                <w:sz w:val="18"/>
                <w:szCs w:val="18"/>
              </w:rPr>
            </w:pPr>
            <w:r>
              <w:rPr>
                <w:rFonts w:ascii="宋体" w:hAnsi="宋体" w:cs="宋体" w:eastAsia="宋体" w:hint="default"/>
                <w:spacing w:val="-2"/>
                <w:sz w:val="18"/>
                <w:szCs w:val="18"/>
              </w:rPr>
              <w:t>雨花润和软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件外包园项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967,500.00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937,500.00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能源信息化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平台建设项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基于互联网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及大数据技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术的金融云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平台研发及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产业化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566" w:val="left" w:leader="none"/>
              </w:tabs>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11,362,500.0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2,690,000.00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16,172,500.0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pStyle w:val="BodyText"/>
        <w:spacing w:line="240" w:lineRule="auto" w:before="110"/>
        <w:ind w:left="518" w:right="0"/>
        <w:jc w:val="left"/>
      </w:pPr>
      <w:r>
        <w:rPr>
          <w:spacing w:val="-3"/>
        </w:rPr>
        <w:t>（</w:t>
      </w:r>
      <w:r>
        <w:rPr>
          <w:rFonts w:ascii="Times New Roman" w:hAnsi="Times New Roman" w:cs="Times New Roman" w:eastAsia="Times New Roman" w:hint="default"/>
          <w:spacing w:val="-3"/>
        </w:rPr>
        <w:t>1</w:t>
      </w:r>
      <w:r>
        <w:rPr>
          <w:spacing w:val="-3"/>
        </w:rPr>
        <w:t>）与资产有关的政府补助</w:t>
      </w:r>
    </w:p>
    <w:p>
      <w:pPr>
        <w:pStyle w:val="BodyText"/>
        <w:spacing w:line="240" w:lineRule="auto" w:before="63"/>
        <w:ind w:left="662"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年润和国际软件外包研发总部基地项目完工，递延收益随资产折旧的计提而分摊计入其他收益项目金额为</w:t>
      </w:r>
    </w:p>
    <w:p>
      <w:pPr>
        <w:pStyle w:val="BodyText"/>
        <w:spacing w:line="240" w:lineRule="auto" w:before="63"/>
        <w:ind w:right="0"/>
        <w:jc w:val="left"/>
      </w:pPr>
      <w:r>
        <w:rPr>
          <w:rFonts w:ascii="Times New Roman" w:hAnsi="Times New Roman" w:cs="Times New Roman" w:eastAsia="Times New Roman" w:hint="default"/>
        </w:rPr>
        <w:t>210,000.00</w:t>
      </w:r>
      <w:r>
        <w:rPr/>
        <w:t>元，期末余额为</w:t>
      </w:r>
      <w:r>
        <w:rPr>
          <w:rFonts w:ascii="Times New Roman" w:hAnsi="Times New Roman" w:cs="Times New Roman" w:eastAsia="Times New Roman" w:hint="default"/>
        </w:rPr>
        <w:t>7,735,000.00</w:t>
      </w:r>
      <w:r>
        <w:rPr/>
        <w:t>元。</w:t>
      </w:r>
    </w:p>
    <w:p>
      <w:pPr>
        <w:pStyle w:val="BodyText"/>
        <w:spacing w:line="300" w:lineRule="auto" w:before="63"/>
        <w:ind w:right="1122" w:firstLine="508"/>
        <w:jc w:val="both"/>
      </w:pPr>
      <w:r>
        <w:rPr>
          <w:rFonts w:ascii="Times New Roman" w:hAnsi="Times New Roman" w:cs="Times New Roman" w:eastAsia="Times New Roman" w:hint="default"/>
          <w:spacing w:val="-3"/>
        </w:rPr>
        <w:t>2</w:t>
      </w:r>
      <w:r>
        <w:rPr>
          <w:spacing w:val="-3"/>
        </w:rPr>
        <w:t>）根据南京市发展和改革委员会、南京市财政局宁发改服务字</w:t>
      </w:r>
      <w:r>
        <w:rPr>
          <w:rFonts w:ascii="Times New Roman" w:hAnsi="Times New Roman" w:cs="Times New Roman" w:eastAsia="Times New Roman" w:hint="default"/>
          <w:spacing w:val="-3"/>
        </w:rPr>
        <w:t>[2017]641</w:t>
      </w:r>
      <w:r>
        <w:rPr>
          <w:spacing w:val="-3"/>
        </w:rPr>
        <w:t>号《关于下达</w:t>
      </w:r>
      <w:r>
        <w:rPr>
          <w:rFonts w:ascii="Times New Roman" w:hAnsi="Times New Roman" w:cs="Times New Roman" w:eastAsia="Times New Roman" w:hint="default"/>
          <w:spacing w:val="-3"/>
        </w:rPr>
        <w:t>2017</w:t>
      </w:r>
      <w:r>
        <w:rPr>
          <w:spacing w:val="-3"/>
        </w:rPr>
        <w:t>年度省级现代服务业发展</w:t>
      </w:r>
      <w:r>
        <w:rPr>
          <w:w w:val="101"/>
        </w:rPr>
        <w:t> </w:t>
      </w:r>
      <w:r>
        <w:rPr>
          <w:spacing w:val="-4"/>
        </w:rPr>
        <w:t>专项引导资金第一批投资计划的通知》，本公司于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月收到中国（南京）软件谷管理委员会拨付的金融云服务平台建</w:t>
      </w:r>
      <w:r>
        <w:rPr>
          <w:spacing w:val="51"/>
        </w:rPr>
        <w:t> </w:t>
      </w:r>
      <w:r>
        <w:rPr>
          <w:spacing w:val="51"/>
        </w:rPr>
      </w:r>
      <w:r>
        <w:rPr>
          <w:spacing w:val="-3"/>
        </w:rPr>
        <w:t>设项目项目资金</w:t>
      </w:r>
      <w:r>
        <w:rPr>
          <w:rFonts w:ascii="Times New Roman" w:hAnsi="Times New Roman" w:cs="Times New Roman" w:eastAsia="Times New Roman" w:hint="default"/>
          <w:spacing w:val="-3"/>
        </w:rPr>
        <w:t>2,450,000.00</w:t>
      </w:r>
      <w:r>
        <w:rPr>
          <w:spacing w:val="-3"/>
        </w:rPr>
        <w:t>元，本期从递延收益转入其他收益。</w:t>
      </w:r>
    </w:p>
    <w:p>
      <w:pPr>
        <w:pStyle w:val="BodyText"/>
        <w:spacing w:line="300" w:lineRule="auto" w:before="13"/>
        <w:ind w:right="0" w:firstLine="508"/>
        <w:jc w:val="left"/>
      </w:pPr>
      <w:r>
        <w:rPr>
          <w:rFonts w:ascii="Times New Roman" w:hAnsi="Times New Roman" w:cs="Times New Roman" w:eastAsia="Times New Roman" w:hint="default"/>
          <w:spacing w:val="-3"/>
        </w:rPr>
        <w:t>3</w:t>
      </w:r>
      <w:r>
        <w:rPr>
          <w:spacing w:val="-3"/>
        </w:rPr>
        <w:t>）根据南京市发展和改革委员会、南京市财政局苏发改服务字</w:t>
      </w:r>
      <w:r>
        <w:rPr>
          <w:rFonts w:ascii="Times New Roman" w:hAnsi="Times New Roman" w:cs="Times New Roman" w:eastAsia="Times New Roman" w:hint="default"/>
          <w:spacing w:val="-3"/>
        </w:rPr>
        <w:t>[2008]600</w:t>
      </w:r>
      <w:r>
        <w:rPr>
          <w:spacing w:val="-3"/>
        </w:rPr>
        <w:t>号《关于下达</w:t>
      </w:r>
      <w:r>
        <w:rPr>
          <w:rFonts w:ascii="Times New Roman" w:hAnsi="Times New Roman" w:cs="Times New Roman" w:eastAsia="Times New Roman" w:hint="default"/>
          <w:spacing w:val="-3"/>
        </w:rPr>
        <w:t>2007</w:t>
      </w:r>
      <w:r>
        <w:rPr>
          <w:spacing w:val="-3"/>
        </w:rPr>
        <w:t>年度省级服务业发展引导</w:t>
      </w:r>
      <w:r>
        <w:rPr>
          <w:w w:val="101"/>
        </w:rPr>
        <w:t> </w:t>
      </w:r>
      <w:r>
        <w:rPr>
          <w:spacing w:val="-3"/>
        </w:rPr>
        <w:t>资金投资计划的通知》，本公司于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月收到南京市雨花台区财政局拨付的雨花润和软件外包园项目资金</w:t>
      </w:r>
      <w:r>
        <w:rPr>
          <w:rFonts w:ascii="Times New Roman" w:hAnsi="Times New Roman" w:cs="Times New Roman" w:eastAsia="Times New Roman" w:hint="default"/>
          <w:spacing w:val="-3"/>
        </w:rPr>
        <w:t>1,200,000.00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元，本公司确定为与资产相关的政府补助，随资产折旧的计提而分摊。</w:t>
      </w:r>
      <w:r>
        <w:rPr>
          <w:rFonts w:ascii="Times New Roman" w:hAnsi="Times New Roman" w:cs="Times New Roman" w:eastAsia="Times New Roman" w:hint="default"/>
          <w:spacing w:val="-3"/>
        </w:rPr>
        <w:t>2018</w:t>
      </w:r>
      <w:r>
        <w:rPr>
          <w:spacing w:val="-3"/>
        </w:rPr>
        <w:t>年度随折旧的计提转入</w:t>
      </w:r>
      <w:r>
        <w:rPr>
          <w:rFonts w:ascii="Times New Roman" w:hAnsi="Times New Roman" w:cs="Times New Roman" w:eastAsia="Times New Roman" w:hint="default"/>
          <w:spacing w:val="-3"/>
        </w:rPr>
        <w:t>“</w:t>
      </w:r>
      <w:r>
        <w:rPr>
          <w:spacing w:val="-3"/>
        </w:rPr>
        <w:t>其他收益</w:t>
      </w:r>
      <w:r>
        <w:rPr>
          <w:rFonts w:ascii="Times New Roman" w:hAnsi="Times New Roman" w:cs="Times New Roman" w:eastAsia="Times New Roman" w:hint="default"/>
          <w:spacing w:val="-3"/>
        </w:rPr>
        <w:t>”</w:t>
      </w:r>
      <w:r>
        <w:rPr>
          <w:spacing w:val="-3"/>
        </w:rPr>
        <w:t>项目金额为</w:t>
      </w:r>
      <w:r>
        <w:rPr>
          <w:spacing w:val="75"/>
        </w:rPr>
        <w:t> </w:t>
      </w:r>
      <w:r>
        <w:rPr>
          <w:spacing w:val="75"/>
        </w:rPr>
      </w:r>
      <w:r>
        <w:rPr>
          <w:rFonts w:ascii="Times New Roman" w:hAnsi="Times New Roman" w:cs="Times New Roman" w:eastAsia="Times New Roman" w:hint="default"/>
        </w:rPr>
        <w:t>30,000.00</w:t>
      </w:r>
      <w:r>
        <w:rPr/>
        <w:t>元，累计转入损益金额为</w:t>
      </w:r>
      <w:r>
        <w:rPr>
          <w:rFonts w:ascii="Times New Roman" w:hAnsi="Times New Roman" w:cs="Times New Roman" w:eastAsia="Times New Roman" w:hint="default"/>
        </w:rPr>
        <w:t>262,500.00</w:t>
      </w:r>
      <w:r>
        <w:rPr/>
        <w:t>元，期末余额为</w:t>
      </w:r>
      <w:r>
        <w:rPr>
          <w:rFonts w:ascii="Times New Roman" w:hAnsi="Times New Roman" w:cs="Times New Roman" w:eastAsia="Times New Roman" w:hint="default"/>
        </w:rPr>
        <w:t>937,500.00</w:t>
      </w:r>
      <w:r>
        <w:rPr/>
        <w:t>元。</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2</w:t>
      </w:r>
      <w:r>
        <w:rPr>
          <w:spacing w:val="-3"/>
        </w:rPr>
        <w:t>）与收益有关的政府补助</w:t>
      </w:r>
    </w:p>
    <w:p>
      <w:pPr>
        <w:pStyle w:val="BodyText"/>
        <w:spacing w:line="300" w:lineRule="auto" w:before="63"/>
        <w:ind w:right="0" w:firstLine="508"/>
        <w:jc w:val="left"/>
      </w:pPr>
      <w:r>
        <w:rPr>
          <w:rFonts w:ascii="Times New Roman" w:hAnsi="Times New Roman" w:cs="Times New Roman" w:eastAsia="Times New Roman" w:hint="default"/>
          <w:spacing w:val="-3"/>
        </w:rPr>
        <w:t>1</w:t>
      </w:r>
      <w:r>
        <w:rPr>
          <w:spacing w:val="-3"/>
        </w:rPr>
        <w:t>）根据江苏省发展和改革委员会、江苏省财政厅苏发改高技发</w:t>
      </w:r>
      <w:r>
        <w:rPr>
          <w:rFonts w:ascii="Times New Roman" w:hAnsi="Times New Roman" w:cs="Times New Roman" w:eastAsia="Times New Roman" w:hint="default"/>
          <w:spacing w:val="-3"/>
        </w:rPr>
        <w:t>[2017]1594</w:t>
      </w:r>
      <w:r>
        <w:rPr>
          <w:spacing w:val="-3"/>
        </w:rPr>
        <w:t>号、苏财建</w:t>
      </w:r>
      <w:r>
        <w:rPr>
          <w:rFonts w:ascii="Times New Roman" w:hAnsi="Times New Roman" w:cs="Times New Roman" w:eastAsia="Times New Roman" w:hint="default"/>
          <w:spacing w:val="-3"/>
        </w:rPr>
        <w:t>[2017]295</w:t>
      </w:r>
      <w:r>
        <w:rPr>
          <w:spacing w:val="-3"/>
        </w:rPr>
        <w:t>号《关于下达</w:t>
      </w:r>
      <w:r>
        <w:rPr>
          <w:rFonts w:ascii="Times New Roman" w:hAnsi="Times New Roman" w:cs="Times New Roman" w:eastAsia="Times New Roman" w:hint="default"/>
          <w:spacing w:val="-3"/>
        </w:rPr>
        <w:t>2017</w:t>
      </w:r>
      <w:r>
        <w:rPr>
          <w:spacing w:val="-3"/>
        </w:rPr>
        <w:t>年</w:t>
      </w:r>
      <w:r>
        <w:rPr>
          <w:w w:val="101"/>
        </w:rPr>
        <w:t> </w:t>
      </w:r>
      <w:r>
        <w:rPr>
          <w:spacing w:val="-5"/>
        </w:rPr>
        <w:t>度省级战略性新兴产业发展专项资金及项目投资计划的通知》，本公司于</w:t>
      </w:r>
      <w:r>
        <w:rPr>
          <w:rFonts w:ascii="Times New Roman" w:hAnsi="Times New Roman" w:cs="Times New Roman" w:eastAsia="Times New Roman" w:hint="default"/>
          <w:spacing w:val="-5"/>
        </w:rPr>
        <w:t>2018 </w:t>
      </w:r>
      <w:r>
        <w:rPr/>
        <w:t>年</w:t>
      </w:r>
      <w:r>
        <w:rPr>
          <w:rFonts w:ascii="Times New Roman" w:hAnsi="Times New Roman" w:cs="Times New Roman" w:eastAsia="Times New Roman" w:hint="default"/>
        </w:rPr>
        <w:t>4 </w:t>
      </w:r>
      <w:r>
        <w:rPr>
          <w:spacing w:val="-3"/>
        </w:rPr>
        <w:t>月收到中国</w:t>
      </w:r>
      <w:r>
        <w:rPr>
          <w:rFonts w:ascii="Times New Roman" w:hAnsi="Times New Roman" w:cs="Times New Roman" w:eastAsia="Times New Roman" w:hint="default"/>
          <w:spacing w:val="-3"/>
        </w:rPr>
        <w:t>(</w:t>
      </w:r>
      <w:r>
        <w:rPr>
          <w:spacing w:val="-3"/>
        </w:rPr>
        <w:t>南京</w:t>
      </w:r>
      <w:r>
        <w:rPr>
          <w:rFonts w:ascii="Times New Roman" w:hAnsi="Times New Roman" w:cs="Times New Roman" w:eastAsia="Times New Roman" w:hint="default"/>
          <w:spacing w:val="-3"/>
        </w:rPr>
        <w:t>)</w:t>
      </w:r>
      <w:r>
        <w:rPr>
          <w:spacing w:val="-3"/>
        </w:rPr>
        <w:t>软件谷管理委员会拨付</w:t>
      </w:r>
      <w:r>
        <w:rPr>
          <w:spacing w:val="-47"/>
        </w:rPr>
        <w:t> </w:t>
      </w:r>
      <w:r>
        <w:rPr>
          <w:spacing w:val="-47"/>
        </w:rPr>
      </w:r>
      <w:r>
        <w:rPr/>
        <w:t>的能源信息化平台建设项目资金</w:t>
      </w:r>
      <w:r>
        <w:rPr>
          <w:rFonts w:ascii="Times New Roman" w:hAnsi="Times New Roman" w:cs="Times New Roman" w:eastAsia="Times New Roman" w:hint="default"/>
        </w:rPr>
        <w:t>6,300,000.00</w:t>
      </w:r>
      <w:r>
        <w:rPr>
          <w:rFonts w:ascii="Times New Roman" w:hAnsi="Times New Roman" w:cs="Times New Roman" w:eastAsia="Times New Roman" w:hint="default"/>
          <w:spacing w:val="30"/>
        </w:rPr>
        <w:t> </w:t>
      </w:r>
      <w:r>
        <w:rPr/>
        <w:t>元。</w:t>
      </w:r>
    </w:p>
    <w:p>
      <w:pPr>
        <w:pStyle w:val="BodyText"/>
        <w:spacing w:line="300" w:lineRule="auto" w:before="13"/>
        <w:ind w:right="0" w:firstLine="508"/>
        <w:jc w:val="left"/>
      </w:pPr>
      <w:r>
        <w:rPr>
          <w:rFonts w:ascii="Times New Roman" w:hAnsi="Times New Roman" w:cs="Times New Roman" w:eastAsia="Times New Roman" w:hint="default"/>
          <w:spacing w:val="-3"/>
        </w:rPr>
        <w:t>2</w:t>
      </w:r>
      <w:r>
        <w:rPr>
          <w:spacing w:val="-3"/>
        </w:rPr>
        <w:t>）根据南京市科学技术委员会、南京市财政局宁科</w:t>
      </w:r>
      <w:r>
        <w:rPr>
          <w:rFonts w:ascii="Times New Roman" w:hAnsi="Times New Roman" w:cs="Times New Roman" w:eastAsia="Times New Roman" w:hint="default"/>
          <w:spacing w:val="-3"/>
        </w:rPr>
        <w:t>[2018]307</w:t>
      </w:r>
      <w:r>
        <w:rPr>
          <w:spacing w:val="-3"/>
        </w:rPr>
        <w:t>号、宁财教</w:t>
      </w:r>
      <w:r>
        <w:rPr>
          <w:rFonts w:ascii="Times New Roman" w:hAnsi="Times New Roman" w:cs="Times New Roman" w:eastAsia="Times New Roman" w:hint="default"/>
          <w:spacing w:val="-3"/>
        </w:rPr>
        <w:t>[2018]743</w:t>
      </w:r>
      <w:r>
        <w:rPr>
          <w:spacing w:val="-3"/>
        </w:rPr>
        <w:t>号《关于下达南京市</w:t>
      </w:r>
      <w:r>
        <w:rPr>
          <w:rFonts w:ascii="Times New Roman" w:hAnsi="Times New Roman" w:cs="Times New Roman" w:eastAsia="Times New Roman" w:hint="default"/>
          <w:spacing w:val="-3"/>
        </w:rPr>
        <w:t>2018</w:t>
      </w:r>
      <w:r>
        <w:rPr>
          <w:spacing w:val="-3"/>
        </w:rPr>
        <w:t>年度科技</w:t>
      </w:r>
      <w:r>
        <w:rPr>
          <w:w w:val="101"/>
        </w:rPr>
        <w:t> </w:t>
      </w:r>
      <w:r>
        <w:rPr>
          <w:spacing w:val="-3"/>
        </w:rPr>
        <w:t>发展计划及科技经费指标的通知（第十四批）》，本公司于</w:t>
      </w:r>
      <w:r>
        <w:rPr>
          <w:rFonts w:ascii="Times New Roman" w:hAnsi="Times New Roman" w:cs="Times New Roman" w:eastAsia="Times New Roman" w:hint="default"/>
          <w:spacing w:val="-3"/>
        </w:rPr>
        <w:t>2018 </w:t>
      </w:r>
      <w:r>
        <w:rPr>
          <w:spacing w:val="-3"/>
        </w:rPr>
        <w:t>年</w:t>
      </w:r>
      <w:r>
        <w:rPr>
          <w:rFonts w:ascii="Times New Roman" w:hAnsi="Times New Roman" w:cs="Times New Roman" w:eastAsia="Times New Roman" w:hint="default"/>
          <w:spacing w:val="-3"/>
        </w:rPr>
        <w:t>11</w:t>
      </w:r>
      <w:r>
        <w:rPr>
          <w:spacing w:val="-3"/>
        </w:rPr>
        <w:t>月收到中国</w:t>
      </w:r>
      <w:r>
        <w:rPr>
          <w:rFonts w:ascii="Times New Roman" w:hAnsi="Times New Roman" w:cs="Times New Roman" w:eastAsia="Times New Roman" w:hint="default"/>
          <w:spacing w:val="-3"/>
        </w:rPr>
        <w:t>(</w:t>
      </w:r>
      <w:r>
        <w:rPr>
          <w:spacing w:val="-3"/>
        </w:rPr>
        <w:t>南京</w:t>
      </w:r>
      <w:r>
        <w:rPr>
          <w:rFonts w:ascii="Times New Roman" w:hAnsi="Times New Roman" w:cs="Times New Roman" w:eastAsia="Times New Roman" w:hint="default"/>
          <w:spacing w:val="-3"/>
        </w:rPr>
        <w:t>)</w:t>
      </w:r>
      <w:r>
        <w:rPr>
          <w:spacing w:val="-3"/>
        </w:rPr>
        <w:t>软件谷管理委员会拨付的基于互联</w:t>
      </w:r>
      <w:r>
        <w:rPr>
          <w:spacing w:val="21"/>
        </w:rPr>
        <w:t> </w:t>
      </w:r>
      <w:r>
        <w:rPr>
          <w:spacing w:val="21"/>
        </w:rPr>
      </w:r>
      <w:r>
        <w:rPr>
          <w:spacing w:val="-3"/>
        </w:rPr>
        <w:t>网及大数据技术的金融云平台研发及产业化项目资金</w:t>
      </w:r>
      <w:r>
        <w:rPr>
          <w:rFonts w:ascii="Times New Roman" w:hAnsi="Times New Roman" w:cs="Times New Roman" w:eastAsia="Times New Roman" w:hint="default"/>
          <w:spacing w:val="-3"/>
        </w:rPr>
        <w:t>1,200,000.00   </w:t>
      </w:r>
      <w:r>
        <w:rPr>
          <w:rFonts w:ascii="Times New Roman" w:hAnsi="Times New Roman" w:cs="Times New Roman" w:eastAsia="Times New Roman" w:hint="default"/>
          <w:spacing w:val="9"/>
        </w:rPr>
        <w:t> </w:t>
      </w:r>
      <w:r>
        <w:rPr/>
        <w:t>元。</w:t>
      </w:r>
    </w:p>
    <w:p>
      <w:pPr>
        <w:spacing w:after="0" w:line="30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715,466,700.00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 w:right="0"/>
              <w:jc w:val="center"/>
              <w:rPr>
                <w:rFonts w:ascii="Times New Roman" w:hAnsi="Times New Roman" w:cs="Times New Roman" w:eastAsia="Times New Roman" w:hint="default"/>
                <w:sz w:val="18"/>
                <w:szCs w:val="18"/>
              </w:rPr>
            </w:pPr>
            <w:r>
              <w:rPr>
                <w:rFonts w:ascii="Times New Roman"/>
                <w:sz w:val="18"/>
              </w:rPr>
              <w:t>81,326,141.00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-382,000.00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80,944,141.00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796,410,841.00</w:t>
            </w:r>
          </w:p>
        </w:tc>
      </w:tr>
    </w:tbl>
    <w:p>
      <w:pPr>
        <w:pStyle w:val="BodyText"/>
        <w:spacing w:line="240" w:lineRule="auto" w:before="53"/>
        <w:ind w:right="0"/>
        <w:jc w:val="left"/>
      </w:pPr>
      <w:r>
        <w:rPr/>
        <w:t>其他说明：</w:t>
      </w:r>
    </w:p>
    <w:p>
      <w:pPr>
        <w:pStyle w:val="BodyText"/>
        <w:spacing w:line="300" w:lineRule="auto" w:before="115"/>
        <w:ind w:right="1026" w:firstLine="364"/>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日召开的</w:t>
      </w:r>
      <w:r>
        <w:rPr>
          <w:rFonts w:ascii="Times New Roman" w:hAnsi="Times New Roman" w:cs="Times New Roman" w:eastAsia="Times New Roman" w:hint="default"/>
          <w:spacing w:val="-3"/>
        </w:rPr>
        <w:t>2016</w:t>
      </w:r>
      <w:r>
        <w:rPr>
          <w:spacing w:val="-3"/>
        </w:rPr>
        <w:t>年第三次临时股东大会审议通过的《关于公司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年度非公</w:t>
      </w:r>
      <w:r>
        <w:rPr>
          <w:w w:val="101"/>
        </w:rPr>
        <w:t> </w:t>
      </w:r>
      <w:r>
        <w:rPr/>
        <w:t>开发行 </w:t>
      </w:r>
      <w:r>
        <w:rPr>
          <w:rFonts w:ascii="Times New Roman" w:hAnsi="Times New Roman" w:cs="Times New Roman" w:eastAsia="Times New Roman" w:hint="default"/>
        </w:rPr>
        <w:t>A </w:t>
      </w:r>
      <w:r>
        <w:rPr>
          <w:spacing w:val="-3"/>
        </w:rPr>
        <w:t>股股票方案的议案》和修改后的公司章程，并经中国证券监督管理委员会《关于核准江苏润和软件股份有限公司</w:t>
      </w:r>
      <w:r>
        <w:rPr>
          <w:spacing w:val="14"/>
        </w:rPr>
        <w:t> </w:t>
      </w:r>
      <w:r>
        <w:rPr>
          <w:spacing w:val="14"/>
        </w:rPr>
      </w:r>
      <w:r>
        <w:rPr>
          <w:spacing w:val="-3"/>
        </w:rPr>
        <w:t>非公开发行股票的批复》（证监许可</w:t>
      </w:r>
      <w:r>
        <w:rPr>
          <w:rFonts w:ascii="Times New Roman" w:hAnsi="Times New Roman" w:cs="Times New Roman" w:eastAsia="Times New Roman" w:hint="default"/>
          <w:spacing w:val="-3"/>
        </w:rPr>
        <w:t>[2017]1213</w:t>
      </w:r>
      <w:r>
        <w:rPr>
          <w:spacing w:val="-3"/>
        </w:rPr>
        <w:t>号文）的核准，公司向特定投资者泰达宏利基金管理有限公司、浙江浙商产</w:t>
      </w:r>
      <w:r>
        <w:rPr>
          <w:spacing w:val="62"/>
        </w:rPr>
        <w:t> </w:t>
      </w:r>
      <w:r>
        <w:rPr>
          <w:spacing w:val="62"/>
        </w:rPr>
      </w:r>
      <w:r>
        <w:rPr>
          <w:spacing w:val="-3"/>
        </w:rPr>
        <w:t>融控股有限公司、财通基金管理有限公司、申万宏源证券有限公司发行人民币普通股股票</w:t>
      </w:r>
      <w:r>
        <w:rPr>
          <w:rFonts w:ascii="Times New Roman" w:hAnsi="Times New Roman" w:cs="Times New Roman" w:eastAsia="Times New Roman" w:hint="default"/>
          <w:spacing w:val="-3"/>
        </w:rPr>
        <w:t>81,326,141</w:t>
      </w:r>
      <w:r>
        <w:rPr>
          <w:spacing w:val="-3"/>
        </w:rPr>
        <w:t>股，增加注册资本</w:t>
      </w:r>
      <w:r>
        <w:rPr>
          <w:spacing w:val="79"/>
        </w:rPr>
        <w:t> </w:t>
      </w:r>
      <w:r>
        <w:rPr>
          <w:spacing w:val="79"/>
        </w:rPr>
      </w:r>
      <w:r>
        <w:rPr>
          <w:rFonts w:ascii="Times New Roman" w:hAnsi="Times New Roman" w:cs="Times New Roman" w:eastAsia="Times New Roman" w:hint="default"/>
          <w:spacing w:val="-5"/>
        </w:rPr>
        <w:t>81,326,141.00</w:t>
      </w:r>
      <w:r>
        <w:rPr>
          <w:spacing w:val="-5"/>
        </w:rPr>
        <w:t>元，变更后的注册资本为人民币</w:t>
      </w:r>
      <w:r>
        <w:rPr>
          <w:rFonts w:ascii="Times New Roman" w:hAnsi="Times New Roman" w:cs="Times New Roman" w:eastAsia="Times New Roman" w:hint="default"/>
          <w:spacing w:val="-5"/>
        </w:rPr>
        <w:t>796,792,841.00</w:t>
      </w:r>
      <w:r>
        <w:rPr>
          <w:spacing w:val="-5"/>
        </w:rPr>
        <w:t>元。此次增资业经华普天健会计师事务所（特殊普通合伙）审验，</w:t>
      </w:r>
      <w:r>
        <w:rPr>
          <w:spacing w:val="80"/>
        </w:rPr>
        <w:t> </w:t>
      </w:r>
      <w:r>
        <w:rPr>
          <w:spacing w:val="80"/>
        </w:rPr>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日出具会验字</w:t>
      </w:r>
      <w:r>
        <w:rPr>
          <w:rFonts w:ascii="Times New Roman" w:hAnsi="Times New Roman" w:cs="Times New Roman" w:eastAsia="Times New Roman" w:hint="default"/>
        </w:rPr>
        <w:t>[2018]0019</w:t>
      </w:r>
      <w:r>
        <w:rPr/>
        <w:t>号《验资报告》。</w:t>
      </w:r>
    </w:p>
    <w:p>
      <w:pPr>
        <w:pStyle w:val="BodyText"/>
        <w:spacing w:line="307" w:lineRule="auto" w:before="13"/>
        <w:ind w:right="0" w:firstLine="364"/>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6</w:t>
      </w:r>
      <w:r>
        <w:rPr>
          <w:spacing w:val="-4"/>
        </w:rPr>
        <w:t>日，经公司</w:t>
      </w:r>
      <w:r>
        <w:rPr>
          <w:rFonts w:ascii="Times New Roman" w:hAnsi="Times New Roman" w:cs="Times New Roman" w:eastAsia="Times New Roman" w:hint="default"/>
          <w:spacing w:val="-4"/>
        </w:rPr>
        <w:t>2014</w:t>
      </w:r>
      <w:r>
        <w:rPr>
          <w:spacing w:val="-4"/>
        </w:rPr>
        <w:t>年第五次临时股东大会审议通过的《江苏润和软件股份有限公司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
        </w:rPr>
        <w:t> </w:t>
      </w:r>
      <w:r>
        <w:rPr>
          <w:spacing w:val="-3"/>
        </w:rPr>
        <w:t>年限制性股票激</w:t>
      </w:r>
      <w:r>
        <w:rPr>
          <w:w w:val="101"/>
        </w:rPr>
        <w:t> </w:t>
      </w:r>
      <w:r>
        <w:rPr>
          <w:spacing w:val="-6"/>
        </w:rPr>
        <w:t>励计划（草案修订稿）》、第五届董事会第二十八次会议决议和修改后的章程，公司对周磊、周蛟、郑蓓、赵振平、张玉峰、</w:t>
      </w:r>
      <w:r>
        <w:rPr>
          <w:spacing w:val="56"/>
        </w:rPr>
        <w:t> </w:t>
      </w:r>
      <w:r>
        <w:rPr>
          <w:spacing w:val="56"/>
        </w:rPr>
      </w:r>
      <w:r>
        <w:rPr>
          <w:spacing w:val="-5"/>
        </w:rPr>
        <w:t>许波、徐苏君、徐珩、吴烨、魏榕祠、王宇、王天、汤鹏川、孙嘉琛、苏南、沈欣慧、秦伟娜、牟际生、莫华军、刘珏、刘</w:t>
      </w:r>
      <w:r>
        <w:rPr>
          <w:spacing w:val="5"/>
        </w:rPr>
        <w:t> </w:t>
      </w:r>
      <w:r>
        <w:rPr>
          <w:spacing w:val="5"/>
        </w:rPr>
      </w:r>
      <w:r>
        <w:rPr>
          <w:spacing w:val="-3"/>
        </w:rPr>
        <w:t>恩道、李治勇、雷彤、蒋昕、果鹏、邓茜、陈钟鹏、陈希、蔡雷鸣已获授但尚未解锁的限制性股票股本人民币</w:t>
      </w:r>
      <w:r>
        <w:rPr>
          <w:rFonts w:ascii="Times New Roman" w:hAnsi="Times New Roman" w:cs="Times New Roman" w:eastAsia="Times New Roman" w:hint="default"/>
          <w:spacing w:val="-3"/>
        </w:rPr>
        <w:t>382,000.00</w:t>
      </w:r>
      <w:r>
        <w:rPr>
          <w:spacing w:val="-3"/>
        </w:rPr>
        <w:t>元</w:t>
      </w:r>
      <w:r>
        <w:rPr>
          <w:spacing w:val="-2"/>
        </w:rPr>
        <w:t> </w:t>
      </w:r>
      <w:r>
        <w:rPr>
          <w:spacing w:val="-3"/>
        </w:rPr>
        <w:t>进行回购注销，申请减少注册资本及股本人民币</w:t>
      </w:r>
      <w:r>
        <w:rPr>
          <w:rFonts w:ascii="Times New Roman" w:hAnsi="Times New Roman" w:cs="Times New Roman" w:eastAsia="Times New Roman" w:hint="default"/>
          <w:spacing w:val="-3"/>
        </w:rPr>
        <w:t>382,000.00</w:t>
      </w:r>
      <w:r>
        <w:rPr>
          <w:spacing w:val="-3"/>
        </w:rPr>
        <w:t>元，变更后的注册资本及股本为人民币</w:t>
      </w:r>
      <w:r>
        <w:rPr>
          <w:rFonts w:ascii="Times New Roman" w:hAnsi="Times New Roman" w:cs="Times New Roman" w:eastAsia="Times New Roman" w:hint="default"/>
          <w:spacing w:val="-3"/>
        </w:rPr>
        <w:t>796,410,841.00</w:t>
      </w:r>
      <w:r>
        <w:rPr>
          <w:spacing w:val="-3"/>
        </w:rPr>
        <w:t>元。此次增</w:t>
      </w:r>
      <w:r>
        <w:rPr>
          <w:spacing w:val="70"/>
        </w:rPr>
        <w:t> </w:t>
      </w:r>
      <w:r>
        <w:rPr>
          <w:spacing w:val="70"/>
        </w:rPr>
      </w:r>
      <w:r>
        <w:rPr>
          <w:spacing w:val="-3"/>
        </w:rPr>
        <w:t>资业经华普天健会计师事务所（特殊普通合伙）审验，并于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日出具会验字</w:t>
      </w:r>
      <w:r>
        <w:rPr>
          <w:rFonts w:ascii="Times New Roman" w:hAnsi="Times New Roman" w:cs="Times New Roman" w:eastAsia="Times New Roman" w:hint="default"/>
          <w:spacing w:val="-3"/>
        </w:rPr>
        <w:t>[2018]0633</w:t>
      </w:r>
      <w:r>
        <w:rPr>
          <w:spacing w:val="-3"/>
        </w:rPr>
        <w:t>号《验资报告》。</w:t>
      </w:r>
    </w:p>
    <w:p>
      <w:pPr>
        <w:pStyle w:val="BodyText"/>
        <w:spacing w:line="240" w:lineRule="auto" w:before="7"/>
        <w:ind w:left="518" w:right="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年度公司部分有限售条件股份上市流通，转为无限售条件流通股，合计解除限售股份为</w:t>
      </w:r>
      <w:r>
        <w:rPr>
          <w:rFonts w:ascii="Times New Roman" w:hAnsi="Times New Roman" w:cs="Times New Roman" w:eastAsia="Times New Roman" w:hint="default"/>
          <w:spacing w:val="-3"/>
        </w:rPr>
        <w:t>128,140,634.00</w:t>
      </w:r>
      <w:r>
        <w:rPr>
          <w:spacing w:val="-3"/>
        </w:rPr>
        <w:t>股。</w:t>
      </w:r>
      <w:r>
        <w:rPr/>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3"/>
        <w:ind w:right="4626"/>
        <w:jc w:val="left"/>
      </w:pPr>
      <w:r>
        <w:rPr>
          <w:spacing w:val="-3"/>
        </w:rPr>
        <w:t>其他权益工具本期增减变动情况、变动原因说明，以及相关会计处理的依据：</w:t>
      </w:r>
      <w:r>
        <w:rPr>
          <w:spacing w:val="8"/>
        </w:rPr>
        <w:t> </w:t>
      </w:r>
      <w:r>
        <w:rPr>
          <w:spacing w:val="8"/>
        </w:rPr>
      </w:r>
      <w:r>
        <w:rPr/>
        <w:t>其他说明：</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9" w:right="0"/>
              <w:jc w:val="left"/>
              <w:rPr>
                <w:rFonts w:ascii="Times New Roman" w:hAnsi="Times New Roman" w:cs="Times New Roman" w:eastAsia="Times New Roman" w:hint="default"/>
                <w:sz w:val="18"/>
                <w:szCs w:val="18"/>
              </w:rPr>
            </w:pPr>
            <w:r>
              <w:rPr>
                <w:rFonts w:ascii="Times New Roman"/>
                <w:sz w:val="18"/>
              </w:rPr>
              <w:t>2,158,045,926.73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709,408,071.82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1,997,060.00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2,865,456,938.55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12,371,356.58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12,371,356.58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9" w:right="0"/>
              <w:jc w:val="left"/>
              <w:rPr>
                <w:rFonts w:ascii="Times New Roman" w:hAnsi="Times New Roman" w:cs="Times New Roman" w:eastAsia="Times New Roman" w:hint="default"/>
                <w:sz w:val="18"/>
                <w:szCs w:val="18"/>
              </w:rPr>
            </w:pPr>
            <w:r>
              <w:rPr>
                <w:rFonts w:ascii="Times New Roman"/>
                <w:sz w:val="18"/>
              </w:rPr>
              <w:t>2,158,045,926.73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721,779,428.40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1,997,060.00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2,877,828,295.13</w:t>
            </w:r>
          </w:p>
        </w:tc>
      </w:tr>
    </w:tbl>
    <w:p>
      <w:pPr>
        <w:pStyle w:val="BodyText"/>
        <w:spacing w:line="240" w:lineRule="auto" w:before="53"/>
        <w:ind w:right="0"/>
        <w:jc w:val="left"/>
      </w:pPr>
      <w:r>
        <w:rPr>
          <w:spacing w:val="-3"/>
        </w:rPr>
        <w:t>其他说明，包括本期增减变动情况、变动原因说明：</w:t>
      </w:r>
    </w:p>
    <w:p>
      <w:pPr>
        <w:pStyle w:val="BodyText"/>
        <w:spacing w:line="300" w:lineRule="auto" w:before="115"/>
        <w:ind w:right="0" w:firstLine="364"/>
        <w:jc w:val="left"/>
      </w:pPr>
      <w:r>
        <w:rPr>
          <w:spacing w:val="-5"/>
        </w:rPr>
        <w:t>（</w:t>
      </w:r>
      <w:r>
        <w:rPr>
          <w:rFonts w:ascii="Times New Roman" w:hAnsi="Times New Roman" w:cs="Times New Roman" w:eastAsia="Times New Roman" w:hint="default"/>
          <w:spacing w:val="-5"/>
        </w:rPr>
        <w:t>1</w:t>
      </w:r>
      <w:r>
        <w:rPr>
          <w:spacing w:val="-5"/>
        </w:rPr>
        <w:t>）股本溢价本期增加：</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9</w:t>
      </w:r>
      <w:r>
        <w:rPr>
          <w:spacing w:val="-5"/>
        </w:rPr>
        <w:t>日公司非公开发行股票募集资金净额</w:t>
      </w:r>
      <w:r>
        <w:rPr>
          <w:rFonts w:ascii="Times New Roman" w:hAnsi="Times New Roman" w:cs="Times New Roman" w:eastAsia="Times New Roman" w:hint="default"/>
          <w:spacing w:val="-5"/>
        </w:rPr>
        <w:t>790,734,212.82</w:t>
      </w:r>
      <w:r>
        <w:rPr>
          <w:spacing w:val="-5"/>
        </w:rPr>
        <w:t>元，其中计入股本</w:t>
      </w:r>
      <w:r>
        <w:rPr>
          <w:rFonts w:ascii="Times New Roman" w:hAnsi="Times New Roman" w:cs="Times New Roman" w:eastAsia="Times New Roman" w:hint="default"/>
          <w:spacing w:val="-5"/>
        </w:rPr>
        <w:t>81,326,141.00</w:t>
      </w:r>
      <w:r>
        <w:rPr>
          <w:rFonts w:ascii="Times New Roman" w:hAnsi="Times New Roman" w:cs="Times New Roman" w:eastAsia="Times New Roman" w:hint="default"/>
          <w:w w:val="101"/>
        </w:rPr>
        <w:t> </w:t>
      </w:r>
      <w:r>
        <w:rPr>
          <w:spacing w:val="-3"/>
        </w:rPr>
        <w:t>元，计入资本公积（股本溢价）</w:t>
      </w:r>
      <w:r>
        <w:rPr>
          <w:rFonts w:ascii="Times New Roman" w:hAnsi="Times New Roman" w:cs="Times New Roman" w:eastAsia="Times New Roman" w:hint="default"/>
          <w:spacing w:val="-3"/>
        </w:rPr>
        <w:t>709,408,071.82</w:t>
      </w:r>
      <w:r>
        <w:rPr>
          <w:spacing w:val="-3"/>
        </w:rPr>
        <w:t>元。</w:t>
      </w:r>
      <w:r>
        <w:rPr/>
      </w:r>
    </w:p>
    <w:p>
      <w:pPr>
        <w:pStyle w:val="BodyText"/>
        <w:spacing w:line="300" w:lineRule="auto" w:before="13"/>
        <w:ind w:right="0" w:firstLine="364"/>
        <w:jc w:val="left"/>
      </w:pPr>
      <w:r>
        <w:rPr>
          <w:spacing w:val="-4"/>
        </w:rPr>
        <w:t>（</w:t>
      </w:r>
      <w:r>
        <w:rPr>
          <w:rFonts w:ascii="Times New Roman" w:hAnsi="Times New Roman" w:cs="Times New Roman" w:eastAsia="Times New Roman" w:hint="default"/>
          <w:spacing w:val="-4"/>
        </w:rPr>
        <w:t>2</w:t>
      </w:r>
      <w:r>
        <w:rPr>
          <w:spacing w:val="-4"/>
        </w:rPr>
        <w:t>）股本溢价本期减少：公司本期回购注销股权激励对象所持已获授但尚未解锁的限制性股票合计</w:t>
      </w:r>
      <w:r>
        <w:rPr>
          <w:rFonts w:ascii="Times New Roman" w:hAnsi="Times New Roman" w:cs="Times New Roman" w:eastAsia="Times New Roman" w:hint="default"/>
          <w:spacing w:val="-4"/>
        </w:rPr>
        <w:t>382,000.00</w:t>
      </w:r>
      <w:r>
        <w:rPr>
          <w:spacing w:val="-4"/>
        </w:rPr>
        <w:t>股，减少</w:t>
      </w:r>
      <w:r>
        <w:rPr>
          <w:w w:val="101"/>
        </w:rPr>
        <w:t> </w:t>
      </w:r>
      <w:r>
        <w:rPr/>
        <w:t>股本</w:t>
      </w:r>
      <w:r>
        <w:rPr>
          <w:rFonts w:ascii="Times New Roman" w:hAnsi="Times New Roman" w:cs="Times New Roman" w:eastAsia="Times New Roman" w:hint="default"/>
        </w:rPr>
        <w:t>382,000.00</w:t>
      </w:r>
      <w:r>
        <w:rPr/>
        <w:t>元，减少资本公积（股本溢价）</w:t>
      </w:r>
      <w:r>
        <w:rPr>
          <w:rFonts w:ascii="Times New Roman" w:hAnsi="Times New Roman" w:cs="Times New Roman" w:eastAsia="Times New Roman" w:hint="default"/>
        </w:rPr>
        <w:t>1,997,060.00</w:t>
      </w:r>
      <w:r>
        <w:rPr/>
        <w:t>元。</w:t>
      </w:r>
    </w:p>
    <w:p>
      <w:pPr>
        <w:pStyle w:val="BodyText"/>
        <w:spacing w:line="240" w:lineRule="auto" w:before="13"/>
        <w:ind w:left="518" w:right="0"/>
        <w:jc w:val="left"/>
      </w:pPr>
      <w:r>
        <w:rPr>
          <w:spacing w:val="-3"/>
        </w:rPr>
        <w:t>（</w:t>
      </w:r>
      <w:r>
        <w:rPr>
          <w:rFonts w:ascii="Times New Roman" w:hAnsi="Times New Roman" w:cs="Times New Roman" w:eastAsia="Times New Roman" w:hint="default"/>
          <w:spacing w:val="-3"/>
        </w:rPr>
        <w:t>3</w:t>
      </w:r>
      <w:r>
        <w:rPr>
          <w:spacing w:val="-3"/>
        </w:rPr>
        <w:t>）其他资本公积变动详见附注七、</w:t>
      </w:r>
      <w:r>
        <w:rPr>
          <w:rFonts w:ascii="Times New Roman" w:hAnsi="Times New Roman" w:cs="Times New Roman" w:eastAsia="Times New Roman" w:hint="default"/>
          <w:spacing w:val="-3"/>
        </w:rPr>
        <w:t>14</w:t>
      </w:r>
      <w:r>
        <w:rPr>
          <w:spacing w:val="-3"/>
        </w:rPr>
        <w:t>、长期股权投资。</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股权激励回购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148,976,163.45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148,976,163.45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148,976,163.45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148,976,163.45</w:t>
            </w:r>
          </w:p>
        </w:tc>
      </w:tr>
    </w:tbl>
    <w:p>
      <w:pPr>
        <w:pStyle w:val="BodyText"/>
        <w:spacing w:line="352" w:lineRule="auto" w:before="53"/>
        <w:ind w:left="662" w:right="0" w:hanging="509"/>
        <w:jc w:val="left"/>
      </w:pPr>
      <w:r>
        <w:rPr>
          <w:spacing w:val="-3"/>
        </w:rPr>
        <w:t>其他说明，包括本期增减变动情况、变动原因说明：</w:t>
      </w:r>
      <w:r>
        <w:rPr>
          <w:spacing w:val="-21"/>
        </w:rPr>
        <w:t> </w:t>
      </w:r>
      <w:r>
        <w:rPr>
          <w:spacing w:val="-21"/>
        </w:rPr>
      </w:r>
      <w:r>
        <w:rPr>
          <w:spacing w:val="-3"/>
        </w:rPr>
        <w:t>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14</w:t>
      </w:r>
      <w:r>
        <w:rPr>
          <w:spacing w:val="-3"/>
        </w:rPr>
        <w:t>日召开的第五届董事会第四十次会议及</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12</w:t>
      </w:r>
      <w:r>
        <w:rPr>
          <w:spacing w:val="-3"/>
        </w:rPr>
        <w:t>日召开的</w:t>
      </w:r>
      <w:r>
        <w:rPr>
          <w:rFonts w:ascii="Times New Roman" w:hAnsi="Times New Roman" w:cs="Times New Roman" w:eastAsia="Times New Roman" w:hint="default"/>
          <w:spacing w:val="-3"/>
        </w:rPr>
        <w:t>2018</w:t>
      </w:r>
      <w:r>
        <w:rPr>
          <w:spacing w:val="-3"/>
        </w:rPr>
        <w:t>年第四次临时股东大会审议通</w:t>
      </w:r>
    </w:p>
    <w:p>
      <w:pPr>
        <w:pStyle w:val="BodyText"/>
        <w:spacing w:line="205" w:lineRule="exact"/>
        <w:ind w:right="0"/>
        <w:jc w:val="left"/>
      </w:pPr>
      <w:r>
        <w:rPr>
          <w:spacing w:val="-4"/>
        </w:rPr>
        <w:t>过了《关于回购公司股份预案的议案》、《关于提请股东大会授权董事会全权办理本次回购股份工作相关事宜的议案》等有</w:t>
      </w:r>
    </w:p>
    <w:p>
      <w:pPr>
        <w:pStyle w:val="BodyText"/>
        <w:spacing w:line="319" w:lineRule="auto" w:before="76"/>
        <w:ind w:right="0"/>
        <w:jc w:val="left"/>
      </w:pPr>
      <w:r>
        <w:rPr>
          <w:spacing w:val="-4"/>
        </w:rPr>
        <w:t>关股票回购事项的相关议案，公司使用自有资金通过二级市场以集中竞价交易方式回购公司部分社会公众股份，用于实施股</w:t>
      </w:r>
      <w:r>
        <w:rPr>
          <w:spacing w:val="43"/>
        </w:rPr>
        <w:t> </w:t>
      </w:r>
      <w:r>
        <w:rPr>
          <w:spacing w:val="43"/>
        </w:rPr>
      </w:r>
      <w:r>
        <w:rPr>
          <w:spacing w:val="-3"/>
        </w:rPr>
        <w:t>权激励计划、员工持股计划或注销以减少公司注册资本，截止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日公司股份回购金额为</w:t>
      </w:r>
      <w:r>
        <w:rPr>
          <w:rFonts w:ascii="Times New Roman" w:hAnsi="Times New Roman" w:cs="Times New Roman" w:eastAsia="Times New Roman" w:hint="default"/>
          <w:spacing w:val="-3"/>
        </w:rPr>
        <w:t>148,976,163.45</w:t>
      </w:r>
      <w:r>
        <w:rPr>
          <w:spacing w:val="-3"/>
        </w:rPr>
        <w:t>元。</w:t>
      </w:r>
      <w:r>
        <w:rPr/>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09"/>
        <w:gridCol w:w="1071"/>
        <w:gridCol w:w="936"/>
        <w:gridCol w:w="1152"/>
        <w:gridCol w:w="937"/>
        <w:gridCol w:w="936"/>
        <w:gridCol w:w="936"/>
        <w:gridCol w:w="793"/>
      </w:tblGrid>
      <w:tr>
        <w:trPr>
          <w:trHeight w:val="404" w:hRule="exact"/>
        </w:trPr>
        <w:tc>
          <w:tcPr>
            <w:tcW w:w="2809" w:type="dxa"/>
            <w:vMerge w:val="restart"/>
            <w:tcBorders>
              <w:top w:val="single" w:sz="4" w:space="0" w:color="000000"/>
              <w:left w:val="single" w:sz="4" w:space="0" w:color="000000"/>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09"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7"/>
              <w:jc w:val="both"/>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当期转入损益</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83" w:right="17" w:hanging="260"/>
              <w:jc w:val="left"/>
              <w:rPr>
                <w:rFonts w:ascii="宋体" w:hAnsi="宋体" w:cs="宋体" w:eastAsia="宋体" w:hint="default"/>
                <w:sz w:val="18"/>
                <w:szCs w:val="18"/>
              </w:rPr>
            </w:pPr>
            <w:r>
              <w:rPr>
                <w:rFonts w:ascii="宋体" w:hAnsi="宋体" w:cs="宋体" w:eastAsia="宋体" w:hint="default"/>
                <w:spacing w:val="-6"/>
                <w:sz w:val="18"/>
                <w:szCs w:val="18"/>
              </w:rPr>
              <w:t>减：所得税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0" w:right="98"/>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93" w:type="dxa"/>
            <w:vMerge/>
            <w:tcBorders>
              <w:left w:val="single" w:sz="4" w:space="0" w:color="000000"/>
              <w:right w:val="single" w:sz="4" w:space="0" w:color="000000"/>
            </w:tcBorders>
            <w:shd w:val="clear" w:color="auto" w:fill="D2D2D2"/>
          </w:tcPr>
          <w:p>
            <w:pPr/>
          </w:p>
        </w:tc>
      </w:tr>
      <w:tr>
        <w:trPr>
          <w:trHeight w:val="394" w:hRule="exact"/>
        </w:trPr>
        <w:tc>
          <w:tcPr>
            <w:tcW w:w="2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1"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r>
      <w:tr>
        <w:trPr>
          <w:trHeight w:val="514" w:hRule="exact"/>
        </w:trPr>
        <w:tc>
          <w:tcPr>
            <w:tcW w:w="2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7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益</w:t>
            </w:r>
          </w:p>
        </w:tc>
        <w:tc>
          <w:tcPr>
            <w:tcW w:w="10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-7,822,153.99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6,076,754.8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6,064,785.3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11,969.46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2" w:right="0"/>
              <w:jc w:val="left"/>
              <w:rPr>
                <w:rFonts w:ascii="Times New Roman" w:hAnsi="Times New Roman" w:cs="Times New Roman" w:eastAsia="Times New Roman" w:hint="default"/>
                <w:sz w:val="18"/>
                <w:szCs w:val="18"/>
              </w:rPr>
            </w:pPr>
            <w:r>
              <w:rPr>
                <w:rFonts w:ascii="Times New Roman"/>
                <w:sz w:val="18"/>
              </w:rPr>
              <w:t>-1,757,36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8.61</w:t>
            </w:r>
          </w:p>
        </w:tc>
      </w:tr>
      <w:tr>
        <w:trPr>
          <w:trHeight w:val="163" w:hRule="exact"/>
        </w:trPr>
        <w:tc>
          <w:tcPr>
            <w:tcW w:w="2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-7,822,153.99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6,076,754.8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52"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6,064,785.3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11,969.46</w:t>
            </w: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-1,757,36</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8.61</w:t>
            </w:r>
          </w:p>
        </w:tc>
      </w:tr>
      <w:tr>
        <w:trPr>
          <w:trHeight w:val="389" w:hRule="exact"/>
        </w:trPr>
        <w:tc>
          <w:tcPr>
            <w:tcW w:w="2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1071"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r>
      <w:tr>
        <w:trPr>
          <w:trHeight w:val="163" w:hRule="exact"/>
        </w:trPr>
        <w:tc>
          <w:tcPr>
            <w:tcW w:w="2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r>
      <w:tr>
        <w:trPr>
          <w:trHeight w:val="163" w:hRule="exact"/>
        </w:trPr>
        <w:tc>
          <w:tcPr>
            <w:tcW w:w="2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-7,822,153.99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6,076,754.8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52"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6,064,785.3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11,969.46</w:t>
            </w: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-1,757,36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8.61</w:t>
            </w:r>
          </w:p>
        </w:tc>
      </w:tr>
      <w:tr>
        <w:trPr>
          <w:trHeight w:val="389" w:hRule="exact"/>
        </w:trPr>
        <w:tc>
          <w:tcPr>
            <w:tcW w:w="2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1"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r>
      <w:tr>
        <w:trPr>
          <w:trHeight w:val="163" w:hRule="exact"/>
        </w:trPr>
        <w:tc>
          <w:tcPr>
            <w:tcW w:w="2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r>
    </w:tbl>
    <w:p>
      <w:pPr>
        <w:pStyle w:val="BodyText"/>
        <w:spacing w:line="352" w:lineRule="auto" w:before="53"/>
        <w:ind w:left="662" w:right="0" w:hanging="509"/>
        <w:jc w:val="left"/>
      </w:pPr>
      <w:r>
        <w:rPr>
          <w:spacing w:val="-3"/>
        </w:rPr>
        <w:t>其他说明，包括对现金流量套期损益的有效部分转为被套期项目初始确认金额调整：</w:t>
      </w:r>
      <w:r>
        <w:rPr>
          <w:spacing w:val="19"/>
        </w:rPr>
        <w:t> </w:t>
      </w:r>
      <w:r>
        <w:rPr>
          <w:spacing w:val="19"/>
        </w:rPr>
      </w:r>
      <w:r>
        <w:rPr>
          <w:spacing w:val="-3"/>
        </w:rPr>
        <w:t>其他综合收益期末余额较期初余额增长</w:t>
      </w:r>
      <w:r>
        <w:rPr>
          <w:rFonts w:ascii="Times New Roman" w:hAnsi="Times New Roman" w:cs="Times New Roman" w:eastAsia="Times New Roman" w:hint="default"/>
          <w:spacing w:val="-3"/>
        </w:rPr>
        <w:t>77.53%</w:t>
      </w:r>
      <w:r>
        <w:rPr>
          <w:spacing w:val="-3"/>
        </w:rPr>
        <w:t>，主要原因是期末汇率变动对境外子公司财务报表折算差额的影响。</w:t>
      </w:r>
    </w:p>
    <w:p>
      <w:pPr>
        <w:spacing w:after="0" w:line="352"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3"/>
        <w:ind w:right="0"/>
        <w:jc w:val="left"/>
      </w:pPr>
      <w:r>
        <w:rPr>
          <w:spacing w:val="-3"/>
        </w:rPr>
        <w:t>其他说明，包括本期增减变动情况、变动原因说明：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62,954,020.27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16,678,478.45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79,632,498.72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62,954,020.27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16,678,478.45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79,632,498.72</w:t>
            </w:r>
          </w:p>
        </w:tc>
      </w:tr>
    </w:tbl>
    <w:p>
      <w:pPr>
        <w:pStyle w:val="BodyText"/>
        <w:spacing w:line="357" w:lineRule="auto" w:before="53"/>
        <w:ind w:left="662" w:right="0" w:hanging="509"/>
        <w:jc w:val="left"/>
      </w:pPr>
      <w:r>
        <w:rPr>
          <w:spacing w:val="-3"/>
        </w:rPr>
        <w:t>盈余公积说明，包括本期增减变动情况、变动原因说明：</w:t>
      </w:r>
      <w:r>
        <w:rPr>
          <w:spacing w:val="-15"/>
        </w:rPr>
        <w:t> </w:t>
      </w:r>
      <w:r>
        <w:rPr>
          <w:spacing w:val="-15"/>
        </w:rPr>
      </w:r>
      <w:r>
        <w:rPr>
          <w:spacing w:val="-3"/>
        </w:rPr>
        <w:t>盈余公积本期增加数是本公司根据《公司法》及公司章程有关规定，按本年净利润</w:t>
      </w:r>
      <w:r>
        <w:rPr>
          <w:rFonts w:ascii="Times New Roman" w:hAnsi="Times New Roman" w:cs="Times New Roman" w:eastAsia="Times New Roman" w:hint="default"/>
          <w:spacing w:val="-3"/>
        </w:rPr>
        <w:t>10%</w:t>
      </w:r>
      <w:r>
        <w:rPr>
          <w:spacing w:val="-3"/>
        </w:rPr>
        <w:t>提取的法定盈余公积金。</w:t>
      </w: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20"/>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804,550,016.65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649,299,141.87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804,550,016.65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649,299,141.87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314,377,918.28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249,411,156.16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16,678,478.45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22,613,611.38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79,641,084.10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71,546,670.00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1,022,608,372.38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804,550,016.65</w:t>
            </w:r>
          </w:p>
        </w:tc>
      </w:tr>
    </w:tbl>
    <w:p>
      <w:pPr>
        <w:pStyle w:val="BodyText"/>
        <w:spacing w:line="240" w:lineRule="auto" w:before="54"/>
        <w:ind w:right="0"/>
        <w:jc w:val="left"/>
      </w:pPr>
      <w:r>
        <w:rPr>
          <w:spacing w:val="-3"/>
        </w:rPr>
        <w:t>调整期初未分配利润明细：</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、由于《企业会计准则》及其相关新规定进行追溯调整，影响期初未分配利润元。</w:t>
      </w:r>
    </w:p>
    <w:p>
      <w:pPr>
        <w:pStyle w:val="BodyText"/>
        <w:spacing w:line="240" w:lineRule="auto" w:before="106"/>
        <w:ind w:right="0"/>
        <w:jc w:val="left"/>
      </w:pPr>
      <w:r>
        <w:rPr>
          <w:rFonts w:ascii="Times New Roman" w:hAnsi="Times New Roman" w:cs="Times New Roman" w:eastAsia="Times New Roman" w:hint="default"/>
          <w:spacing w:val="-3"/>
        </w:rPr>
        <w:t>2)</w:t>
      </w:r>
      <w:r>
        <w:rPr>
          <w:spacing w:val="-3"/>
        </w:rPr>
        <w:t>、由于会计政策变更，影响期初未分配利润元。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、由于同一控制导致的合并范围变更，影响期初未分配利润元。</w:t>
      </w:r>
    </w:p>
    <w:p>
      <w:pPr>
        <w:pStyle w:val="BodyText"/>
        <w:spacing w:line="240" w:lineRule="auto" w:before="106"/>
        <w:ind w:right="0"/>
        <w:jc w:val="left"/>
      </w:pPr>
      <w:r>
        <w:rPr>
          <w:rFonts w:ascii="Times New Roman" w:hAnsi="Times New Roman" w:cs="Times New Roman" w:eastAsia="Times New Roman" w:hint="default"/>
          <w:spacing w:val="-3"/>
        </w:rPr>
        <w:t>5)</w:t>
      </w:r>
      <w:r>
        <w:rPr>
          <w:spacing w:val="-3"/>
        </w:rPr>
        <w:t>、其他调整合计影响期初未分配利润元。</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9" w:right="0"/>
              <w:jc w:val="left"/>
              <w:rPr>
                <w:rFonts w:ascii="Times New Roman" w:hAnsi="Times New Roman" w:cs="Times New Roman" w:eastAsia="Times New Roman" w:hint="default"/>
                <w:sz w:val="18"/>
                <w:szCs w:val="18"/>
              </w:rPr>
            </w:pPr>
            <w:r>
              <w:rPr>
                <w:rFonts w:ascii="Times New Roman"/>
                <w:sz w:val="18"/>
              </w:rPr>
              <w:t>1,998,901,842.48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1,176,303,304.84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1,582,880,543.26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884,375,057.82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38,812,093.85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26,502,882.42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29,093,893.41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23,736,851.93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2,037,713,936.33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1,202,806,187.26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1,611,974,436.67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908,111,909.75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6,144,100.12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5,018,345.42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4,329,723.61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3,664,643.60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6,296,653.67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5,645,167.20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234,323.54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235,788.40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881,859.17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1,076,280.33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4,250,531.24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134,510.64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22,137,191.35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15,774,735.59</w:t>
            </w:r>
          </w:p>
        </w:tc>
      </w:tr>
    </w:tbl>
    <w:p>
      <w:pPr>
        <w:pStyle w:val="BodyText"/>
        <w:spacing w:line="240" w:lineRule="auto" w:before="53"/>
        <w:ind w:right="0"/>
        <w:jc w:val="left"/>
      </w:pPr>
      <w:r>
        <w:rPr/>
        <w:t>其他说明：</w:t>
      </w:r>
    </w:p>
    <w:p>
      <w:pPr>
        <w:pStyle w:val="BodyText"/>
        <w:spacing w:line="240" w:lineRule="auto" w:before="115"/>
        <w:ind w:left="0" w:right="1036"/>
        <w:jc w:val="right"/>
      </w:pPr>
      <w:r>
        <w:rPr>
          <w:spacing w:val="-5"/>
          <w:w w:val="101"/>
        </w:rPr>
        <w:t>税</w:t>
      </w:r>
      <w:r>
        <w:rPr>
          <w:w w:val="101"/>
        </w:rPr>
        <w:t>金</w:t>
      </w:r>
      <w:r>
        <w:rPr>
          <w:spacing w:val="-5"/>
          <w:w w:val="101"/>
        </w:rPr>
        <w:t>及</w:t>
      </w:r>
      <w:r>
        <w:rPr>
          <w:w w:val="101"/>
        </w:rPr>
        <w:t>附</w:t>
      </w:r>
      <w:r>
        <w:rPr>
          <w:spacing w:val="-5"/>
          <w:w w:val="101"/>
        </w:rPr>
        <w:t>加</w:t>
      </w:r>
      <w:r>
        <w:rPr>
          <w:w w:val="101"/>
        </w:rPr>
        <w:t>本</w:t>
      </w:r>
      <w:r>
        <w:rPr>
          <w:spacing w:val="-5"/>
          <w:w w:val="101"/>
        </w:rPr>
        <w:t>期</w:t>
      </w:r>
      <w:r>
        <w:rPr>
          <w:w w:val="101"/>
        </w:rPr>
        <w:t>发</w:t>
      </w:r>
      <w:r>
        <w:rPr>
          <w:spacing w:val="-5"/>
          <w:w w:val="101"/>
        </w:rPr>
        <w:t>生</w:t>
      </w:r>
      <w:r>
        <w:rPr>
          <w:w w:val="101"/>
        </w:rPr>
        <w:t>额</w:t>
      </w:r>
      <w:r>
        <w:rPr>
          <w:spacing w:val="-5"/>
          <w:w w:val="101"/>
        </w:rPr>
        <w:t>较</w:t>
      </w:r>
      <w:r>
        <w:rPr>
          <w:w w:val="101"/>
        </w:rPr>
        <w:t>上</w:t>
      </w:r>
      <w:r>
        <w:rPr>
          <w:spacing w:val="-5"/>
          <w:w w:val="101"/>
        </w:rPr>
        <w:t>期</w:t>
      </w:r>
      <w:r>
        <w:rPr>
          <w:w w:val="101"/>
        </w:rPr>
        <w:t>发</w:t>
      </w:r>
      <w:r>
        <w:rPr>
          <w:spacing w:val="-5"/>
          <w:w w:val="101"/>
        </w:rPr>
        <w:t>生</w:t>
      </w:r>
      <w:r>
        <w:rPr>
          <w:w w:val="101"/>
        </w:rPr>
        <w:t>额</w:t>
      </w:r>
      <w:r>
        <w:rPr>
          <w:spacing w:val="-5"/>
          <w:w w:val="101"/>
        </w:rPr>
        <w:t>增</w:t>
      </w:r>
      <w:r>
        <w:rPr>
          <w:spacing w:val="1"/>
          <w:w w:val="101"/>
        </w:rPr>
        <w:t>长</w:t>
      </w:r>
      <w:r>
        <w:rPr>
          <w:rFonts w:ascii="Times New Roman" w:hAnsi="Times New Roman" w:cs="Times New Roman" w:eastAsia="Times New Roman" w:hint="default"/>
          <w:w w:val="101"/>
        </w:rPr>
        <w:t>4</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3</w:t>
      </w:r>
      <w:r>
        <w:rPr>
          <w:rFonts w:ascii="Times New Roman" w:hAnsi="Times New Roman" w:cs="Times New Roman" w:eastAsia="Times New Roman" w:hint="default"/>
          <w:spacing w:val="-4"/>
          <w:w w:val="101"/>
        </w:rPr>
        <w:t>%</w:t>
      </w:r>
      <w:r>
        <w:rPr>
          <w:spacing w:val="-77"/>
          <w:w w:val="101"/>
        </w:rPr>
        <w:t>，</w:t>
      </w:r>
      <w:r>
        <w:rPr>
          <w:spacing w:val="-5"/>
          <w:w w:val="101"/>
        </w:rPr>
        <w:t>主要</w:t>
      </w:r>
      <w:r>
        <w:rPr>
          <w:w w:val="101"/>
        </w:rPr>
        <w:t>原</w:t>
      </w:r>
      <w:r>
        <w:rPr>
          <w:spacing w:val="-5"/>
          <w:w w:val="101"/>
        </w:rPr>
        <w:t>因</w:t>
      </w:r>
      <w:r>
        <w:rPr>
          <w:w w:val="101"/>
        </w:rPr>
        <w:t>是</w:t>
      </w:r>
      <w:r>
        <w:rPr>
          <w:spacing w:val="-5"/>
          <w:w w:val="101"/>
        </w:rPr>
        <w:t>伴</w:t>
      </w:r>
      <w:r>
        <w:rPr>
          <w:w w:val="101"/>
        </w:rPr>
        <w:t>随</w:t>
      </w:r>
      <w:r>
        <w:rPr>
          <w:spacing w:val="-5"/>
          <w:w w:val="101"/>
        </w:rPr>
        <w:t>公</w:t>
      </w:r>
      <w:r>
        <w:rPr>
          <w:w w:val="101"/>
        </w:rPr>
        <w:t>司</w:t>
      </w:r>
      <w:r>
        <w:rPr>
          <w:spacing w:val="-5"/>
          <w:w w:val="101"/>
        </w:rPr>
        <w:t>业</w:t>
      </w:r>
      <w:r>
        <w:rPr>
          <w:w w:val="101"/>
        </w:rPr>
        <w:t>务</w:t>
      </w:r>
      <w:r>
        <w:rPr>
          <w:spacing w:val="-5"/>
          <w:w w:val="101"/>
        </w:rPr>
        <w:t>规</w:t>
      </w:r>
      <w:r>
        <w:rPr>
          <w:w w:val="101"/>
        </w:rPr>
        <w:t>模</w:t>
      </w:r>
      <w:r>
        <w:rPr>
          <w:spacing w:val="-5"/>
          <w:w w:val="101"/>
        </w:rPr>
        <w:t>扩</w:t>
      </w:r>
      <w:r>
        <w:rPr>
          <w:w w:val="101"/>
        </w:rPr>
        <w:t>张</w:t>
      </w:r>
      <w:r>
        <w:rPr>
          <w:spacing w:val="-77"/>
          <w:w w:val="101"/>
        </w:rPr>
        <w:t>，</w:t>
      </w:r>
      <w:r>
        <w:rPr>
          <w:spacing w:val="-5"/>
          <w:w w:val="101"/>
        </w:rPr>
        <w:t>应</w:t>
      </w:r>
      <w:r>
        <w:rPr>
          <w:w w:val="101"/>
        </w:rPr>
        <w:t>缴</w:t>
      </w:r>
      <w:r>
        <w:rPr>
          <w:spacing w:val="-5"/>
          <w:w w:val="101"/>
        </w:rPr>
        <w:t>纳</w:t>
      </w:r>
      <w:r>
        <w:rPr>
          <w:w w:val="101"/>
        </w:rPr>
        <w:t>的</w:t>
      </w:r>
      <w:r>
        <w:rPr>
          <w:spacing w:val="-5"/>
          <w:w w:val="101"/>
        </w:rPr>
        <w:t>税</w:t>
      </w:r>
      <w:r>
        <w:rPr>
          <w:w w:val="101"/>
        </w:rPr>
        <w:t>金</w:t>
      </w:r>
      <w:r>
        <w:rPr>
          <w:spacing w:val="-5"/>
          <w:w w:val="101"/>
        </w:rPr>
        <w:t>及</w:t>
      </w:r>
      <w:r>
        <w:rPr>
          <w:w w:val="101"/>
        </w:rPr>
        <w:t>附</w:t>
      </w:r>
      <w:r>
        <w:rPr>
          <w:spacing w:val="-5"/>
          <w:w w:val="101"/>
        </w:rPr>
        <w:t>加</w:t>
      </w:r>
      <w:r>
        <w:rPr>
          <w:w w:val="101"/>
        </w:rPr>
        <w:t>相</w:t>
      </w:r>
      <w:r>
        <w:rPr>
          <w:spacing w:val="-5"/>
          <w:w w:val="101"/>
        </w:rPr>
        <w:t>应</w:t>
      </w:r>
      <w:r>
        <w:rPr>
          <w:w w:val="101"/>
        </w:rPr>
        <w:t>增</w:t>
      </w:r>
      <w:r>
        <w:rPr>
          <w:spacing w:val="-5"/>
          <w:w w:val="101"/>
        </w:rPr>
        <w:t>加</w:t>
      </w:r>
      <w:r>
        <w:rPr>
          <w:w w:val="101"/>
        </w:rPr>
        <w:t>。</w:t>
      </w:r>
      <w:r>
        <w:rPr/>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工资、福利、社保费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41,029,102.43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29,585,435.11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21,915,649.38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10,640,705.68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2,667,339.80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4,496,029.05</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3,171,437.60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2,456,370.79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223,278.04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295,602.47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996,154.44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784,637.66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70,002,961.69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48,258,780.76</w:t>
            </w:r>
          </w:p>
        </w:tc>
      </w:tr>
    </w:tbl>
    <w:p>
      <w:pPr>
        <w:pStyle w:val="BodyText"/>
        <w:spacing w:line="240" w:lineRule="auto" w:before="54"/>
        <w:ind w:right="0"/>
        <w:jc w:val="left"/>
      </w:pPr>
      <w:r>
        <w:rPr/>
        <w:t>其他说明：</w:t>
      </w:r>
    </w:p>
    <w:p>
      <w:pPr>
        <w:pStyle w:val="BodyText"/>
        <w:spacing w:line="240" w:lineRule="auto" w:before="110"/>
        <w:ind w:left="662" w:right="0"/>
        <w:jc w:val="left"/>
      </w:pPr>
      <w:r>
        <w:rPr>
          <w:spacing w:val="-3"/>
        </w:rPr>
        <w:t>销售费用本期发生额较上期发生额增长</w:t>
      </w:r>
      <w:r>
        <w:rPr>
          <w:rFonts w:ascii="Times New Roman" w:hAnsi="Times New Roman" w:cs="Times New Roman" w:eastAsia="Times New Roman" w:hint="default"/>
          <w:spacing w:val="-3"/>
        </w:rPr>
        <w:t>45.06%</w:t>
      </w:r>
      <w:r>
        <w:rPr>
          <w:spacing w:val="-3"/>
        </w:rPr>
        <w:t>，主要原因是本期扩大业务规模，发生的相关费用有所增加。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工资、福利、社保费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55,786,586.19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51,669,428.11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42,078,426.14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32,333,776.25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19,133,728.42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15,466,750.38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9,132,417.00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8,847,468.02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7,123,970.36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5,768,335.83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3,525,323.92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3,353,197.94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2,545,158.39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2,338,523.98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841,229.25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10,832,814.88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7,760,842.29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150,158,425.30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128,379,552.05</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工资、福利、社保费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207,007,071.57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166,989,939.96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委外及其他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24,243,733.63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7,243,733.62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548,375.19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2,289,616.32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231,799,180.39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176,523,289.90</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研发费用本期发生额较上期发生额增长</w:t>
      </w:r>
      <w:r>
        <w:rPr>
          <w:rFonts w:ascii="Times New Roman" w:hAnsi="Times New Roman" w:cs="Times New Roman" w:eastAsia="Times New Roman" w:hint="default"/>
          <w:spacing w:val="-3"/>
        </w:rPr>
        <w:t>31.31%</w:t>
      </w:r>
      <w:r>
        <w:rPr>
          <w:spacing w:val="-3"/>
        </w:rPr>
        <w:t>，主要原因是公司为提高业务核心竞争力，研发投入持续加大。</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81,443,987.59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70,231,229.51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6,071,749.14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3,530,686.82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75,372,238.45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66,700,542.69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4,041,111.45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4,144,652.67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13,418,295.96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933,998.21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-9,377,184.51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3,210,654.46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273,146.65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339,871.94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66,268,200.59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70,251,069.09</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9,010,653.06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27,699,697.69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9,010,653.06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27,699,697.69</w:t>
            </w:r>
          </w:p>
        </w:tc>
      </w:tr>
    </w:tbl>
    <w:p>
      <w:pPr>
        <w:pStyle w:val="BodyText"/>
        <w:spacing w:line="240" w:lineRule="auto" w:before="53"/>
        <w:ind w:right="0"/>
        <w:jc w:val="left"/>
      </w:pPr>
      <w:r>
        <w:rPr/>
        <w:t>其他说明：</w:t>
      </w:r>
    </w:p>
    <w:p>
      <w:pPr>
        <w:pStyle w:val="BodyText"/>
        <w:spacing w:line="300" w:lineRule="auto" w:before="115"/>
        <w:ind w:right="0" w:firstLine="508"/>
        <w:jc w:val="left"/>
      </w:pPr>
      <w:r>
        <w:rPr>
          <w:spacing w:val="-3"/>
        </w:rPr>
        <w:t>资产减值损失本期发生额较上期发生额减少</w:t>
      </w:r>
      <w:r>
        <w:rPr>
          <w:rFonts w:ascii="Times New Roman" w:hAnsi="Times New Roman" w:cs="Times New Roman" w:eastAsia="Times New Roman" w:hint="default"/>
          <w:spacing w:val="-3"/>
        </w:rPr>
        <w:t>67.47%</w:t>
      </w:r>
      <w:r>
        <w:rPr>
          <w:spacing w:val="-3"/>
        </w:rPr>
        <w:t>，主要原因是本年收回账龄在</w:t>
      </w:r>
      <w:r>
        <w:rPr>
          <w:rFonts w:ascii="Times New Roman" w:hAnsi="Times New Roman" w:cs="Times New Roman" w:eastAsia="Times New Roman" w:hint="default"/>
          <w:spacing w:val="-3"/>
        </w:rPr>
        <w:t>1</w:t>
      </w:r>
      <w:r>
        <w:rPr>
          <w:spacing w:val="-3"/>
        </w:rPr>
        <w:t>年以上的应收账款金额较上年同期</w:t>
      </w:r>
      <w:r>
        <w:rPr>
          <w:w w:val="101"/>
        </w:rPr>
        <w:t> </w:t>
      </w:r>
      <w:r>
        <w:rPr>
          <w:spacing w:val="-3"/>
        </w:rPr>
        <w:t>增加，相应计提的应收账款坏账准备转回增加，资产减值损失较上年同期减少。</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11,518,098.13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5,213,564.48</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年重大专项扶持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金融云服务平台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金融云服务平台建设项目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润和金融解决方案及产业化项目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润和国际软件外包研发总部基地项目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115,996.74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228,358.06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雨花润和软件外包园项目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
              <w:jc w:val="left"/>
              <w:rPr>
                <w:rFonts w:ascii="宋体" w:hAnsi="宋体" w:cs="宋体" w:eastAsia="宋体" w:hint="default"/>
                <w:sz w:val="18"/>
                <w:szCs w:val="18"/>
              </w:rPr>
            </w:pPr>
            <w:r>
              <w:rPr>
                <w:rFonts w:ascii="宋体" w:hAnsi="宋体" w:cs="宋体" w:eastAsia="宋体" w:hint="default"/>
                <w:spacing w:val="-3"/>
                <w:sz w:val="18"/>
                <w:szCs w:val="18"/>
              </w:rPr>
              <w:t>连锁业门店管理</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服务外包中心扩建项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企业供应链管理软件项目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基于元平台库存管理软件开发自动化程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序升级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心脏多路检查系统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18,524,094.87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7,741,922.54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20"/>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-1,819,641.61</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6,075,641.49</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pacing w:val="-4"/>
                <w:sz w:val="18"/>
                <w:szCs w:val="18"/>
              </w:rPr>
              <w:t>丧失控制权后，剩余股权按公允价值重新计</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量产生的利得</w:t>
            </w:r>
          </w:p>
        </w:tc>
        <w:tc>
          <w:tcPr>
            <w:tcW w:w="3188" w:type="dxa"/>
            <w:tcBorders>
              <w:top w:val="single" w:sz="4" w:space="0" w:color="000000"/>
              <w:left w:val="single" w:sz="13" w:space="0" w:color="D2D2D2"/>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-1,722,315.82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20"/>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金融机构理财产品投资收益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11,811,925.33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3,216,318.10</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11,894,455.33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5,750,002.16</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投资收益本期发生额较上期发生额增长</w:t>
      </w:r>
      <w:r>
        <w:rPr>
          <w:rFonts w:ascii="Times New Roman" w:hAnsi="Times New Roman" w:cs="Times New Roman" w:eastAsia="Times New Roman" w:hint="default"/>
          <w:spacing w:val="-3"/>
        </w:rPr>
        <w:t>106.86%</w:t>
      </w:r>
      <w:r>
        <w:rPr>
          <w:spacing w:val="-3"/>
        </w:rPr>
        <w:t>，主要原因是本期理财产品投资收益金额大幅增加。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90"/>
              <w:jc w:val="both"/>
              <w:rPr>
                <w:rFonts w:ascii="宋体" w:hAnsi="宋体" w:cs="宋体" w:eastAsia="宋体" w:hint="default"/>
                <w:sz w:val="18"/>
                <w:szCs w:val="18"/>
              </w:rPr>
            </w:pPr>
            <w:r>
              <w:rPr>
                <w:rFonts w:ascii="宋体" w:hAnsi="宋体" w:cs="宋体" w:eastAsia="宋体" w:hint="default"/>
                <w:spacing w:val="-3"/>
                <w:sz w:val="18"/>
                <w:szCs w:val="18"/>
              </w:rPr>
              <w:t>处置未划分为持有待售的固定资产、在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建工程、生产性生物资产及无形资产的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处置利得或损失：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585,062.18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464,759.69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585,062.18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464,759.69</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585,062.18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464,759.69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8,760,940.18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18,439,116.52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8,760,940.18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罚息收入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2,027,000.00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2,027,000.00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243,369.53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121,815.25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243,369.53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11,031,309.71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18,560,931.77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11,031,309.71</w:t>
            </w:r>
          </w:p>
        </w:tc>
      </w:tr>
    </w:tbl>
    <w:p>
      <w:pPr>
        <w:pStyle w:val="BodyText"/>
        <w:spacing w:line="240" w:lineRule="auto" w:before="53"/>
        <w:ind w:right="0"/>
        <w:jc w:val="left"/>
      </w:pPr>
      <w:r>
        <w:rPr>
          <w:spacing w:val="-3"/>
        </w:rPr>
        <w:t>计入当期损益的政府补助：</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2"/>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软件及服务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外包产业发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展扶持资金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2,495,620.00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5,925,775.00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8"/>
              <w:jc w:val="right"/>
              <w:rPr>
                <w:rFonts w:ascii="宋体" w:hAnsi="宋体" w:cs="宋体" w:eastAsia="宋体" w:hint="default"/>
                <w:sz w:val="18"/>
                <w:szCs w:val="18"/>
              </w:rPr>
            </w:pPr>
            <w:r>
              <w:rPr>
                <w:rFonts w:ascii="宋体" w:hAnsi="宋体" w:cs="宋体" w:eastAsia="宋体" w:hint="default"/>
                <w:spacing w:val="-2"/>
                <w:sz w:val="18"/>
                <w:szCs w:val="18"/>
              </w:rPr>
              <w:t>科技经费补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1,502,000.00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486,600.00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助</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国际服务外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包专项引导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1,525,200.00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现代服务业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发展专项引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866,648.15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622,184.82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服务贸易创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新发展专项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591,000.00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年度西</w:t>
            </w:r>
            <w:r>
              <w:rPr>
                <w:rFonts w:ascii="宋体" w:hAnsi="宋体" w:cs="宋体" w:eastAsia="宋体" w:hint="default"/>
                <w:w w:val="101"/>
                <w:sz w:val="18"/>
                <w:szCs w:val="18"/>
              </w:rPr>
              <w:t> </w:t>
            </w:r>
            <w:r>
              <w:rPr>
                <w:rFonts w:ascii="宋体" w:hAnsi="宋体" w:cs="宋体" w:eastAsia="宋体" w:hint="default"/>
                <w:sz w:val="18"/>
                <w:szCs w:val="18"/>
              </w:rPr>
              <w:t>安市外向型</w:t>
            </w:r>
            <w:r>
              <w:rPr>
                <w:rFonts w:ascii="宋体" w:hAnsi="宋体" w:cs="宋体" w:eastAsia="宋体" w:hint="default"/>
                <w:w w:val="101"/>
                <w:sz w:val="18"/>
                <w:szCs w:val="18"/>
              </w:rPr>
              <w:t> </w:t>
            </w:r>
            <w:r>
              <w:rPr>
                <w:rFonts w:ascii="宋体" w:hAnsi="宋体" w:cs="宋体" w:eastAsia="宋体" w:hint="default"/>
                <w:sz w:val="18"/>
                <w:szCs w:val="18"/>
              </w:rPr>
              <w:t>经济发展专</w:t>
            </w:r>
            <w:r>
              <w:rPr>
                <w:rFonts w:ascii="宋体" w:hAnsi="宋体" w:cs="宋体" w:eastAsia="宋体" w:hint="default"/>
                <w:w w:val="101"/>
                <w:sz w:val="18"/>
                <w:szCs w:val="18"/>
              </w:rPr>
              <w:t> </w:t>
            </w:r>
            <w:r>
              <w:rPr>
                <w:rFonts w:ascii="宋体" w:hAnsi="宋体" w:cs="宋体" w:eastAsia="宋体" w:hint="default"/>
                <w:sz w:val="18"/>
                <w:szCs w:val="18"/>
              </w:rPr>
              <w:t>项资金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高端人才团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队资助经费</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工业和信息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产业转型升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级引导资金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高新技术成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果转化项目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经费</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573,391.70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与收益相关</w:t>
            </w:r>
            <w:r>
              <w:rPr>
                <w:rFonts w:ascii="宋体" w:hAnsi="宋体" w:cs="宋体" w:eastAsia="宋体" w:hint="default"/>
                <w:sz w:val="18"/>
                <w:szCs w:val="18"/>
              </w:rPr>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国家服务外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包公共平台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房租补贴款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112,200.00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361,672.03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73,765.00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8,760,940.18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18,439,116.5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营业外收入本期发生额较上期发生额减少</w:t>
      </w:r>
      <w:r>
        <w:rPr>
          <w:rFonts w:ascii="Times New Roman" w:hAnsi="Times New Roman" w:cs="Times New Roman" w:eastAsia="Times New Roman" w:hint="default"/>
          <w:spacing w:val="-3"/>
        </w:rPr>
        <w:t>40.57%</w:t>
      </w:r>
      <w:r>
        <w:rPr>
          <w:spacing w:val="-3"/>
        </w:rPr>
        <w:t>，主要原因是本期收到的直接计入营业外收入的政府补助较上期减</w:t>
      </w:r>
    </w:p>
    <w:p>
      <w:pPr>
        <w:pStyle w:val="BodyText"/>
        <w:spacing w:line="240" w:lineRule="auto" w:before="63"/>
        <w:ind w:right="0"/>
        <w:jc w:val="left"/>
      </w:pPr>
      <w:r>
        <w:rPr/>
        <w:t>少。</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13,387.68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1,689.99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228,797.38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78,958.99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228,797.38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1,630,487.37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312,346.67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1,630,487.37</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营业外支出本期发生额较上期发生额增长</w:t>
      </w:r>
      <w:r>
        <w:rPr>
          <w:rFonts w:ascii="Times New Roman" w:hAnsi="Times New Roman" w:cs="Times New Roman" w:eastAsia="Times New Roman" w:hint="default"/>
          <w:spacing w:val="-3"/>
        </w:rPr>
        <w:t>422.01%</w:t>
      </w:r>
      <w:r>
        <w:rPr>
          <w:spacing w:val="-3"/>
        </w:rPr>
        <w:t>，主要原因是公司本期公益性捐赠增加。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31,280,156.15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27,996,646.23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-13,255,191.53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-7,472,339.27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18,024,964.62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20,524,306.96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325,935,571.41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48,890,335.71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-19,978,094.70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3,605,869.56</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672,150.11</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5,319,395.63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-20,484,691.69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18,024,964.62</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详见附注七、</w:t>
      </w:r>
      <w:r>
        <w:rPr>
          <w:rFonts w:ascii="Times New Roman" w:hAnsi="Times New Roman" w:cs="Times New Roman" w:eastAsia="Times New Roman" w:hint="default"/>
        </w:rPr>
        <w:t>48</w:t>
      </w:r>
      <w:r>
        <w:rPr>
          <w:rFonts w:ascii="Times New Roman" w:hAnsi="Times New Roman" w:cs="Times New Roman" w:eastAsia="Times New Roman" w:hint="default"/>
          <w:spacing w:val="22"/>
        </w:rPr>
        <w:t> </w:t>
      </w:r>
      <w:r>
        <w:rPr>
          <w:spacing w:val="-3"/>
        </w:rPr>
        <w:t>其他综合收益。</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20,576,936.92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21,117,474.58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6,053,578.25</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4,752,875.40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4,560,784.26</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35,944,174.83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21,117,474.58</w:t>
            </w:r>
          </w:p>
        </w:tc>
      </w:tr>
    </w:tbl>
    <w:p>
      <w:pPr>
        <w:pStyle w:val="BodyText"/>
        <w:spacing w:line="240" w:lineRule="auto" w:before="54"/>
        <w:ind w:right="0"/>
        <w:jc w:val="left"/>
      </w:pPr>
      <w:r>
        <w:rPr>
          <w:spacing w:val="-3"/>
        </w:rPr>
        <w:t>收到的其他与经营活动有关的现金说明：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21,915,649.38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10,640,705.68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19,133,728.42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15,466,750.38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10,295,407.96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8,224,706.62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9,132,417.00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8,847,468.02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6,192,663.72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7,849,226.99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5,775,158.00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3,303,497.63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2,545,158.39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2,338,523.98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223,278.04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295,602.47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2,337,816.77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18,728,734.03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21,192,269.39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93,942,194.94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80,496,567.93</w:t>
            </w:r>
          </w:p>
        </w:tc>
      </w:tr>
    </w:tbl>
    <w:p>
      <w:pPr>
        <w:pStyle w:val="BodyText"/>
        <w:spacing w:line="240" w:lineRule="auto" w:before="54"/>
        <w:ind w:right="0"/>
        <w:jc w:val="left"/>
      </w:pPr>
      <w:r>
        <w:rPr>
          <w:spacing w:val="-3"/>
        </w:rPr>
        <w:t>支付的其他与经营活动有关的现金说明：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5,680,638.03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3,530,686.82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工程类保证金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1,005,463.00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5,680,638.03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4,536,149.82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收到的其他与投资活动有关的现金说明：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spacing w:val="-3"/>
        </w:rPr>
        <w:t>支付的其他与投资活动有关的现金说明：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为借款质押的银行存单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31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收到的其他与筹资活动有关的现金说明：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回购股份支付款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151,355,223.45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1,551,990.00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3,128,000.00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为再融资支付的审计咨询费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1,660,571.43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2,065,000.00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为借款质押的银行存单</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156,143,794.88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7,796,990.00</w:t>
            </w:r>
          </w:p>
        </w:tc>
      </w:tr>
    </w:tbl>
    <w:p>
      <w:pPr>
        <w:pStyle w:val="BodyText"/>
        <w:spacing w:line="240" w:lineRule="auto" w:before="54"/>
        <w:ind w:right="0"/>
        <w:jc w:val="left"/>
      </w:pPr>
      <w:r>
        <w:rPr>
          <w:spacing w:val="-3"/>
        </w:rPr>
        <w:t>支付的其他与筹资活动有关的现金说明：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307,910,606.79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248,656,364.37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9,010,653.06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27,699,697.69</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24,392,527.75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23,377,916.96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34,084,020.67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28,106,265.31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shape style="position:absolute;margin-left:217.275757pt;margin-top:188.685989pt;width:158.5pt;height:19.5pt;mso-position-horizontal-relative:page;mso-position-vertical-relative:page;z-index:-1199776"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shape style="position:absolute;margin-left:217.275757pt;margin-top:208.86998pt;width:158.5pt;height:19.45pt;mso-position-horizontal-relative:page;mso-position-vertical-relative:page;z-index:-119975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8"/>
        <w:gridCol w:w="1003"/>
        <w:gridCol w:w="2055"/>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2,608,187.68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1,912,934.72</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-585,062.18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-464,759.69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13,387.68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87" w:right="0"/>
              <w:jc w:val="left"/>
              <w:rPr>
                <w:rFonts w:ascii="Times New Roman" w:hAnsi="Times New Roman" w:cs="Times New Roman" w:eastAsia="Times New Roman" w:hint="default"/>
                <w:sz w:val="18"/>
                <w:szCs w:val="18"/>
              </w:rPr>
            </w:pPr>
            <w:r>
              <w:rPr>
                <w:rFonts w:ascii="Times New Roman"/>
                <w:sz w:val="18"/>
              </w:rPr>
              <w:t>65,995,053.94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69,911,197.15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-11,894,455.33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-5,750,002.16</w:t>
            </w:r>
          </w:p>
        </w:tc>
      </w:tr>
      <w:tr>
        <w:trPr>
          <w:trHeight w:val="399" w:hRule="exact"/>
        </w:trPr>
        <w:tc>
          <w:tcPr>
            <w:tcW w:w="332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递延所得税资产减少（增加以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03" w:type="dxa"/>
            <w:tcBorders>
              <w:top w:val="single" w:sz="4" w:space="0" w:color="000000"/>
              <w:left w:val="single" w:sz="13" w:space="0" w:color="FFFFFF"/>
              <w:bottom w:val="single" w:sz="4" w:space="0" w:color="000000"/>
              <w:right w:val="nil" w:sz="6" w:space="0" w:color="auto"/>
            </w:tcBorders>
          </w:tcPr>
          <w:p>
            <w:pPr/>
          </w:p>
        </w:tc>
        <w:tc>
          <w:tcPr>
            <w:tcW w:w="205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2"/>
                <w:sz w:val="18"/>
              </w:rPr>
              <w:t>-11,855,491.90</w:t>
            </w:r>
          </w:p>
        </w:tc>
        <w:tc>
          <w:tcPr>
            <w:tcW w:w="31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-6,182,286.98</w:t>
            </w:r>
          </w:p>
        </w:tc>
      </w:tr>
      <w:tr>
        <w:trPr>
          <w:trHeight w:val="403" w:hRule="exact"/>
        </w:trPr>
        <w:tc>
          <w:tcPr>
            <w:tcW w:w="332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递延所得税负债增加（减少以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03" w:type="dxa"/>
            <w:tcBorders>
              <w:top w:val="single" w:sz="4" w:space="0" w:color="000000"/>
              <w:left w:val="single" w:sz="13" w:space="0" w:color="FFFFFF"/>
              <w:bottom w:val="single" w:sz="4" w:space="0" w:color="000000"/>
              <w:right w:val="nil" w:sz="6" w:space="0" w:color="auto"/>
            </w:tcBorders>
          </w:tcPr>
          <w:p>
            <w:pPr/>
          </w:p>
        </w:tc>
        <w:tc>
          <w:tcPr>
            <w:tcW w:w="205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-1,399,699.63</w:t>
            </w:r>
          </w:p>
        </w:tc>
        <w:tc>
          <w:tcPr>
            <w:tcW w:w="31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-1,290,052.29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28,546,020.97</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9" w:right="0"/>
              <w:jc w:val="left"/>
              <w:rPr>
                <w:rFonts w:ascii="Times New Roman" w:hAnsi="Times New Roman" w:cs="Times New Roman" w:eastAsia="Times New Roman" w:hint="default"/>
                <w:sz w:val="18"/>
                <w:szCs w:val="18"/>
              </w:rPr>
            </w:pPr>
            <w:r>
              <w:rPr>
                <w:rFonts w:ascii="Times New Roman"/>
                <w:sz w:val="18"/>
              </w:rPr>
              <w:t>-176,645,539.47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-304,156,774.02</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77" w:right="0"/>
              <w:jc w:val="left"/>
              <w:rPr>
                <w:rFonts w:ascii="Times New Roman" w:hAnsi="Times New Roman" w:cs="Times New Roman" w:eastAsia="Times New Roman" w:hint="default"/>
                <w:sz w:val="18"/>
                <w:szCs w:val="18"/>
              </w:rPr>
            </w:pPr>
            <w:r>
              <w:rPr>
                <w:rFonts w:ascii="Times New Roman"/>
                <w:sz w:val="18"/>
              </w:rPr>
              <w:t>33,641,140.30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33,418,655.45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841,229.25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275,263,631.67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144,639,794.41</w:t>
            </w:r>
          </w:p>
        </w:tc>
      </w:tr>
      <w:tr>
        <w:trPr>
          <w:trHeight w:val="164"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24" w:right="13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28"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6" w:right="0"/>
              <w:jc w:val="left"/>
              <w:rPr>
                <w:rFonts w:ascii="Times New Roman" w:hAnsi="Times New Roman" w:cs="Times New Roman" w:eastAsia="Times New Roman" w:hint="default"/>
                <w:sz w:val="18"/>
                <w:szCs w:val="18"/>
              </w:rPr>
            </w:pPr>
            <w:r>
              <w:rPr>
                <w:rFonts w:ascii="Times New Roman"/>
                <w:sz w:val="18"/>
              </w:rPr>
              <w:t>1,246,576,668.69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880,390,258.78</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880,390,258.78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614,123,710.50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366,186,409.91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266,266,548.28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2,099,780.52</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2,099,780.52</w:t>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加：以前期间发生的企业合并于本期支付的现金或现金等价物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11,508,681.90</w:t>
            </w:r>
          </w:p>
        </w:tc>
      </w:tr>
      <w:tr>
        <w:trPr>
          <w:trHeight w:val="39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1,508,681.90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24,408,901.38</w:t>
            </w:r>
          </w:p>
        </w:tc>
      </w:tr>
    </w:tbl>
    <w:p>
      <w:pPr>
        <w:pStyle w:val="BodyText"/>
        <w:spacing w:line="240" w:lineRule="auto" w:before="53"/>
        <w:ind w:right="0"/>
        <w:jc w:val="left"/>
      </w:pP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加：以前期间处置子公司于本期收到的现金或现金等价物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19,100,000.00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19,100,000.00</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1,246,576,668.69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880,390,258.78</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78,054.28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369,675.05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986,473,500.37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872,545,341.53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260,025,114.04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7,475,242.20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1,246,576,668.69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880,390,258.78</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spacing w:line="482" w:lineRule="auto" w:before="0"/>
        <w:ind w:left="153" w:right="356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69</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36"/>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70</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9"/>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5,975,158.00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保函保证金、质押银行存单</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338,304,268.23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银行借款抵押物</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38,066,022.22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银行借款抵押物</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本公司所持联创智融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  </w:t>
            </w:r>
            <w:r>
              <w:rPr>
                <w:rFonts w:ascii="宋体" w:hAnsi="宋体" w:cs="宋体" w:eastAsia="宋体" w:hint="default"/>
                <w:sz w:val="18"/>
                <w:szCs w:val="18"/>
              </w:rPr>
              <w:t>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银行借款质押物</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30"/>
        <w:gridCol w:w="3058"/>
        <w:gridCol w:w="3184"/>
      </w:tblGrid>
      <w:tr>
        <w:trPr>
          <w:trHeight w:val="40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382,345,448.45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pStyle w:val="BodyText"/>
        <w:spacing w:line="240" w:lineRule="auto" w:before="110"/>
        <w:ind w:left="510" w:right="1316"/>
        <w:jc w:val="center"/>
      </w:pPr>
      <w:r>
        <w:rPr>
          <w:spacing w:val="-3"/>
        </w:rPr>
        <w:t>注</w:t>
      </w:r>
      <w:r>
        <w:rPr>
          <w:rFonts w:ascii="Times New Roman" w:hAnsi="Times New Roman" w:cs="Times New Roman" w:eastAsia="Times New Roman" w:hint="default"/>
          <w:spacing w:val="-3"/>
        </w:rPr>
        <w:t>1</w:t>
      </w:r>
      <w:r>
        <w:rPr>
          <w:spacing w:val="-3"/>
        </w:rPr>
        <w:t>：本公司以子公司联创智融</w:t>
      </w:r>
      <w:r>
        <w:rPr>
          <w:rFonts w:ascii="Times New Roman" w:hAnsi="Times New Roman" w:cs="Times New Roman" w:eastAsia="Times New Roman" w:hint="default"/>
          <w:spacing w:val="-3"/>
        </w:rPr>
        <w:t>100%</w:t>
      </w:r>
      <w:r>
        <w:rPr>
          <w:spacing w:val="-3"/>
        </w:rPr>
        <w:t>股权作为质押物向中国工商银行南京玄武支行取得并购资金借款，借款总额</w:t>
      </w:r>
    </w:p>
    <w:p>
      <w:pPr>
        <w:pStyle w:val="BodyText"/>
        <w:spacing w:line="240" w:lineRule="auto" w:before="63"/>
        <w:ind w:right="0"/>
        <w:jc w:val="left"/>
      </w:pPr>
      <w:r>
        <w:rPr>
          <w:rFonts w:ascii="Times New Roman" w:hAnsi="Times New Roman" w:cs="Times New Roman" w:eastAsia="Times New Roman" w:hint="default"/>
          <w:spacing w:val="-3"/>
        </w:rPr>
        <w:t>400,000,000.00</w:t>
      </w:r>
      <w:r>
        <w:rPr>
          <w:spacing w:val="-3"/>
        </w:rPr>
        <w:t>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日，已归还借款</w:t>
      </w:r>
      <w:r>
        <w:rPr>
          <w:rFonts w:ascii="Times New Roman" w:hAnsi="Times New Roman" w:cs="Times New Roman" w:eastAsia="Times New Roman" w:hint="default"/>
          <w:spacing w:val="-3"/>
        </w:rPr>
        <w:t>200,000,000.00</w:t>
      </w:r>
      <w:r>
        <w:rPr>
          <w:spacing w:val="-3"/>
        </w:rPr>
        <w:t>元，借款余额</w:t>
      </w:r>
      <w:r>
        <w:rPr>
          <w:rFonts w:ascii="Times New Roman" w:hAnsi="Times New Roman" w:cs="Times New Roman" w:eastAsia="Times New Roman" w:hint="default"/>
          <w:spacing w:val="-3"/>
        </w:rPr>
        <w:t>200,000,000.00</w:t>
      </w:r>
      <w:r>
        <w:rPr>
          <w:spacing w:val="-3"/>
        </w:rPr>
        <w:t>元，其中</w:t>
      </w:r>
      <w:r>
        <w:rPr>
          <w:rFonts w:ascii="Times New Roman" w:hAnsi="Times New Roman" w:cs="Times New Roman" w:eastAsia="Times New Roman" w:hint="default"/>
          <w:spacing w:val="-3"/>
        </w:rPr>
        <w:t>100,000,000.00</w:t>
      </w:r>
      <w:r>
        <w:rPr>
          <w:spacing w:val="-3"/>
        </w:rPr>
        <w:t>元在</w:t>
      </w:r>
      <w:r>
        <w:rPr/>
      </w:r>
    </w:p>
    <w:p>
      <w:pPr>
        <w:pStyle w:val="BodyText"/>
        <w:spacing w:line="240" w:lineRule="auto" w:before="63"/>
        <w:ind w:right="0"/>
        <w:jc w:val="left"/>
      </w:pPr>
      <w:r>
        <w:rPr>
          <w:spacing w:val="-3"/>
        </w:rPr>
        <w:t>长期借款列示，</w:t>
      </w:r>
      <w:r>
        <w:rPr>
          <w:rFonts w:ascii="Times New Roman" w:hAnsi="Times New Roman" w:cs="Times New Roman" w:eastAsia="Times New Roman" w:hint="default"/>
          <w:spacing w:val="-3"/>
        </w:rPr>
        <w:t>100,000,000.00</w:t>
      </w:r>
      <w:r>
        <w:rPr>
          <w:spacing w:val="-3"/>
        </w:rPr>
        <w:t>元将于一年内到期，重分类至一年内到期的非流动负债。</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80,044,637.55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9,042,415.72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62,059,907.57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1,330.16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1,165.49</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235,642,058.00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14,583,180.04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679,234.64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3,400,384.45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12,347,581.14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308,386.02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2,116,514.93</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143,647,830.00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8,889,933.26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267,894.40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1,341,132.95</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326,000.55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8,300.27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56,966.41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1,406,867.00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87,066.78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8"/>
              <w:jc w:val="right"/>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36,348.40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181,967.36</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691,820.35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2,470.75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11,109,641.95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687,542.41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8"/>
              <w:jc w:val="right"/>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360.99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1,807.19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842,594.27</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57,073.52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391,706.98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76"/>
              <w:jc w:val="center"/>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2,314,419.00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143,232.45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5,832.86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29,200.46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317,797.74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278,454.38</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312"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4"/>
        </w:rPr>
        <w:t> </w:t>
      </w:r>
      <w:r>
        <w:rPr>
          <w:spacing w:val="24"/>
        </w:rPr>
      </w:r>
      <w:r>
        <w:rPr/>
        <w:t>依据，记账本位币发生变化的还应披露原因。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4802"/>
        <w:gridCol w:w="1973"/>
        <w:gridCol w:w="2087"/>
      </w:tblGrid>
      <w:tr>
        <w:trPr>
          <w:trHeight w:val="349" w:hRule="exact"/>
        </w:trPr>
        <w:tc>
          <w:tcPr>
            <w:tcW w:w="4802"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97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208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350" w:hRule="exact"/>
        </w:trPr>
        <w:tc>
          <w:tcPr>
            <w:tcW w:w="48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197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4802"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株式会社ホープラン東京</w:t>
            </w:r>
          </w:p>
        </w:tc>
        <w:tc>
          <w:tcPr>
            <w:tcW w:w="197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6" w:hRule="exact"/>
        </w:trPr>
        <w:tc>
          <w:tcPr>
            <w:tcW w:w="48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HOPERUN SOFTWARE SINGAPORE PTE.</w:t>
            </w:r>
            <w:r>
              <w:rPr>
                <w:rFonts w:ascii="Times New Roman"/>
                <w:spacing w:val="-23"/>
                <w:sz w:val="21"/>
              </w:rPr>
              <w:t> </w:t>
            </w:r>
            <w:r>
              <w:rPr>
                <w:rFonts w:ascii="Times New Roman"/>
                <w:sz w:val="21"/>
              </w:rPr>
              <w:t>LTD</w:t>
            </w:r>
          </w:p>
        </w:tc>
        <w:tc>
          <w:tcPr>
            <w:tcW w:w="197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新加坡元</w:t>
            </w:r>
          </w:p>
        </w:tc>
      </w:tr>
      <w:tr>
        <w:trPr>
          <w:trHeight w:val="350" w:hRule="exact"/>
        </w:trPr>
        <w:tc>
          <w:tcPr>
            <w:tcW w:w="48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HopeRun Technology Co.,</w:t>
            </w:r>
            <w:r>
              <w:rPr>
                <w:rFonts w:ascii="Times New Roman"/>
                <w:spacing w:val="-11"/>
                <w:sz w:val="21"/>
              </w:rPr>
              <w:t> </w:t>
            </w:r>
            <w:r>
              <w:rPr>
                <w:rFonts w:ascii="Times New Roman"/>
                <w:sz w:val="21"/>
              </w:rPr>
              <w:t>Ltd</w:t>
            </w:r>
          </w:p>
        </w:tc>
        <w:tc>
          <w:tcPr>
            <w:tcW w:w="197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美国特拉华州</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美元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按照套期类别披露套期项目及相关套期工具、被套期风险的定性和定量信息：</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11,518,098.13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11,518,098.13</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年重大专项扶持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服务平台建设项目金融云服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务平台建设项目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金融云服务平台建设项目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润和金融解决方案及产业化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年重大专项扶持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w:t>
            </w:r>
            <w:r>
              <w:rPr>
                <w:rFonts w:ascii="宋体" w:hAnsi="宋体" w:cs="宋体" w:eastAsia="宋体" w:hint="default"/>
                <w:spacing w:val="-85"/>
                <w:sz w:val="18"/>
                <w:szCs w:val="18"/>
              </w:rPr>
              <w:t> </w:t>
            </w:r>
            <w:r>
              <w:rPr>
                <w:rFonts w:ascii="宋体" w:hAnsi="宋体" w:cs="宋体" w:eastAsia="宋体" w:hint="default"/>
                <w:sz w:val="18"/>
                <w:szCs w:val="18"/>
              </w:rPr>
              <w:t>融云服务平台建设项目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润和国际软件外包研发总部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基地项目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115,996.74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115,996.74</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雨花润和软件外包园项目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软件及服务外包产业发展扶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2,495,620.00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2,495,620.00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科技经费补助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1,502,000.00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国际服务外包专项引导资金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现代服务业发展专项引导资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1,245,000.00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866,648.15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866,648.15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服务贸易创新发展专项资金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年度西安市外向型经济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199,000.00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361,672.03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361,672.03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27,285,035.05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27,285,035.05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38" w:lineRule="auto"/>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12"/>
        <w:rPr>
          <w:rFonts w:ascii="宋体" w:hAnsi="宋体" w:cs="宋体" w:eastAsia="宋体" w:hint="default"/>
          <w:sz w:val="15"/>
          <w:szCs w:val="15"/>
        </w:rPr>
      </w:pPr>
    </w:p>
    <w:p>
      <w:pPr>
        <w:spacing w:line="374" w:lineRule="auto" w:before="0"/>
        <w:ind w:left="153" w:right="833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3"/>
        <w:spacing w:line="240" w:lineRule="auto" w:before="92"/>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pacing w:val="-4"/>
                <w:sz w:val="18"/>
                <w:szCs w:val="18"/>
              </w:rPr>
              <w:t>被购买方名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新维数联（北</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4"/>
                <w:w w:val="101"/>
                <w:sz w:val="18"/>
                <w:szCs w:val="18"/>
              </w:rPr>
              <w:t>京）科技有限</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取得对该公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司的表决权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1128" w:right="0"/>
              <w:jc w:val="left"/>
              <w:rPr>
                <w:rFonts w:ascii="宋体" w:hAnsi="宋体" w:cs="宋体" w:eastAsia="宋体" w:hint="default"/>
                <w:sz w:val="18"/>
                <w:szCs w:val="18"/>
              </w:rPr>
            </w:pPr>
            <w:r>
              <w:rPr>
                <w:rFonts w:ascii="宋体" w:hAnsi="宋体" w:cs="宋体" w:eastAsia="宋体" w:hint="default"/>
                <w:spacing w:val="-3"/>
                <w:sz w:val="18"/>
                <w:szCs w:val="18"/>
              </w:rPr>
              <w:t>新维数联（北京）科技有限公司</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7,823,298.84</w:t>
            </w:r>
          </w:p>
        </w:tc>
      </w:tr>
      <w:tr>
        <w:trPr>
          <w:trHeight w:val="71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4" w:right="196"/>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22,176,701.16</w:t>
            </w:r>
          </w:p>
        </w:tc>
      </w:tr>
    </w:tbl>
    <w:p>
      <w:pPr>
        <w:pStyle w:val="BodyText"/>
        <w:spacing w:line="362" w:lineRule="auto" w:before="53"/>
        <w:ind w:right="5503"/>
        <w:jc w:val="left"/>
      </w:pPr>
      <w:r>
        <w:rPr>
          <w:spacing w:val="-3"/>
        </w:rPr>
        <w:t>合并成本公允价值的确定方法、或有对价及其变动的说明：</w:t>
      </w:r>
      <w:r>
        <w:rPr>
          <w:spacing w:val="-10"/>
        </w:rPr>
        <w:t> </w:t>
      </w:r>
      <w:r>
        <w:rPr>
          <w:spacing w:val="-10"/>
        </w:rPr>
      </w:r>
      <w:r>
        <w:rPr>
          <w:spacing w:val="-3"/>
        </w:rPr>
        <w:t>大额商誉形成的主要原因：</w:t>
      </w:r>
    </w:p>
    <w:p>
      <w:pPr>
        <w:pStyle w:val="BodyText"/>
        <w:spacing w:line="240" w:lineRule="auto" w:before="2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1925" w:right="0"/>
              <w:jc w:val="left"/>
              <w:rPr>
                <w:rFonts w:ascii="宋体" w:hAnsi="宋体" w:cs="宋体" w:eastAsia="宋体" w:hint="default"/>
                <w:sz w:val="18"/>
                <w:szCs w:val="18"/>
              </w:rPr>
            </w:pPr>
            <w:r>
              <w:rPr>
                <w:rFonts w:ascii="宋体" w:hAnsi="宋体" w:cs="宋体" w:eastAsia="宋体" w:hint="default"/>
                <w:spacing w:val="-3"/>
                <w:sz w:val="18"/>
                <w:szCs w:val="18"/>
              </w:rPr>
              <w:t>新维数联（北京）科技有限公司</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2,099,780.52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2,099,780.52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8,904,493.78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8,904,493.78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15,469,402.37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15,469,402.37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863,237.74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863,237.74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93,451.41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93,451.41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60,283.02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60,283.02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4,607,537.42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4,607,537.42</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5,199,823.26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5,199,823.26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244,620.53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244,620.53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45,523.90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45,523.90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530,555.76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530,555.76</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净资产</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26,077,662.81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26,077,662.81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18,254,363.97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18,254,363.97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7,823,298.84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7,823,298.84</w:t>
            </w:r>
          </w:p>
        </w:tc>
      </w:tr>
    </w:tbl>
    <w:p>
      <w:pPr>
        <w:pStyle w:val="BodyText"/>
        <w:spacing w:line="360" w:lineRule="auto" w:before="53"/>
        <w:ind w:right="7523"/>
        <w:jc w:val="both"/>
      </w:pPr>
      <w:r>
        <w:rPr>
          <w:spacing w:val="-3"/>
        </w:rPr>
        <w:t>可辨认资产、负债公允价值的确定方法：</w:t>
      </w:r>
      <w:r>
        <w:rPr>
          <w:spacing w:val="-33"/>
        </w:rPr>
        <w:t> </w:t>
      </w:r>
      <w:r>
        <w:rPr>
          <w:spacing w:val="-33"/>
        </w:rPr>
      </w:r>
      <w:r>
        <w:rPr>
          <w:spacing w:val="-3"/>
        </w:rPr>
        <w:t>企业合并中承担的被购买方的或有负债：</w:t>
      </w:r>
      <w:r>
        <w:rPr>
          <w:spacing w:val="-33"/>
        </w:rPr>
        <w:t> </w:t>
      </w:r>
      <w:r>
        <w:rPr>
          <w:spacing w:val="-33"/>
        </w:rPr>
      </w:r>
      <w:r>
        <w:rPr/>
        <w:t>其他说明：</w:t>
      </w:r>
    </w:p>
    <w:p>
      <w:pPr>
        <w:spacing w:line="240" w:lineRule="auto" w:before="4"/>
        <w:rPr>
          <w:rFonts w:ascii="宋体" w:hAnsi="宋体" w:cs="宋体" w:eastAsia="宋体" w:hint="default"/>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both"/>
      </w:pPr>
      <w:r>
        <w:rPr>
          <w:spacing w:val="-3"/>
        </w:rPr>
        <w:t>是否存在通过多次交易分步实现企业合并且在报告期内取得控制权的交易</w:t>
      </w:r>
    </w:p>
    <w:p>
      <w:pPr>
        <w:pStyle w:val="BodyText"/>
        <w:spacing w:line="240" w:lineRule="auto" w:before="11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pStyle w:val="BodyText"/>
        <w:spacing w:line="240" w:lineRule="auto" w:before="54"/>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4;width:24;height:395" coordorigin="4764,14" coordsize="24,395">
              <v:shape style="position:absolute;left:4764;top:14;width:24;height:395" coordorigin="4764,14" coordsize="24,395" path="m4764,408l4788,408,4788,14,4764,14,4764,408xe" filled="true" fillcolor="#d2d2d2" stroked="false">
                <v:path arrowok="t"/>
                <v:fill type="solid"/>
              </v:shape>
            </v:group>
            <v:group style="position:absolute;left:10;top:14;width:24;height:395" coordorigin="10,14" coordsize="24,395">
              <v:shape style="position:absolute;left:10;top:14;width:24;height:395" coordorigin="10,14" coordsize="24,395" path="m10,408l34,408,34,14,10,14,10,408xe" filled="true" fillcolor="#d2d2d2" stroked="false">
                <v:path arrowok="t"/>
                <v:fill type="solid"/>
              </v:shape>
            </v:group>
            <v:group style="position:absolute;left:34;top:14;width:4730;height:395" coordorigin="34,14" coordsize="4730,395">
              <v:shape style="position:absolute;left:34;top:14;width:4730;height:395" coordorigin="34,14" coordsize="4730,395" path="m34,408l4764,408,4764,14,34,14,34,408xe" filled="true" fillcolor="#d2d2d2" stroked="false">
                <v:path arrowok="t"/>
                <v:fill type="solid"/>
              </v:shape>
            </v:group>
            <v:group style="position:absolute;left:4797;top:14;width:24;height:395" coordorigin="4797,14" coordsize="24,395">
              <v:shape style="position:absolute;left:4797;top:14;width:24;height:395" coordorigin="4797,14" coordsize="24,395" path="m4797,408l4821,408,4821,14,4797,14,4797,408xe" filled="true" fillcolor="#e0ffff" stroked="false">
                <v:path arrowok="t"/>
                <v:fill type="solid"/>
              </v:shape>
            </v:group>
            <v:group style="position:absolute;left:9551;top:14;width:24;height:395" coordorigin="9551,14" coordsize="24,395">
              <v:shape style="position:absolute;left:9551;top:14;width:24;height:395" coordorigin="9551,14" coordsize="24,395" path="m9551,408l9575,408,9575,14,9551,14,9551,408xe" filled="true" fillcolor="#e0ffff" stroked="false">
                <v:path arrowok="t"/>
                <v:fill type="solid"/>
              </v:shape>
            </v:group>
            <v:group style="position:absolute;left:4821;top:14;width:4730;height:395" coordorigin="4821,14" coordsize="4730,395">
              <v:shape style="position:absolute;left:4821;top:14;width:4730;height:395" coordorigin="4821,14" coordsize="4730,395" path="m4821,408l9551,408,9551,14,4821,14,4821,408xe" filled="true" fillcolor="#e0ffff"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799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7998pt" strokecolor="#000000">
                <v:path arrowok="t"/>
              </v:shape>
              <v:shape style="position:absolute;left:5;top:10;width:4788;height:404" type="#_x0000_t202" filled="false" stroked="false">
                <v:textbox inset="0,0,0,0">
                  <w:txbxContent>
                    <w:p>
                      <w:pPr>
                        <w:spacing w:before="59"/>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2" w:lineRule="auto" w:before="49"/>
        <w:ind w:right="7956"/>
        <w:jc w:val="left"/>
      </w:pPr>
      <w:r>
        <w:rPr>
          <w:spacing w:val="-3"/>
        </w:rPr>
        <w:t>或有对价及其变动的说明：</w:t>
      </w:r>
      <w:r>
        <w:rPr>
          <w:spacing w:val="-51"/>
        </w:rPr>
        <w:t> </w:t>
      </w:r>
      <w:r>
        <w:rPr>
          <w:spacing w:val="-51"/>
        </w:rPr>
      </w:r>
      <w:r>
        <w:rPr/>
        <w:t>其他说明：</w:t>
      </w: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pt;mso-position-horizontal-relative:char;mso-position-vertical-relative:line" coordorigin="0,0" coordsize="9585,826">
            <v:group style="position:absolute;left:3169;top:14;width:24;height:394" coordorigin="3169,14" coordsize="24,394">
              <v:shape style="position:absolute;left:3169;top:14;width:24;height:394" coordorigin="3169,14" coordsize="24,394" path="m3169,408l3193,408,3193,14,3169,14,3169,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03;top:14;width:24;height:394" coordorigin="3203,14" coordsize="24,394">
              <v:shape style="position:absolute;left:3203;top:14;width:24;height:394" coordorigin="3203,14" coordsize="24,394" path="m3203,408l3227,408,3227,14,3203,14,3203,408xe" filled="true" fillcolor="#e0ffff" stroked="false">
                <v:path arrowok="t"/>
                <v:fill type="solid"/>
              </v:shape>
            </v:group>
            <v:group style="position:absolute;left:9551;top:14;width:24;height:394" coordorigin="9551,14" coordsize="24,394">
              <v:shape style="position:absolute;left:9551;top:14;width:24;height:394" coordorigin="9551,14" coordsize="24,394" path="m9551,408l9575,408,9575,14,9551,14,9551,408xe" filled="true" fillcolor="#e0ffff" stroked="false">
                <v:path arrowok="t"/>
                <v:fill type="solid"/>
              </v:shape>
            </v:group>
            <v:group style="position:absolute;left:3227;top:14;width:6324;height:394" coordorigin="3227,14" coordsize="6324,394">
              <v:shape style="position:absolute;left:3227;top:14;width:6324;height:394" coordorigin="3227,14" coordsize="6324,394" path="m3227,408l9551,408,9551,14,3227,14,3227,408xe" filled="true" fillcolor="#e0ffff"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1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1pt" strokecolor="#000000">
                <v:path arrowok="t"/>
              </v:shape>
            </v:group>
            <v:group style="position:absolute;left:3169;top:418;width:24;height:394" coordorigin="3169,418" coordsize="24,394">
              <v:shape style="position:absolute;left:3169;top:418;width:24;height:394" coordorigin="3169,418" coordsize="24,394" path="m3169,811l3193,811,3193,418,3169,418,3169,811xe" filled="true" fillcolor="#d2d2d2" stroked="false">
                <v:path arrowok="t"/>
                <v:fill type="solid"/>
              </v:shape>
            </v:group>
            <v:group style="position:absolute;left:10;top:418;width:24;height:394" coordorigin="10,418" coordsize="24,394">
              <v:shape style="position:absolute;left:10;top:418;width:24;height:394" coordorigin="10,418" coordsize="24,394" path="m10,811l34,811,34,418,10,418,10,811xe" filled="true" fillcolor="#d2d2d2" stroked="false">
                <v:path arrowok="t"/>
                <v:fill type="solid"/>
              </v:shape>
            </v:group>
            <v:group style="position:absolute;left:34;top:418;width:3136;height:394" coordorigin="34,418" coordsize="3136,394">
              <v:shape style="position:absolute;left:34;top:418;width:3136;height:394" coordorigin="34,418" coordsize="3136,394" path="m34,811l3169,811,3169,418,34,418,34,811xe" filled="true" fillcolor="#d2d2d2" stroked="false">
                <v:path arrowok="t"/>
                <v:fill type="solid"/>
              </v:shape>
            </v:group>
            <v:group style="position:absolute;left:6363;top:418;width:20;height:394" coordorigin="6363,418" coordsize="20,394">
              <v:shape style="position:absolute;left:6363;top:418;width:20;height:394" coordorigin="6363,418" coordsize="20,394" path="m6363,811l6382,811,6382,418,6363,418,6363,811xe" filled="true" fillcolor="#d2d2d2" stroked="false">
                <v:path arrowok="t"/>
                <v:fill type="solid"/>
              </v:shape>
            </v:group>
            <v:group style="position:absolute;left:3203;top:418;width:24;height:394" coordorigin="3203,418" coordsize="24,394">
              <v:shape style="position:absolute;left:3203;top:418;width:24;height:394" coordorigin="3203,418" coordsize="24,394" path="m3203,811l3227,811,3227,418,3203,418,3203,811xe" filled="true" fillcolor="#d2d2d2" stroked="false">
                <v:path arrowok="t"/>
                <v:fill type="solid"/>
              </v:shape>
            </v:group>
            <v:group style="position:absolute;left:3227;top:418;width:3136;height:394" coordorigin="3227,418" coordsize="3136,394">
              <v:shape style="position:absolute;left:3227;top:418;width:3136;height:394" coordorigin="3227,418" coordsize="3136,394" path="m3227,811l6363,811,6363,418,3227,418,3227,811xe" filled="true" fillcolor="#d2d2d2" stroked="false">
                <v:path arrowok="t"/>
                <v:fill type="solid"/>
              </v:shape>
            </v:group>
            <v:group style="position:absolute;left:9551;top:418;width:24;height:394" coordorigin="9551,418" coordsize="24,394">
              <v:shape style="position:absolute;left:9551;top:418;width:24;height:394" coordorigin="9551,418" coordsize="24,394" path="m9551,811l9575,811,9575,418,9551,418,9551,811xe" filled="true" fillcolor="#d2d2d2" stroked="false">
                <v:path arrowok="t"/>
                <v:fill type="solid"/>
              </v:shape>
            </v:group>
            <v:group style="position:absolute;left:6391;top:418;width:24;height:394" coordorigin="6391,418" coordsize="24,394">
              <v:shape style="position:absolute;left:6391;top:418;width:24;height:394" coordorigin="6391,418" coordsize="24,394" path="m6391,811l6415,811,6415,418,6391,418,6391,811xe" filled="true" fillcolor="#d2d2d2" stroked="false">
                <v:path arrowok="t"/>
                <v:fill type="solid"/>
              </v:shape>
            </v:group>
            <v:group style="position:absolute;left:6415;top:418;width:3136;height:394" coordorigin="6415,418" coordsize="3136,394">
              <v:shape style="position:absolute;left:6415;top:418;width:3136;height:394" coordorigin="6415,418" coordsize="3136,394" path="m6415,811l9551,811,9551,418,6415,418,6415,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1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1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1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7998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7998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7998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47998pt" strokecolor="#000000">
                <v:path arrowok="t"/>
              </v:shape>
              <v:shape style="position:absolute;left:3198;top:413;width:3188;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62" w:lineRule="auto" w:before="50"/>
        <w:ind w:right="6967"/>
        <w:jc w:val="left"/>
      </w:pPr>
      <w:r>
        <w:rPr>
          <w:spacing w:val="-3"/>
        </w:rPr>
        <w:t>企业合并中承担的被合并方的或有负债：</w:t>
      </w:r>
      <w:r>
        <w:rPr>
          <w:spacing w:val="-33"/>
        </w:rPr>
        <w:t> </w:t>
      </w:r>
      <w:r>
        <w:rPr>
          <w:spacing w:val="-33"/>
        </w:rPr>
      </w:r>
      <w:r>
        <w:rPr/>
        <w:t>其他说明：</w:t>
      </w: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21" w:lineRule="auto"/>
        <w:ind w:right="0"/>
        <w:jc w:val="left"/>
      </w:pPr>
      <w:r>
        <w:rPr>
          <w:spacing w:val="-4"/>
        </w:rPr>
        <w:t>交易基本信息、交易构成反向购买的依据、上市公司保留的资产、负债是否构成业务及其依据、合并成本的确定、按照权益</w:t>
      </w:r>
      <w:r>
        <w:rPr>
          <w:spacing w:val="40"/>
        </w:rPr>
        <w:t> </w:t>
      </w:r>
      <w:r>
        <w:rPr>
          <w:spacing w:val="40"/>
        </w:rPr>
      </w:r>
      <w:r>
        <w:rPr>
          <w:spacing w:val="-3"/>
        </w:rPr>
        <w:t>性交易处理时调整权益的金额及其计算：</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是否存在单次处置对子公司投资即丧失控制权的情形</w:t>
      </w:r>
    </w:p>
    <w:p>
      <w:pPr>
        <w:pStyle w:val="BodyText"/>
        <w:spacing w:line="343" w:lineRule="auto" w:before="115"/>
        <w:ind w:right="462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240" w:lineRule="auto" w:before="110"/>
        <w:ind w:left="518" w:right="0"/>
        <w:jc w:val="left"/>
      </w:pPr>
      <w:r>
        <w:rPr>
          <w:spacing w:val="-3"/>
        </w:rPr>
        <w:t>（</w:t>
      </w:r>
      <w:r>
        <w:rPr>
          <w:rFonts w:ascii="Times New Roman" w:hAnsi="Times New Roman" w:cs="Times New Roman" w:eastAsia="Times New Roman" w:hint="default"/>
          <w:spacing w:val="-3"/>
        </w:rPr>
        <w:t>1</w:t>
      </w:r>
      <w:r>
        <w:rPr>
          <w:spacing w:val="-3"/>
        </w:rPr>
        <w:t>）润辰科技是</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月本公司投资新设的控股子公司，本年度公司对润辰科技的合并期间为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3-12</w:t>
      </w:r>
      <w:r>
        <w:rPr>
          <w:spacing w:val="-3"/>
        </w:rPr>
        <w:t>月。</w:t>
      </w:r>
    </w:p>
    <w:p>
      <w:pPr>
        <w:pStyle w:val="BodyText"/>
        <w:spacing w:line="240" w:lineRule="auto" w:before="63"/>
        <w:ind w:left="518" w:right="0"/>
        <w:jc w:val="left"/>
      </w:pPr>
      <w:r>
        <w:rPr>
          <w:spacing w:val="-3"/>
        </w:rPr>
        <w:t>（</w:t>
      </w:r>
      <w:r>
        <w:rPr>
          <w:rFonts w:ascii="Times New Roman" w:hAnsi="Times New Roman" w:cs="Times New Roman" w:eastAsia="Times New Roman" w:hint="default"/>
          <w:spacing w:val="-3"/>
        </w:rPr>
        <w:t>2</w:t>
      </w:r>
      <w:r>
        <w:rPr>
          <w:spacing w:val="-3"/>
        </w:rPr>
        <w:t>）润和润云是</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月本公司投资新设的控股子公司，本年度公司对润和润云的合并期间为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8-12</w:t>
      </w:r>
      <w:r>
        <w:rPr>
          <w:spacing w:val="-3"/>
        </w:rPr>
        <w:t>月。</w:t>
      </w:r>
    </w:p>
    <w:p>
      <w:pPr>
        <w:spacing w:line="240" w:lineRule="auto" w:before="11"/>
        <w:rPr>
          <w:rFonts w:ascii="宋体" w:hAnsi="宋体" w:cs="宋体" w:eastAsia="宋体" w:hint="default"/>
          <w:sz w:val="20"/>
          <w:szCs w:val="20"/>
        </w:rPr>
      </w:pPr>
    </w:p>
    <w:p>
      <w:pPr>
        <w:spacing w:line="374" w:lineRule="auto" w:before="0"/>
        <w:ind w:left="153" w:right="81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92"/>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江苏润和南京软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件外包园投资有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江苏软信和熙置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西安润和软件信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北京润和汇智信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深圳润和汇智信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上海润和信息技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术服务有限公司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株式会社ホープ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ラン東京</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24" w:right="328"/>
              <w:jc w:val="left"/>
              <w:rPr>
                <w:rFonts w:ascii="Times New Roman" w:hAnsi="Times New Roman" w:cs="Times New Roman" w:eastAsia="Times New Roman" w:hint="default"/>
                <w:sz w:val="18"/>
                <w:szCs w:val="18"/>
              </w:rPr>
            </w:pPr>
            <w:r>
              <w:rPr>
                <w:rFonts w:ascii="Times New Roman"/>
                <w:sz w:val="18"/>
              </w:rPr>
              <w:t>HOPERUN</w:t>
            </w:r>
            <w:r>
              <w:rPr>
                <w:rFonts w:ascii="Times New Roman"/>
                <w:w w:val="101"/>
                <w:sz w:val="18"/>
              </w:rPr>
              <w:t> </w:t>
            </w:r>
            <w:r>
              <w:rPr>
                <w:rFonts w:ascii="Times New Roman"/>
                <w:spacing w:val="-5"/>
                <w:sz w:val="18"/>
              </w:rPr>
              <w:t>SOFTWARE</w:t>
            </w:r>
            <w:r>
              <w:rPr>
                <w:rFonts w:ascii="Times New Roman"/>
                <w:spacing w:val="-33"/>
                <w:sz w:val="18"/>
              </w:rPr>
              <w:t> </w:t>
            </w:r>
            <w:r>
              <w:rPr>
                <w:rFonts w:ascii="Times New Roman"/>
                <w:spacing w:val="-33"/>
                <w:sz w:val="18"/>
              </w:rPr>
            </w:r>
            <w:r>
              <w:rPr>
                <w:rFonts w:ascii="Times New Roman"/>
                <w:spacing w:val="-3"/>
                <w:sz w:val="18"/>
              </w:rPr>
              <w:t>SINGAPORE</w:t>
            </w:r>
            <w:r>
              <w:rPr>
                <w:rFonts w:ascii="Times New Roman"/>
                <w:spacing w:val="-23"/>
                <w:sz w:val="18"/>
              </w:rPr>
              <w:t> </w:t>
            </w:r>
            <w:r>
              <w:rPr>
                <w:rFonts w:ascii="Times New Roman"/>
                <w:spacing w:val="-23"/>
                <w:sz w:val="18"/>
              </w:rPr>
            </w:r>
            <w:r>
              <w:rPr>
                <w:rFonts w:ascii="Times New Roman"/>
                <w:sz w:val="18"/>
              </w:rPr>
              <w:t>PTE.</w:t>
            </w:r>
            <w:r>
              <w:rPr>
                <w:rFonts w:ascii="Times New Roman"/>
                <w:spacing w:val="5"/>
                <w:sz w:val="18"/>
              </w:rPr>
              <w:t> </w:t>
            </w:r>
            <w:r>
              <w:rPr>
                <w:rFonts w:ascii="Times New Roman"/>
                <w:spacing w:val="-8"/>
                <w:sz w:val="18"/>
              </w:rPr>
              <w:t>LTD</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4" w:right="146"/>
              <w:jc w:val="left"/>
              <w:rPr>
                <w:rFonts w:ascii="Times New Roman" w:hAnsi="Times New Roman" w:cs="Times New Roman" w:eastAsia="Times New Roman" w:hint="default"/>
                <w:sz w:val="18"/>
                <w:szCs w:val="18"/>
              </w:rPr>
            </w:pPr>
            <w:r>
              <w:rPr>
                <w:rFonts w:ascii="Times New Roman"/>
                <w:sz w:val="18"/>
              </w:rPr>
              <w:t>HopeRun</w:t>
            </w:r>
            <w:r>
              <w:rPr>
                <w:rFonts w:ascii="Times New Roman"/>
                <w:w w:val="101"/>
                <w:sz w:val="18"/>
              </w:rPr>
              <w:t> </w:t>
            </w:r>
            <w:r>
              <w:rPr>
                <w:rFonts w:ascii="Times New Roman"/>
                <w:spacing w:val="-3"/>
                <w:sz w:val="18"/>
              </w:rPr>
              <w:t>Technology </w:t>
            </w:r>
            <w:r>
              <w:rPr>
                <w:rFonts w:ascii="Times New Roman"/>
                <w:sz w:val="18"/>
              </w:rPr>
              <w:t>Co.,</w:t>
            </w:r>
            <w:r>
              <w:rPr>
                <w:rFonts w:ascii="Times New Roman"/>
                <w:spacing w:val="-30"/>
                <w:sz w:val="18"/>
              </w:rPr>
              <w:t> </w:t>
            </w:r>
            <w:r>
              <w:rPr>
                <w:rFonts w:ascii="Times New Roman"/>
                <w:spacing w:val="-30"/>
                <w:sz w:val="18"/>
              </w:rPr>
            </w:r>
            <w:r>
              <w:rPr>
                <w:rFonts w:ascii="Times New Roman"/>
                <w:sz w:val="18"/>
              </w:rPr>
              <w:t>Ltd</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北京捷科智诚科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3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上海捷科智诚科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福州捷科智诚信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北京联创智融信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重庆度融信息技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成都联创智融信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深圳联创智融信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南京汇聚智融信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合肥汇聚智融信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香港润和信息技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术投资有限公司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上海菲耐得信息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广州润和颐能软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件技术有限公司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润和云（上海）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江苏润和智融科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江苏润和捷诚信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武汉宁润软件信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南京润辰科技有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南京润和润云科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8"/>
              <w:jc w:val="left"/>
              <w:rPr>
                <w:rFonts w:ascii="宋体" w:hAnsi="宋体" w:cs="宋体" w:eastAsia="宋体" w:hint="default"/>
                <w:sz w:val="18"/>
                <w:szCs w:val="18"/>
              </w:rPr>
            </w:pPr>
            <w:r>
              <w:rPr>
                <w:rFonts w:ascii="宋体" w:hAnsi="宋体" w:cs="宋体" w:eastAsia="宋体" w:hint="default"/>
                <w:spacing w:val="-7"/>
                <w:sz w:val="18"/>
                <w:szCs w:val="18"/>
              </w:rPr>
              <w:t>新维数联（北京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706" w:lineRule="exact"/>
              <w:ind w:right="-55"/>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
                <w:sz w:val="20"/>
                <w:szCs w:val="20"/>
              </w:rPr>
              <w:pict>
                <v:group style="width:67.95pt;height:35.35pt;mso-position-horizontal-relative:char;mso-position-vertical-relative:line" coordorigin="0,0" coordsize="1359,707">
                  <v:group style="position:absolute;left:0;top:0;width:1359;height:707" coordorigin="0,0" coordsize="1359,707">
                    <v:shape style="position:absolute;left:0;top:0;width:1359;height:707" coordorigin="0,0" coordsize="1359,707" path="m0,706l1359,706,1359,0,0,0,0,706xe" filled="true" fillcolor="#ffffff" stroked="false">
                      <v:path arrowok="t"/>
                      <v:fill type="solid"/>
                    </v:shape>
                  </v:group>
                  <v:group style="position:absolute;left:24;top:158;width:1311;height:395" coordorigin="24,158" coordsize="1311,395">
                    <v:shape style="position:absolute;left:24;top:158;width:1311;height:395" coordorigin="24,158" coordsize="1311,395" path="m24,552l1335,552,1335,158,24,158,24,552xe" filled="true" fillcolor="#ffffff" stroked="false">
                      <v:path arrowok="t"/>
                      <v:fill type="solid"/>
                    </v:shape>
                  </v:group>
                </v:group>
              </w:pict>
            </w:r>
            <w:r>
              <w:rPr>
                <w:rFonts w:ascii="Microsoft JhengHei" w:hAnsi="Microsoft JhengHei" w:cs="Microsoft JhengHei" w:eastAsia="Microsoft JhengHei" w:hint="default"/>
                <w:position w:val="-13"/>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bl>
    <w:p>
      <w:pPr>
        <w:pStyle w:val="BodyText"/>
        <w:spacing w:line="240" w:lineRule="auto" w:before="53"/>
        <w:ind w:right="0"/>
        <w:jc w:val="left"/>
      </w:pPr>
      <w:r>
        <w:rPr/>
        <w:pict>
          <v:shape style="position:absolute;margin-left:119.545441pt;margin-top:-35.822285pt;width:74pt;height:35.35pt;mso-position-horizontal-relative:page;mso-position-vertical-relative:paragraph;z-index:-1199584"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spacing w:val="-3"/>
        </w:rPr>
        <w:t>在子公司的持股比例不同于表决权比例的说明：</w:t>
      </w:r>
    </w:p>
    <w:p>
      <w:pPr>
        <w:pStyle w:val="BodyText"/>
        <w:spacing w:line="300" w:lineRule="auto" w:before="115"/>
        <w:ind w:right="0" w:firstLine="508"/>
        <w:jc w:val="left"/>
      </w:pPr>
      <w:r>
        <w:rPr>
          <w:spacing w:val="-3"/>
        </w:rPr>
        <w:t>①本公司直接拥有东京润和</w:t>
      </w:r>
      <w:r>
        <w:rPr>
          <w:rFonts w:ascii="Times New Roman" w:hAnsi="Times New Roman" w:cs="Times New Roman" w:eastAsia="Times New Roman" w:hint="default"/>
          <w:spacing w:val="-3"/>
        </w:rPr>
        <w:t>91.67%</w:t>
      </w:r>
      <w:r>
        <w:rPr>
          <w:spacing w:val="-3"/>
        </w:rPr>
        <w:t>的股权，东京润和持有</w:t>
      </w:r>
      <w:r>
        <w:rPr>
          <w:rFonts w:ascii="Times New Roman" w:hAnsi="Times New Roman" w:cs="Times New Roman" w:eastAsia="Times New Roman" w:hint="default"/>
          <w:spacing w:val="-3"/>
        </w:rPr>
        <w:t>8.33%</w:t>
      </w:r>
      <w:r>
        <w:rPr>
          <w:spacing w:val="-3"/>
        </w:rPr>
        <w:t>的库存股股权，该库存股股权不仅没有表决权，也没</w:t>
      </w:r>
      <w:r>
        <w:rPr>
          <w:w w:val="101"/>
        </w:rPr>
        <w:t> </w:t>
      </w:r>
      <w:r>
        <w:rPr>
          <w:spacing w:val="-3"/>
        </w:rPr>
        <w:t>有分红请求权和剩余财产分配请求权等其他权利，因此本公司实际拥有东京润和</w:t>
      </w:r>
      <w:r>
        <w:rPr>
          <w:rFonts w:ascii="Times New Roman" w:hAnsi="Times New Roman" w:cs="Times New Roman" w:eastAsia="Times New Roman" w:hint="default"/>
          <w:spacing w:val="-3"/>
        </w:rPr>
        <w:t>100%</w:t>
      </w:r>
      <w:r>
        <w:rPr>
          <w:spacing w:val="-3"/>
        </w:rPr>
        <w:t>权益。</w:t>
      </w:r>
    </w:p>
    <w:p>
      <w:pPr>
        <w:pStyle w:val="BodyText"/>
        <w:spacing w:line="240" w:lineRule="auto" w:before="13"/>
        <w:ind w:left="662" w:right="0"/>
        <w:jc w:val="left"/>
      </w:pPr>
      <w:r>
        <w:rPr>
          <w:spacing w:val="-3"/>
        </w:rPr>
        <w:t>②本公司直接拥有新维数联</w:t>
      </w:r>
      <w:r>
        <w:rPr>
          <w:rFonts w:ascii="Times New Roman" w:hAnsi="Times New Roman" w:cs="Times New Roman" w:eastAsia="Times New Roman" w:hint="default"/>
          <w:spacing w:val="-3"/>
        </w:rPr>
        <w:t>30%</w:t>
      </w:r>
      <w:r>
        <w:rPr>
          <w:spacing w:val="-3"/>
        </w:rPr>
        <w:t>的股权和表决权。根据新维数联股东王杰与本公司签订的股东会表决权委托协议，王</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43" w:lineRule="auto" w:before="46"/>
        <w:ind w:right="0"/>
        <w:jc w:val="left"/>
      </w:pPr>
      <w:r>
        <w:rPr>
          <w:spacing w:val="-3"/>
        </w:rPr>
        <w:t>杰将其持有的新维数联全部</w:t>
      </w:r>
      <w:r>
        <w:rPr>
          <w:rFonts w:ascii="Times New Roman" w:hAnsi="Times New Roman" w:cs="Times New Roman" w:eastAsia="Times New Roman" w:hint="default"/>
          <w:spacing w:val="-3"/>
        </w:rPr>
        <w:t>36.953%</w:t>
      </w:r>
      <w:r>
        <w:rPr>
          <w:spacing w:val="-3"/>
        </w:rPr>
        <w:t>股权对应股东会表决权委托予本公司，本公司合计持有新维数联</w:t>
      </w:r>
      <w:r>
        <w:rPr>
          <w:rFonts w:ascii="Times New Roman" w:hAnsi="Times New Roman" w:cs="Times New Roman" w:eastAsia="Times New Roman" w:hint="default"/>
          <w:spacing w:val="-3"/>
        </w:rPr>
        <w:t>66.953%</w:t>
      </w:r>
      <w:r>
        <w:rPr>
          <w:spacing w:val="-3"/>
        </w:rPr>
        <w:t>表决权。 持有半数或以下表决权但仍控制被投资单位、以及持有半数以上表决权但不控制被投资单位的依据：</w:t>
      </w:r>
    </w:p>
    <w:p>
      <w:pPr>
        <w:pStyle w:val="BodyText"/>
        <w:spacing w:line="309" w:lineRule="auto" w:before="37"/>
        <w:ind w:right="0" w:firstLine="508"/>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日，公司召开的第五届董事会第三十七次会议审议通过了《关于公司增资参股新维数联（北京）科技有限</w:t>
      </w:r>
      <w:r>
        <w:rPr>
          <w:w w:val="101"/>
        </w:rPr>
        <w:t> </w:t>
      </w:r>
      <w:r>
        <w:rPr>
          <w:spacing w:val="-4"/>
        </w:rPr>
        <w:t>公司暨关联交易的议案》，公司与新维数联（北京）科技有限公司（以下简称</w:t>
      </w:r>
      <w:r>
        <w:rPr>
          <w:rFonts w:ascii="Times New Roman" w:hAnsi="Times New Roman" w:cs="Times New Roman" w:eastAsia="Times New Roman" w:hint="default"/>
          <w:spacing w:val="-4"/>
        </w:rPr>
        <w:t>“</w:t>
      </w:r>
      <w:r>
        <w:rPr>
          <w:spacing w:val="-4"/>
        </w:rPr>
        <w:t>新维数联</w:t>
      </w:r>
      <w:r>
        <w:rPr>
          <w:rFonts w:ascii="Times New Roman" w:hAnsi="Times New Roman" w:cs="Times New Roman" w:eastAsia="Times New Roman" w:hint="default"/>
          <w:spacing w:val="-4"/>
        </w:rPr>
        <w:t>”</w:t>
      </w:r>
      <w:r>
        <w:rPr>
          <w:spacing w:val="-4"/>
        </w:rPr>
        <w:t>）现有股东王杰、王勇、单军、梅</w:t>
      </w:r>
      <w:r>
        <w:rPr>
          <w:spacing w:val="65"/>
        </w:rPr>
        <w:t> </w:t>
      </w:r>
      <w:r>
        <w:rPr>
          <w:spacing w:val="65"/>
        </w:rPr>
      </w:r>
      <w:r>
        <w:rPr>
          <w:spacing w:val="-4"/>
        </w:rPr>
        <w:t>景志、王思国、付勇、丁亚雄、罗志雄、北京双维众联科技中心（有限合伙）签署了《关于新维数联（北京）科技有限公司</w:t>
      </w:r>
      <w:r>
        <w:rPr>
          <w:spacing w:val="40"/>
        </w:rPr>
        <w:t> </w:t>
      </w:r>
      <w:r>
        <w:rPr>
          <w:spacing w:val="40"/>
        </w:rPr>
      </w:r>
      <w:r>
        <w:rPr>
          <w:spacing w:val="-3"/>
        </w:rPr>
        <w:t>之增资协议》，公司拟以自有资金共计</w:t>
      </w:r>
      <w:r>
        <w:rPr>
          <w:rFonts w:ascii="Times New Roman" w:hAnsi="Times New Roman" w:cs="Times New Roman" w:eastAsia="Times New Roman" w:hint="default"/>
          <w:spacing w:val="-3"/>
        </w:rPr>
        <w:t>3,000</w:t>
      </w:r>
      <w:r>
        <w:rPr>
          <w:spacing w:val="-3"/>
        </w:rPr>
        <w:t>万元人民币向新维数联增资。本次增资完成后，公司将持有新维数联</w:t>
      </w:r>
      <w:r>
        <w:rPr>
          <w:rFonts w:ascii="Times New Roman" w:hAnsi="Times New Roman" w:cs="Times New Roman" w:eastAsia="Times New Roman" w:hint="default"/>
          <w:spacing w:val="-3"/>
        </w:rPr>
        <w:t>30%</w:t>
      </w:r>
      <w:r>
        <w:rPr>
          <w:spacing w:val="-3"/>
        </w:rPr>
        <w:t>的股</w:t>
      </w:r>
      <w:r>
        <w:rPr>
          <w:spacing w:val="82"/>
        </w:rPr>
        <w:t> </w:t>
      </w:r>
      <w:r>
        <w:rPr>
          <w:spacing w:val="-3"/>
        </w:rPr>
        <w:t>权，王杰持有新维数联</w:t>
      </w:r>
      <w:r>
        <w:rPr>
          <w:rFonts w:ascii="Times New Roman" w:hAnsi="Times New Roman" w:cs="Times New Roman" w:eastAsia="Times New Roman" w:hint="default"/>
          <w:spacing w:val="-3"/>
        </w:rPr>
        <w:t>36.953%</w:t>
      </w:r>
      <w:r>
        <w:rPr>
          <w:spacing w:val="-3"/>
        </w:rPr>
        <w:t>的股权。王杰承诺，同意自本次增资协议签署完毕之日起至公司收购现有股东王杰、王勇、</w:t>
      </w:r>
      <w:r>
        <w:rPr>
          <w:spacing w:val="77"/>
        </w:rPr>
        <w:t> </w:t>
      </w:r>
      <w:r>
        <w:rPr>
          <w:spacing w:val="77"/>
        </w:rPr>
      </w:r>
      <w:r>
        <w:rPr>
          <w:spacing w:val="-4"/>
        </w:rPr>
        <w:t>单军、梅景志、王思国、付勇、丁亚雄、罗志雄、北京双维众联科技中心（有限合伙）持有标的公司的全部股权或终止收购</w:t>
      </w:r>
      <w:r>
        <w:rPr>
          <w:spacing w:val="40"/>
        </w:rPr>
        <w:t> </w:t>
      </w:r>
      <w:r>
        <w:rPr>
          <w:spacing w:val="40"/>
        </w:rPr>
      </w:r>
      <w:r>
        <w:rPr>
          <w:spacing w:val="-4"/>
        </w:rPr>
        <w:t>之日止，王杰将其持有的标的公司全部股权的表决权委托给公司行使，非经公司书面同意，该委托不得撤销。若王杰单方撤</w:t>
      </w:r>
      <w:r>
        <w:rPr>
          <w:spacing w:val="40"/>
        </w:rPr>
        <w:t> </w:t>
      </w:r>
      <w:r>
        <w:rPr>
          <w:spacing w:val="40"/>
        </w:rPr>
      </w:r>
      <w:r>
        <w:rPr>
          <w:spacing w:val="-4"/>
        </w:rPr>
        <w:t>销该委托的，则应当根据本协议的约定承担违约责任，且此时公司对提交股东会审议的所有议案均具有一票否决权；标的公</w:t>
      </w:r>
      <w:r>
        <w:rPr>
          <w:spacing w:val="43"/>
        </w:rPr>
        <w:t> </w:t>
      </w:r>
      <w:r>
        <w:rPr>
          <w:spacing w:val="43"/>
        </w:rPr>
      </w:r>
      <w:r>
        <w:rPr>
          <w:spacing w:val="-4"/>
        </w:rPr>
        <w:t>司董事会由</w:t>
      </w:r>
      <w:r>
        <w:rPr>
          <w:rFonts w:ascii="Times New Roman" w:hAnsi="Times New Roman" w:cs="Times New Roman" w:eastAsia="Times New Roman" w:hint="default"/>
          <w:spacing w:val="-4"/>
        </w:rPr>
        <w:t>3</w:t>
      </w:r>
      <w:r>
        <w:rPr>
          <w:spacing w:val="-4"/>
        </w:rPr>
        <w:t>名董事组成，其中，公司有权委派</w:t>
      </w:r>
      <w:r>
        <w:rPr>
          <w:rFonts w:ascii="Times New Roman" w:hAnsi="Times New Roman" w:cs="Times New Roman" w:eastAsia="Times New Roman" w:hint="default"/>
          <w:spacing w:val="-4"/>
        </w:rPr>
        <w:t>1</w:t>
      </w:r>
      <w:r>
        <w:rPr>
          <w:spacing w:val="-4"/>
        </w:rPr>
        <w:t>名董事，董事会的表决，实行一人一票，董事会审议事项应由全体董事过半</w:t>
      </w:r>
      <w:r>
        <w:rPr>
          <w:spacing w:val="45"/>
        </w:rPr>
        <w:t> </w:t>
      </w:r>
      <w:r>
        <w:rPr>
          <w:spacing w:val="45"/>
        </w:rPr>
      </w:r>
      <w:r>
        <w:rPr>
          <w:spacing w:val="-4"/>
        </w:rPr>
        <w:t>数表决通过，但公司提名的董事对审议事项拥有一票否决权。基于上述约定，公司能够对新维数联实施控制，新维数联系公</w:t>
      </w:r>
      <w:r>
        <w:rPr>
          <w:spacing w:val="40"/>
        </w:rPr>
        <w:t> </w:t>
      </w:r>
      <w:r>
        <w:rPr>
          <w:spacing w:val="40"/>
        </w:rPr>
      </w:r>
      <w:r>
        <w:rPr>
          <w:spacing w:val="-3"/>
        </w:rPr>
        <w:t>司实际控制的公司。</w:t>
      </w:r>
    </w:p>
    <w:p>
      <w:pPr>
        <w:pStyle w:val="BodyText"/>
        <w:spacing w:line="357" w:lineRule="auto" w:before="68"/>
        <w:ind w:right="6287"/>
        <w:jc w:val="left"/>
      </w:pPr>
      <w:r>
        <w:rPr>
          <w:spacing w:val="-3"/>
        </w:rPr>
        <w:t>对于纳入合并范围的重要的结构化主体，控制的依据：</w:t>
      </w:r>
      <w:r>
        <w:rPr>
          <w:spacing w:val="-16"/>
        </w:rPr>
        <w:t> </w:t>
      </w:r>
      <w:r>
        <w:rPr>
          <w:spacing w:val="-16"/>
        </w:rPr>
      </w:r>
      <w:r>
        <w:rPr>
          <w:spacing w:val="-3"/>
        </w:rPr>
        <w:t>确定公司是代理人还是委托人的依据：</w:t>
      </w:r>
    </w:p>
    <w:p>
      <w:pPr>
        <w:pStyle w:val="BodyText"/>
        <w:spacing w:line="300" w:lineRule="auto" w:before="26"/>
        <w:ind w:right="0" w:firstLine="508"/>
        <w:jc w:val="left"/>
      </w:pPr>
      <w:r>
        <w:rPr>
          <w:spacing w:val="-3"/>
        </w:rPr>
        <w:t>根据新维数联股东王杰与本公司签订的股东会表决权委托协议，王杰将其持有的新维数联全部</w:t>
      </w:r>
      <w:r>
        <w:rPr>
          <w:rFonts w:ascii="Times New Roman" w:hAnsi="Times New Roman" w:cs="Times New Roman" w:eastAsia="Times New Roman" w:hint="default"/>
          <w:spacing w:val="-3"/>
        </w:rPr>
        <w:t>36.953%</w:t>
      </w:r>
      <w:r>
        <w:rPr>
          <w:spacing w:val="-3"/>
        </w:rPr>
        <w:t>股权对应股东</w:t>
      </w:r>
      <w:r>
        <w:rPr>
          <w:w w:val="101"/>
        </w:rPr>
        <w:t> </w:t>
      </w:r>
      <w:r>
        <w:rPr>
          <w:spacing w:val="-3"/>
        </w:rPr>
        <w:t>会表决权委托予本公司，公司为王杰对新维数联股东会表决权的代理人。</w:t>
      </w:r>
    </w:p>
    <w:p>
      <w:pPr>
        <w:pStyle w:val="BodyText"/>
        <w:spacing w:line="240" w:lineRule="auto" w:before="74"/>
        <w:ind w:right="0"/>
        <w:jc w:val="left"/>
      </w:pP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2" w:lineRule="auto" w:before="53"/>
        <w:ind w:right="6287"/>
        <w:jc w:val="left"/>
      </w:pPr>
      <w:r>
        <w:rPr>
          <w:spacing w:val="-3"/>
        </w:rPr>
        <w:t>子公司少数股东的持股比例不同于表决权比例的说明：</w:t>
      </w:r>
      <w:r>
        <w:rPr>
          <w:spacing w:val="-16"/>
        </w:rPr>
        <w:t> </w:t>
      </w:r>
      <w:r>
        <w:rPr>
          <w:spacing w:val="-16"/>
        </w:rPr>
      </w:r>
      <w:r>
        <w:rPr/>
        <w:t>其他说明：</w:t>
      </w: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40"/>
        <w:gridCol w:w="735"/>
        <w:gridCol w:w="734"/>
        <w:gridCol w:w="735"/>
        <w:gridCol w:w="734"/>
        <w:gridCol w:w="735"/>
        <w:gridCol w:w="740"/>
        <w:gridCol w:w="734"/>
        <w:gridCol w:w="740"/>
      </w:tblGrid>
      <w:tr>
        <w:trPr>
          <w:trHeight w:val="403"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79"/>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bl>
    <w:p>
      <w:pPr>
        <w:pStyle w:val="BodyText"/>
        <w:spacing w:line="240" w:lineRule="auto" w:before="53"/>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64"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5;width:24;height:390" coordorigin="4764,15" coordsize="24,390">
              <v:shape style="position:absolute;left:4764;top:15;width:24;height:390" coordorigin="4764,15" coordsize="24,390" path="m4764,404l4788,404,4788,15,4764,15,4764,404xe" filled="true" fillcolor="#d2d2d2" stroked="false">
                <v:path arrowok="t"/>
                <v:fill type="solid"/>
              </v:shape>
            </v:group>
            <v:group style="position:absolute;left:10;top:15;width:24;height:390" coordorigin="10,15" coordsize="24,390">
              <v:shape style="position:absolute;left:10;top:15;width:24;height:390" coordorigin="10,15" coordsize="24,390" path="m10,404l34,404,34,15,10,15,10,404xe" filled="true" fillcolor="#d2d2d2" stroked="false">
                <v:path arrowok="t"/>
                <v:fill type="solid"/>
              </v:shape>
            </v:group>
            <v:group style="position:absolute;left:34;top:15;width:4730;height:390" coordorigin="34,15" coordsize="4730,390">
              <v:shape style="position:absolute;left:34;top:15;width:4730;height:390" coordorigin="34,15" coordsize="4730,390" path="m34,404l4764,404,4764,15,34,15,34,404xe" filled="true" fillcolor="#d2d2d2" stroked="false">
                <v:path arrowok="t"/>
                <v:fill type="solid"/>
              </v:shape>
            </v:group>
            <v:group style="position:absolute;left:4797;top:15;width:24;height:390" coordorigin="4797,15" coordsize="24,390">
              <v:shape style="position:absolute;left:4797;top:15;width:24;height:390" coordorigin="4797,15" coordsize="24,390" path="m4797,404l4821,404,4821,15,4797,15,4797,404xe" filled="true" fillcolor="#e0ffff" stroked="false">
                <v:path arrowok="t"/>
                <v:fill type="solid"/>
              </v:shape>
            </v:group>
            <v:group style="position:absolute;left:9551;top:15;width:24;height:390" coordorigin="9551,15" coordsize="24,390">
              <v:shape style="position:absolute;left:9551;top:15;width:24;height:390" coordorigin="9551,15" coordsize="24,390" path="m9551,404l9575,404,9575,15,9551,15,9551,404xe" filled="true" fillcolor="#e0ffff" stroked="false">
                <v:path arrowok="t"/>
                <v:fill type="solid"/>
              </v:shape>
            </v:group>
            <v:group style="position:absolute;left:4821;top:15;width:4730;height:390" coordorigin="4821,15" coordsize="4730,390">
              <v:shape style="position:absolute;left:4821;top:15;width:4730;height:390" coordorigin="4821,15" coordsize="4730,390" path="m4821,404l9551,404,9551,15,4821,15,4821,404xe" filled="true" fillcolor="#e0ffff"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1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8001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4"/>
        <w:ind w:right="0"/>
        <w:jc w:val="left"/>
      </w:pPr>
      <w:r>
        <w:rPr>
          <w:spacing w:val="-3"/>
        </w:rPr>
        <w:t>在合营企业或联营企业的持股比例不同于表决权比例的说明：</w:t>
      </w:r>
    </w:p>
    <w:p>
      <w:pPr>
        <w:pStyle w:val="BodyText"/>
        <w:spacing w:line="240" w:lineRule="auto" w:before="115"/>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6"/>
        <w:ind w:right="0"/>
        <w:jc w:val="left"/>
      </w:pP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3"/>
        <w:ind w:right="0"/>
        <w:jc w:val="left"/>
      </w:pPr>
      <w:r>
        <w:rPr/>
        <w:t>其他说明</w:t>
      </w:r>
    </w:p>
    <w:p>
      <w:pPr>
        <w:spacing w:after="0" w:line="240" w:lineRule="auto"/>
        <w:jc w:val="left"/>
        <w:sectPr>
          <w:footerReference w:type="default" r:id="rId17"/>
          <w:pgSz w:w="11910" w:h="16840"/>
          <w:pgMar w:footer="979" w:header="741"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46,858,875.12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14,404,988.54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-1,535,558.73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12,371,356.58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12,453,886.58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-1,535,558.73</w:t>
            </w:r>
          </w:p>
        </w:tc>
      </w:tr>
    </w:tbl>
    <w:p>
      <w:pPr>
        <w:pStyle w:val="BodyText"/>
        <w:spacing w:line="357" w:lineRule="auto" w:before="53"/>
        <w:ind w:right="6287"/>
        <w:jc w:val="left"/>
      </w:pPr>
      <w:r>
        <w:rPr/>
        <w:t>其他说明</w:t>
      </w:r>
      <w:r>
        <w:rPr>
          <w:spacing w:val="-86"/>
        </w:rPr>
        <w:t> </w:t>
      </w:r>
      <w:r>
        <w:rPr>
          <w:spacing w:val="-86"/>
        </w:rPr>
      </w:r>
      <w:r>
        <w:rPr>
          <w:spacing w:val="-3"/>
        </w:rPr>
        <w:t>上表数据为联营企业博纳讯动及奥特酷财务信息。</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4"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6"/>
        <w:ind w:right="3567"/>
        <w:jc w:val="left"/>
      </w:pPr>
      <w:r>
        <w:rPr>
          <w:spacing w:val="-3"/>
        </w:rPr>
        <w:t>在共同经营中的持股比例或享有的份额不同于表决权比例的说明：</w:t>
      </w:r>
      <w:r>
        <w:rPr>
          <w:spacing w:val="-4"/>
        </w:rPr>
        <w:t> </w:t>
      </w:r>
      <w:r>
        <w:rPr>
          <w:spacing w:val="-4"/>
        </w:rPr>
      </w:r>
      <w:r>
        <w:rPr>
          <w:spacing w:val="-3"/>
        </w:rPr>
        <w:t>共同经营为单独主体的，分类为共同经营的依据：</w:t>
      </w:r>
    </w:p>
    <w:p>
      <w:pPr>
        <w:pStyle w:val="BodyText"/>
        <w:spacing w:line="240" w:lineRule="auto" w:before="31"/>
        <w:ind w:right="0"/>
        <w:jc w:val="left"/>
      </w:pP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未纳入合并财务报表范围的结构化主体的相关说明：</w:t>
      </w:r>
    </w:p>
    <w:p>
      <w:pPr>
        <w:spacing w:after="0" w:line="240" w:lineRule="auto"/>
        <w:jc w:val="left"/>
        <w:sectPr>
          <w:footerReference w:type="default" r:id="rId18"/>
          <w:pgSz w:w="11910" w:h="16840"/>
          <w:pgMar w:footer="979" w:header="741" w:top="1060" w:bottom="1160" w:left="980" w:right="0"/>
          <w:pgNumType w:start="201"/>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十、与金融工具相关的风险</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316" w:lineRule="auto"/>
        <w:ind w:right="0" w:firstLine="508"/>
        <w:jc w:val="left"/>
      </w:pPr>
      <w:r>
        <w:rPr>
          <w:spacing w:val="-4"/>
        </w:rPr>
        <w:t>本公司与金融工具相关的风险源于本公司在经营过程中所确认的各类金融资产和金融负债，包括：信用风险、流动性</w:t>
      </w:r>
      <w:r>
        <w:rPr>
          <w:w w:val="101"/>
        </w:rPr>
        <w:t> </w:t>
      </w:r>
      <w:r>
        <w:rPr/>
        <w:t>风险和市场风险。</w:t>
      </w:r>
    </w:p>
    <w:p>
      <w:pPr>
        <w:pStyle w:val="BodyText"/>
        <w:spacing w:line="319" w:lineRule="auto" w:before="19"/>
        <w:ind w:right="1124" w:firstLine="508"/>
        <w:jc w:val="both"/>
      </w:pPr>
      <w:r>
        <w:rPr>
          <w:spacing w:val="-4"/>
        </w:rPr>
        <w:t>本公司与金融工具相关的各类风险的管理目标和政策的制度由本公司管理层负责。经营管理层通过职能部门负责日常</w:t>
      </w:r>
      <w:r>
        <w:rPr>
          <w:w w:val="101"/>
        </w:rPr>
        <w:t> </w:t>
      </w:r>
      <w:r>
        <w:rPr>
          <w:spacing w:val="-4"/>
        </w:rPr>
        <w:t>的风险管理。本公司内部审计部门对公司风险管理的政策和程序的执行情况进行日常监督，并且将有关发现及时报告给本公</w:t>
      </w:r>
      <w:r>
        <w:rPr>
          <w:spacing w:val="43"/>
        </w:rPr>
        <w:t> </w:t>
      </w:r>
      <w:r>
        <w:rPr>
          <w:spacing w:val="43"/>
        </w:rPr>
      </w:r>
      <w:r>
        <w:rPr>
          <w:spacing w:val="-3"/>
        </w:rPr>
        <w:t>司审计委员会。</w:t>
      </w:r>
    </w:p>
    <w:p>
      <w:pPr>
        <w:pStyle w:val="BodyText"/>
        <w:spacing w:line="316" w:lineRule="auto" w:before="17"/>
        <w:ind w:right="0" w:firstLine="508"/>
        <w:jc w:val="left"/>
      </w:pPr>
      <w:r>
        <w:rPr>
          <w:spacing w:val="-4"/>
        </w:rPr>
        <w:t>本公司风险管理的总体目标是在不过度影响公司竞争力和应变力的情况下，制定尽可能降低各类与金融工具相关风险</w:t>
      </w:r>
      <w:r>
        <w:rPr>
          <w:w w:val="101"/>
        </w:rPr>
        <w:t> </w:t>
      </w:r>
      <w:r>
        <w:rPr/>
        <w:t>的风险管理政策。</w:t>
      </w:r>
    </w:p>
    <w:p>
      <w:pPr>
        <w:pStyle w:val="BodyText"/>
        <w:spacing w:line="300" w:lineRule="auto" w:before="19"/>
        <w:ind w:left="662" w:right="1026"/>
        <w:jc w:val="left"/>
      </w:pPr>
      <w:r>
        <w:rPr>
          <w:rFonts w:ascii="Times New Roman" w:hAnsi="Times New Roman" w:cs="Times New Roman" w:eastAsia="Times New Roman" w:hint="default"/>
          <w:spacing w:val="-3"/>
        </w:rPr>
        <w:t>1.</w:t>
      </w:r>
      <w:r>
        <w:rPr>
          <w:spacing w:val="-3"/>
        </w:rPr>
        <w:t>信用风险</w:t>
      </w:r>
      <w:r>
        <w:rPr>
          <w:spacing w:val="-74"/>
        </w:rPr>
        <w:t> </w:t>
      </w:r>
      <w:r>
        <w:rPr>
          <w:spacing w:val="-74"/>
        </w:rPr>
      </w:r>
      <w:r>
        <w:rPr>
          <w:spacing w:val="-4"/>
        </w:rPr>
        <w:t>信用风险，是指金融工具的一方未能履行义务从而导致另一方发生财务损失的风险。本公司的信用风险主要产生于货</w:t>
      </w:r>
    </w:p>
    <w:p>
      <w:pPr>
        <w:pStyle w:val="BodyText"/>
        <w:spacing w:line="316" w:lineRule="auto" w:before="32"/>
        <w:ind w:right="0"/>
        <w:jc w:val="left"/>
      </w:pPr>
      <w:r>
        <w:rPr>
          <w:spacing w:val="-4"/>
        </w:rPr>
        <w:t>币资金、应收票据、应收账款、其他应收款以及长期应收款等，这些金融资产的信用风险源自交易对手违约，最大的风险敞</w:t>
      </w:r>
      <w:r>
        <w:rPr>
          <w:spacing w:val="40"/>
        </w:rPr>
        <w:t> </w:t>
      </w:r>
      <w:r>
        <w:rPr>
          <w:spacing w:val="40"/>
        </w:rPr>
      </w:r>
      <w:r>
        <w:rPr>
          <w:spacing w:val="-3"/>
        </w:rPr>
        <w:t>口等于这些工具的账面金额。</w:t>
      </w:r>
    </w:p>
    <w:p>
      <w:pPr>
        <w:pStyle w:val="BodyText"/>
        <w:spacing w:line="316" w:lineRule="auto" w:before="19"/>
        <w:ind w:right="1026" w:firstLine="508"/>
        <w:jc w:val="left"/>
      </w:pPr>
      <w:r>
        <w:rPr>
          <w:spacing w:val="-4"/>
        </w:rPr>
        <w:t>本公司货币资金主要存放于商业银行等金融机构，本公司认为这些商业银行具备较高信誉和资产状况，存在较低的信</w:t>
      </w:r>
      <w:r>
        <w:rPr>
          <w:w w:val="101"/>
        </w:rPr>
        <w:t> </w:t>
      </w:r>
      <w:r>
        <w:rPr/>
        <w:t>用风险。</w:t>
      </w:r>
    </w:p>
    <w:p>
      <w:pPr>
        <w:pStyle w:val="BodyText"/>
        <w:spacing w:line="319" w:lineRule="auto" w:before="19"/>
        <w:ind w:right="0" w:firstLine="508"/>
        <w:jc w:val="left"/>
      </w:pPr>
      <w:r>
        <w:rPr>
          <w:spacing w:val="-4"/>
        </w:rPr>
        <w:t>对于应收票据、应收账款、其他应收款及长期应收款，本公司设定相关政策以控制信用风险敞口。本公司基于对客户</w:t>
      </w:r>
      <w:r>
        <w:rPr>
          <w:w w:val="101"/>
        </w:rPr>
        <w:t> </w:t>
      </w:r>
      <w:r>
        <w:rPr>
          <w:spacing w:val="-6"/>
          <w:w w:val="101"/>
        </w:rPr>
        <w:t>的财务状况、从第三方获取担保的可能性、信用记录及其他因素诸如目前市场状况等评估客户的信用资质并设置相应信用期。</w:t>
      </w:r>
      <w:r>
        <w:rPr>
          <w:spacing w:val="-66"/>
          <w:w w:val="101"/>
        </w:rPr>
        <w:t> </w:t>
      </w:r>
      <w:r>
        <w:rPr>
          <w:spacing w:val="-66"/>
          <w:w w:val="101"/>
        </w:rPr>
      </w:r>
      <w:r>
        <w:rPr>
          <w:spacing w:val="-4"/>
        </w:rPr>
        <w:t>本公司会定期对客户信用记录进行监控，对于信用记录不良的客户，本公司会采用书面催款、缩短信用期或取消信用期等方</w:t>
      </w:r>
      <w:r>
        <w:rPr>
          <w:spacing w:val="43"/>
        </w:rPr>
        <w:t> </w:t>
      </w:r>
      <w:r>
        <w:rPr>
          <w:spacing w:val="43"/>
        </w:rPr>
      </w:r>
      <w:r>
        <w:rPr>
          <w:spacing w:val="-3"/>
        </w:rPr>
        <w:t>式，以确保本公司的整体信用风险在可控的范围内。</w:t>
      </w:r>
    </w:p>
    <w:p>
      <w:pPr>
        <w:pStyle w:val="BodyText"/>
        <w:spacing w:line="240" w:lineRule="auto" w:before="17"/>
        <w:ind w:left="662" w:right="0"/>
        <w:jc w:val="left"/>
      </w:pPr>
      <w:r>
        <w:rPr>
          <w:spacing w:val="-3"/>
        </w:rPr>
        <w:t>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日，本公司不存在已逾期未减值或已发生单项减值的金融资产。</w:t>
      </w:r>
    </w:p>
    <w:p>
      <w:pPr>
        <w:pStyle w:val="BodyText"/>
        <w:spacing w:line="300" w:lineRule="auto" w:before="63"/>
        <w:ind w:left="662" w:right="1026"/>
        <w:jc w:val="left"/>
      </w:pPr>
      <w:r>
        <w:rPr>
          <w:rFonts w:ascii="Times New Roman" w:hAnsi="Times New Roman" w:cs="Times New Roman" w:eastAsia="Times New Roman" w:hint="default"/>
        </w:rPr>
        <w:t>2.</w:t>
      </w:r>
      <w:r>
        <w:rPr/>
        <w:t>流动性风险</w:t>
      </w:r>
      <w:r>
        <w:rPr>
          <w:w w:val="101"/>
        </w:rPr>
        <w:t> </w:t>
      </w:r>
      <w:r>
        <w:rPr>
          <w:spacing w:val="-4"/>
        </w:rPr>
        <w:t>流动性风险，是指企业在履行以交付现金或其他金融资产的方式结算的义务时发生资金短缺的风险。本公司统筹负责</w:t>
      </w:r>
    </w:p>
    <w:p>
      <w:pPr>
        <w:pStyle w:val="BodyText"/>
        <w:spacing w:line="316" w:lineRule="auto" w:before="32"/>
        <w:ind w:right="0"/>
        <w:jc w:val="left"/>
      </w:pPr>
      <w:r>
        <w:rPr>
          <w:spacing w:val="-3"/>
        </w:rPr>
        <w:t>集团内各子公司的现金管理工作，包括现金盈余的短期投资和筹措贷款以应付预计现金需求。 本公司的政策是定期监控短</w:t>
      </w:r>
      <w:r>
        <w:rPr>
          <w:spacing w:val="-35"/>
        </w:rPr>
        <w:t> </w:t>
      </w:r>
      <w:r>
        <w:rPr>
          <w:spacing w:val="-35"/>
        </w:rPr>
      </w:r>
      <w:r>
        <w:rPr>
          <w:spacing w:val="-3"/>
        </w:rPr>
        <w:t>期和长期的流动资金需求，以及是否符合借款协议的规定，以确保维持充裕的现金储备和可供随时变现的有价证券。</w:t>
      </w:r>
    </w:p>
    <w:p>
      <w:pPr>
        <w:pStyle w:val="BodyText"/>
        <w:spacing w:line="240" w:lineRule="auto" w:before="19"/>
        <w:ind w:left="662" w:right="0"/>
        <w:jc w:val="left"/>
      </w:pPr>
      <w:r>
        <w:rPr>
          <w:rFonts w:ascii="Times New Roman" w:hAnsi="Times New Roman" w:cs="Times New Roman" w:eastAsia="Times New Roman" w:hint="default"/>
          <w:spacing w:val="-3"/>
        </w:rPr>
        <w:t>3.</w:t>
      </w:r>
      <w:r>
        <w:rPr>
          <w:spacing w:val="-3"/>
        </w:rPr>
        <w:t>市场风险</w:t>
      </w:r>
    </w:p>
    <w:p>
      <w:pPr>
        <w:pStyle w:val="BodyText"/>
        <w:spacing w:line="240" w:lineRule="auto" w:before="63"/>
        <w:ind w:right="8867"/>
        <w:jc w:val="center"/>
      </w:pPr>
      <w:r>
        <w:rPr>
          <w:spacing w:val="-3"/>
        </w:rPr>
        <w:t>（</w:t>
      </w:r>
      <w:r>
        <w:rPr>
          <w:rFonts w:ascii="Times New Roman" w:hAnsi="Times New Roman" w:cs="Times New Roman" w:eastAsia="Times New Roman" w:hint="default"/>
          <w:spacing w:val="-3"/>
        </w:rPr>
        <w:t>1</w:t>
      </w:r>
      <w:r>
        <w:rPr>
          <w:spacing w:val="-3"/>
        </w:rPr>
        <w:t>）外汇风险</w:t>
      </w:r>
    </w:p>
    <w:p>
      <w:pPr>
        <w:pStyle w:val="BodyText"/>
        <w:spacing w:line="319" w:lineRule="auto" w:before="63"/>
        <w:ind w:right="0" w:firstLine="508"/>
        <w:jc w:val="left"/>
      </w:pPr>
      <w:r>
        <w:rPr>
          <w:spacing w:val="-3"/>
        </w:rPr>
        <w:t>本公司的汇率风险主要来自本公司及下属子公司持有的不以其记账本位币计价的外币资产和负债。</w:t>
      </w:r>
      <w:r>
        <w:rPr>
          <w:spacing w:val="55"/>
        </w:rPr>
        <w:t> </w:t>
      </w:r>
      <w:r>
        <w:rPr>
          <w:spacing w:val="-3"/>
        </w:rPr>
        <w:t>本公司承受汇率</w:t>
      </w:r>
      <w:r>
        <w:rPr>
          <w:w w:val="101"/>
        </w:rPr>
        <w:t> </w:t>
      </w:r>
      <w:r>
        <w:rPr>
          <w:spacing w:val="-4"/>
        </w:rPr>
        <w:t>风险主要与以港币、美元、日元和新加坡币计价的货币资金、应付账款和应收账款有关，除本公司设立在香港特别行政区和</w:t>
      </w:r>
      <w:r>
        <w:rPr>
          <w:spacing w:val="40"/>
        </w:rPr>
        <w:t> </w:t>
      </w:r>
      <w:r>
        <w:rPr>
          <w:spacing w:val="40"/>
        </w:rPr>
      </w:r>
      <w:r>
        <w:rPr>
          <w:spacing w:val="-3"/>
        </w:rPr>
        <w:t>境外的下属子公司使用港币、美元、日元或新加坡币计价结算外，本公司的其他主要业务以人民币计价结算。</w:t>
      </w:r>
    </w:p>
    <w:p>
      <w:pPr>
        <w:pStyle w:val="BodyText"/>
        <w:spacing w:line="300" w:lineRule="auto" w:before="17"/>
        <w:ind w:right="0" w:firstLine="508"/>
        <w:jc w:val="left"/>
      </w:pPr>
      <w:r>
        <w:rPr>
          <w:spacing w:val="-4"/>
        </w:rPr>
        <w:t>①截止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日，本公司各外币资产负债项目的主要外汇风险敞口如下（出于列报考虑，风险敞口金额以人民</w:t>
      </w:r>
      <w:r>
        <w:rPr>
          <w:w w:val="101"/>
        </w:rPr>
        <w:t> </w:t>
      </w:r>
      <w:r>
        <w:rPr>
          <w:spacing w:val="-3"/>
        </w:rPr>
        <w:t>币列示，以资产负债表日即期汇率折算）：</w:t>
      </w:r>
    </w:p>
    <w:tbl>
      <w:tblPr>
        <w:tblW w:w="0" w:type="auto"/>
        <w:jc w:val="left"/>
        <w:tblInd w:w="143" w:type="dxa"/>
        <w:tblLayout w:type="fixed"/>
        <w:tblCellMar>
          <w:top w:w="0" w:type="dxa"/>
          <w:left w:w="0" w:type="dxa"/>
          <w:bottom w:w="0" w:type="dxa"/>
          <w:right w:w="0" w:type="dxa"/>
        </w:tblCellMar>
        <w:tblLook w:val="01E0"/>
      </w:tblPr>
      <w:tblGrid>
        <w:gridCol w:w="1527"/>
        <w:gridCol w:w="1421"/>
        <w:gridCol w:w="1561"/>
        <w:gridCol w:w="2266"/>
        <w:gridCol w:w="2087"/>
      </w:tblGrid>
      <w:tr>
        <w:trPr>
          <w:trHeight w:val="348" w:hRule="exact"/>
        </w:trPr>
        <w:tc>
          <w:tcPr>
            <w:tcW w:w="1527" w:type="dxa"/>
            <w:vMerge w:val="restart"/>
            <w:tcBorders>
              <w:top w:val="single" w:sz="6" w:space="0" w:color="000000"/>
              <w:left w:val="single" w:sz="6" w:space="0" w:color="000000"/>
              <w:right w:val="single" w:sz="6" w:space="0" w:color="000000"/>
            </w:tcBorders>
          </w:tcPr>
          <w:p>
            <w:pPr>
              <w:pStyle w:val="TableParagraph"/>
              <w:spacing w:line="270" w:lineRule="exact"/>
              <w:ind w:left="33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35" w:type="dxa"/>
            <w:gridSpan w:val="4"/>
            <w:tcBorders>
              <w:top w:val="single" w:sz="6"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6" w:hRule="exact"/>
        </w:trPr>
        <w:tc>
          <w:tcPr>
            <w:tcW w:w="1527" w:type="dxa"/>
            <w:vMerge/>
            <w:tcBorders>
              <w:left w:val="single" w:sz="6" w:space="0" w:color="000000"/>
              <w:right w:val="single" w:sz="6" w:space="0" w:color="000000"/>
            </w:tcBorders>
          </w:tcPr>
          <w:p>
            <w:pPr/>
          </w:p>
        </w:tc>
        <w:tc>
          <w:tcPr>
            <w:tcW w:w="2982" w:type="dxa"/>
            <w:gridSpan w:val="2"/>
            <w:tcBorders>
              <w:top w:val="single" w:sz="8" w:space="0" w:color="000000"/>
              <w:left w:val="single" w:sz="6" w:space="0" w:color="000000"/>
              <w:bottom w:val="single" w:sz="8"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353" w:type="dxa"/>
            <w:gridSpan w:val="2"/>
            <w:tcBorders>
              <w:top w:val="single" w:sz="8" w:space="0" w:color="000000"/>
              <w:left w:val="single" w:sz="6" w:space="0" w:color="000000"/>
              <w:bottom w:val="single" w:sz="8"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6" w:hRule="exact"/>
        </w:trPr>
        <w:tc>
          <w:tcPr>
            <w:tcW w:w="1527" w:type="dxa"/>
            <w:vMerge/>
            <w:tcBorders>
              <w:left w:val="single" w:sz="6" w:space="0" w:color="000000"/>
              <w:bottom w:val="single" w:sz="8" w:space="0" w:color="000000"/>
              <w:right w:val="single" w:sz="6" w:space="0" w:color="000000"/>
            </w:tcBorders>
          </w:tcPr>
          <w:p>
            <w:pP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50"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9,042,415.72</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62,059,907.57</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235,642,058.00</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14,583,180.04</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308,386.02</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2,116,514.93</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143,647,830.00</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8,889,933.26</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8,300.27</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56,966.41</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1,406,867.00</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1"/>
                <w:szCs w:val="21"/>
              </w:rPr>
            </w:pPr>
            <w:r>
              <w:rPr>
                <w:rFonts w:ascii="Times New Roman"/>
                <w:sz w:val="21"/>
              </w:rPr>
              <w:t>87,066.78</w:t>
            </w:r>
          </w:p>
        </w:tc>
      </w:tr>
      <w:tr>
        <w:trPr>
          <w:trHeight w:val="350"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360.00</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2,470.75</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11,109,641.95</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687,542.41</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57,073.52</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391,706.98</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2,314,419.00</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143,232.45</w:t>
            </w:r>
          </w:p>
        </w:tc>
      </w:tr>
      <w:tr>
        <w:trPr>
          <w:trHeight w:val="346"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9,416,535.53</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64,627,566.64</w:t>
            </w:r>
          </w:p>
        </w:tc>
        <w:tc>
          <w:tcPr>
            <w:tcW w:w="22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394,120,815.95</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24,390,954.94</w:t>
            </w:r>
          </w:p>
        </w:tc>
      </w:tr>
    </w:tbl>
    <w:p>
      <w:pPr>
        <w:pStyle w:val="BodyText"/>
        <w:spacing w:line="240" w:lineRule="auto" w:before="31"/>
        <w:ind w:left="662" w:right="0"/>
        <w:jc w:val="left"/>
      </w:pPr>
      <w:r>
        <w:rPr/>
        <w:t>（续上表）</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489"/>
        <w:gridCol w:w="1825"/>
        <w:gridCol w:w="1805"/>
        <w:gridCol w:w="1955"/>
        <w:gridCol w:w="1788"/>
      </w:tblGrid>
      <w:tr>
        <w:trPr>
          <w:trHeight w:val="348" w:hRule="exact"/>
        </w:trPr>
        <w:tc>
          <w:tcPr>
            <w:tcW w:w="1489" w:type="dxa"/>
            <w:vMerge w:val="restart"/>
            <w:tcBorders>
              <w:top w:val="single" w:sz="6" w:space="0" w:color="000000"/>
              <w:left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3" w:type="dxa"/>
            <w:gridSpan w:val="4"/>
            <w:tcBorders>
              <w:top w:val="single" w:sz="6"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489" w:type="dxa"/>
            <w:vMerge/>
            <w:tcBorders>
              <w:left w:val="single" w:sz="6" w:space="0" w:color="000000"/>
              <w:right w:val="single" w:sz="6" w:space="0" w:color="000000"/>
            </w:tcBorders>
          </w:tcPr>
          <w:p>
            <w:pPr/>
          </w:p>
        </w:tc>
        <w:tc>
          <w:tcPr>
            <w:tcW w:w="3630" w:type="dxa"/>
            <w:gridSpan w:val="2"/>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3743" w:type="dxa"/>
            <w:gridSpan w:val="2"/>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1489" w:type="dxa"/>
            <w:vMerge/>
            <w:tcBorders>
              <w:left w:val="single" w:sz="6" w:space="0" w:color="000000"/>
              <w:bottom w:val="single" w:sz="8" w:space="0" w:color="000000"/>
              <w:right w:val="single" w:sz="6" w:space="0" w:color="000000"/>
            </w:tcBorders>
          </w:tcPr>
          <w:p>
            <w:pP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58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575"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679,234.64</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3,400,384.45</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1,330.16</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1,165.49</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267,894.40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1,341,132.95</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0"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36,348.40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181,967.36</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360.99</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1,807.19</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5,832.86</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29,200.46</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317,797.74</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278,454.38</w:t>
            </w:r>
          </w:p>
        </w:tc>
      </w:tr>
      <w:tr>
        <w:trPr>
          <w:trHeight w:val="350"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989,671.29</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4,954,492.41</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319,127.90</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279,619.87</w:t>
            </w:r>
          </w:p>
        </w:tc>
      </w:tr>
    </w:tbl>
    <w:p>
      <w:pPr>
        <w:pStyle w:val="BodyText"/>
        <w:spacing w:line="240" w:lineRule="auto" w:before="10"/>
        <w:ind w:left="662" w:right="0"/>
        <w:jc w:val="left"/>
      </w:pPr>
      <w:r>
        <w:rPr/>
        <w:t>（续上表）</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489"/>
        <w:gridCol w:w="1825"/>
        <w:gridCol w:w="1805"/>
        <w:gridCol w:w="1955"/>
        <w:gridCol w:w="1788"/>
      </w:tblGrid>
      <w:tr>
        <w:trPr>
          <w:trHeight w:val="348" w:hRule="exact"/>
        </w:trPr>
        <w:tc>
          <w:tcPr>
            <w:tcW w:w="1489" w:type="dxa"/>
            <w:vMerge w:val="restart"/>
            <w:tcBorders>
              <w:top w:val="single" w:sz="6" w:space="0" w:color="000000"/>
              <w:left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3" w:type="dxa"/>
            <w:gridSpan w:val="4"/>
            <w:tcBorders>
              <w:top w:val="single" w:sz="6"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6" w:hRule="exact"/>
        </w:trPr>
        <w:tc>
          <w:tcPr>
            <w:tcW w:w="1489" w:type="dxa"/>
            <w:vMerge/>
            <w:tcBorders>
              <w:left w:val="single" w:sz="6" w:space="0" w:color="000000"/>
              <w:right w:val="single" w:sz="6" w:space="0" w:color="000000"/>
            </w:tcBorders>
          </w:tcPr>
          <w:p>
            <w:pPr/>
          </w:p>
        </w:tc>
        <w:tc>
          <w:tcPr>
            <w:tcW w:w="3630" w:type="dxa"/>
            <w:gridSpan w:val="2"/>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3743" w:type="dxa"/>
            <w:gridSpan w:val="2"/>
            <w:tcBorders>
              <w:top w:val="single" w:sz="8" w:space="0" w:color="000000"/>
              <w:left w:val="single" w:sz="6" w:space="0" w:color="000000"/>
              <w:bottom w:val="single" w:sz="8"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51" w:hRule="exact"/>
        </w:trPr>
        <w:tc>
          <w:tcPr>
            <w:tcW w:w="1489" w:type="dxa"/>
            <w:vMerge/>
            <w:tcBorders>
              <w:left w:val="single" w:sz="6" w:space="0" w:color="000000"/>
              <w:bottom w:val="single" w:sz="8" w:space="0" w:color="000000"/>
              <w:right w:val="single" w:sz="6" w:space="0" w:color="000000"/>
            </w:tcBorders>
          </w:tcPr>
          <w:p>
            <w:pP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8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575"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31,614,615.83</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206,576,222.75</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502,361,299.24</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29,076,672.00</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694,433.77</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4,537,569.14</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48,220,885.97</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2,791,024.88</w:t>
            </w:r>
          </w:p>
        </w:tc>
      </w:tr>
      <w:tr>
        <w:trPr>
          <w:trHeight w:val="350"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8,000.00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52,273.60</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1,208,298.55</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69,936.32</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16,355,956.63</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946,682.77</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65,545.98</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428,290.54</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1,802,825.50</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104,347.54</w:t>
            </w:r>
          </w:p>
        </w:tc>
      </w:tr>
      <w:tr>
        <w:trPr>
          <w:trHeight w:val="350"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32,382,595.58</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211,594,356.03</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569,949,265.89</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32,988,663.51</w:t>
            </w:r>
          </w:p>
        </w:tc>
      </w:tr>
    </w:tbl>
    <w:p>
      <w:pPr>
        <w:pStyle w:val="BodyText"/>
        <w:spacing w:line="240" w:lineRule="auto" w:before="10"/>
        <w:ind w:left="662" w:right="0"/>
        <w:jc w:val="left"/>
      </w:pPr>
      <w:r>
        <w:rPr/>
        <w:t>（续上表）</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489"/>
        <w:gridCol w:w="1825"/>
        <w:gridCol w:w="1805"/>
        <w:gridCol w:w="1955"/>
        <w:gridCol w:w="1788"/>
      </w:tblGrid>
      <w:tr>
        <w:trPr>
          <w:trHeight w:val="348" w:hRule="exact"/>
        </w:trPr>
        <w:tc>
          <w:tcPr>
            <w:tcW w:w="1489" w:type="dxa"/>
            <w:vMerge w:val="restart"/>
            <w:tcBorders>
              <w:top w:val="single" w:sz="6" w:space="0" w:color="000000"/>
              <w:left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3" w:type="dxa"/>
            <w:gridSpan w:val="4"/>
            <w:tcBorders>
              <w:top w:val="single" w:sz="6"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6" w:hRule="exact"/>
        </w:trPr>
        <w:tc>
          <w:tcPr>
            <w:tcW w:w="1489" w:type="dxa"/>
            <w:vMerge/>
            <w:tcBorders>
              <w:left w:val="single" w:sz="6" w:space="0" w:color="000000"/>
              <w:right w:val="single" w:sz="6" w:space="0" w:color="000000"/>
            </w:tcBorders>
          </w:tcPr>
          <w:p>
            <w:pPr/>
          </w:p>
        </w:tc>
        <w:tc>
          <w:tcPr>
            <w:tcW w:w="3630" w:type="dxa"/>
            <w:gridSpan w:val="2"/>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3743" w:type="dxa"/>
            <w:gridSpan w:val="2"/>
            <w:tcBorders>
              <w:top w:val="single" w:sz="8" w:space="0" w:color="000000"/>
              <w:left w:val="single" w:sz="6" w:space="0" w:color="000000"/>
              <w:bottom w:val="single" w:sz="8"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1489" w:type="dxa"/>
            <w:vMerge/>
            <w:tcBorders>
              <w:left w:val="single" w:sz="6" w:space="0" w:color="000000"/>
              <w:bottom w:val="single" w:sz="8" w:space="0" w:color="000000"/>
              <w:right w:val="single" w:sz="6" w:space="0" w:color="000000"/>
            </w:tcBorders>
          </w:tcPr>
          <w:p>
            <w:pP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58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575"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50"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5,163,083.43</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25,211,852.69</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6,238,777.83</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5,214,994.39</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148,367.07</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724,491.24</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859,845.90</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718,745.19</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39,348.40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192,142.17</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51"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2,203.13</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10,758.10</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9,045.00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44,167.64</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5,362,047.03</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26,183,411.84</w:t>
            </w:r>
          </w:p>
        </w:tc>
        <w:tc>
          <w:tcPr>
            <w:tcW w:w="19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7,098,623.73</w:t>
            </w:r>
          </w:p>
        </w:tc>
        <w:tc>
          <w:tcPr>
            <w:tcW w:w="17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5,933,739.58</w:t>
            </w:r>
          </w:p>
        </w:tc>
      </w:tr>
    </w:tbl>
    <w:p>
      <w:pPr>
        <w:pStyle w:val="BodyText"/>
        <w:spacing w:line="316" w:lineRule="auto" w:before="10"/>
        <w:ind w:left="662" w:right="1026"/>
        <w:jc w:val="left"/>
      </w:pPr>
      <w:r>
        <w:rPr>
          <w:spacing w:val="-3"/>
        </w:rPr>
        <w:t>②敏感性分析</w:t>
      </w:r>
      <w:r>
        <w:rPr>
          <w:spacing w:val="-73"/>
        </w:rPr>
        <w:t> </w:t>
      </w:r>
      <w:r>
        <w:rPr>
          <w:spacing w:val="-73"/>
        </w:rPr>
      </w:r>
      <w:r>
        <w:rPr>
          <w:spacing w:val="-4"/>
        </w:rPr>
        <w:t>本公司面临的汇率风险主要来源于以美元计价的金融资产和金融负债。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日，在其他风险变量不变的情况</w:t>
      </w:r>
    </w:p>
    <w:p>
      <w:pPr>
        <w:pStyle w:val="BodyText"/>
        <w:spacing w:line="300" w:lineRule="auto"/>
        <w:ind w:right="0"/>
        <w:jc w:val="left"/>
      </w:pPr>
      <w:r>
        <w:rPr>
          <w:spacing w:val="-3"/>
        </w:rPr>
        <w:t>下，如果当日人民币对于美元贬值</w:t>
      </w:r>
      <w:r>
        <w:rPr>
          <w:rFonts w:ascii="Times New Roman" w:hAnsi="Times New Roman" w:cs="Times New Roman" w:eastAsia="Times New Roman" w:hint="default"/>
          <w:spacing w:val="-3"/>
        </w:rPr>
        <w:t>100</w:t>
      </w:r>
      <w:r>
        <w:rPr>
          <w:spacing w:val="-3"/>
        </w:rPr>
        <w:t>基点（即：</w:t>
      </w:r>
      <w:r>
        <w:rPr>
          <w:rFonts w:ascii="Times New Roman" w:hAnsi="Times New Roman" w:cs="Times New Roman" w:eastAsia="Times New Roman" w:hint="default"/>
          <w:spacing w:val="-3"/>
        </w:rPr>
        <w:t>1%</w:t>
      </w:r>
      <w:r>
        <w:rPr>
          <w:spacing w:val="-3"/>
        </w:rPr>
        <w:t>），那么本公司当年的利润总额将减少</w:t>
      </w:r>
      <w:r>
        <w:rPr>
          <w:rFonts w:ascii="Times New Roman" w:hAnsi="Times New Roman" w:cs="Times New Roman" w:eastAsia="Times New Roman" w:hint="default"/>
          <w:spacing w:val="-3"/>
        </w:rPr>
        <w:t>63.84</w:t>
      </w:r>
      <w:r>
        <w:rPr>
          <w:spacing w:val="-3"/>
        </w:rPr>
        <w:t>万元。相反，在其他风险</w:t>
      </w:r>
      <w:r>
        <w:rPr>
          <w:spacing w:val="79"/>
        </w:rPr>
        <w:t> </w:t>
      </w:r>
      <w:r>
        <w:rPr>
          <w:spacing w:val="79"/>
        </w:rPr>
      </w:r>
      <w:r>
        <w:rPr>
          <w:spacing w:val="-3"/>
        </w:rPr>
        <w:t>变量不变的情况下，如果当日人民币对于美元升值</w:t>
      </w:r>
      <w:r>
        <w:rPr>
          <w:rFonts w:ascii="Times New Roman" w:hAnsi="Times New Roman" w:cs="Times New Roman" w:eastAsia="Times New Roman" w:hint="default"/>
          <w:spacing w:val="-3"/>
        </w:rPr>
        <w:t>100</w:t>
      </w:r>
      <w:r>
        <w:rPr>
          <w:spacing w:val="-3"/>
        </w:rPr>
        <w:t>基点（即：</w:t>
      </w:r>
      <w:r>
        <w:rPr>
          <w:rFonts w:ascii="Times New Roman" w:hAnsi="Times New Roman" w:cs="Times New Roman" w:eastAsia="Times New Roman" w:hint="default"/>
          <w:spacing w:val="-3"/>
        </w:rPr>
        <w:t>1%</w:t>
      </w:r>
      <w:r>
        <w:rPr>
          <w:spacing w:val="-3"/>
        </w:rPr>
        <w:t>），那么本公司当年的利润总额将增加</w:t>
      </w:r>
      <w:r>
        <w:rPr>
          <w:rFonts w:ascii="Times New Roman" w:hAnsi="Times New Roman" w:cs="Times New Roman" w:eastAsia="Times New Roman" w:hint="default"/>
          <w:spacing w:val="-3"/>
        </w:rPr>
        <w:t>63.84</w:t>
      </w:r>
      <w:r>
        <w:rPr>
          <w:spacing w:val="-3"/>
        </w:rPr>
        <w:t>万元。</w:t>
      </w:r>
    </w:p>
    <w:p>
      <w:pPr>
        <w:pStyle w:val="BodyText"/>
        <w:spacing w:line="300" w:lineRule="auto" w:before="13"/>
        <w:ind w:left="662" w:right="1026" w:hanging="144"/>
        <w:jc w:val="left"/>
      </w:pPr>
      <w:r>
        <w:rPr>
          <w:spacing w:val="-3"/>
        </w:rPr>
        <w:t>（</w:t>
      </w:r>
      <w:r>
        <w:rPr>
          <w:rFonts w:ascii="Times New Roman" w:hAnsi="Times New Roman" w:cs="Times New Roman" w:eastAsia="Times New Roman" w:hint="default"/>
          <w:spacing w:val="-3"/>
        </w:rPr>
        <w:t>2</w:t>
      </w:r>
      <w:r>
        <w:rPr>
          <w:spacing w:val="-3"/>
        </w:rPr>
        <w:t>）利率风险</w:t>
      </w:r>
      <w:r>
        <w:rPr>
          <w:spacing w:val="-69"/>
        </w:rPr>
        <w:t> </w:t>
      </w:r>
      <w:r>
        <w:rPr>
          <w:spacing w:val="-69"/>
        </w:rPr>
      </w:r>
      <w:r>
        <w:rPr>
          <w:spacing w:val="-3"/>
        </w:rPr>
        <w:t>本公司的利率风险主要产生于长期银行借款等长期带息债务。浮动利率的金融负债使本公司面临现金流量利率风险，</w:t>
      </w:r>
    </w:p>
    <w:p>
      <w:pPr>
        <w:pStyle w:val="BodyText"/>
        <w:spacing w:line="319" w:lineRule="auto" w:before="31"/>
        <w:ind w:right="1117"/>
        <w:jc w:val="left"/>
      </w:pPr>
      <w:r>
        <w:rPr>
          <w:spacing w:val="-4"/>
          <w:w w:val="101"/>
        </w:rPr>
        <w:t>固定利率的金融负债使本公司面临公允价值利率风险。本公司根据当时的市场环境来决定固定利率及浮动利率合同的相对比</w:t>
      </w:r>
      <w:r>
        <w:rPr>
          <w:w w:val="101"/>
        </w:rPr>
        <w:t> </w:t>
      </w:r>
      <w:r>
        <w:rPr/>
        <w:t>例。</w:t>
      </w:r>
    </w:p>
    <w:p>
      <w:pPr>
        <w:pStyle w:val="BodyText"/>
        <w:spacing w:line="316" w:lineRule="auto" w:before="17"/>
        <w:ind w:right="0" w:firstLine="508"/>
        <w:jc w:val="left"/>
      </w:pPr>
      <w:r>
        <w:rPr>
          <w:spacing w:val="-4"/>
        </w:rPr>
        <w:t>本公司总部财务部门持续监控集团利率水平。利率上升会增加新增带息债务的成本以及本公司尚未付清的以浮动利率</w:t>
      </w:r>
      <w:r>
        <w:rPr>
          <w:w w:val="101"/>
        </w:rPr>
        <w:t> </w:t>
      </w:r>
      <w:r>
        <w:rPr>
          <w:spacing w:val="-3"/>
        </w:rPr>
        <w:t>计息的带息债务的利息支出，并对本公司的财务业绩产生重大的不利影响，管理层会依据最新的市场状况及时做出调整。</w:t>
      </w:r>
    </w:p>
    <w:p>
      <w:pPr>
        <w:spacing w:after="0" w:line="316"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1"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4" w:lineRule="auto" w:before="0"/>
        <w:ind w:left="153" w:right="81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5"/>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江苏润和科技投资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集团有限公司（以下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17.54%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17.54%</w:t>
            </w:r>
          </w:p>
        </w:tc>
      </w:tr>
    </w:tbl>
    <w:p>
      <w:pPr>
        <w:pStyle w:val="BodyText"/>
        <w:spacing w:line="352" w:lineRule="auto" w:before="54"/>
        <w:ind w:left="662" w:right="0" w:hanging="509"/>
        <w:jc w:val="left"/>
        <w:rPr>
          <w:rFonts w:ascii="Times New Roman" w:hAnsi="Times New Roman" w:cs="Times New Roman" w:eastAsia="Times New Roman" w:hint="default"/>
        </w:rPr>
      </w:pPr>
      <w:r>
        <w:rPr>
          <w:spacing w:val="-3"/>
        </w:rPr>
        <w:t>本企业的母公司情况的说明</w:t>
      </w:r>
      <w:r>
        <w:rPr>
          <w:spacing w:val="-51"/>
        </w:rPr>
        <w:t> </w:t>
      </w:r>
      <w:r>
        <w:rPr>
          <w:spacing w:val="-51"/>
        </w:rPr>
      </w:r>
      <w:r>
        <w:rPr>
          <w:spacing w:val="-4"/>
        </w:rPr>
        <w:t>本公司最终控制方为自然人周红卫、姚宁，截止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日，周红卫、姚宁分别直接持有润和软件</w:t>
      </w:r>
      <w:r>
        <w:rPr>
          <w:rFonts w:ascii="Times New Roman" w:hAnsi="Times New Roman" w:cs="Times New Roman" w:eastAsia="Times New Roman" w:hint="default"/>
          <w:spacing w:val="-4"/>
        </w:rPr>
        <w:t>5.56%</w:t>
      </w:r>
      <w:r>
        <w:rPr>
          <w:spacing w:val="-4"/>
        </w:rPr>
        <w:t>、</w:t>
      </w:r>
      <w:r>
        <w:rPr>
          <w:rFonts w:ascii="Times New Roman" w:hAnsi="Times New Roman" w:cs="Times New Roman" w:eastAsia="Times New Roman" w:hint="default"/>
          <w:spacing w:val="-4"/>
        </w:rPr>
        <w:t>2.63%</w:t>
      </w:r>
    </w:p>
    <w:p>
      <w:pPr>
        <w:pStyle w:val="BodyText"/>
        <w:spacing w:line="218" w:lineRule="exact"/>
        <w:ind w:right="0"/>
        <w:jc w:val="left"/>
      </w:pPr>
      <w:r>
        <w:rPr>
          <w:spacing w:val="-3"/>
        </w:rPr>
        <w:t>的股权，并通过共同控制润和投资，合计持有公司</w:t>
      </w:r>
      <w:r>
        <w:rPr>
          <w:rFonts w:ascii="Times New Roman" w:hAnsi="Times New Roman" w:cs="Times New Roman" w:eastAsia="Times New Roman" w:hint="default"/>
          <w:spacing w:val="-3"/>
        </w:rPr>
        <w:t>25.72%</w:t>
      </w:r>
      <w:r>
        <w:rPr>
          <w:spacing w:val="-3"/>
        </w:rPr>
        <w:t>的表决权股份。</w:t>
      </w:r>
    </w:p>
    <w:p>
      <w:pPr>
        <w:pStyle w:val="BodyText"/>
        <w:spacing w:line="362" w:lineRule="auto" w:before="106"/>
        <w:ind w:right="7602"/>
        <w:jc w:val="left"/>
      </w:pPr>
      <w:r>
        <w:rPr>
          <w:spacing w:val="-3"/>
        </w:rPr>
        <w:t>本企业最终控制方是周红卫、姚宁。</w:t>
      </w:r>
      <w:r>
        <w:rPr>
          <w:spacing w:val="-39"/>
        </w:rPr>
        <w:t> </w:t>
      </w:r>
      <w:r>
        <w:rPr>
          <w:spacing w:val="-39"/>
        </w:rPr>
      </w:r>
      <w:r>
        <w:rPr/>
        <w:t>其他说明：</w:t>
      </w:r>
    </w:p>
    <w:p>
      <w:pPr>
        <w:spacing w:after="0" w:line="362"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本企业子公司的情况详见附注九、在其他主体中的权益。</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0"/>
        <w:jc w:val="left"/>
      </w:pPr>
      <w:r>
        <w:rPr>
          <w:spacing w:val="-3"/>
        </w:rPr>
        <w:t>本企业重要的合营或联营企业详见附注九、在其他主体中的权益。</w:t>
      </w:r>
      <w:r>
        <w:rPr>
          <w:spacing w:val="-4"/>
        </w:rPr>
        <w:t> </w:t>
      </w:r>
      <w:r>
        <w:rPr>
          <w:spacing w:val="-4"/>
        </w:rPr>
      </w:r>
      <w:r>
        <w:rPr>
          <w:spacing w:val="-3"/>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70"/>
        <w:ind w:right="0"/>
        <w:jc w:val="left"/>
      </w:pPr>
      <w:r>
        <w:rPr/>
        <w:t>其他说明</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南京澜和电子商务有限公司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南京淳泰投资管理有限公司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江苏润和南京软件外包园置业有限公司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南京泉创信息科技有限公司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江苏慧通教育产业投资有限公司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南京慧通婴幼儿保育有限公司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南京菁英汇酒店管理有限公司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Cloud 4 device technology</w:t>
            </w:r>
            <w:r>
              <w:rPr>
                <w:rFonts w:ascii="Times New Roman"/>
                <w:spacing w:val="-14"/>
                <w:sz w:val="18"/>
              </w:rPr>
              <w:t> </w:t>
            </w:r>
            <w:r>
              <w:rPr>
                <w:rFonts w:ascii="Times New Roman"/>
                <w:sz w:val="18"/>
              </w:rPr>
              <w:t>Corp.</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江苏润和文化产业发展有限公司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江苏润联信息技术有限公司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上海润舸投资管理有限公司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南京润林网络科技有限公司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上海润宁信息科技有限公司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南京泉创信息科技有限公司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控股股东控制的公司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南京市润企科技小额贷款有限公司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控股股东参股的公司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江苏众享金联科技有限公司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控股股东参股的公司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江苏红土软件创业投资有限公司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周红卫担任董事的公司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南京格致基因生物科技有限公司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周红卫、姚宁投资的公司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江苏鑫合易家信息技术有限责任公司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宁波宏创股权投资合伙企业（有限合伙）</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以上股份的法人</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宁波宏创的实际控制人</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过去十二个月内持有上市公司</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以上股份的自然人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上海云鑫创业投资有限公司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浙江蚂蚁小微金融服务集团股份有限公司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上海云鑫创业投资有限公司的母公司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重庆市蚂蚁商诚小额贷款有限公司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浙江蚂蚁小微金融服务集团股份有限公司的子公司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重庆市蚂蚁小微小额贷款有限公司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浙江蚂蚁小微金融服务集团股份有限公司的子公司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浙江网商银行股份有限公司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浙江蚂蚁小微金融服务集团股份有限公司控制的公司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北京捷安密科技有限公司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王杰控制的公司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隆正信息科技有限公司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王杰控制的公司</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09"/>
        <w:gridCol w:w="1710"/>
      </w:tblGrid>
      <w:tr>
        <w:trPr>
          <w:trHeight w:val="398"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江苏开拓信息与系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6,077,920.65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8,898,276.62</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隆正信息科技有限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2,464,150.57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江苏众享金联科技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698,275.89</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苏州博纳讯动软件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139,150.94</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3,882,019.06</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9,379,498.05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12,780,295.68</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浙江网商银行股份有限公司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2,163,433.74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重庆市蚂蚁商诚小额贷款有限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796,159.09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重庆市蚂蚁小微小额贷款有限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511,701.22</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90,086.77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563,070.08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南京菁英汇酒店管理有限公司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80,637.67</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9,129.31</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3,346.23</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170,101.52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3,654,494.03</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733,171.60</w:t>
            </w:r>
          </w:p>
        </w:tc>
      </w:tr>
    </w:tbl>
    <w:p>
      <w:pPr>
        <w:pStyle w:val="BodyText"/>
        <w:spacing w:line="240" w:lineRule="auto" w:before="53"/>
        <w:ind w:right="0"/>
        <w:jc w:val="left"/>
      </w:pPr>
      <w:r>
        <w:rPr>
          <w:spacing w:val="-3"/>
        </w:rPr>
        <w:t>购销商品、提供和接受劳务的关联交易说明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0" w:right="17"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5"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4" w:lineRule="auto"/>
        <w:jc w:val="left"/>
        <w:rPr>
          <w:rFonts w:ascii="宋体" w:hAnsi="宋体" w:cs="宋体" w:eastAsia="宋体" w:hint="default"/>
          <w:sz w:val="18"/>
          <w:szCs w:val="18"/>
        </w:rPr>
        <w:sectPr>
          <w:pgSz w:w="11910" w:h="16840"/>
          <w:pgMar w:header="741" w:footer="979" w:top="1060" w:bottom="1160" w:left="980" w:right="0"/>
        </w:sectPr>
      </w:pPr>
    </w:p>
    <w:p>
      <w:pPr>
        <w:pStyle w:val="BodyText"/>
        <w:spacing w:line="343" w:lineRule="auto" w:before="53"/>
        <w:ind w:right="0"/>
        <w:jc w:val="left"/>
      </w:pPr>
      <w:r>
        <w:rPr>
          <w:spacing w:val="-3"/>
        </w:rPr>
        <w:t>关联托管</w:t>
      </w:r>
      <w:r>
        <w:rPr>
          <w:rFonts w:ascii="Times New Roman" w:hAnsi="Times New Roman" w:cs="Times New Roman" w:eastAsia="Times New Roman" w:hint="default"/>
          <w:spacing w:val="-3"/>
        </w:rPr>
        <w:t>/</w:t>
      </w:r>
      <w:r>
        <w:rPr>
          <w:spacing w:val="-3"/>
        </w:rPr>
        <w:t>承包情况说明</w:t>
      </w:r>
      <w:r>
        <w:rPr>
          <w:spacing w:val="-56"/>
        </w:rPr>
        <w:t> </w:t>
      </w:r>
      <w:r>
        <w:rPr>
          <w:spacing w:val="-56"/>
        </w:rPr>
      </w:r>
      <w:r>
        <w:rPr>
          <w:spacing w:val="-2"/>
        </w:rPr>
        <w:t>本公司委托管理</w:t>
      </w:r>
      <w:r>
        <w:rPr>
          <w:rFonts w:ascii="Times New Roman" w:hAnsi="Times New Roman" w:cs="Times New Roman" w:eastAsia="Times New Roman" w:hint="default"/>
          <w:spacing w:val="-2"/>
        </w:rPr>
        <w:t>/</w:t>
      </w:r>
      <w:r>
        <w:rPr>
          <w:spacing w:val="-2"/>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550" w:space="6281"/>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407" w:right="17" w:hanging="384"/>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92" w:right="46" w:hanging="245"/>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3"/>
        <w:ind w:right="0"/>
        <w:jc w:val="left"/>
      </w:pPr>
      <w:r>
        <w:rPr>
          <w:spacing w:val="-3"/>
        </w:rPr>
        <w:t>关联管理</w:t>
      </w:r>
      <w:r>
        <w:rPr>
          <w:rFonts w:ascii="Times New Roman" w:hAnsi="Times New Roman" w:cs="Times New Roman" w:eastAsia="Times New Roman" w:hint="default"/>
          <w:spacing w:val="-3"/>
        </w:rPr>
        <w:t>/</w:t>
      </w:r>
      <w:r>
        <w:rPr>
          <w:spacing w:val="-3"/>
        </w:rPr>
        <w:t>出包情况说明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spacing w:val="-3"/>
        </w:rPr>
        <w:t>本公司作为出租方：</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1,832,665.32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1,795,483.76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江苏慧通教育产业投资有限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1,434,020.53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1,790,385.00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187,372.28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182,779.03</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150,352.32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南京市润企科技小额贷款有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148,499.61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176,066.43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3,752,910.06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3,944,714.22</w:t>
            </w:r>
          </w:p>
        </w:tc>
      </w:tr>
    </w:tbl>
    <w:p>
      <w:pPr>
        <w:pStyle w:val="BodyText"/>
        <w:spacing w:line="240" w:lineRule="auto" w:before="53"/>
        <w:ind w:right="0"/>
        <w:jc w:val="left"/>
      </w:pPr>
      <w:r>
        <w:rPr>
          <w:spacing w:val="-3"/>
        </w:rPr>
        <w:t>本公司作为承租方：</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关联租赁情况说明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本公司作为担保方</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北京捷科智诚科技有限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北京联创智融信息科技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江苏润和南京外包园投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本公司作为被担保方</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有限公司、周红卫、姚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周红卫、江苏润和科技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投资集团有限公司、姚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t>关联担保情况说明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8"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4,430,900.00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6,100,000.00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0" w:firstLine="508"/>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6</w:t>
      </w:r>
      <w:r>
        <w:rPr>
          <w:spacing w:val="-5"/>
        </w:rPr>
        <w:t>日，公司与新维数联（北京）科技有限公司现有股东王杰、王勇、单军、梅景志、王思国、付勇、丁亚雄、</w:t>
      </w:r>
      <w:r>
        <w:rPr>
          <w:w w:val="101"/>
        </w:rPr>
        <w:t> </w:t>
      </w:r>
      <w:r>
        <w:rPr>
          <w:spacing w:val="-4"/>
        </w:rPr>
        <w:t>罗志雄、北京双维众联科技中心（有限合伙）签署了《关于新维数联（北京）科技有限公司之增资协议》，公司拟以自有资</w:t>
      </w:r>
      <w:r>
        <w:rPr>
          <w:spacing w:val="40"/>
        </w:rPr>
        <w:t> </w:t>
      </w:r>
      <w:r>
        <w:rPr>
          <w:spacing w:val="40"/>
        </w:rPr>
      </w:r>
      <w:r>
        <w:rPr>
          <w:spacing w:val="-3"/>
        </w:rPr>
        <w:t>金共计</w:t>
      </w:r>
      <w:r>
        <w:rPr>
          <w:rFonts w:ascii="Times New Roman" w:hAnsi="Times New Roman" w:cs="Times New Roman" w:eastAsia="Times New Roman" w:hint="default"/>
          <w:spacing w:val="-3"/>
        </w:rPr>
        <w:t>3,000</w:t>
      </w:r>
      <w:r>
        <w:rPr>
          <w:spacing w:val="-3"/>
        </w:rPr>
        <w:t>万元人民币向新维数联（北京）科技有限公司（以下简称</w:t>
      </w:r>
      <w:r>
        <w:rPr>
          <w:rFonts w:ascii="Times New Roman" w:hAnsi="Times New Roman" w:cs="Times New Roman" w:eastAsia="Times New Roman" w:hint="default"/>
          <w:spacing w:val="-3"/>
        </w:rPr>
        <w:t>“</w:t>
      </w:r>
      <w:r>
        <w:rPr>
          <w:spacing w:val="-3"/>
        </w:rPr>
        <w:t>新维数联</w:t>
      </w:r>
      <w:r>
        <w:rPr>
          <w:rFonts w:ascii="Times New Roman" w:hAnsi="Times New Roman" w:cs="Times New Roman" w:eastAsia="Times New Roman" w:hint="default"/>
          <w:spacing w:val="-3"/>
        </w:rPr>
        <w:t>”</w:t>
      </w:r>
      <w:r>
        <w:rPr>
          <w:spacing w:val="-3"/>
        </w:rPr>
        <w:t>）增资。本次增资完成后，公司将持有新</w:t>
      </w:r>
      <w:r>
        <w:rPr>
          <w:spacing w:val="79"/>
        </w:rPr>
        <w:t> </w:t>
      </w:r>
      <w:r>
        <w:rPr>
          <w:spacing w:val="79"/>
        </w:rPr>
      </w:r>
      <w:r>
        <w:rPr/>
        <w:t>维数联</w:t>
      </w:r>
      <w:r>
        <w:rPr>
          <w:rFonts w:ascii="Times New Roman" w:hAnsi="Times New Roman" w:cs="Times New Roman" w:eastAsia="Times New Roman" w:hint="default"/>
        </w:rPr>
        <w:t>30%</w:t>
      </w:r>
      <w:r>
        <w:rPr/>
        <w:t>的股权。</w:t>
      </w:r>
    </w:p>
    <w:p>
      <w:pPr>
        <w:pStyle w:val="BodyText"/>
        <w:spacing w:line="300" w:lineRule="auto" w:before="7"/>
        <w:ind w:right="1123" w:firstLine="508"/>
        <w:jc w:val="both"/>
      </w:pPr>
      <w:r>
        <w:rPr>
          <w:spacing w:val="-4"/>
        </w:rPr>
        <w:t>本次交易的交易对方之一王杰，原持有新维数联</w:t>
      </w:r>
      <w:r>
        <w:rPr>
          <w:rFonts w:ascii="Times New Roman" w:hAnsi="Times New Roman" w:cs="Times New Roman" w:eastAsia="Times New Roman" w:hint="default"/>
          <w:spacing w:val="-4"/>
        </w:rPr>
        <w:t>52.79%</w:t>
      </w:r>
      <w:r>
        <w:rPr>
          <w:spacing w:val="-4"/>
        </w:rPr>
        <w:t>的股权，为新维数联的法定代表人及执行董事。王杰在过去十</w:t>
      </w:r>
      <w:r>
        <w:rPr>
          <w:w w:val="101"/>
        </w:rPr>
        <w:t> </w:t>
      </w:r>
      <w:r>
        <w:rPr>
          <w:spacing w:val="-3"/>
        </w:rPr>
        <w:t>二个月内，曾经直接持有润和软件</w:t>
      </w:r>
      <w:r>
        <w:rPr>
          <w:rFonts w:ascii="Times New Roman" w:hAnsi="Times New Roman" w:cs="Times New Roman" w:eastAsia="Times New Roman" w:hint="default"/>
          <w:spacing w:val="-3"/>
        </w:rPr>
        <w:t>5%</w:t>
      </w:r>
      <w:r>
        <w:rPr>
          <w:spacing w:val="-3"/>
        </w:rPr>
        <w:t>以上股份，根据《深圳证券交易所创业板股票上市规则》和《公司章程》的规定，王</w:t>
      </w:r>
      <w:r>
        <w:rPr>
          <w:spacing w:val="65"/>
        </w:rPr>
        <w:t> </w:t>
      </w:r>
      <w:r>
        <w:rPr>
          <w:spacing w:val="65"/>
        </w:rPr>
      </w:r>
      <w:r>
        <w:rPr>
          <w:spacing w:val="-3"/>
        </w:rPr>
        <w:t>杰视同为公司的关联方，本次交易构成关联交易。</w:t>
      </w:r>
    </w:p>
    <w:p>
      <w:pPr>
        <w:spacing w:after="0" w:line="300"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江苏开拓信息与系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62,096.87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6,209.69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苏州博纳讯动软件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89,147.00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4,457.35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江苏开拓信息与系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北京捷安密科技有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隆正信息科技有限公司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1,031,778.61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443,457.27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3,049,585.75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366,741.75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1,451,975.59</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94,079.04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59,952.73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江苏润和科技投资集团有限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27,532.73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南京慧通婴幼儿保育有限公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27,021.56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南京市润企科技小额贷款有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2,769.69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152,823.96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江苏开拓信息与系统有限公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327,791.00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326,803.30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奥特酷智能科技（南京）有限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59,848.28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苏州博纳讯动软件有限公司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0" w:firstLine="508"/>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6</w:t>
      </w:r>
      <w:r>
        <w:rPr>
          <w:spacing w:val="-5"/>
        </w:rPr>
        <w:t>日，公司与新维数联（北京）科技有限公司现有股东王杰、王勇、单军、梅景志、王思国、付勇、丁亚雄、</w:t>
      </w:r>
      <w:r>
        <w:rPr>
          <w:w w:val="101"/>
        </w:rPr>
        <w:t> </w:t>
      </w:r>
      <w:r>
        <w:rPr>
          <w:spacing w:val="-4"/>
        </w:rPr>
        <w:t>罗志雄、北京双维众联科技中心（有限合伙）签署了《关于新维数联（北京）科技有限公司之增资协议》，公司拟以自有资</w:t>
      </w:r>
      <w:r>
        <w:rPr>
          <w:spacing w:val="41"/>
        </w:rPr>
        <w:t> </w:t>
      </w:r>
      <w:r>
        <w:rPr>
          <w:spacing w:val="41"/>
        </w:rPr>
      </w:r>
      <w:r>
        <w:rPr>
          <w:spacing w:val="-4"/>
        </w:rPr>
        <w:t>金共计</w:t>
      </w:r>
      <w:r>
        <w:rPr>
          <w:rFonts w:ascii="Times New Roman" w:hAnsi="Times New Roman" w:cs="Times New Roman" w:eastAsia="Times New Roman" w:hint="default"/>
          <w:spacing w:val="-4"/>
        </w:rPr>
        <w:t>3,000</w:t>
      </w:r>
      <w:r>
        <w:rPr>
          <w:spacing w:val="-4"/>
        </w:rPr>
        <w:t>万元人民币向新维数联（北京）科技有限公司（以下简称</w:t>
      </w:r>
      <w:r>
        <w:rPr>
          <w:rFonts w:ascii="Times New Roman" w:hAnsi="Times New Roman" w:cs="Times New Roman" w:eastAsia="Times New Roman" w:hint="default"/>
          <w:spacing w:val="-4"/>
        </w:rPr>
        <w:t>“</w:t>
      </w:r>
      <w:r>
        <w:rPr>
          <w:spacing w:val="-4"/>
        </w:rPr>
        <w:t>新维数联</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标的公司</w:t>
      </w:r>
      <w:r>
        <w:rPr>
          <w:rFonts w:ascii="Times New Roman" w:hAnsi="Times New Roman" w:cs="Times New Roman" w:eastAsia="Times New Roman" w:hint="default"/>
          <w:spacing w:val="-4"/>
        </w:rPr>
        <w:t>”</w:t>
      </w:r>
      <w:r>
        <w:rPr>
          <w:spacing w:val="-4"/>
        </w:rPr>
        <w:t>）增资。本次增资完成后，公</w:t>
      </w:r>
      <w:r>
        <w:rPr>
          <w:spacing w:val="51"/>
        </w:rPr>
        <w:t> </w:t>
      </w:r>
      <w:r>
        <w:rPr>
          <w:spacing w:val="51"/>
        </w:rPr>
      </w:r>
      <w:r>
        <w:rPr/>
        <w:t>司将持有新维数联</w:t>
      </w:r>
      <w:r>
        <w:rPr>
          <w:rFonts w:ascii="Times New Roman" w:hAnsi="Times New Roman" w:cs="Times New Roman" w:eastAsia="Times New Roman" w:hint="default"/>
        </w:rPr>
        <w:t>30%</w:t>
      </w:r>
      <w:r>
        <w:rPr/>
        <w:t>的股权。</w:t>
      </w:r>
    </w:p>
    <w:p>
      <w:pPr>
        <w:pStyle w:val="BodyText"/>
        <w:spacing w:line="300" w:lineRule="auto" w:before="7"/>
        <w:ind w:right="1123" w:firstLine="508"/>
        <w:jc w:val="both"/>
      </w:pPr>
      <w:r>
        <w:rPr>
          <w:spacing w:val="-4"/>
        </w:rPr>
        <w:t>本次交易的交易对方之一王杰，原持有新维数联</w:t>
      </w:r>
      <w:r>
        <w:rPr>
          <w:rFonts w:ascii="Times New Roman" w:hAnsi="Times New Roman" w:cs="Times New Roman" w:eastAsia="Times New Roman" w:hint="default"/>
          <w:spacing w:val="-4"/>
        </w:rPr>
        <w:t>52.79%</w:t>
      </w:r>
      <w:r>
        <w:rPr>
          <w:spacing w:val="-4"/>
        </w:rPr>
        <w:t>的股权，为新维数联的法定代表人及执行董事。王杰在过去十</w:t>
      </w:r>
      <w:r>
        <w:rPr>
          <w:w w:val="101"/>
        </w:rPr>
        <w:t> </w:t>
      </w:r>
      <w:r>
        <w:rPr>
          <w:spacing w:val="-3"/>
        </w:rPr>
        <w:t>二个月内，曾经直接持有润和软件</w:t>
      </w:r>
      <w:r>
        <w:rPr>
          <w:rFonts w:ascii="Times New Roman" w:hAnsi="Times New Roman" w:cs="Times New Roman" w:eastAsia="Times New Roman" w:hint="default"/>
          <w:spacing w:val="-3"/>
        </w:rPr>
        <w:t>5%</w:t>
      </w:r>
      <w:r>
        <w:rPr>
          <w:spacing w:val="-3"/>
        </w:rPr>
        <w:t>以上股份，根据《深圳证券交易所创业板股票上市规则》和《公司章程》的规定，王</w:t>
      </w:r>
      <w:r>
        <w:rPr>
          <w:spacing w:val="65"/>
        </w:rPr>
        <w:t> </w:t>
      </w:r>
      <w:r>
        <w:rPr>
          <w:spacing w:val="65"/>
        </w:rPr>
      </w:r>
      <w:r>
        <w:rPr>
          <w:spacing w:val="-3"/>
        </w:rPr>
        <w:t>杰视同为公司的关联方，本次交易构成关联交易。</w:t>
      </w:r>
    </w:p>
    <w:p>
      <w:pPr>
        <w:pStyle w:val="BodyText"/>
        <w:spacing w:line="307" w:lineRule="auto" w:before="31"/>
        <w:ind w:right="0" w:firstLine="508"/>
        <w:jc w:val="left"/>
      </w:pPr>
      <w:r>
        <w:rPr>
          <w:spacing w:val="-4"/>
        </w:rPr>
        <w:t>王杰承诺，同意自本次增资协议签署完毕之日起至公司收购现有股东王杰、王勇、单军、梅景志、王思国、付勇、丁</w:t>
      </w:r>
      <w:r>
        <w:rPr>
          <w:w w:val="101"/>
        </w:rPr>
        <w:t> </w:t>
      </w:r>
      <w:r>
        <w:rPr>
          <w:spacing w:val="-4"/>
        </w:rPr>
        <w:t>亚雄、罗志雄、北京双维众联科技中心（有限合伙）持有标的公司的全部股权或终止收购之日止，王杰将其持有的标的公司</w:t>
      </w:r>
      <w:r>
        <w:rPr>
          <w:spacing w:val="40"/>
        </w:rPr>
        <w:t> </w:t>
      </w:r>
      <w:r>
        <w:rPr>
          <w:spacing w:val="40"/>
        </w:rPr>
      </w:r>
      <w:r>
        <w:rPr>
          <w:spacing w:val="-3"/>
        </w:rPr>
        <w:t>全部股权</w:t>
      </w:r>
      <w:r>
        <w:rPr>
          <w:rFonts w:ascii="Times New Roman" w:hAnsi="Times New Roman" w:cs="Times New Roman" w:eastAsia="Times New Roman" w:hint="default"/>
          <w:spacing w:val="-3"/>
        </w:rPr>
        <w:t>36.953%</w:t>
      </w:r>
      <w:r>
        <w:rPr>
          <w:spacing w:val="-3"/>
        </w:rPr>
        <w:t>的表决权委托给公司行使，非经公司书面同意，该委托不得撤销。若王杰单方撤销该委托的，则应当根据</w:t>
      </w:r>
      <w:r>
        <w:rPr>
          <w:spacing w:val="67"/>
        </w:rPr>
        <w:t> </w:t>
      </w:r>
      <w:r>
        <w:rPr>
          <w:spacing w:val="67"/>
        </w:rPr>
      </w:r>
      <w:r>
        <w:rPr>
          <w:spacing w:val="-4"/>
        </w:rPr>
        <w:t>本协议的约定承担违约责任，且此时公司对提交股东会审议的所有议案均具有一票否决权；标的公司董事会由</w:t>
      </w:r>
      <w:r>
        <w:rPr>
          <w:rFonts w:ascii="Times New Roman" w:hAnsi="Times New Roman" w:cs="Times New Roman" w:eastAsia="Times New Roman" w:hint="default"/>
          <w:spacing w:val="-4"/>
        </w:rPr>
        <w:t>3</w:t>
      </w:r>
      <w:r>
        <w:rPr>
          <w:spacing w:val="-4"/>
        </w:rPr>
        <w:t>名董事组成，</w:t>
      </w:r>
      <w:r>
        <w:rPr>
          <w:spacing w:val="51"/>
        </w:rPr>
        <w:t> </w:t>
      </w:r>
      <w:r>
        <w:rPr>
          <w:spacing w:val="51"/>
        </w:rPr>
      </w:r>
      <w:r>
        <w:rPr>
          <w:spacing w:val="-3"/>
        </w:rPr>
        <w:t>其中，公司有权委派</w:t>
      </w:r>
      <w:r>
        <w:rPr>
          <w:rFonts w:ascii="Times New Roman" w:hAnsi="Times New Roman" w:cs="Times New Roman" w:eastAsia="Times New Roman" w:hint="default"/>
          <w:spacing w:val="-3"/>
        </w:rPr>
        <w:t>1</w:t>
      </w:r>
      <w:r>
        <w:rPr>
          <w:spacing w:val="-3"/>
        </w:rPr>
        <w:t>名董事，董事会的表决，实行一人一票，董事会审议事项应由全体董事过半数表决通过，但公司提名</w:t>
      </w:r>
      <w:r>
        <w:rPr>
          <w:spacing w:val="71"/>
        </w:rPr>
        <w:t> </w:t>
      </w:r>
      <w:r>
        <w:rPr>
          <w:spacing w:val="71"/>
        </w:rPr>
      </w:r>
      <w:r>
        <w:rPr>
          <w:spacing w:val="-3"/>
        </w:rPr>
        <w:t>的董事对审议事项拥有一票否决权。</w:t>
      </w:r>
    </w:p>
    <w:p>
      <w:pPr>
        <w:spacing w:line="240" w:lineRule="auto" w:before="1"/>
        <w:rPr>
          <w:rFonts w:ascii="宋体" w:hAnsi="宋体" w:cs="宋体" w:eastAsia="宋体" w:hint="default"/>
          <w:sz w:val="18"/>
          <w:szCs w:val="18"/>
        </w:rPr>
      </w:pPr>
    </w:p>
    <w:p>
      <w:pPr>
        <w:spacing w:line="374" w:lineRule="auto" w:before="0"/>
        <w:ind w:left="153" w:right="875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6"/>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bl>
    <w:p>
      <w:pPr>
        <w:pStyle w:val="BodyText"/>
        <w:spacing w:line="240" w:lineRule="auto" w:before="53"/>
        <w:ind w:right="0"/>
        <w:jc w:val="left"/>
      </w:pPr>
      <w:r>
        <w:rPr/>
        <w:t>其他说明</w:t>
      </w:r>
    </w:p>
    <w:p>
      <w:pPr>
        <w:pStyle w:val="BodyText"/>
        <w:spacing w:line="307" w:lineRule="auto" w:before="115"/>
        <w:ind w:right="0" w:firstLine="508"/>
        <w:jc w:val="left"/>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日，经公司</w:t>
      </w:r>
      <w:r>
        <w:rPr>
          <w:rFonts w:ascii="Times New Roman" w:hAnsi="Times New Roman" w:cs="Times New Roman" w:eastAsia="Times New Roman" w:hint="default"/>
          <w:spacing w:val="-3"/>
        </w:rPr>
        <w:t>2014</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0"/>
        </w:rPr>
        <w:t> </w:t>
      </w:r>
      <w:r>
        <w:rPr/>
        <w:t>年限制性股票</w:t>
      </w:r>
      <w:r>
        <w:rPr>
          <w:w w:val="101"/>
        </w:rPr>
        <w:t> </w:t>
      </w:r>
      <w:r>
        <w:rPr>
          <w:spacing w:val="-4"/>
        </w:rPr>
        <w:t>激励计划（草案修订稿）》、第五届董事会第二十八次会议决议和修改后的章程，公司对周磊、周蛟、郑蓓、赵振平、张玉</w:t>
      </w:r>
      <w:r>
        <w:rPr>
          <w:spacing w:val="41"/>
        </w:rPr>
        <w:t> </w:t>
      </w:r>
      <w:r>
        <w:rPr>
          <w:spacing w:val="41"/>
        </w:rPr>
      </w:r>
      <w:r>
        <w:rPr>
          <w:spacing w:val="-6"/>
        </w:rPr>
        <w:t>峰、许波、徐苏君、徐珩、吴烨、魏榕祠、王宇、王天、汤鹏川、孙嘉琛、苏南、沈欣慧、秦伟娜、牟际生、莫华军、刘珏、</w:t>
      </w:r>
      <w:r>
        <w:rPr>
          <w:spacing w:val="56"/>
        </w:rPr>
        <w:t> </w:t>
      </w:r>
      <w:r>
        <w:rPr>
          <w:spacing w:val="56"/>
        </w:rPr>
      </w:r>
      <w:r>
        <w:rPr>
          <w:spacing w:val="-3"/>
        </w:rPr>
        <w:t>刘恩道、李治勇、雷彤、蒋昕、果鹏、邓茜、陈钟鹏、陈希、蔡雷鸣已获授但尚未解锁的限制性股票股本人民币</w:t>
      </w:r>
      <w:r>
        <w:rPr>
          <w:rFonts w:ascii="Times New Roman" w:hAnsi="Times New Roman" w:cs="Times New Roman" w:eastAsia="Times New Roman" w:hint="default"/>
          <w:spacing w:val="-3"/>
        </w:rPr>
        <w:t>382,000.00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4"/>
        </w:rPr>
        <w:t>元进行回购注销，截至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日止，经中国证券登记结算有限责任公司深圳分公司审核确认，公司上述限制性股票的</w:t>
      </w:r>
      <w:r>
        <w:rPr>
          <w:spacing w:val="59"/>
        </w:rPr>
        <w:t> </w:t>
      </w:r>
      <w:r>
        <w:rPr>
          <w:spacing w:val="59"/>
        </w:rPr>
      </w:r>
      <w:r>
        <w:rPr/>
        <w:t>注销事宜已完成。</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spacing w:val="-5"/>
        </w:rPr>
        <w:t>无。</w:t>
      </w:r>
      <w:r>
        <w:rPr/>
      </w:r>
    </w:p>
    <w:p>
      <w:pPr>
        <w:spacing w:line="240" w:lineRule="auto" w:before="12"/>
        <w:rPr>
          <w:rFonts w:ascii="宋体" w:hAnsi="宋体" w:cs="宋体" w:eastAsia="宋体" w:hint="default"/>
          <w:sz w:val="21"/>
          <w:szCs w:val="21"/>
        </w:rPr>
      </w:pPr>
    </w:p>
    <w:p>
      <w:pPr>
        <w:spacing w:line="374" w:lineRule="auto" w:before="0"/>
        <w:ind w:left="153" w:right="835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352" w:lineRule="auto" w:before="189"/>
        <w:ind w:right="5503"/>
        <w:jc w:val="left"/>
      </w:pPr>
      <w:r>
        <w:rPr>
          <w:spacing w:val="-3"/>
        </w:rPr>
        <w:t>资产负债表日存在的重要承诺</w:t>
      </w:r>
      <w:r>
        <w:rPr>
          <w:spacing w:val="-50"/>
        </w:rPr>
        <w:t> </w:t>
      </w:r>
      <w:r>
        <w:rPr>
          <w:spacing w:val="-50"/>
        </w:rPr>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日，本公司无需要披露的重大承诺事项。</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公司不存在需要披露的重要或有事项。</w:t>
      </w:r>
    </w:p>
    <w:p>
      <w:pPr>
        <w:spacing w:line="240" w:lineRule="auto" w:before="7"/>
        <w:rPr>
          <w:rFonts w:ascii="宋体" w:hAnsi="宋体" w:cs="宋体" w:eastAsia="宋体" w:hint="default"/>
          <w:sz w:val="21"/>
          <w:szCs w:val="21"/>
        </w:rPr>
      </w:pPr>
    </w:p>
    <w:p>
      <w:pPr>
        <w:spacing w:line="374" w:lineRule="auto" w:before="0"/>
        <w:ind w:left="153" w:right="787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rFonts w:ascii="Times New Roman" w:hAnsi="Times New Roman" w:cs="Times New Roman" w:eastAsia="Times New Roman" w:hint="default"/>
          <w:spacing w:val="-3"/>
        </w:rPr>
        <w:t>1.</w:t>
      </w:r>
      <w:r>
        <w:rPr>
          <w:spacing w:val="-3"/>
        </w:rPr>
        <w:t>资产负债表日后关于确定回购公司股份用途的说明</w:t>
      </w:r>
    </w:p>
    <w:p>
      <w:pPr>
        <w:pStyle w:val="BodyText"/>
        <w:spacing w:line="300" w:lineRule="auto" w:before="63"/>
        <w:ind w:right="0" w:firstLine="508"/>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日，公司召开的第五届董事会第四十四次会议审议通过了《关于确定回购公司股份用途的议案》：公司</w:t>
      </w:r>
      <w:r>
        <w:rPr>
          <w:w w:val="101"/>
        </w:rPr>
        <w:t> </w:t>
      </w:r>
      <w:r>
        <w:rPr>
          <w:spacing w:val="-3"/>
        </w:rPr>
        <w:t>决定以自有资金回购部分社会公众股份全部用于实施股权激励，即回购的股份用于股权激励的资金总额不低于人民币</w:t>
      </w:r>
      <w:r>
        <w:rPr>
          <w:rFonts w:ascii="Times New Roman" w:hAnsi="Times New Roman" w:cs="Times New Roman" w:eastAsia="Times New Roman" w:hint="default"/>
          <w:spacing w:val="-3"/>
        </w:rPr>
        <w:t>15,000</w:t>
      </w:r>
    </w:p>
    <w:p>
      <w:pPr>
        <w:spacing w:after="0" w:line="300"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8"/>
        <w:rPr>
          <w:rFonts w:ascii="Times New Roman" w:hAnsi="Times New Roman" w:cs="Times New Roman" w:eastAsia="Times New Roman" w:hint="default"/>
          <w:sz w:val="29"/>
          <w:szCs w:val="29"/>
        </w:rPr>
      </w:pPr>
    </w:p>
    <w:p>
      <w:pPr>
        <w:pStyle w:val="BodyText"/>
        <w:spacing w:line="300" w:lineRule="auto" w:before="46"/>
        <w:ind w:left="662" w:right="0" w:hanging="509"/>
        <w:jc w:val="left"/>
      </w:pPr>
      <w:r>
        <w:rPr/>
        <w:t>万元（含）且不超过</w:t>
      </w:r>
      <w:r>
        <w:rPr>
          <w:rFonts w:ascii="Times New Roman" w:hAnsi="Times New Roman" w:cs="Times New Roman" w:eastAsia="Times New Roman" w:hint="default"/>
        </w:rPr>
        <w:t>30,000</w:t>
      </w:r>
      <w:r>
        <w:rPr/>
        <w:t>万元（含）。</w:t>
      </w:r>
      <w:r>
        <w:rPr>
          <w:spacing w:val="-86"/>
        </w:rPr>
        <w:t> </w:t>
      </w:r>
      <w:r>
        <w:rPr>
          <w:spacing w:val="-86"/>
        </w:rPr>
      </w:r>
      <w:r>
        <w:rPr>
          <w:spacing w:val="-4"/>
        </w:rPr>
        <w:t>公司在披露《关于股份回购实施结果暨股份变动的公告》之日起三年内，如存在因股权激励计划未能经公司董事会和</w:t>
      </w:r>
    </w:p>
    <w:p>
      <w:pPr>
        <w:pStyle w:val="BodyText"/>
        <w:spacing w:line="319" w:lineRule="auto" w:before="31"/>
        <w:ind w:right="0"/>
        <w:jc w:val="left"/>
      </w:pPr>
      <w:r>
        <w:rPr>
          <w:spacing w:val="-4"/>
        </w:rPr>
        <w:t>股东大会等决策机构审议通过、股权激励对象放弃认购股份等情况，导致股权激励计划未能实施的，回购股份将在履行相应</w:t>
      </w:r>
      <w:r>
        <w:rPr>
          <w:spacing w:val="43"/>
        </w:rPr>
        <w:t> </w:t>
      </w:r>
      <w:r>
        <w:rPr>
          <w:spacing w:val="43"/>
        </w:rPr>
      </w:r>
      <w:r>
        <w:rPr>
          <w:spacing w:val="-3"/>
        </w:rPr>
        <w:t>审议披露程序后全部予以注销。</w:t>
      </w:r>
    </w:p>
    <w:p>
      <w:pPr>
        <w:pStyle w:val="BodyText"/>
        <w:spacing w:line="240" w:lineRule="auto" w:before="17"/>
        <w:ind w:left="662" w:right="0"/>
        <w:jc w:val="left"/>
      </w:pPr>
      <w:r>
        <w:rPr>
          <w:rFonts w:ascii="Times New Roman" w:hAnsi="Times New Roman" w:cs="Times New Roman" w:eastAsia="Times New Roman" w:hint="default"/>
          <w:spacing w:val="-3"/>
        </w:rPr>
        <w:t>2.</w:t>
      </w:r>
      <w:r>
        <w:rPr>
          <w:spacing w:val="-3"/>
        </w:rPr>
        <w:t>资产负债表日后关于宁波宏创股权投资合伙企业（有限合伙）股权转让完成过户的说明</w:t>
      </w:r>
    </w:p>
    <w:p>
      <w:pPr>
        <w:pStyle w:val="BodyText"/>
        <w:spacing w:line="300" w:lineRule="auto" w:before="63"/>
        <w:ind w:right="1122" w:firstLine="508"/>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日，公司股东宁波宏创股权投资合伙企业（有限合伙）（以下简称</w:t>
      </w:r>
      <w:r>
        <w:rPr>
          <w:rFonts w:ascii="Times New Roman" w:hAnsi="Times New Roman" w:cs="Times New Roman" w:eastAsia="Times New Roman" w:hint="default"/>
          <w:spacing w:val="-3"/>
        </w:rPr>
        <w:t>“</w:t>
      </w:r>
      <w:r>
        <w:rPr>
          <w:spacing w:val="-3"/>
        </w:rPr>
        <w:t>宁波宏创</w:t>
      </w:r>
      <w:r>
        <w:rPr>
          <w:rFonts w:ascii="Times New Roman" w:hAnsi="Times New Roman" w:cs="Times New Roman" w:eastAsia="Times New Roman" w:hint="default"/>
          <w:spacing w:val="-3"/>
        </w:rPr>
        <w:t>”</w:t>
      </w:r>
      <w:r>
        <w:rPr>
          <w:spacing w:val="-3"/>
        </w:rPr>
        <w:t>）与南京国资混改基金有</w:t>
      </w:r>
      <w:r>
        <w:rPr>
          <w:w w:val="101"/>
        </w:rPr>
        <w:t> </w:t>
      </w:r>
      <w:r>
        <w:rPr>
          <w:spacing w:val="-3"/>
        </w:rPr>
        <w:t>限公司签订了《关于江苏润和软件股份有限公司之股份转让协议》，宁波宏创将其所持有的润和软件</w:t>
      </w:r>
      <w:r>
        <w:rPr>
          <w:rFonts w:ascii="Times New Roman" w:hAnsi="Times New Roman" w:cs="Times New Roman" w:eastAsia="Times New Roman" w:hint="default"/>
          <w:spacing w:val="-3"/>
        </w:rPr>
        <w:t>40,000,000</w:t>
      </w:r>
      <w:r>
        <w:rPr>
          <w:spacing w:val="-3"/>
        </w:rPr>
        <w:t>股股份转让</w:t>
      </w:r>
      <w:r>
        <w:rPr>
          <w:spacing w:val="-2"/>
        </w:rPr>
        <w:t> </w:t>
      </w:r>
      <w:r>
        <w:rPr>
          <w:spacing w:val="-2"/>
        </w:rPr>
      </w:r>
      <w:r>
        <w:rPr>
          <w:spacing w:val="-3"/>
        </w:rPr>
        <w:t>给混改基金，占公司目前总股本的比例为</w:t>
      </w:r>
      <w:r>
        <w:rPr>
          <w:rFonts w:ascii="Times New Roman" w:hAnsi="Times New Roman" w:cs="Times New Roman" w:eastAsia="Times New Roman" w:hint="default"/>
          <w:spacing w:val="-3"/>
        </w:rPr>
        <w:t>5.02%</w:t>
      </w:r>
      <w:r>
        <w:rPr>
          <w:spacing w:val="-3"/>
        </w:rPr>
        <w:t>，每股转让价格为人民币</w:t>
      </w:r>
      <w:r>
        <w:rPr>
          <w:rFonts w:ascii="Times New Roman" w:hAnsi="Times New Roman" w:cs="Times New Roman" w:eastAsia="Times New Roman" w:hint="default"/>
          <w:spacing w:val="-3"/>
        </w:rPr>
        <w:t>10</w:t>
      </w:r>
      <w:r>
        <w:rPr>
          <w:spacing w:val="-3"/>
        </w:rPr>
        <w:t>元，股份转让价款总额为人民币</w:t>
      </w:r>
      <w:r>
        <w:rPr>
          <w:rFonts w:ascii="Times New Roman" w:hAnsi="Times New Roman" w:cs="Times New Roman" w:eastAsia="Times New Roman" w:hint="default"/>
          <w:spacing w:val="-3"/>
        </w:rPr>
        <w:t>40,000</w:t>
      </w:r>
      <w:r>
        <w:rPr>
          <w:spacing w:val="-3"/>
        </w:rPr>
        <w:t>万元。本</w:t>
      </w:r>
      <w:r>
        <w:rPr>
          <w:spacing w:val="2"/>
        </w:rPr>
        <w:t> </w:t>
      </w:r>
      <w:r>
        <w:rPr>
          <w:spacing w:val="2"/>
        </w:rPr>
      </w:r>
      <w:r>
        <w:rPr>
          <w:spacing w:val="-3"/>
        </w:rPr>
        <w:t>次转让完成后，宁波宏创持有润和软件</w:t>
      </w:r>
      <w:r>
        <w:rPr>
          <w:rFonts w:ascii="Times New Roman" w:hAnsi="Times New Roman" w:cs="Times New Roman" w:eastAsia="Times New Roman" w:hint="default"/>
          <w:spacing w:val="-3"/>
        </w:rPr>
        <w:t>5.07%</w:t>
      </w:r>
      <w:r>
        <w:rPr>
          <w:spacing w:val="-3"/>
        </w:rPr>
        <w:t>的股权。</w:t>
      </w:r>
    </w:p>
    <w:p>
      <w:pPr>
        <w:pStyle w:val="BodyText"/>
        <w:spacing w:line="300" w:lineRule="auto" w:before="13"/>
        <w:ind w:right="1171" w:firstLine="508"/>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16</w:t>
      </w:r>
      <w:r>
        <w:rPr>
          <w:spacing w:val="-3"/>
        </w:rPr>
        <w:t>日，公司收到股东宁波宏创的通知，本次协议转让的过户登记手续已经办理完成，并取得了中国证券登</w:t>
      </w:r>
      <w:r>
        <w:rPr>
          <w:w w:val="101"/>
        </w:rPr>
        <w:t> </w:t>
      </w:r>
      <w:r>
        <w:rPr>
          <w:spacing w:val="-3"/>
        </w:rPr>
        <w:t>记结算有限责任公司出具的《证券过户登记确认书》，过户日期为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w:t>
      </w:r>
      <w:r>
        <w:rPr/>
      </w:r>
    </w:p>
    <w:p>
      <w:pPr>
        <w:spacing w:line="240" w:lineRule="auto" w:before="0"/>
        <w:rPr>
          <w:rFonts w:ascii="宋体" w:hAnsi="宋体" w:cs="宋体" w:eastAsia="宋体" w:hint="default"/>
          <w:sz w:val="14"/>
          <w:szCs w:val="14"/>
        </w:rPr>
      </w:pPr>
    </w:p>
    <w:p>
      <w:pPr>
        <w:pStyle w:val="Heading2"/>
        <w:spacing w:line="240" w:lineRule="auto"/>
        <w:ind w:right="0"/>
        <w:jc w:val="left"/>
        <w:rPr>
          <w:b w:val="0"/>
          <w:bCs w:val="0"/>
        </w:rPr>
      </w:pPr>
      <w:r>
        <w:rPr/>
        <w:t>十六、其他重要事项</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r>
              <w:rPr>
                <w:rFonts w:ascii="宋体" w:hAnsi="宋体" w:cs="宋体" w:eastAsia="宋体" w:hint="default"/>
                <w:sz w:val="18"/>
                <w:szCs w:val="18"/>
              </w:rPr>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30" w:right="99" w:hanging="721"/>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4"/>
        <w:gridCol w:w="2391"/>
        <w:gridCol w:w="2391"/>
      </w:tblGrid>
      <w:tr>
        <w:trPr>
          <w:trHeight w:val="399"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line="376" w:lineRule="auto" w:before="0"/>
        <w:ind w:left="153" w:right="69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、应收票据及应收账款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8"/>
          <w:szCs w:val="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11,771,522.74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412,289,426.40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336,446,329.06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429,033,398.51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348,217,851.80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应收票据分类列示</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11,771,522.74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16,743,972.11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11,771,522.74</w:t>
            </w:r>
          </w:p>
        </w:tc>
      </w:tr>
    </w:tbl>
    <w:p>
      <w:pPr>
        <w:pStyle w:val="BodyText"/>
        <w:spacing w:line="240" w:lineRule="auto" w:before="53"/>
        <w:ind w:right="0"/>
        <w:jc w:val="left"/>
      </w:pPr>
      <w:r>
        <w:rPr>
          <w:rFonts w:ascii="Times New Roman" w:hAnsi="Times New Roman" w:cs="Times New Roman" w:eastAsia="Times New Roman" w:hint="default"/>
          <w:spacing w:val="-3"/>
        </w:rPr>
        <w:t>2)</w:t>
      </w:r>
      <w:r>
        <w:rPr>
          <w:spacing w:val="-3"/>
        </w:rPr>
        <w:t>期末公司已质押的应收票据</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pStyle w:val="BodyText"/>
        <w:spacing w:line="240" w:lineRule="auto" w:before="53"/>
        <w:ind w:right="0"/>
        <w:jc w:val="left"/>
      </w:pPr>
      <w:r>
        <w:rPr>
          <w:rFonts w:ascii="Times New Roman" w:hAnsi="Times New Roman" w:cs="Times New Roman" w:eastAsia="Times New Roman" w:hint="default"/>
          <w:spacing w:val="-3"/>
        </w:rPr>
        <w:t>3)</w:t>
      </w:r>
      <w:r>
        <w:rPr>
          <w:spacing w:val="-3"/>
        </w:rPr>
        <w:t>期末公司已背书或贴现且在资产负债表日尚未到期的应收票据</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pStyle w:val="BodyText"/>
        <w:spacing w:line="240" w:lineRule="auto" w:before="53"/>
        <w:ind w:right="0"/>
        <w:jc w:val="left"/>
      </w:pPr>
      <w:r>
        <w:rPr/>
        <w:t>其他说明</w:t>
      </w:r>
    </w:p>
    <w:p>
      <w:pPr>
        <w:pStyle w:val="BodyText"/>
        <w:spacing w:line="240" w:lineRule="auto" w:before="115"/>
        <w:ind w:left="662" w:right="0"/>
        <w:jc w:val="left"/>
      </w:pPr>
      <w:r>
        <w:rPr>
          <w:spacing w:val="-3"/>
        </w:rPr>
        <w:t>应收票据期末余额较期初余额增长</w:t>
      </w:r>
      <w:r>
        <w:rPr>
          <w:rFonts w:ascii="Times New Roman" w:hAnsi="Times New Roman" w:cs="Times New Roman" w:eastAsia="Times New Roman" w:hint="default"/>
          <w:spacing w:val="-3"/>
        </w:rPr>
        <w:t>40.45%</w:t>
      </w:r>
      <w:r>
        <w:rPr>
          <w:spacing w:val="-3"/>
        </w:rPr>
        <w:t>，主要原因是客户采用票据方式结算金额增加。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4"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5,807,19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5,807,192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428,422,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864.89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25,491,5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23.18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402,931,3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356,820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,865.48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99.09%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23,643,30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333,177,55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9.13</w:t>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3,550,89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3,550,892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3,268,7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69.93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0.91%</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3,268,769.9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437,780,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949.58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25,491,5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23.18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412,289,4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26.40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360,089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,635.41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23,643,30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336,446,32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9.06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4"/>
        <w:ind w:right="0"/>
        <w:jc w:val="left"/>
      </w:pPr>
      <w:r>
        <w:rPr>
          <w:spacing w:val="-3"/>
        </w:rPr>
        <w:t>期末单项金额重大并单项计提坏账准备的应收账款：</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533"/>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0"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112"/>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10"/>
                <w:sz w:val="18"/>
              </w:rPr>
              <w:t> </w:t>
            </w:r>
            <w:r>
              <w:rPr>
                <w:rFonts w:ascii="Times New Roman"/>
                <w:spacing w:val="-5"/>
                <w:sz w:val="18"/>
              </w:rPr>
              <w:t>SOFTWARE</w:t>
            </w:r>
            <w:r>
              <w:rPr>
                <w:rFonts w:ascii="Times New Roman"/>
                <w:spacing w:val="-42"/>
                <w:sz w:val="18"/>
              </w:rPr>
              <w:t> </w:t>
            </w:r>
            <w:r>
              <w:rPr>
                <w:rFonts w:ascii="Times New Roman"/>
                <w:spacing w:val="-42"/>
                <w:sz w:val="18"/>
              </w:rPr>
            </w:r>
            <w:r>
              <w:rPr>
                <w:rFonts w:ascii="Times New Roman"/>
                <w:spacing w:val="-3"/>
                <w:sz w:val="18"/>
              </w:rPr>
              <w:t>SINGAPORE </w:t>
            </w:r>
            <w:r>
              <w:rPr>
                <w:rFonts w:ascii="Times New Roman"/>
                <w:sz w:val="18"/>
              </w:rPr>
              <w:t>PTE.</w:t>
            </w:r>
            <w:r>
              <w:rPr>
                <w:rFonts w:ascii="Times New Roman"/>
                <w:spacing w:val="31"/>
                <w:sz w:val="18"/>
              </w:rPr>
              <w:t> </w:t>
            </w:r>
            <w:r>
              <w:rPr>
                <w:rFonts w:ascii="Times New Roman"/>
                <w:spacing w:val="-8"/>
                <w:sz w:val="18"/>
              </w:rPr>
              <w:t>LTD</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5,807,192.00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合并范围内关联方往来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不计提坏账</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5,807,192.00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4"/>
        <w:ind w:right="0"/>
        <w:jc w:val="left"/>
      </w:pPr>
      <w:r>
        <w:rPr>
          <w:spacing w:val="-3"/>
        </w:rPr>
        <w:t>组合中，按账龄分析法计提坏账准备的应收账款：</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119" w:space="4711"/>
            <w:col w:w="210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4"/>
      </w:tblGrid>
      <w:tr>
        <w:trPr>
          <w:trHeight w:val="398"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98"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387,570,037.46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19,378,501.87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4"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387,570,037.46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19,378,501.87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35,969,921.98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3,596,992.20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4,733,752.69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2,366,876.35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149,152.76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149,152.76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428,422,864.89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25,491,523.18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5.95%</w:t>
            </w:r>
          </w:p>
        </w:tc>
      </w:tr>
    </w:tbl>
    <w:p>
      <w:pPr>
        <w:pStyle w:val="BodyText"/>
        <w:spacing w:line="357" w:lineRule="auto" w:before="53"/>
        <w:ind w:left="662" w:right="0" w:hanging="509"/>
        <w:jc w:val="left"/>
      </w:pPr>
      <w:r>
        <w:rPr>
          <w:spacing w:val="-3"/>
        </w:rPr>
        <w:t>确定该组合依据的说明：</w:t>
      </w:r>
      <w:r>
        <w:rPr>
          <w:spacing w:val="-56"/>
        </w:rPr>
        <w:t> </w:t>
      </w:r>
      <w:r>
        <w:rPr>
          <w:spacing w:val="-56"/>
        </w:rPr>
      </w:r>
      <w:r>
        <w:rPr>
          <w:spacing w:val="-4"/>
        </w:rPr>
        <w:t>对单项金额重大单独测试未发生减值的应收款项汇同单项金额不重大的应收款项，本公司以账龄作为信用风险特征组</w:t>
      </w:r>
    </w:p>
    <w:p>
      <w:pPr>
        <w:spacing w:after="0" w:line="357" w:lineRule="auto"/>
        <w:jc w:val="left"/>
        <w:sectPr>
          <w:pgSz w:w="11910" w:h="16840"/>
          <w:pgMar w:header="741" w:footer="979" w:top="1060" w:bottom="1160" w:left="980" w:right="0"/>
        </w:sectPr>
      </w:pPr>
    </w:p>
    <w:p>
      <w:pPr>
        <w:pStyle w:val="BodyText"/>
        <w:spacing w:line="224" w:lineRule="exact"/>
        <w:ind w:right="1147"/>
        <w:jc w:val="left"/>
      </w:pPr>
      <w:r>
        <w:rPr/>
        <w:t>合。</w:t>
      </w:r>
    </w:p>
    <w:p>
      <w:pPr>
        <w:pStyle w:val="BodyText"/>
        <w:spacing w:line="240" w:lineRule="auto" w:before="119"/>
        <w:ind w:right="1147"/>
        <w:jc w:val="left"/>
      </w:pPr>
      <w:r>
        <w:rPr>
          <w:spacing w:val="-3"/>
        </w:rPr>
        <w:t>组合中，采用余额百分比法计提坏账准备的应收账款：</w:t>
      </w:r>
    </w:p>
    <w:p>
      <w:pPr>
        <w:pStyle w:val="BodyText"/>
        <w:spacing w:line="348" w:lineRule="auto" w:before="120"/>
        <w:ind w:right="11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r>
        <w:rPr>
          <w:spacing w:val="-22"/>
        </w:rPr>
        <w:t> </w:t>
      </w:r>
      <w:r>
        <w:rPr>
          <w:spacing w:val="-22"/>
        </w:rPr>
      </w:r>
      <w:r>
        <w:rPr>
          <w:rFonts w:ascii="Times New Roman" w:hAnsi="Times New Roman" w:cs="Times New Roman" w:eastAsia="Times New Roman" w:hint="default"/>
          <w:spacing w:val="-3"/>
        </w:rPr>
        <w:t>2)</w:t>
      </w:r>
      <w:r>
        <w:rPr>
          <w:spacing w:val="-3"/>
        </w:rPr>
        <w:t>本期计提、收回或转回的坏账准备情况</w:t>
      </w:r>
    </w:p>
    <w:p>
      <w:pPr>
        <w:pStyle w:val="BodyText"/>
        <w:spacing w:line="338" w:lineRule="auto" w:before="16"/>
        <w:ind w:right="-5"/>
        <w:jc w:val="left"/>
      </w:pPr>
      <w:r>
        <w:rPr/>
        <w:t>本期计提坏账准备金额</w:t>
      </w:r>
      <w:r>
        <w:rPr>
          <w:spacing w:val="-35"/>
        </w:rPr>
        <w:t> </w:t>
      </w:r>
      <w:r>
        <w:rPr>
          <w:rFonts w:ascii="Times New Roman" w:hAnsi="Times New Roman" w:cs="Times New Roman" w:eastAsia="Times New Roman" w:hint="default"/>
        </w:rPr>
        <w:t>1,848,216.83</w:t>
      </w:r>
      <w:r>
        <w:rPr>
          <w:rFonts w:ascii="Times New Roman" w:hAnsi="Times New Roman" w:cs="Times New Roman" w:eastAsia="Times New Roman" w:hint="default"/>
          <w:spacing w:val="10"/>
        </w:rPr>
        <w:t> </w:t>
      </w:r>
      <w:r>
        <w:rPr>
          <w:spacing w:val="-3"/>
        </w:rPr>
        <w:t>元；本期收回或转回坏账准备金额</w:t>
      </w:r>
      <w:r>
        <w:rPr>
          <w:spacing w:val="-3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spacing w:val="-5"/>
        </w:rPr>
        <w:t>元。</w:t>
      </w:r>
      <w:r>
        <w:rPr>
          <w:spacing w:val="-88"/>
        </w:rPr>
        <w:t> </w:t>
      </w:r>
      <w:r>
        <w:rPr>
          <w:spacing w:val="-3"/>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6454" w:space="2377"/>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398"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6"/>
        <w:ind w:left="0" w:right="1121"/>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其中重要的应收账款核销情况：</w:t>
      </w:r>
    </w:p>
    <w:p>
      <w:pPr>
        <w:pStyle w:val="BodyText"/>
        <w:spacing w:line="240" w:lineRule="auto" w:before="119"/>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533" w:right="80"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spacing w:val="-3"/>
        </w:rPr>
        <w:t>应收账款核销说明：</w:t>
      </w:r>
    </w:p>
    <w:p>
      <w:pPr>
        <w:pStyle w:val="BodyText"/>
        <w:spacing w:line="240" w:lineRule="auto" w:before="119"/>
        <w:ind w:right="0"/>
        <w:jc w:val="left"/>
      </w:pPr>
      <w:r>
        <w:rPr>
          <w:rFonts w:ascii="Times New Roman" w:hAnsi="Times New Roman" w:cs="Times New Roman" w:eastAsia="Times New Roman" w:hint="default"/>
          <w:spacing w:val="-3"/>
        </w:rPr>
        <w:t>4)</w:t>
      </w:r>
      <w:r>
        <w:rPr>
          <w:spacing w:val="-3"/>
        </w:rPr>
        <w:t>按欠款方归集的期末余额前五名的应收账款情况</w:t>
      </w:r>
    </w:p>
    <w:p>
      <w:pPr>
        <w:spacing w:line="240" w:lineRule="auto" w:before="7"/>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094"/>
        <w:gridCol w:w="2411"/>
        <w:gridCol w:w="2271"/>
        <w:gridCol w:w="2087"/>
      </w:tblGrid>
      <w:tr>
        <w:trPr>
          <w:trHeight w:val="660" w:hRule="exact"/>
        </w:trPr>
        <w:tc>
          <w:tcPr>
            <w:tcW w:w="2094"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right="613"/>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241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1"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451" w:right="70"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208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97"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50"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119,194,750.53</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27.23</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5,963,287.53</w:t>
            </w:r>
          </w:p>
        </w:tc>
      </w:tr>
      <w:tr>
        <w:trPr>
          <w:trHeight w:val="346"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72,080,412.17</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16.46</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4,510,560.27</w:t>
            </w:r>
          </w:p>
        </w:tc>
      </w:tr>
      <w:tr>
        <w:trPr>
          <w:trHeight w:val="346"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39,118,932.54</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8.94</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1,955,946.63</w:t>
            </w:r>
          </w:p>
        </w:tc>
      </w:tr>
      <w:tr>
        <w:trPr>
          <w:trHeight w:val="350"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20,000,368.30</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4.57</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1,000,018.42</w:t>
            </w:r>
          </w:p>
        </w:tc>
      </w:tr>
      <w:tr>
        <w:trPr>
          <w:trHeight w:val="346"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19,454,204.65</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4.44</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972,710.23</w:t>
            </w:r>
          </w:p>
        </w:tc>
      </w:tr>
      <w:tr>
        <w:trPr>
          <w:trHeight w:val="346" w:hRule="exact"/>
        </w:trPr>
        <w:tc>
          <w:tcPr>
            <w:tcW w:w="2094" w:type="dxa"/>
            <w:tcBorders>
              <w:top w:val="single" w:sz="8" w:space="0" w:color="000000"/>
              <w:left w:val="single" w:sz="6" w:space="0" w:color="000000"/>
              <w:bottom w:val="single" w:sz="8" w:space="0" w:color="000000"/>
              <w:right w:val="single" w:sz="6" w:space="0" w:color="000000"/>
            </w:tcBorders>
          </w:tcPr>
          <w:p>
            <w:pPr>
              <w:pStyle w:val="TableParagraph"/>
              <w:tabs>
                <w:tab w:pos="552" w:val="left" w:leader="none"/>
              </w:tabs>
              <w:spacing w:line="265" w:lineRule="exact"/>
              <w:ind w:right="65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269,848,668.19</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61.64</w:t>
            </w:r>
          </w:p>
        </w:tc>
        <w:tc>
          <w:tcPr>
            <w:tcW w:w="20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14,402,523.08</w:t>
            </w:r>
          </w:p>
        </w:tc>
      </w:tr>
    </w:tbl>
    <w:p>
      <w:pPr>
        <w:spacing w:line="240" w:lineRule="auto" w:before="5"/>
        <w:rPr>
          <w:rFonts w:ascii="宋体" w:hAnsi="宋体" w:cs="宋体" w:eastAsia="宋体" w:hint="default"/>
          <w:sz w:val="24"/>
          <w:szCs w:val="24"/>
        </w:rPr>
      </w:pPr>
    </w:p>
    <w:p>
      <w:pPr>
        <w:pStyle w:val="BodyText"/>
        <w:spacing w:line="240" w:lineRule="auto" w:before="46"/>
        <w:ind w:right="0"/>
        <w:jc w:val="left"/>
      </w:pPr>
      <w:r>
        <w:rPr>
          <w:rFonts w:ascii="Times New Roman" w:hAnsi="Times New Roman" w:cs="Times New Roman" w:eastAsia="Times New Roman" w:hint="default"/>
          <w:spacing w:val="-3"/>
        </w:rPr>
        <w:t>5)</w:t>
      </w:r>
      <w:r>
        <w:rPr>
          <w:spacing w:val="-3"/>
        </w:rPr>
        <w:t>因金融资产转移而终止确认的应收账款</w:t>
      </w:r>
    </w:p>
    <w:p>
      <w:pPr>
        <w:pStyle w:val="BodyText"/>
        <w:spacing w:line="240" w:lineRule="auto" w:before="106"/>
        <w:ind w:right="0"/>
        <w:jc w:val="left"/>
      </w:pPr>
      <w:r>
        <w:rPr>
          <w:rFonts w:ascii="Times New Roman" w:hAnsi="Times New Roman" w:cs="Times New Roman" w:eastAsia="Times New Roman" w:hint="default"/>
          <w:spacing w:val="-3"/>
        </w:rPr>
        <w:t>6)</w:t>
      </w:r>
      <w:r>
        <w:rPr>
          <w:spacing w:val="-3"/>
        </w:rPr>
        <w:t>转移应收账款且继续涉入形成的资产、负债金额</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648,446,514.66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343,665,274.04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648,446,514.66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343,665,274.04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1)</w:t>
      </w:r>
      <w:r>
        <w:rPr/>
        <w:t>应收利息分类</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rFonts w:ascii="Times New Roman" w:hAnsi="Times New Roman" w:cs="Times New Roman" w:eastAsia="Times New Roman" w:hint="default"/>
        </w:rPr>
        <w:t>2)</w:t>
      </w:r>
      <w:r>
        <w:rPr/>
        <w:t>重要逾期利息</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6"/>
        <w:ind w:right="0"/>
        <w:jc w:val="left"/>
      </w:pP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年的应收股利</w:t>
      </w:r>
    </w:p>
    <w:p>
      <w:pPr>
        <w:pStyle w:val="BodyText"/>
        <w:spacing w:line="240" w:lineRule="auto" w:before="102"/>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630,831,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607.04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97.06%</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630,831,6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07.04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304,320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,401.50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88.06%</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304,320,40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1.50</w:t>
            </w:r>
          </w:p>
        </w:tc>
      </w:tr>
      <w:tr>
        <w:trPr>
          <w:trHeight w:val="102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19,083,4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71.31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1,468,56</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3.69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17,614,90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7.62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35,108,</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272.96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1,920,773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33,187,499.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6,157,3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72.81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1.78%</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6,157,372.8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649,915,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078.35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1,468,56</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3.69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648,446,5</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14.66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345,586</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,047.27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1,920,773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343,665,27</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4.04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期末单项金额重大并单项计提坏账准备的其他应收款：</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479" w:space="4351"/>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8"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52"/>
              <w:jc w:val="left"/>
              <w:rPr>
                <w:rFonts w:ascii="宋体" w:hAnsi="宋体" w:cs="宋体" w:eastAsia="宋体" w:hint="default"/>
                <w:sz w:val="18"/>
                <w:szCs w:val="18"/>
              </w:rPr>
            </w:pPr>
            <w:r>
              <w:rPr>
                <w:rFonts w:ascii="宋体" w:hAnsi="宋体" w:cs="宋体" w:eastAsia="宋体" w:hint="default"/>
                <w:spacing w:val="-2"/>
                <w:sz w:val="18"/>
                <w:szCs w:val="18"/>
              </w:rPr>
              <w:t>江苏润和南京软件外包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园投资有限公司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612,625,738.49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合并范围内关联方之间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形成的应收款项不计提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坏账准备</w:t>
            </w:r>
          </w:p>
        </w:tc>
      </w:tr>
      <w:tr>
        <w:trPr>
          <w:trHeight w:val="102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4" w:right="152"/>
              <w:jc w:val="left"/>
              <w:rPr>
                <w:rFonts w:ascii="宋体" w:hAnsi="宋体" w:cs="宋体" w:eastAsia="宋体" w:hint="default"/>
                <w:sz w:val="18"/>
                <w:szCs w:val="18"/>
              </w:rPr>
            </w:pPr>
            <w:r>
              <w:rPr>
                <w:rFonts w:ascii="宋体" w:hAnsi="宋体" w:cs="宋体" w:eastAsia="宋体" w:hint="default"/>
                <w:spacing w:val="-2"/>
                <w:sz w:val="18"/>
                <w:szCs w:val="18"/>
              </w:rPr>
              <w:t>江苏润和捷诚科技产业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13,621,748.00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合并范围内关联方之间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形成的应收款项不计提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坏账准备</w:t>
            </w:r>
          </w:p>
        </w:tc>
      </w:tr>
      <w:tr>
        <w:trPr>
          <w:trHeight w:val="1027"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pacing w:val="-2"/>
                <w:sz w:val="18"/>
                <w:szCs w:val="18"/>
              </w:rPr>
              <w:t>北京润和汇智信息技术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3,400,158.81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合并范围内关联方之间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形成的应收款项不计提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坏账准备</w:t>
            </w:r>
          </w:p>
        </w:tc>
      </w:tr>
      <w:tr>
        <w:trPr>
          <w:trHeight w:val="1028"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pacing w:val="-2"/>
                <w:sz w:val="18"/>
                <w:szCs w:val="18"/>
              </w:rPr>
              <w:t>江苏润和智融科技有限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1,183,961.74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合并范围内关联方之间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形成的应收款项不计提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坏账准备</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630,831,607.04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3"/>
        <w:ind w:right="0"/>
        <w:jc w:val="left"/>
      </w:pPr>
      <w:r>
        <w:rPr>
          <w:spacing w:val="-3"/>
        </w:rPr>
        <w:t>组合中，按账龄分析法计提坏账准备的其他应收款：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53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403"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9"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11,295,512.71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564,775.64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11,295,512.71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564,775.64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7,580,882.50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758,088.25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122,752.60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61,376.30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84,323.50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84,323.50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19,083,471.31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1,468,563.69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7.70%</w:t>
            </w:r>
          </w:p>
        </w:tc>
      </w:tr>
    </w:tbl>
    <w:p>
      <w:pPr>
        <w:pStyle w:val="BodyText"/>
        <w:spacing w:line="357" w:lineRule="auto" w:before="53"/>
        <w:ind w:left="662" w:right="0" w:hanging="509"/>
        <w:jc w:val="left"/>
      </w:pPr>
      <w:r>
        <w:rPr>
          <w:spacing w:val="-3"/>
        </w:rPr>
        <w:t>确定该组合依据的说明：</w:t>
      </w:r>
      <w:r>
        <w:rPr>
          <w:spacing w:val="-56"/>
        </w:rPr>
        <w:t> </w:t>
      </w:r>
      <w:r>
        <w:rPr>
          <w:spacing w:val="-56"/>
        </w:rPr>
      </w:r>
      <w:r>
        <w:rPr>
          <w:spacing w:val="-4"/>
        </w:rPr>
        <w:t>对单项金额重大单独测试未发生减值的应收款项汇同单项金额不重大的应收款项，本公司以账龄作为信用风险特征组</w:t>
      </w:r>
    </w:p>
    <w:p>
      <w:pPr>
        <w:spacing w:after="0" w:line="357" w:lineRule="auto"/>
        <w:jc w:val="left"/>
        <w:sectPr>
          <w:pgSz w:w="11910" w:h="16840"/>
          <w:pgMar w:header="741" w:footer="979" w:top="1060" w:bottom="1160" w:left="980" w:right="0"/>
        </w:sectPr>
      </w:pPr>
    </w:p>
    <w:p>
      <w:pPr>
        <w:pStyle w:val="BodyText"/>
        <w:spacing w:line="224" w:lineRule="exact"/>
        <w:ind w:right="855"/>
        <w:jc w:val="left"/>
      </w:pPr>
      <w:r>
        <w:rPr/>
        <w:t>合。</w:t>
      </w:r>
    </w:p>
    <w:p>
      <w:pPr>
        <w:pStyle w:val="BodyText"/>
        <w:spacing w:line="240" w:lineRule="auto" w:before="119"/>
        <w:ind w:right="855"/>
        <w:jc w:val="left"/>
      </w:pPr>
      <w:r>
        <w:rPr>
          <w:spacing w:val="-3"/>
        </w:rPr>
        <w:t>组合中，采用余额百分比法计提坏账准备的其他应收款：</w:t>
      </w:r>
    </w:p>
    <w:p>
      <w:pPr>
        <w:pStyle w:val="BodyText"/>
        <w:spacing w:line="338" w:lineRule="auto" w:before="12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41"/>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855"/>
        <w:jc w:val="left"/>
      </w:pPr>
      <w:r>
        <w:rPr>
          <w:rFonts w:ascii="Times New Roman" w:hAnsi="Times New Roman" w:cs="Times New Roman" w:eastAsia="Times New Roman" w:hint="default"/>
          <w:spacing w:val="-3"/>
        </w:rPr>
        <w:t>2)</w:t>
      </w:r>
      <w:r>
        <w:rPr>
          <w:spacing w:val="-3"/>
        </w:rPr>
        <w:t>本期计提、收回或转回的坏账准备情况</w:t>
      </w:r>
    </w:p>
    <w:p>
      <w:pPr>
        <w:pStyle w:val="BodyText"/>
        <w:spacing w:line="338" w:lineRule="auto" w:before="102"/>
        <w:ind w:right="-6"/>
        <w:jc w:val="left"/>
      </w:pPr>
      <w:r>
        <w:rPr/>
        <w:t>本期计提坏账准备金额</w:t>
      </w:r>
      <w:r>
        <w:rPr>
          <w:rFonts w:ascii="Times New Roman" w:hAnsi="Times New Roman" w:cs="Times New Roman" w:eastAsia="Times New Roman" w:hint="default"/>
        </w:rPr>
        <w:t>-452,209.54</w:t>
      </w:r>
      <w:r>
        <w:rPr>
          <w:rFonts w:ascii="Times New Roman" w:hAnsi="Times New Roman" w:cs="Times New Roman" w:eastAsia="Times New Roman" w:hint="default"/>
          <w:spacing w:val="14"/>
        </w:rPr>
        <w:t> </w:t>
      </w:r>
      <w:r>
        <w:rPr>
          <w:spacing w:val="-3"/>
        </w:rPr>
        <w:t>元；本期收回或转回坏账准备金额</w:t>
      </w:r>
      <w:r>
        <w:rPr>
          <w:spacing w:val="-31"/>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r>
        <w:rPr>
          <w:spacing w:val="-87"/>
        </w:rPr>
        <w:t> </w:t>
      </w:r>
      <w:r>
        <w:rPr>
          <w:spacing w:val="-3"/>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6339" w:space="249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3"/>
        <w:ind w:right="0"/>
        <w:jc w:val="left"/>
      </w:pPr>
      <w:r>
        <w:rPr>
          <w:rFonts w:ascii="Times New Roman" w:hAnsi="Times New Roman" w:cs="Times New Roman" w:eastAsia="Times New Roman" w:hint="default"/>
          <w:spacing w:val="-3"/>
        </w:rPr>
        <w:t>3)</w:t>
      </w:r>
      <w:r>
        <w:rPr>
          <w:spacing w:val="-3"/>
        </w:rPr>
        <w:t>本期实际核销的其他应收款情况</w:t>
      </w:r>
    </w:p>
    <w:p>
      <w:pPr>
        <w:pStyle w:val="BodyText"/>
        <w:spacing w:line="240" w:lineRule="auto" w:before="101"/>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其中重要的其他应收款核销情况：</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33" w:right="80"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3"/>
        <w:ind w:right="0"/>
        <w:jc w:val="left"/>
      </w:pPr>
      <w:r>
        <w:rPr/>
        <w:t>其他应收款核销说明：</w:t>
      </w:r>
    </w:p>
    <w:p>
      <w:pPr>
        <w:pStyle w:val="BodyText"/>
        <w:spacing w:line="240" w:lineRule="auto" w:before="119"/>
        <w:ind w:right="0"/>
        <w:jc w:val="left"/>
      </w:pPr>
      <w:r>
        <w:rPr>
          <w:rFonts w:ascii="Times New Roman" w:hAnsi="Times New Roman" w:cs="Times New Roman" w:eastAsia="Times New Roman" w:hint="default"/>
          <w:spacing w:val="-3"/>
        </w:rPr>
        <w:t>4)</w:t>
      </w:r>
      <w:r>
        <w:rPr>
          <w:spacing w:val="-3"/>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828" w:space="6003"/>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630,831,607.04</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310,477,774.31</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8,827,000.00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25,900,000.00</w:t>
            </w:r>
          </w:p>
        </w:tc>
      </w:tr>
      <w:tr>
        <w:trPr>
          <w:trHeight w:val="40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6,171,807.71</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6,076,158.37</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1,661,347.43</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1,311,854.73</w:t>
            </w:r>
          </w:p>
        </w:tc>
      </w:tr>
      <w:tr>
        <w:trPr>
          <w:trHeight w:val="39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2,423,316.17</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1,820,259.86</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649,915,078.35</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345,586,047.27</w:t>
            </w:r>
          </w:p>
        </w:tc>
      </w:tr>
    </w:tbl>
    <w:p>
      <w:pPr>
        <w:pStyle w:val="BodyText"/>
        <w:spacing w:line="240" w:lineRule="auto" w:before="54"/>
        <w:ind w:right="0"/>
        <w:jc w:val="left"/>
      </w:pPr>
      <w:r>
        <w:rPr>
          <w:rFonts w:ascii="Times New Roman" w:hAnsi="Times New Roman" w:cs="Times New Roman" w:eastAsia="Times New Roman" w:hint="default"/>
          <w:spacing w:val="-3"/>
        </w:rPr>
        <w:t>5)</w:t>
      </w:r>
      <w:r>
        <w:rPr>
          <w:spacing w:val="-3"/>
        </w:rPr>
        <w:t>按欠款方归集的期末余额前五名的其他应收款情况</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pacing w:val="-3"/>
                <w:sz w:val="18"/>
                <w:szCs w:val="18"/>
              </w:rPr>
              <w:t>江苏润和南京软件外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612,625,738.49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7" w:right="0"/>
              <w:jc w:val="left"/>
              <w:rPr>
                <w:rFonts w:ascii="Times New Roman" w:hAnsi="Times New Roman" w:cs="Times New Roman" w:eastAsia="Times New Roman" w:hint="default"/>
                <w:sz w:val="18"/>
                <w:szCs w:val="18"/>
              </w:rPr>
            </w:pPr>
            <w:r>
              <w:rPr>
                <w:rFonts w:ascii="Times New Roman"/>
                <w:sz w:val="18"/>
              </w:rPr>
              <w:t>94.26%</w:t>
            </w:r>
          </w:p>
        </w:tc>
        <w:tc>
          <w:tcPr>
            <w:tcW w:w="16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36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包园投资有限公司</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江苏润和捷诚科技产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业投资有限公司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13,621,748.00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2.10%</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孙旭初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7,238,140.00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1.11%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640,707.00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北京润和汇智信息技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3,400,158.81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0.52%</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南京优芙得餐饮管理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餐费充值</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1,632,210.71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81,610.54</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638,517,996.01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98.24%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722,317.54</w:t>
            </w:r>
          </w:p>
        </w:tc>
      </w:tr>
    </w:tbl>
    <w:p>
      <w:pPr>
        <w:pStyle w:val="BodyText"/>
        <w:spacing w:line="240" w:lineRule="auto" w:before="53"/>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96" w:right="61"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pStyle w:val="BodyText"/>
        <w:spacing w:line="240" w:lineRule="auto" w:before="53"/>
        <w:ind w:right="0"/>
        <w:jc w:val="left"/>
      </w:pPr>
      <w:r>
        <w:rPr>
          <w:rFonts w:ascii="Times New Roman" w:hAnsi="Times New Roman" w:cs="Times New Roman" w:eastAsia="Times New Roman" w:hint="default"/>
          <w:spacing w:val="-3"/>
        </w:rPr>
        <w:t>7)</w:t>
      </w:r>
      <w:r>
        <w:rPr>
          <w:spacing w:val="-3"/>
        </w:rPr>
        <w:t>因金融资产转移而终止确认的其他应收款</w:t>
      </w:r>
    </w:p>
    <w:p>
      <w:pPr>
        <w:pStyle w:val="BodyText"/>
        <w:spacing w:line="338" w:lineRule="auto" w:before="106"/>
        <w:ind w:right="6287"/>
        <w:jc w:val="left"/>
      </w:pPr>
      <w:r>
        <w:rPr>
          <w:rFonts w:ascii="Times New Roman" w:hAnsi="Times New Roman" w:cs="Times New Roman" w:eastAsia="Times New Roman" w:hint="default"/>
          <w:spacing w:val="-3"/>
        </w:rPr>
        <w:t>8)</w:t>
      </w:r>
      <w:r>
        <w:rPr>
          <w:spacing w:val="-3"/>
        </w:rPr>
        <w:t>转移其他应收款且继续涉入形成的资产、负债金额</w:t>
      </w:r>
      <w:r>
        <w:rPr>
          <w:spacing w:val="-18"/>
        </w:rPr>
        <w:t> </w:t>
      </w:r>
      <w:r>
        <w:rPr>
          <w:spacing w:val="-18"/>
        </w:rPr>
      </w:r>
      <w:r>
        <w:rPr/>
        <w:t>其他说明：</w:t>
      </w:r>
    </w:p>
    <w:p>
      <w:pPr>
        <w:pStyle w:val="BodyText"/>
        <w:spacing w:line="240" w:lineRule="auto" w:before="36"/>
        <w:ind w:left="662" w:right="0"/>
        <w:jc w:val="left"/>
      </w:pPr>
      <w:r>
        <w:rPr>
          <w:spacing w:val="-3"/>
        </w:rPr>
        <w:t>其他应收款期末余额较期初余额增长</w:t>
      </w:r>
      <w:r>
        <w:rPr>
          <w:rFonts w:ascii="Times New Roman" w:hAnsi="Times New Roman" w:cs="Times New Roman" w:eastAsia="Times New Roman" w:hint="default"/>
          <w:spacing w:val="-3"/>
        </w:rPr>
        <w:t>88.06%</w:t>
      </w:r>
      <w:r>
        <w:rPr>
          <w:spacing w:val="-3"/>
        </w:rPr>
        <w:t>，主要原因是期末应收子公司往来款增加。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3,323,251,606.83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3,323,251,606.83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3,418,705,606.83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3,418,705,606.83</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46,858,875.12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46,858,875.12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14,404,988.54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14,404,988.54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3,370,110,481.95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3,370,110,481.95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3,433,110,595.37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3,433,110,595.37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BodyText"/>
        <w:spacing w:line="240" w:lineRule="auto" w:before="46"/>
        <w:ind w:left="0" w:right="1121"/>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40"/>
        <w:gridCol w:w="1335"/>
        <w:gridCol w:w="1335"/>
        <w:gridCol w:w="1335"/>
        <w:gridCol w:w="1393"/>
        <w:gridCol w:w="1388"/>
      </w:tblGrid>
      <w:tr>
        <w:trPr>
          <w:trHeight w:val="71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99" w:right="51"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102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4" w:right="218"/>
              <w:jc w:val="left"/>
              <w:rPr>
                <w:rFonts w:ascii="Times New Roman" w:hAnsi="Times New Roman" w:cs="Times New Roman" w:eastAsia="Times New Roman" w:hint="default"/>
                <w:sz w:val="18"/>
                <w:szCs w:val="18"/>
              </w:rPr>
            </w:pPr>
            <w:r>
              <w:rPr>
                <w:rFonts w:ascii="Times New Roman"/>
                <w:sz w:val="18"/>
              </w:rPr>
              <w:t>HopeRun</w:t>
            </w:r>
            <w:r>
              <w:rPr>
                <w:rFonts w:ascii="Times New Roman"/>
                <w:w w:val="101"/>
                <w:sz w:val="18"/>
              </w:rPr>
              <w:t> </w:t>
            </w:r>
            <w:r>
              <w:rPr>
                <w:rFonts w:ascii="Times New Roman"/>
                <w:spacing w:val="-3"/>
                <w:sz w:val="18"/>
              </w:rPr>
              <w:t>Technology </w:t>
            </w:r>
            <w:r>
              <w:rPr>
                <w:rFonts w:ascii="Times New Roman"/>
                <w:sz w:val="18"/>
              </w:rPr>
              <w:t>Co.,</w:t>
            </w:r>
            <w:r>
              <w:rPr>
                <w:rFonts w:ascii="Times New Roman"/>
                <w:spacing w:val="-30"/>
                <w:sz w:val="18"/>
              </w:rPr>
              <w:t> </w:t>
            </w:r>
            <w:r>
              <w:rPr>
                <w:rFonts w:ascii="Times New Roman"/>
                <w:spacing w:val="-30"/>
                <w:sz w:val="18"/>
              </w:rPr>
            </w:r>
            <w:r>
              <w:rPr>
                <w:rFonts w:ascii="Times New Roman"/>
                <w:sz w:val="18"/>
              </w:rPr>
              <w:t>Ltd.</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199,480,450.00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138,804,000.00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60,676,450.00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株式会社ホープ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ラン東京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4,856,001.00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4,856,001.00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江苏润和南京软</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155,456,135.83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155,456,135.83</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5"/>
        <w:gridCol w:w="1340"/>
        <w:gridCol w:w="1335"/>
        <w:gridCol w:w="1335"/>
        <w:gridCol w:w="1335"/>
        <w:gridCol w:w="1393"/>
        <w:gridCol w:w="1388"/>
      </w:tblGrid>
      <w:tr>
        <w:trPr>
          <w:trHeight w:val="67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47"/>
              <w:jc w:val="left"/>
              <w:rPr>
                <w:rFonts w:ascii="宋体" w:hAnsi="宋体" w:cs="宋体" w:eastAsia="宋体" w:hint="default"/>
                <w:sz w:val="18"/>
                <w:szCs w:val="18"/>
              </w:rPr>
            </w:pPr>
            <w:r>
              <w:rPr>
                <w:rFonts w:ascii="宋体" w:hAnsi="宋体" w:cs="宋体" w:eastAsia="宋体" w:hint="default"/>
                <w:spacing w:val="-3"/>
                <w:sz w:val="18"/>
                <w:szCs w:val="18"/>
              </w:rPr>
              <w:t>件外包园投资有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西安润和软件信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北京润和汇智信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上海润和信息技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术服务有限公司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北京捷科智诚科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720,000,000.00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北京联创智融信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2,197,746,900.00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2,197,746,900.00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香港润和信息技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术投资有限公司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2,466,120.00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2,466,120.00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上海菲耐得信息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pacing w:val="-9"/>
                <w:sz w:val="18"/>
                <w:szCs w:val="18"/>
              </w:rPr>
              <w:t>润和云（上海）科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广州润和颐能软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件技术有限公司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南京润和润云科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南京润辰科技有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4"/>
              <w:jc w:val="left"/>
              <w:rPr>
                <w:rFonts w:ascii="宋体" w:hAnsi="宋体" w:cs="宋体" w:eastAsia="宋体" w:hint="default"/>
                <w:sz w:val="18"/>
                <w:szCs w:val="18"/>
              </w:rPr>
            </w:pPr>
            <w:r>
              <w:rPr>
                <w:rFonts w:ascii="宋体" w:hAnsi="宋体" w:cs="宋体" w:eastAsia="宋体" w:hint="default"/>
                <w:spacing w:val="-2"/>
                <w:sz w:val="18"/>
                <w:szCs w:val="18"/>
              </w:rPr>
              <w:t>新维数联（北京）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701" w:lineRule="exact"/>
              <w:ind w:left="4"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6.3pt;height:35.1pt;mso-position-horizontal-relative:char;mso-position-vertical-relative:line" coordorigin="0,0" coordsize="1326,702">
                  <v:group style="position:absolute;left:0;top:0;width:1326;height:702" coordorigin="0,0" coordsize="1326,702">
                    <v:shape style="position:absolute;left:0;top:0;width:1326;height:702" coordorigin="0,0" coordsize="1326,702" path="m0,701l1325,701,1325,0,0,0,0,701xe" filled="true" fillcolor="#ffffff" stroked="false">
                      <v:path arrowok="t"/>
                      <v:fill type="solid"/>
                    </v:shape>
                  </v:group>
                  <v:group style="position:absolute;left:24;top:154;width:1278;height:395" coordorigin="24,154" coordsize="1278,395">
                    <v:shape style="position:absolute;left:24;top:154;width:1278;height:395" coordorigin="24,154" coordsize="1278,395" path="m24,548l1301,548,1301,154,24,154,24,548xe" filled="true" fillcolor="#ffffff" stroked="false">
                      <v:path arrowok="t"/>
                      <v:fill type="solid"/>
                    </v:shape>
                  </v:group>
                </v:group>
              </w:pict>
            </w:r>
            <w:r>
              <w:rPr>
                <w:rFonts w:ascii="宋体" w:hAnsi="宋体" w:cs="宋体" w:eastAsia="宋体" w:hint="default"/>
                <w:position w:val="-13"/>
                <w:sz w:val="20"/>
                <w:szCs w:val="20"/>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3,418,705,606.83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43,350,000.00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138,804,000.00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3,323,251,606.83</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4" w:right="36"/>
              <w:jc w:val="left"/>
              <w:rPr>
                <w:rFonts w:ascii="宋体" w:hAnsi="宋体" w:cs="宋体" w:eastAsia="宋体" w:hint="default"/>
                <w:sz w:val="18"/>
                <w:szCs w:val="18"/>
              </w:rPr>
            </w:pPr>
            <w:r>
              <w:rPr>
                <w:rFonts w:ascii="宋体" w:hAnsi="宋体" w:cs="宋体" w:eastAsia="宋体" w:hint="default"/>
                <w:sz w:val="18"/>
                <w:szCs w:val="18"/>
              </w:rPr>
              <w:t>苏州博纳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讯动软件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426,647.8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27,202,99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奥特酷智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能科技</w:t>
            </w:r>
          </w:p>
          <w:p>
            <w:pPr>
              <w:pStyle w:val="TableParagraph"/>
              <w:spacing w:line="321" w:lineRule="auto" w:before="19"/>
              <w:ind w:left="24" w:right="36"/>
              <w:jc w:val="left"/>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-344,117.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19,655,88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12,371,35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62" w:right="0"/>
        <w:jc w:val="left"/>
      </w:pPr>
      <w:r>
        <w:rPr>
          <w:rFonts w:ascii="Times New Roman" w:hAnsi="Times New Roman" w:cs="Times New Roman" w:eastAsia="Times New Roman" w:hint="default"/>
          <w:spacing w:val="-3"/>
        </w:rPr>
        <w:t>1</w:t>
      </w:r>
      <w:r>
        <w:rPr>
          <w:spacing w:val="-3"/>
        </w:rPr>
        <w:t>）本期长期股权投资增加事项如下：</w:t>
      </w:r>
    </w:p>
    <w:p>
      <w:pPr>
        <w:pStyle w:val="BodyText"/>
        <w:spacing w:line="300" w:lineRule="auto" w:before="63"/>
        <w:ind w:right="0" w:firstLine="508"/>
        <w:jc w:val="left"/>
      </w:pPr>
      <w:r>
        <w:rPr>
          <w:spacing w:val="-4"/>
        </w:rPr>
        <w:t>①</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4</w:t>
      </w:r>
      <w:r>
        <w:rPr>
          <w:spacing w:val="-4"/>
        </w:rPr>
        <w:t>日，公司召开的第五届董事会第三十二次会议审议通过了《关于公司投资设立控股子公司的议案》，公</w:t>
      </w:r>
      <w:r>
        <w:rPr>
          <w:w w:val="101"/>
        </w:rPr>
        <w:t> </w:t>
      </w:r>
      <w:r>
        <w:rPr>
          <w:spacing w:val="-3"/>
        </w:rPr>
        <w:t>司以自有资金出资</w:t>
      </w:r>
      <w:r>
        <w:rPr>
          <w:rFonts w:ascii="Times New Roman" w:hAnsi="Times New Roman" w:cs="Times New Roman" w:eastAsia="Times New Roman" w:hint="default"/>
          <w:spacing w:val="-3"/>
        </w:rPr>
        <w:t>1,650</w:t>
      </w:r>
      <w:r>
        <w:rPr>
          <w:spacing w:val="-3"/>
        </w:rPr>
        <w:t>万元人民币与南京润创信息科技合伙企业（有限合伙）、江苏众享金联科技有限公司共同出资在南</w:t>
      </w:r>
      <w:r>
        <w:rPr>
          <w:spacing w:val="77"/>
        </w:rPr>
        <w:t> </w:t>
      </w:r>
      <w:r>
        <w:rPr>
          <w:spacing w:val="77"/>
        </w:rPr>
      </w:r>
      <w:r>
        <w:rPr>
          <w:spacing w:val="-3"/>
        </w:rPr>
        <w:t>京市设立控股子公司南京润辰科技有限公司，注册资本</w:t>
      </w:r>
      <w:r>
        <w:rPr>
          <w:rFonts w:ascii="Times New Roman" w:hAnsi="Times New Roman" w:cs="Times New Roman" w:eastAsia="Times New Roman" w:hint="default"/>
          <w:spacing w:val="-3"/>
        </w:rPr>
        <w:t>3,000</w:t>
      </w:r>
      <w:r>
        <w:rPr>
          <w:spacing w:val="-3"/>
        </w:rPr>
        <w:t>万元，公司持有其</w:t>
      </w:r>
      <w:r>
        <w:rPr>
          <w:rFonts w:ascii="Times New Roman" w:hAnsi="Times New Roman" w:cs="Times New Roman" w:eastAsia="Times New Roman" w:hint="default"/>
          <w:spacing w:val="-3"/>
        </w:rPr>
        <w:t>55%</w:t>
      </w:r>
      <w:r>
        <w:rPr>
          <w:spacing w:val="-3"/>
        </w:rPr>
        <w:t>的股权。截止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日，公司已</w:t>
      </w:r>
      <w:r>
        <w:rPr>
          <w:spacing w:val="5"/>
        </w:rPr>
        <w:t> </w:t>
      </w:r>
      <w:r>
        <w:rPr>
          <w:spacing w:val="5"/>
        </w:rPr>
      </w:r>
      <w:r>
        <w:rPr/>
        <w:t>出资人民币</w:t>
      </w:r>
      <w:r>
        <w:rPr>
          <w:rFonts w:ascii="Times New Roman" w:hAnsi="Times New Roman" w:cs="Times New Roman" w:eastAsia="Times New Roman" w:hint="default"/>
        </w:rPr>
        <w:t>825</w:t>
      </w:r>
      <w:r>
        <w:rPr/>
        <w:t>万元。</w:t>
      </w:r>
    </w:p>
    <w:p>
      <w:pPr>
        <w:pStyle w:val="BodyText"/>
        <w:spacing w:line="307" w:lineRule="auto" w:before="13"/>
        <w:ind w:right="0" w:firstLine="508"/>
        <w:jc w:val="left"/>
      </w:pPr>
      <w:r>
        <w:rPr>
          <w:spacing w:val="-4"/>
        </w:rPr>
        <w:t>②</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日，公司召开的第五届董事会第三十七次会议审议通过了《关于公司增资参股新维数联（北京）科技有</w:t>
      </w:r>
      <w:r>
        <w:rPr>
          <w:w w:val="101"/>
        </w:rPr>
        <w:t> </w:t>
      </w:r>
      <w:r>
        <w:rPr>
          <w:spacing w:val="-3"/>
        </w:rPr>
        <w:t>限公司暨关联交易的议案》，公司与新维数联（北京）科技有限公司现有股东王杰、王勇、单军、梅景志、王思国、付勇、</w:t>
      </w:r>
      <w:r>
        <w:rPr>
          <w:spacing w:val="67"/>
        </w:rPr>
        <w:t> </w:t>
      </w:r>
      <w:r>
        <w:rPr>
          <w:spacing w:val="67"/>
        </w:rPr>
      </w:r>
      <w:r>
        <w:rPr>
          <w:spacing w:val="-4"/>
        </w:rPr>
        <w:t>丁亚雄、罗志雄、北京双维众联科技中心（有限合伙）签署了《关于新维数联（北京）科技有限公司之增资协议》（以下简</w:t>
      </w:r>
      <w:r>
        <w:rPr>
          <w:spacing w:val="40"/>
        </w:rPr>
        <w:t> </w:t>
      </w:r>
      <w:r>
        <w:rPr>
          <w:spacing w:val="40"/>
        </w:rPr>
      </w:r>
      <w:r>
        <w:rPr>
          <w:spacing w:val="-3"/>
        </w:rPr>
        <w:t>称</w:t>
      </w:r>
      <w:r>
        <w:rPr>
          <w:rFonts w:ascii="Times New Roman" w:hAnsi="Times New Roman" w:cs="Times New Roman" w:eastAsia="Times New Roman" w:hint="default"/>
          <w:spacing w:val="-3"/>
        </w:rPr>
        <w:t>“</w:t>
      </w:r>
      <w:r>
        <w:rPr>
          <w:spacing w:val="-3"/>
        </w:rPr>
        <w:t>增资协议</w:t>
      </w:r>
      <w:r>
        <w:rPr>
          <w:rFonts w:ascii="Times New Roman" w:hAnsi="Times New Roman" w:cs="Times New Roman" w:eastAsia="Times New Roman" w:hint="default"/>
          <w:spacing w:val="-3"/>
        </w:rPr>
        <w:t>”</w:t>
      </w:r>
      <w:r>
        <w:rPr>
          <w:spacing w:val="-3"/>
        </w:rPr>
        <w:t>），公司以自有资金共计</w:t>
      </w:r>
      <w:r>
        <w:rPr>
          <w:rFonts w:ascii="Times New Roman" w:hAnsi="Times New Roman" w:cs="Times New Roman" w:eastAsia="Times New Roman" w:hint="default"/>
          <w:spacing w:val="-3"/>
        </w:rPr>
        <w:t>3,000</w:t>
      </w:r>
      <w:r>
        <w:rPr>
          <w:spacing w:val="-3"/>
        </w:rPr>
        <w:t>万元人民币向新维数联（北京）科技有限公司增资。截止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日，新</w:t>
      </w:r>
      <w:r>
        <w:rPr>
          <w:spacing w:val="5"/>
        </w:rPr>
        <w:t> </w:t>
      </w:r>
      <w:r>
        <w:rPr>
          <w:spacing w:val="5"/>
        </w:rPr>
      </w:r>
      <w:r>
        <w:rPr>
          <w:spacing w:val="-3"/>
        </w:rPr>
        <w:t>维数联已办理完毕本次增资相关的工商变更登记手续且公司已经实际出资人民币</w:t>
      </w:r>
      <w:r>
        <w:rPr>
          <w:rFonts w:ascii="Times New Roman" w:hAnsi="Times New Roman" w:cs="Times New Roman" w:eastAsia="Times New Roman" w:hint="default"/>
          <w:spacing w:val="-3"/>
        </w:rPr>
        <w:t>1,500</w:t>
      </w:r>
      <w:r>
        <w:rPr>
          <w:spacing w:val="-3"/>
        </w:rPr>
        <w:t>万元。根据新维数联股东王杰与本公</w:t>
      </w:r>
      <w:r>
        <w:rPr>
          <w:spacing w:val="73"/>
        </w:rPr>
        <w:t> </w:t>
      </w:r>
      <w:r>
        <w:rPr>
          <w:spacing w:val="73"/>
        </w:rPr>
      </w:r>
      <w:r>
        <w:rPr>
          <w:spacing w:val="-3"/>
        </w:rPr>
        <w:t>司签订的股东会表决权委托协议，王杰将其持有的新维数联全部</w:t>
      </w:r>
      <w:r>
        <w:rPr>
          <w:rFonts w:ascii="Times New Roman" w:hAnsi="Times New Roman" w:cs="Times New Roman" w:eastAsia="Times New Roman" w:hint="default"/>
          <w:spacing w:val="-3"/>
        </w:rPr>
        <w:t>36.953%</w:t>
      </w:r>
      <w:r>
        <w:rPr>
          <w:spacing w:val="-3"/>
        </w:rPr>
        <w:t>股权对应股东会表决权委托予本公司，截止</w:t>
      </w:r>
      <w:r>
        <w:rPr>
          <w:rFonts w:ascii="Times New Roman" w:hAnsi="Times New Roman" w:cs="Times New Roman" w:eastAsia="Times New Roman" w:hint="default"/>
          <w:spacing w:val="-3"/>
        </w:rPr>
        <w:t>2018</w:t>
      </w:r>
      <w:r>
        <w:rPr>
          <w:spacing w:val="-3"/>
        </w:rPr>
        <w:t>年</w:t>
      </w:r>
      <w:r>
        <w:rPr>
          <w:spacing w:val="8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日，本公司合计持有新维数联</w:t>
      </w:r>
      <w:r>
        <w:rPr>
          <w:rFonts w:ascii="Times New Roman" w:hAnsi="Times New Roman" w:cs="Times New Roman" w:eastAsia="Times New Roman" w:hint="default"/>
        </w:rPr>
        <w:t>66.953%</w:t>
      </w:r>
      <w:r>
        <w:rPr/>
        <w:t>表决权。</w:t>
      </w:r>
    </w:p>
    <w:p>
      <w:pPr>
        <w:pStyle w:val="BodyText"/>
        <w:spacing w:line="300" w:lineRule="auto" w:before="7"/>
        <w:ind w:right="1171" w:firstLine="508"/>
        <w:jc w:val="both"/>
      </w:pPr>
      <w:r>
        <w:rPr>
          <w:spacing w:val="-3"/>
        </w:rPr>
        <w:t>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日，公司召开的第五届董事会第三十八次审议通过了《关于公司投资设立控股子公司的议案》，公司</w:t>
      </w:r>
      <w:r>
        <w:rPr>
          <w:w w:val="101"/>
        </w:rPr>
        <w:t> </w:t>
      </w:r>
      <w:r>
        <w:rPr>
          <w:spacing w:val="-3"/>
        </w:rPr>
        <w:t>以自有资金出资</w:t>
      </w:r>
      <w:r>
        <w:rPr>
          <w:rFonts w:ascii="Times New Roman" w:hAnsi="Times New Roman" w:cs="Times New Roman" w:eastAsia="Times New Roman" w:hint="default"/>
          <w:spacing w:val="-3"/>
        </w:rPr>
        <w:t>510</w:t>
      </w:r>
      <w:r>
        <w:rPr>
          <w:spacing w:val="-3"/>
        </w:rPr>
        <w:t>万元人民币与南京米露琪亚信息科技合伙企业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共同出资在南京市设立控股子公司南京润和润</w:t>
      </w:r>
      <w:r>
        <w:rPr>
          <w:spacing w:val="78"/>
        </w:rPr>
        <w:t> </w:t>
      </w:r>
      <w:r>
        <w:rPr>
          <w:spacing w:val="78"/>
        </w:rPr>
      </w:r>
      <w:r>
        <w:rPr>
          <w:spacing w:val="-3"/>
        </w:rPr>
        <w:t>云科技有限公司，注册资本</w:t>
      </w:r>
      <w:r>
        <w:rPr>
          <w:rFonts w:ascii="Times New Roman" w:hAnsi="Times New Roman" w:cs="Times New Roman" w:eastAsia="Times New Roman" w:hint="default"/>
          <w:spacing w:val="-3"/>
        </w:rPr>
        <w:t>1,000</w:t>
      </w:r>
      <w:r>
        <w:rPr>
          <w:spacing w:val="-3"/>
        </w:rPr>
        <w:t>万元，公司持有其</w:t>
      </w:r>
      <w:r>
        <w:rPr>
          <w:rFonts w:ascii="Times New Roman" w:hAnsi="Times New Roman" w:cs="Times New Roman" w:eastAsia="Times New Roman" w:hint="default"/>
          <w:spacing w:val="-3"/>
        </w:rPr>
        <w:t>51%</w:t>
      </w:r>
      <w:r>
        <w:rPr>
          <w:spacing w:val="-3"/>
        </w:rPr>
        <w:t>的股权。截止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日，公司已出资人民币</w:t>
      </w:r>
      <w:r>
        <w:rPr>
          <w:rFonts w:ascii="Times New Roman" w:hAnsi="Times New Roman" w:cs="Times New Roman" w:eastAsia="Times New Roman" w:hint="default"/>
          <w:spacing w:val="-3"/>
        </w:rPr>
        <w:t>510</w:t>
      </w:r>
      <w:r>
        <w:rPr>
          <w:spacing w:val="-3"/>
        </w:rPr>
        <w:t>万元。</w:t>
      </w:r>
    </w:p>
    <w:p>
      <w:pPr>
        <w:pStyle w:val="BodyText"/>
        <w:spacing w:line="240" w:lineRule="auto" w:before="13"/>
        <w:ind w:left="662" w:right="0"/>
        <w:jc w:val="left"/>
      </w:pPr>
      <w:r>
        <w:rPr>
          <w:rFonts w:ascii="Times New Roman" w:hAnsi="Times New Roman" w:cs="Times New Roman" w:eastAsia="Times New Roman" w:hint="default"/>
          <w:spacing w:val="-3"/>
        </w:rPr>
        <w:t>2</w:t>
      </w:r>
      <w:r>
        <w:rPr>
          <w:spacing w:val="-3"/>
        </w:rPr>
        <w:t>）本期长期股权投资减少事项如下：</w:t>
      </w:r>
    </w:p>
    <w:p>
      <w:pPr>
        <w:pStyle w:val="BodyText"/>
        <w:spacing w:line="300" w:lineRule="auto" w:before="63"/>
        <w:ind w:right="1026" w:firstLine="508"/>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日，公司召开的第五届董事会第四十一次会议审议通过了《关于公司对美国全资子公司减资的议案》，</w:t>
      </w:r>
      <w:r>
        <w:rPr>
          <w:w w:val="101"/>
        </w:rPr>
        <w:t> </w:t>
      </w:r>
      <w:r>
        <w:rPr>
          <w:spacing w:val="-3"/>
        </w:rPr>
        <w:t>并经</w:t>
      </w:r>
      <w:r>
        <w:rPr>
          <w:rFonts w:ascii="Times New Roman" w:hAnsi="Times New Roman" w:cs="Times New Roman" w:eastAsia="Times New Roman" w:hint="default"/>
          <w:spacing w:val="-3"/>
        </w:rPr>
        <w:t>2018</w:t>
      </w:r>
      <w:r>
        <w:rPr>
          <w:spacing w:val="-3"/>
        </w:rPr>
        <w:t>年第四次临时股东大会审议通过，同意波士顿润和减资</w:t>
      </w:r>
      <w:r>
        <w:rPr>
          <w:rFonts w:ascii="Times New Roman" w:hAnsi="Times New Roman" w:cs="Times New Roman" w:eastAsia="Times New Roman" w:hint="default"/>
          <w:spacing w:val="-3"/>
        </w:rPr>
        <w:t>2,000</w:t>
      </w:r>
      <w:r>
        <w:rPr>
          <w:spacing w:val="-3"/>
        </w:rPr>
        <w:t>万美元。本次减资完成后，波士顿润和授权资本减少</w:t>
      </w:r>
      <w:r>
        <w:rPr>
          <w:spacing w:val="78"/>
        </w:rPr>
        <w:t> </w:t>
      </w:r>
      <w:r>
        <w:rPr>
          <w:spacing w:val="78"/>
        </w:rPr>
      </w:r>
      <w:r>
        <w:rPr>
          <w:spacing w:val="-3"/>
        </w:rPr>
        <w:t>至</w:t>
      </w:r>
      <w:r>
        <w:rPr>
          <w:rFonts w:ascii="Times New Roman" w:hAnsi="Times New Roman" w:cs="Times New Roman" w:eastAsia="Times New Roman" w:hint="default"/>
          <w:spacing w:val="-3"/>
        </w:rPr>
        <w:t>1,000</w:t>
      </w:r>
      <w:r>
        <w:rPr>
          <w:spacing w:val="-3"/>
        </w:rPr>
        <w:t>万美元，公司仍持有其</w:t>
      </w:r>
      <w:r>
        <w:rPr>
          <w:rFonts w:ascii="Times New Roman" w:hAnsi="Times New Roman" w:cs="Times New Roman" w:eastAsia="Times New Roman" w:hint="default"/>
          <w:spacing w:val="-3"/>
        </w:rPr>
        <w:t>100%</w:t>
      </w:r>
      <w:r>
        <w:rPr>
          <w:spacing w:val="-3"/>
        </w:rPr>
        <w:t>的股权。截止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日，波士顿润和已完成本次减资</w:t>
      </w:r>
      <w:r>
        <w:rPr>
          <w:rFonts w:ascii="Times New Roman" w:hAnsi="Times New Roman" w:cs="Times New Roman" w:eastAsia="Times New Roman" w:hint="default"/>
          <w:spacing w:val="-3"/>
        </w:rPr>
        <w:t>2,000</w:t>
      </w:r>
      <w:r>
        <w:rPr>
          <w:spacing w:val="-3"/>
        </w:rPr>
        <w:t>万美元，折合人民币</w:t>
      </w:r>
      <w:r>
        <w:rPr>
          <w:spacing w:val="5"/>
        </w:rPr>
        <w:t> </w:t>
      </w:r>
      <w:r>
        <w:rPr>
          <w:spacing w:val="5"/>
        </w:rPr>
      </w:r>
      <w:r>
        <w:rPr>
          <w:rFonts w:ascii="Times New Roman" w:hAnsi="Times New Roman" w:cs="Times New Roman" w:eastAsia="Times New Roman" w:hint="default"/>
        </w:rPr>
        <w:t>13,880.40</w:t>
      </w:r>
      <w:r>
        <w:rPr/>
        <w:t>万元。</w:t>
      </w:r>
    </w:p>
    <w:p>
      <w:pPr>
        <w:pStyle w:val="BodyText"/>
        <w:spacing w:line="240" w:lineRule="auto" w:before="13"/>
        <w:ind w:left="662" w:right="0"/>
        <w:jc w:val="left"/>
      </w:pPr>
      <w:r>
        <w:rPr>
          <w:rFonts w:ascii="Times New Roman" w:hAnsi="Times New Roman" w:cs="Times New Roman" w:eastAsia="Times New Roman" w:hint="default"/>
          <w:spacing w:val="-3"/>
        </w:rPr>
        <w:t>3</w:t>
      </w:r>
      <w:r>
        <w:rPr>
          <w:spacing w:val="-3"/>
        </w:rPr>
        <w:t>）本期对联营、合约企业投资详见附注七、</w:t>
      </w:r>
      <w:r>
        <w:rPr>
          <w:rFonts w:ascii="Times New Roman" w:hAnsi="Times New Roman" w:cs="Times New Roman" w:eastAsia="Times New Roman" w:hint="default"/>
          <w:spacing w:val="-3"/>
        </w:rPr>
        <w:t>14</w:t>
      </w:r>
      <w:r>
        <w:rPr>
          <w:spacing w:val="-3"/>
        </w:rPr>
        <w:t>、长期股权投资。</w:t>
      </w:r>
    </w:p>
    <w:p>
      <w:pPr>
        <w:pStyle w:val="BodyText"/>
        <w:spacing w:line="240" w:lineRule="auto" w:before="63"/>
        <w:ind w:left="662" w:right="0"/>
        <w:jc w:val="left"/>
      </w:pPr>
      <w:r>
        <w:rPr>
          <w:rFonts w:ascii="Times New Roman" w:hAnsi="Times New Roman" w:cs="Times New Roman" w:eastAsia="Times New Roman" w:hint="default"/>
          <w:spacing w:val="-3"/>
        </w:rPr>
        <w:t>4</w:t>
      </w:r>
      <w:r>
        <w:rPr>
          <w:spacing w:val="-3"/>
        </w:rPr>
        <w:t>）本年内长期股权投资没有发生减值的情形，故未计提长期股权投资减值准备。</w:t>
      </w:r>
    </w:p>
    <w:p>
      <w:pPr>
        <w:pStyle w:val="BodyText"/>
        <w:spacing w:line="240" w:lineRule="auto" w:before="63"/>
        <w:ind w:left="662" w:right="0"/>
        <w:jc w:val="left"/>
      </w:pPr>
      <w:r>
        <w:rPr>
          <w:rFonts w:ascii="Times New Roman" w:hAnsi="Times New Roman" w:cs="Times New Roman" w:eastAsia="Times New Roman" w:hint="default"/>
          <w:spacing w:val="-3"/>
        </w:rPr>
        <w:t>5</w:t>
      </w:r>
      <w:r>
        <w:rPr>
          <w:spacing w:val="-3"/>
        </w:rPr>
        <w:t>）本公司投资变现及投资收益汇回无重大限制。</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1" w:right="0"/>
              <w:jc w:val="left"/>
              <w:rPr>
                <w:rFonts w:ascii="Times New Roman" w:hAnsi="Times New Roman" w:cs="Times New Roman" w:eastAsia="Times New Roman" w:hint="default"/>
                <w:sz w:val="18"/>
                <w:szCs w:val="18"/>
              </w:rPr>
            </w:pPr>
            <w:r>
              <w:rPr>
                <w:rFonts w:ascii="Times New Roman"/>
                <w:sz w:val="18"/>
              </w:rPr>
              <w:t>799,189,754.94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599,990,067.89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587,285,829.02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427,613,194.55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1" w:right="0"/>
              <w:jc w:val="left"/>
              <w:rPr>
                <w:rFonts w:ascii="Times New Roman" w:hAnsi="Times New Roman" w:cs="Times New Roman" w:eastAsia="Times New Roman" w:hint="default"/>
                <w:sz w:val="18"/>
                <w:szCs w:val="18"/>
              </w:rPr>
            </w:pPr>
            <w:r>
              <w:rPr>
                <w:rFonts w:ascii="Times New Roman"/>
                <w:sz w:val="18"/>
              </w:rPr>
              <w:t>799,189,754.94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599,990,067.89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587,285,829.02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427,613,194.55</w:t>
            </w:r>
          </w:p>
        </w:tc>
      </w:tr>
    </w:tbl>
    <w:p>
      <w:pPr>
        <w:pStyle w:val="BodyText"/>
        <w:spacing w:line="240" w:lineRule="auto" w:before="53"/>
        <w:ind w:right="0"/>
        <w:jc w:val="left"/>
      </w:pPr>
      <w:r>
        <w:rPr/>
        <w:t>其他说明：</w:t>
      </w:r>
    </w:p>
    <w:p>
      <w:pPr>
        <w:pStyle w:val="BodyText"/>
        <w:spacing w:line="300" w:lineRule="auto" w:before="110"/>
        <w:ind w:right="0" w:firstLine="508"/>
        <w:jc w:val="left"/>
      </w:pPr>
      <w:r>
        <w:rPr>
          <w:spacing w:val="-4"/>
        </w:rPr>
        <w:t>营业收入本年发生额较上年增长</w:t>
      </w:r>
      <w:r>
        <w:rPr>
          <w:rFonts w:ascii="Times New Roman" w:hAnsi="Times New Roman" w:cs="Times New Roman" w:eastAsia="Times New Roman" w:hint="default"/>
          <w:spacing w:val="-4"/>
        </w:rPr>
        <w:t>36.08%</w:t>
      </w:r>
      <w:r>
        <w:rPr>
          <w:spacing w:val="-4"/>
        </w:rPr>
        <w:t>，营业成本本年发生额较上年增长</w:t>
      </w:r>
      <w:r>
        <w:rPr>
          <w:rFonts w:ascii="Times New Roman" w:hAnsi="Times New Roman" w:cs="Times New Roman" w:eastAsia="Times New Roman" w:hint="default"/>
          <w:spacing w:val="-4"/>
        </w:rPr>
        <w:t>40.31%</w:t>
      </w:r>
      <w:r>
        <w:rPr>
          <w:spacing w:val="-4"/>
        </w:rPr>
        <w:t>，主要原因是本年业务拓展、销售规</w:t>
      </w:r>
      <w:r>
        <w:rPr>
          <w:w w:val="101"/>
        </w:rPr>
        <w:t> </w:t>
      </w:r>
      <w:r>
        <w:rPr>
          <w:spacing w:val="-3"/>
        </w:rPr>
        <w:t>模扩大，各业务板块营业收入与营业成本均有不同幅度增长。</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236,071,500.00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82,530.00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-1,535,558.73</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4,819,215.66</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丧失控制权后，剩余股权按公允价值重新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计量产生的利得</w:t>
            </w:r>
          </w:p>
        </w:tc>
        <w:tc>
          <w:tcPr>
            <w:tcW w:w="3058"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-1,938,106.91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金融机构理财产品投资收益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11,811,925.33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161,894,455.33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237,417,050.02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583,372.19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15,766,936.92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7"/>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2,027,000.00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3,640,374.26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-1,385,427.85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5,776,000.00</w:t>
            </w:r>
          </w:p>
        </w:tc>
        <w:tc>
          <w:tcPr>
            <w:tcW w:w="3189" w:type="dxa"/>
            <w:vMerge w:val="restart"/>
            <w:tcBorders>
              <w:top w:val="single" w:sz="4" w:space="0" w:color="000000"/>
              <w:left w:val="single" w:sz="4" w:space="0" w:color="000000"/>
              <w:right w:val="single" w:sz="4" w:space="0" w:color="000000"/>
            </w:tcBorders>
          </w:tcPr>
          <w:p>
            <w:pPr>
              <w:pStyle w:val="TableParagraph"/>
              <w:spacing w:line="321" w:lineRule="auto" w:before="54"/>
              <w:ind w:left="23" w:right="90"/>
              <w:jc w:val="left"/>
              <w:rPr>
                <w:rFonts w:ascii="宋体" w:hAnsi="宋体" w:cs="宋体" w:eastAsia="宋体" w:hint="default"/>
                <w:sz w:val="18"/>
                <w:szCs w:val="18"/>
              </w:rPr>
            </w:pPr>
            <w:r>
              <w:rPr>
                <w:rFonts w:ascii="宋体" w:hAnsi="宋体" w:cs="宋体" w:eastAsia="宋体" w:hint="default"/>
                <w:spacing w:val="-3"/>
                <w:sz w:val="18"/>
                <w:szCs w:val="18"/>
              </w:rPr>
              <w:t>系境外子公司波士顿润和本期减资形成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的汇兑损益。</w:t>
            </w:r>
          </w:p>
        </w:tc>
      </w:tr>
      <w:tr>
        <w:trPr>
          <w:trHeight w:val="394"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58"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158"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4,215,699.63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18,211.83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22,174,344.06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26"/>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6"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0.40</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0.37</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312"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4"/>
        </w:rPr>
        <w:t> </w:t>
      </w:r>
      <w:r>
        <w:rPr>
          <w:spacing w:val="24"/>
        </w:rPr>
      </w:r>
      <w:r>
        <w:rPr/>
        <w:t>明该境外机构的名称</w:t>
      </w:r>
      <w:r>
        <w:rPr>
          <w:b w:val="0"/>
          <w:bCs w:val="0"/>
        </w:rPr>
      </w:r>
    </w:p>
    <w:p>
      <w:pPr>
        <w:spacing w:line="240" w:lineRule="auto" w:before="1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0"/>
          <w:szCs w:val="10"/>
        </w:rPr>
      </w:pPr>
    </w:p>
    <w:p>
      <w:pPr>
        <w:pStyle w:val="Heading1"/>
        <w:spacing w:line="458" w:lineRule="exact"/>
        <w:ind w:left="3283" w:right="0"/>
        <w:jc w:val="left"/>
        <w:rPr>
          <w:b w:val="0"/>
          <w:bCs w:val="0"/>
        </w:rPr>
      </w:pPr>
      <w:bookmarkStart w:name="_bookmark10" w:id="11"/>
      <w:bookmarkEnd w:id="11"/>
      <w:r>
        <w:rPr>
          <w:b w:val="0"/>
          <w:bCs w:val="0"/>
        </w:rPr>
      </w:r>
      <w:r>
        <w:rPr/>
        <w:t>第十二节 </w:t>
      </w:r>
      <w:r>
        <w:rPr>
          <w:spacing w:val="14"/>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00" w:lineRule="auto"/>
        <w:ind w:right="0" w:firstLine="508"/>
        <w:jc w:val="left"/>
      </w:pPr>
      <w:r>
        <w:rPr>
          <w:rFonts w:ascii="Times New Roman" w:hAnsi="Times New Roman" w:cs="Times New Roman" w:eastAsia="Times New Roman" w:hint="default"/>
          <w:spacing w:val="-3"/>
        </w:rPr>
        <w:t>1</w:t>
      </w:r>
      <w:r>
        <w:rPr>
          <w:spacing w:val="-3"/>
        </w:rPr>
        <w:t>、载有公司负责人周红卫先生、主管会计工作负责人邵峰先生、会计机构负责人（主管会计人员）张新宇女士签名</w:t>
      </w:r>
      <w:r>
        <w:rPr>
          <w:w w:val="101"/>
        </w:rPr>
        <w:t> </w:t>
      </w:r>
      <w:r>
        <w:rPr>
          <w:spacing w:val="-3"/>
        </w:rPr>
        <w:t>并盖章的财务报表原件；</w:t>
      </w:r>
    </w:p>
    <w:p>
      <w:pPr>
        <w:pStyle w:val="BodyText"/>
        <w:spacing w:line="240" w:lineRule="auto" w:before="31"/>
        <w:ind w:left="662" w:right="0"/>
        <w:jc w:val="left"/>
      </w:pPr>
      <w:r>
        <w:rPr>
          <w:rFonts w:ascii="Times New Roman" w:hAnsi="Times New Roman" w:cs="Times New Roman" w:eastAsia="Times New Roman" w:hint="default"/>
          <w:spacing w:val="-3"/>
        </w:rPr>
        <w:t>2</w:t>
      </w:r>
      <w:r>
        <w:rPr>
          <w:spacing w:val="-3"/>
        </w:rPr>
        <w:t>、载有会计师事务所盖章、注册会计师签名并盖章的审计报告原件；</w:t>
      </w:r>
    </w:p>
    <w:p>
      <w:pPr>
        <w:pStyle w:val="BodyText"/>
        <w:spacing w:line="240" w:lineRule="auto" w:before="63"/>
        <w:ind w:left="662" w:right="0"/>
        <w:jc w:val="left"/>
      </w:pPr>
      <w:r>
        <w:rPr>
          <w:rFonts w:ascii="Times New Roman" w:hAnsi="Times New Roman" w:cs="Times New Roman" w:eastAsia="Times New Roman" w:hint="default"/>
          <w:spacing w:val="-3"/>
        </w:rPr>
        <w:t>3</w:t>
      </w:r>
      <w:r>
        <w:rPr>
          <w:spacing w:val="-3"/>
        </w:rPr>
        <w:t>、报告期内在中国证监会创业板指定信息披露网站披露过的所有文件的正本及公告的原稿；</w:t>
      </w:r>
    </w:p>
    <w:p>
      <w:pPr>
        <w:pStyle w:val="BodyText"/>
        <w:spacing w:line="240" w:lineRule="auto" w:before="63"/>
        <w:ind w:left="662" w:right="0"/>
        <w:jc w:val="left"/>
      </w:pPr>
      <w:r>
        <w:rPr>
          <w:rFonts w:ascii="Times New Roman" w:hAnsi="Times New Roman" w:cs="Times New Roman" w:eastAsia="Times New Roman" w:hint="default"/>
          <w:spacing w:val="-3"/>
        </w:rPr>
        <w:t>4</w:t>
      </w:r>
      <w:r>
        <w:rPr>
          <w:spacing w:val="-3"/>
        </w:rPr>
        <w:t>、载有公司法定代表人签名的</w:t>
      </w:r>
      <w:r>
        <w:rPr>
          <w:rFonts w:ascii="Times New Roman" w:hAnsi="Times New Roman" w:cs="Times New Roman" w:eastAsia="Times New Roman" w:hint="default"/>
          <w:spacing w:val="-3"/>
        </w:rPr>
        <w:t>2018</w:t>
      </w:r>
      <w:r>
        <w:rPr>
          <w:spacing w:val="-3"/>
        </w:rPr>
        <w:t>年年度报告文本原件；</w:t>
      </w:r>
    </w:p>
    <w:p>
      <w:pPr>
        <w:pStyle w:val="BodyText"/>
        <w:spacing w:line="300" w:lineRule="auto" w:before="63"/>
        <w:ind w:left="662" w:right="6287"/>
        <w:jc w:val="left"/>
      </w:pPr>
      <w:r>
        <w:rPr>
          <w:rFonts w:ascii="Times New Roman" w:hAnsi="Times New Roman" w:cs="Times New Roman" w:eastAsia="Times New Roman" w:hint="default"/>
          <w:spacing w:val="-3"/>
        </w:rPr>
        <w:t>5</w:t>
      </w:r>
      <w:r>
        <w:rPr>
          <w:spacing w:val="-3"/>
        </w:rPr>
        <w:t>、其他有关资料。</w:t>
      </w:r>
      <w:r>
        <w:rPr>
          <w:spacing w:val="-63"/>
        </w:rPr>
        <w:t> </w:t>
      </w:r>
      <w:r>
        <w:rPr>
          <w:spacing w:val="-63"/>
        </w:rPr>
      </w:r>
      <w:r>
        <w:rPr>
          <w:spacing w:val="-3"/>
        </w:rPr>
        <w:t>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9835" w:val="left" w:leader="none"/>
        </w:tabs>
        <w:spacing w:line="240" w:lineRule="auto"/>
        <w:ind w:left="6549" w:right="0"/>
        <w:jc w:val="left"/>
        <w:rPr>
          <w:rFonts w:ascii="Times New Roman" w:hAnsi="Times New Roman" w:cs="Times New Roman" w:eastAsia="Times New Roman" w:hint="default"/>
        </w:rPr>
      </w:pPr>
      <w:r>
        <w:rPr>
          <w:w w:val="101"/>
        </w:rPr>
        <w:t>法</w:t>
      </w:r>
      <w:r>
        <w:rPr>
          <w:spacing w:val="-5"/>
          <w:w w:val="101"/>
        </w:rPr>
        <w:t>定</w:t>
      </w:r>
      <w:r>
        <w:rPr>
          <w:w w:val="101"/>
        </w:rPr>
        <w:t>代</w:t>
      </w:r>
      <w:r>
        <w:rPr>
          <w:spacing w:val="-5"/>
          <w:w w:val="101"/>
        </w:rPr>
        <w:t>表</w:t>
      </w:r>
      <w:r>
        <w:rPr>
          <w:w w:val="101"/>
        </w:rPr>
        <w:t>人</w:t>
      </w:r>
      <w:r>
        <w:rPr>
          <w:spacing w:val="-5"/>
          <w:w w:val="101"/>
        </w:rPr>
        <w:t>（</w:t>
      </w:r>
      <w:r>
        <w:rPr>
          <w:w w:val="101"/>
        </w:rPr>
        <w:t>签字</w:t>
      </w:r>
      <w:r>
        <w:rPr>
          <w:spacing w:val="-96"/>
          <w:w w:val="101"/>
        </w:rPr>
        <w:t>）</w:t>
      </w:r>
      <w:r>
        <w:rPr>
          <w:w w:val="101"/>
        </w:rPr>
        <w:t>：</w:t>
      </w:r>
      <w:r>
        <w:rPr>
          <w:rFonts w:ascii="Times New Roman" w:hAnsi="Times New Roman" w:cs="Times New Roman" w:eastAsia="Times New Roman" w:hint="default"/>
          <w:w w:val="101"/>
        </w:rPr>
      </w:r>
      <w:r>
        <w:rPr>
          <w:rFonts w:ascii="Times New Roman" w:hAnsi="Times New Roman" w:cs="Times New Roman" w:eastAsia="Times New Roman" w:hint="default"/>
          <w:w w:val="101"/>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p>
    <w:p>
      <w:pPr>
        <w:pStyle w:val="BodyText"/>
        <w:spacing w:line="240" w:lineRule="auto" w:before="76"/>
        <w:ind w:left="8532" w:right="0"/>
        <w:jc w:val="left"/>
      </w:pPr>
      <w:r>
        <w:rPr/>
        <w:t>周红卫</w:t>
      </w:r>
    </w:p>
    <w:p>
      <w:pPr>
        <w:spacing w:line="240" w:lineRule="auto" w:before="0"/>
        <w:rPr>
          <w:rFonts w:ascii="宋体" w:hAnsi="宋体" w:cs="宋体" w:eastAsia="宋体" w:hint="default"/>
          <w:sz w:val="18"/>
          <w:szCs w:val="18"/>
        </w:rPr>
      </w:pPr>
    </w:p>
    <w:p>
      <w:pPr>
        <w:pStyle w:val="BodyText"/>
        <w:spacing w:line="240" w:lineRule="auto" w:before="153"/>
        <w:ind w:left="6462" w:right="0"/>
        <w:jc w:val="left"/>
      </w:pPr>
      <w:r>
        <w:rPr>
          <w:w w:val="101"/>
        </w:rPr>
        <w:t>公</w:t>
      </w:r>
      <w:r>
        <w:rPr>
          <w:spacing w:val="-5"/>
          <w:w w:val="101"/>
        </w:rPr>
        <w:t>司</w:t>
      </w:r>
      <w:r>
        <w:rPr>
          <w:w w:val="101"/>
        </w:rPr>
        <w:t>（</w:t>
      </w:r>
      <w:r>
        <w:rPr>
          <w:spacing w:val="-5"/>
          <w:w w:val="101"/>
        </w:rPr>
        <w:t>盖</w:t>
      </w:r>
      <w:r>
        <w:rPr>
          <w:w w:val="101"/>
        </w:rPr>
        <w:t>章</w:t>
      </w:r>
      <w:r>
        <w:rPr>
          <w:spacing w:val="-92"/>
          <w:w w:val="101"/>
        </w:rPr>
        <w:t>）</w:t>
      </w:r>
      <w:r>
        <w:rPr>
          <w:spacing w:val="-5"/>
          <w:w w:val="101"/>
        </w:rPr>
        <w:t>：</w:t>
      </w:r>
      <w:r>
        <w:rPr>
          <w:w w:val="101"/>
        </w:rPr>
        <w:t>江</w:t>
      </w:r>
      <w:r>
        <w:rPr>
          <w:spacing w:val="-5"/>
          <w:w w:val="101"/>
        </w:rPr>
        <w:t>苏</w:t>
      </w:r>
      <w:r>
        <w:rPr>
          <w:w w:val="101"/>
        </w:rPr>
        <w:t>润</w:t>
      </w:r>
      <w:r>
        <w:rPr>
          <w:spacing w:val="-5"/>
          <w:w w:val="101"/>
        </w:rPr>
        <w:t>和</w:t>
      </w:r>
      <w:r>
        <w:rPr>
          <w:w w:val="101"/>
        </w:rPr>
        <w:t>软</w:t>
      </w:r>
      <w:r>
        <w:rPr>
          <w:spacing w:val="-5"/>
          <w:w w:val="101"/>
        </w:rPr>
        <w:t>件</w:t>
      </w:r>
      <w:r>
        <w:rPr>
          <w:w w:val="101"/>
        </w:rPr>
        <w:t>股</w:t>
      </w:r>
      <w:r>
        <w:rPr>
          <w:spacing w:val="-5"/>
          <w:w w:val="101"/>
        </w:rPr>
        <w:t>份</w:t>
      </w:r>
      <w:r>
        <w:rPr>
          <w:w w:val="101"/>
        </w:rPr>
        <w:t>有</w:t>
      </w:r>
      <w:r>
        <w:rPr>
          <w:spacing w:val="-5"/>
          <w:w w:val="101"/>
        </w:rPr>
        <w:t>限</w:t>
      </w:r>
      <w:r>
        <w:rPr>
          <w:w w:val="101"/>
        </w:rPr>
        <w:t>公司</w:t>
      </w:r>
      <w:r>
        <w:rPr/>
      </w:r>
    </w:p>
    <w:p>
      <w:pPr>
        <w:pStyle w:val="BodyText"/>
        <w:spacing w:line="240" w:lineRule="auto" w:before="76"/>
        <w:ind w:left="0" w:right="1842"/>
        <w:jc w:val="righ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504" type="#_x0000_t75" stroked="false">
          <v:imagedata r:id="rId1" o:title=""/>
        </v:shape>
      </w:pict>
    </w:r>
    <w:r>
      <w:rPr/>
      <w:pict>
        <v:shape style="position:absolute;margin-left:533.219971pt;margin-top:795.661377pt;width:6.6pt;height:11.15pt;mso-position-horizontal-relative:page;mso-position-vertical-relative:page;z-index:-120148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456" type="#_x0000_t75" stroked="false">
          <v:imagedata r:id="rId1" o:title=""/>
        </v:shape>
      </w:pict>
    </w:r>
    <w:r>
      <w:rPr/>
      <w:pict>
        <v:shape style="position:absolute;margin-left:527.900024pt;margin-top:781.981384pt;width:13.15pt;height:11.15pt;mso-position-horizontal-relative:page;mso-position-vertical-relative:page;z-index:-12014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408" type="#_x0000_t75" stroked="false">
          <v:imagedata r:id="rId1" o:title=""/>
        </v:shape>
      </w:pict>
    </w:r>
    <w:r>
      <w:rPr/>
      <w:pict>
        <v:shape style="position:absolute;margin-left:524.340027pt;margin-top:781.981384pt;width:15.7pt;height:11.15pt;mso-position-horizontal-relative:page;mso-position-vertical-relative:page;z-index:-120138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360" type="#_x0000_t75" stroked="false">
          <v:imagedata r:id="rId1" o:title=""/>
        </v:shape>
      </w:pict>
    </w:r>
    <w:r>
      <w:rPr/>
      <w:pict>
        <v:shape style="position:absolute;margin-left:523.340027pt;margin-top:781.981384pt;width:17.7pt;height:11.15pt;mso-position-horizontal-relative:page;mso-position-vertical-relative:page;z-index:-12013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312" type="#_x0000_t75" stroked="false">
          <v:imagedata r:id="rId1" o:title=""/>
        </v:shape>
      </w:pict>
    </w:r>
    <w:r>
      <w:rPr/>
      <w:pict>
        <v:shape style="position:absolute;margin-left:523.340027pt;margin-top:781.981384pt;width:17.7pt;height:11.15pt;mso-position-horizontal-relative:page;mso-position-vertical-relative:page;z-index:-12012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264" type="#_x0000_t75" stroked="false">
          <v:imagedata r:id="rId1" o:title=""/>
        </v:shape>
      </w:pict>
    </w:r>
    <w:r>
      <w:rPr/>
      <w:pict>
        <v:shape style="position:absolute;margin-left:524.340027pt;margin-top:781.981384pt;width:15.7pt;height:11.15pt;mso-position-horizontal-relative:page;mso-position-vertical-relative:page;z-index:-120124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1216" type="#_x0000_t75" stroked="false">
          <v:imagedata r:id="rId1" o:title=""/>
        </v:shape>
      </w:pict>
    </w:r>
    <w:r>
      <w:rPr/>
      <w:pict>
        <v:shape style="position:absolute;margin-left:523.340027pt;margin-top:781.981384pt;width:17.7pt;height:11.15pt;mso-position-horizontal-relative:page;mso-position-vertical-relative:page;z-index:-120119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6001pt;margin-top:36.062485pt;width:195.75pt;height:11.65pt;mso-position-horizontal-relative:page;mso-position-vertical-relative:page;z-index:-1201528" type="#_x0000_t202" filled="false" stroked="false">
          <v:textbox inset="0,0,0,0">
            <w:txbxContent>
              <w:p>
                <w:pPr>
                  <w:pStyle w:val="BodyText"/>
                  <w:spacing w:line="216" w:lineRule="exact"/>
                  <w:ind w:left="20" w:right="0"/>
                  <w:jc w:val="left"/>
                </w:pPr>
                <w:r>
                  <w:rPr>
                    <w:spacing w:val="-3"/>
                  </w:rPr>
                  <w:t>江苏润和软件股份有限公司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6"/>
      <w:ind w:left="153"/>
    </w:pPr>
    <w:rPr>
      <w:rFonts w:ascii="Microsoft JhengHei" w:hAnsi="Microsoft JhengHei" w:eastAsia="Microsoft JhengHei"/>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51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3"/>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operun.com/" TargetMode="External"/><Relationship Id="rId10" Type="http://schemas.openxmlformats.org/officeDocument/2006/relationships/hyperlink" Target="mailto:company@hoperun.com" TargetMode="External"/><Relationship Id="rId11" Type="http://schemas.openxmlformats.org/officeDocument/2006/relationships/hyperlink" Target="http://www.cninfo.com.cn/" TargetMode="External"/><Relationship Id="rId12" Type="http://schemas.openxmlformats.org/officeDocument/2006/relationships/hyperlink" Target="http://ww/"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江苏润和软件股份有限公司</dc:creator>
  <dc:title>江苏润和软件股份有限公司2018年年度报告全文</dc:title>
  <dcterms:created xsi:type="dcterms:W3CDTF">2020-05-04T22:56:38Z</dcterms:created>
  <dcterms:modified xsi:type="dcterms:W3CDTF">2020-05-04T22:56:38Z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Word 2013</vt:lpwstr>
  </property>
  <property fmtid="{D5CDD505-2E9C-101B-9397-08002B2CF9AE}" pid="4" name="LastSaved">
    <vt:filetime>2020-05-04T00:00:00Z</vt:filetime>
  </property>
</Properties>
</file>