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825"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
          <w:sz w:val="20"/>
          <w:szCs w:val="20"/>
        </w:rPr>
        <w:drawing>
          <wp:inline distT="0" distB="0" distL="0" distR="0">
            <wp:extent cx="1409700" cy="52387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700" cy="523875"/>
                    </a:xfrm>
                    <a:prstGeom prst="rect">
                      <a:avLst/>
                    </a:prstGeom>
                  </pic:spPr>
                </pic:pic>
              </a:graphicData>
            </a:graphic>
          </wp:inline>
        </w:drawing>
      </w:r>
      <w:r>
        <w:rPr>
          <w:rFonts w:ascii="Times New Roman" w:hAnsi="Times New Roman" w:cs="Times New Roman" w:eastAsia="Times New Roman" w:hint="default"/>
          <w:position w:val="-16"/>
          <w:sz w:val="20"/>
          <w:szCs w:val="20"/>
        </w:rPr>
      </w:r>
    </w:p>
    <w:p>
      <w:pPr>
        <w:spacing w:line="240" w:lineRule="auto" w:before="6"/>
        <w:rPr>
          <w:rFonts w:ascii="Times New Roman" w:hAnsi="Times New Roman" w:cs="Times New Roman" w:eastAsia="Times New Roman" w:hint="default"/>
          <w:sz w:val="13"/>
          <w:szCs w:val="13"/>
        </w:rPr>
      </w:pPr>
    </w:p>
    <w:p>
      <w:pPr>
        <w:spacing w:line="501" w:lineRule="exact" w:before="0"/>
        <w:ind w:left="139" w:right="1119"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江苏润和软件股份有限公司</w:t>
      </w:r>
      <w:r>
        <w:rPr>
          <w:rFonts w:ascii="Microsoft JhengHei" w:hAnsi="Microsoft JhengHei" w:cs="Microsoft JhengHei" w:eastAsia="Microsoft JhengHei" w:hint="default"/>
          <w:sz w:val="36"/>
          <w:szCs w:val="36"/>
        </w:rPr>
      </w:r>
    </w:p>
    <w:p>
      <w:pPr>
        <w:spacing w:before="258"/>
        <w:ind w:left="139" w:right="1119"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Microsoft JhengHei" w:hAnsi="Microsoft JhengHei" w:cs="Microsoft JhengHei" w:eastAsia="Microsoft JhengHei" w:hint="default"/>
          <w:b/>
          <w:bCs/>
          <w:sz w:val="32"/>
          <w:szCs w:val="32"/>
        </w:rPr>
        <w:t>年年度报告</w:t>
      </w:r>
      <w:r>
        <w:rPr>
          <w:rFonts w:ascii="Microsoft JhengHei" w:hAnsi="Microsoft JhengHei" w:cs="Microsoft JhengHei" w:eastAsia="Microsoft JhengHei" w:hint="default"/>
          <w:sz w:val="32"/>
          <w:szCs w:val="32"/>
        </w:rPr>
      </w:r>
    </w:p>
    <w:p>
      <w:pPr>
        <w:spacing w:line="240" w:lineRule="auto" w:before="12"/>
        <w:rPr>
          <w:rFonts w:ascii="Microsoft JhengHei" w:hAnsi="Microsoft JhengHei" w:cs="Microsoft JhengHei" w:eastAsia="Microsoft JhengHei" w:hint="default"/>
          <w:b/>
          <w:bCs/>
          <w:sz w:val="23"/>
          <w:szCs w:val="23"/>
        </w:rPr>
      </w:pPr>
    </w:p>
    <w:p>
      <w:pPr>
        <w:spacing w:before="0"/>
        <w:ind w:left="139" w:right="1116" w:firstLine="0"/>
        <w:jc w:val="center"/>
        <w:rPr>
          <w:rFonts w:ascii="Times New Roman" w:hAnsi="Times New Roman" w:cs="Times New Roman" w:eastAsia="Times New Roman" w:hint="default"/>
          <w:sz w:val="22"/>
          <w:szCs w:val="22"/>
        </w:rPr>
      </w:pPr>
      <w:r>
        <w:rPr>
          <w:rFonts w:ascii="Times New Roman"/>
          <w:b/>
          <w:sz w:val="22"/>
        </w:rPr>
        <w:t>2020-044</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3"/>
        <w:rPr>
          <w:rFonts w:ascii="Times New Roman" w:hAnsi="Times New Roman" w:cs="Times New Roman" w:eastAsia="Times New Roman" w:hint="default"/>
          <w:b/>
          <w:bCs/>
          <w:sz w:val="24"/>
          <w:szCs w:val="24"/>
        </w:rPr>
      </w:pPr>
    </w:p>
    <w:p>
      <w:pPr>
        <w:spacing w:before="0"/>
        <w:ind w:left="139" w:right="1117"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2020 </w:t>
      </w:r>
      <w:r>
        <w:rPr>
          <w:rFonts w:ascii="Microsoft JhengHei" w:hAnsi="Microsoft JhengHei" w:cs="Microsoft JhengHei" w:eastAsia="Microsoft JhengHei" w:hint="default"/>
          <w:b/>
          <w:bCs/>
          <w:sz w:val="32"/>
          <w:szCs w:val="32"/>
        </w:rPr>
        <w:t>年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Microsoft JhengHei" w:hAnsi="Microsoft JhengHei" w:cs="Microsoft JhengHei" w:eastAsia="Microsoft JhengHei" w:hint="default"/>
          <w:b/>
          <w:bCs/>
          <w:sz w:val="32"/>
          <w:szCs w:val="32"/>
        </w:rPr>
        <w:t>月</w:t>
      </w:r>
      <w:r>
        <w:rPr>
          <w:rFonts w:ascii="Microsoft JhengHei" w:hAnsi="Microsoft JhengHei" w:cs="Microsoft JhengHei" w:eastAsia="Microsoft JhengHei" w:hint="default"/>
          <w:sz w:val="32"/>
          <w:szCs w:val="32"/>
        </w:rPr>
      </w:r>
    </w:p>
    <w:p>
      <w:pPr>
        <w:spacing w:after="0"/>
        <w:jc w:val="center"/>
        <w:rPr>
          <w:rFonts w:ascii="Microsoft JhengHei" w:hAnsi="Microsoft JhengHei" w:cs="Microsoft JhengHei" w:eastAsia="Microsoft JhengHei" w:hint="default"/>
          <w:sz w:val="32"/>
          <w:szCs w:val="32"/>
        </w:rPr>
        <w:sectPr>
          <w:headerReference w:type="default" r:id="rId5"/>
          <w:footerReference w:type="default" r:id="rId6"/>
          <w:type w:val="continuous"/>
          <w:pgSz w:w="11910" w:h="16840"/>
          <w:pgMar w:header="745" w:footer="979" w:top="1060" w:bottom="1160" w:left="980" w:right="0"/>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4"/>
          <w:szCs w:val="24"/>
        </w:rPr>
      </w:pPr>
    </w:p>
    <w:p>
      <w:pPr>
        <w:pStyle w:val="Heading1"/>
        <w:spacing w:line="456" w:lineRule="exact"/>
        <w:ind w:left="2885" w:right="0"/>
        <w:jc w:val="left"/>
        <w:rPr>
          <w:b w:val="0"/>
          <w:bCs w:val="0"/>
        </w:rPr>
      </w:pPr>
      <w:r>
        <w:rPr/>
        <w:t>第一节重要提示、目录和释义</w:t>
      </w:r>
      <w:r>
        <w:rPr>
          <w:b w:val="0"/>
          <w:bCs w:val="0"/>
        </w:rPr>
      </w:r>
    </w:p>
    <w:p>
      <w:pPr>
        <w:spacing w:line="240" w:lineRule="auto" w:before="3"/>
        <w:rPr>
          <w:rFonts w:ascii="Microsoft JhengHei" w:hAnsi="Microsoft JhengHei" w:cs="Microsoft JhengHei" w:eastAsia="Microsoft JhengHei" w:hint="default"/>
          <w:b/>
          <w:bCs/>
          <w:sz w:val="29"/>
          <w:szCs w:val="29"/>
        </w:rPr>
      </w:pPr>
    </w:p>
    <w:p>
      <w:pPr>
        <w:spacing w:line="307" w:lineRule="auto" w:before="0"/>
        <w:ind w:left="153" w:right="1136" w:firstLine="561"/>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公司董事会、监事会及董事、监事、高级管理人员保证年度报告内容的真</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pacing w:val="2"/>
          <w:sz w:val="28"/>
          <w:szCs w:val="28"/>
        </w:rPr>
        <w:t>实、准确、完整，不存在虚假记载、误导性陈述或重大遗漏，并承担个别和连</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z w:val="28"/>
          <w:szCs w:val="28"/>
        </w:rPr>
        <w:t>带的法律责任。</w:t>
      </w:r>
      <w:r>
        <w:rPr>
          <w:rFonts w:ascii="Microsoft JhengHei" w:hAnsi="Microsoft JhengHei" w:cs="Microsoft JhengHei" w:eastAsia="Microsoft JhengHei" w:hint="default"/>
          <w:sz w:val="28"/>
          <w:szCs w:val="28"/>
        </w:rPr>
      </w:r>
    </w:p>
    <w:p>
      <w:pPr>
        <w:spacing w:line="307" w:lineRule="auto" w:before="133"/>
        <w:ind w:left="153" w:right="1130" w:firstLine="561"/>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公司负责人周红卫、主管会计工作负责人马玉峰及会计机构负责人</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会计主</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管人员</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张新宇声明：保证年度报告中财务报告的真实、准确、完整。</w:t>
      </w:r>
      <w:r>
        <w:rPr>
          <w:rFonts w:ascii="Microsoft JhengHei" w:hAnsi="Microsoft JhengHei" w:cs="Microsoft JhengHei" w:eastAsia="Microsoft JhengHei" w:hint="default"/>
          <w:sz w:val="28"/>
          <w:szCs w:val="28"/>
        </w:rPr>
      </w:r>
    </w:p>
    <w:p>
      <w:pPr>
        <w:spacing w:line="355" w:lineRule="auto" w:before="133"/>
        <w:ind w:left="71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所有董事均已出席了审议本报告的董事会会议。</w:t>
      </w:r>
      <w:r>
        <w:rPr>
          <w:rFonts w:ascii="Microsoft JhengHei" w:hAnsi="Microsoft JhengHei" w:cs="Microsoft JhengHei" w:eastAsia="Microsoft JhengHei" w:hint="default"/>
          <w:b/>
          <w:bCs/>
          <w:spacing w:val="-48"/>
          <w:sz w:val="28"/>
          <w:szCs w:val="28"/>
        </w:rPr>
        <w:t> </w:t>
      </w:r>
      <w:r>
        <w:rPr>
          <w:rFonts w:ascii="Microsoft JhengHei" w:hAnsi="Microsoft JhengHei" w:cs="Microsoft JhengHei" w:eastAsia="Microsoft JhengHei" w:hint="default"/>
          <w:b/>
          <w:bCs/>
          <w:spacing w:val="-48"/>
          <w:sz w:val="28"/>
          <w:szCs w:val="28"/>
        </w:rPr>
      </w:r>
      <w:r>
        <w:rPr>
          <w:rFonts w:ascii="Microsoft JhengHei" w:hAnsi="Microsoft JhengHei" w:cs="Microsoft JhengHei" w:eastAsia="Microsoft JhengHei" w:hint="default"/>
          <w:b/>
          <w:bCs/>
          <w:spacing w:val="2"/>
          <w:sz w:val="28"/>
          <w:szCs w:val="28"/>
        </w:rPr>
        <w:t>本报告中如有涉及未来的计划、业绩预测等方面的内容，均不构成本公司</w:t>
      </w:r>
      <w:r>
        <w:rPr>
          <w:rFonts w:ascii="Microsoft JhengHei" w:hAnsi="Microsoft JhengHei" w:cs="Microsoft JhengHei" w:eastAsia="Microsoft JhengHei" w:hint="default"/>
          <w:spacing w:val="2"/>
          <w:sz w:val="28"/>
          <w:szCs w:val="28"/>
        </w:rPr>
      </w:r>
    </w:p>
    <w:p>
      <w:pPr>
        <w:spacing w:line="445" w:lineRule="exact" w:before="0"/>
        <w:ind w:left="153"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对任何投资者的实质性承诺，投资者及相关人士均应对此保持足够的风险认识，</w:t>
      </w:r>
      <w:r>
        <w:rPr>
          <w:rFonts w:ascii="Microsoft JhengHei" w:hAnsi="Microsoft JhengHei" w:cs="Microsoft JhengHei" w:eastAsia="Microsoft JhengHei" w:hint="default"/>
          <w:sz w:val="28"/>
          <w:szCs w:val="28"/>
        </w:rPr>
      </w:r>
    </w:p>
    <w:p>
      <w:pPr>
        <w:spacing w:line="357" w:lineRule="auto" w:before="137"/>
        <w:ind w:left="714" w:right="0" w:hanging="562"/>
        <w:jc w:val="left"/>
        <w:rPr>
          <w:rFonts w:ascii="Times New Roman" w:hAnsi="Times New Roman" w:cs="Times New Roman" w:eastAsia="Times New Roman" w:hint="default"/>
          <w:sz w:val="28"/>
          <w:szCs w:val="28"/>
        </w:rPr>
      </w:pPr>
      <w:r>
        <w:rPr>
          <w:rFonts w:ascii="Microsoft JhengHei" w:hAnsi="Microsoft JhengHei" w:cs="Microsoft JhengHei" w:eastAsia="Microsoft JhengHei" w:hint="default"/>
          <w:b/>
          <w:bCs/>
          <w:sz w:val="28"/>
          <w:szCs w:val="28"/>
        </w:rPr>
        <w:t>并且应当理解计划、预测与承诺之间的差异。</w:t>
      </w:r>
      <w:r>
        <w:rPr>
          <w:rFonts w:ascii="Microsoft JhengHei" w:hAnsi="Microsoft JhengHei" w:cs="Microsoft JhengHei" w:eastAsia="Microsoft JhengHei" w:hint="default"/>
          <w:b/>
          <w:bCs/>
          <w:spacing w:val="-49"/>
          <w:sz w:val="28"/>
          <w:szCs w:val="28"/>
        </w:rPr>
        <w:t> </w:t>
      </w:r>
      <w:r>
        <w:rPr>
          <w:rFonts w:ascii="Microsoft JhengHei" w:hAnsi="Microsoft JhengHei" w:cs="Microsoft JhengHei" w:eastAsia="Microsoft JhengHei" w:hint="default"/>
          <w:b/>
          <w:bCs/>
          <w:spacing w:val="-49"/>
          <w:sz w:val="28"/>
          <w:szCs w:val="28"/>
        </w:rPr>
      </w:r>
      <w:r>
        <w:rPr>
          <w:rFonts w:ascii="Microsoft JhengHei" w:hAnsi="Microsoft JhengHei" w:cs="Microsoft JhengHei" w:eastAsia="Microsoft JhengHei" w:hint="default"/>
          <w:b/>
          <w:bCs/>
          <w:spacing w:val="2"/>
          <w:sz w:val="28"/>
          <w:szCs w:val="28"/>
        </w:rPr>
        <w:t>公司在本报告第四节</w:t>
      </w:r>
      <w:r>
        <w:rPr>
          <w:rFonts w:ascii="Times New Roman" w:hAnsi="Times New Roman" w:cs="Times New Roman" w:eastAsia="Times New Roman" w:hint="default"/>
          <w:b/>
          <w:bCs/>
          <w:spacing w:val="2"/>
          <w:sz w:val="28"/>
          <w:szCs w:val="28"/>
        </w:rPr>
        <w:t>“</w:t>
      </w:r>
      <w:r>
        <w:rPr>
          <w:rFonts w:ascii="Microsoft JhengHei" w:hAnsi="Microsoft JhengHei" w:cs="Microsoft JhengHei" w:eastAsia="Microsoft JhengHei" w:hint="default"/>
          <w:b/>
          <w:bCs/>
          <w:spacing w:val="2"/>
          <w:sz w:val="28"/>
          <w:szCs w:val="28"/>
        </w:rPr>
        <w:t>经营情况讨论与分析</w:t>
      </w:r>
      <w:r>
        <w:rPr>
          <w:rFonts w:ascii="Times New Roman" w:hAnsi="Times New Roman" w:cs="Times New Roman" w:eastAsia="Times New Roman" w:hint="default"/>
          <w:b/>
          <w:bCs/>
          <w:spacing w:val="2"/>
          <w:sz w:val="28"/>
          <w:szCs w:val="28"/>
        </w:rPr>
        <w:t>”</w:t>
      </w:r>
      <w:r>
        <w:rPr>
          <w:rFonts w:ascii="Microsoft JhengHei" w:hAnsi="Microsoft JhengHei" w:cs="Microsoft JhengHei" w:eastAsia="Microsoft JhengHei" w:hint="default"/>
          <w:b/>
          <w:bCs/>
          <w:spacing w:val="2"/>
          <w:sz w:val="28"/>
          <w:szCs w:val="28"/>
        </w:rPr>
        <w:t>之</w:t>
      </w:r>
      <w:r>
        <w:rPr>
          <w:rFonts w:ascii="Times New Roman" w:hAnsi="Times New Roman" w:cs="Times New Roman" w:eastAsia="Times New Roman" w:hint="default"/>
          <w:b/>
          <w:bCs/>
          <w:spacing w:val="2"/>
          <w:sz w:val="28"/>
          <w:szCs w:val="28"/>
        </w:rPr>
        <w:t>“</w:t>
      </w:r>
      <w:r>
        <w:rPr>
          <w:rFonts w:ascii="Microsoft JhengHei" w:hAnsi="Microsoft JhengHei" w:cs="Microsoft JhengHei" w:eastAsia="Microsoft JhengHei" w:hint="default"/>
          <w:b/>
          <w:bCs/>
          <w:spacing w:val="2"/>
          <w:sz w:val="28"/>
          <w:szCs w:val="28"/>
        </w:rPr>
        <w:t>九、公司未来发展的展望</w:t>
      </w:r>
      <w:r>
        <w:rPr>
          <w:rFonts w:ascii="Times New Roman" w:hAnsi="Times New Roman" w:cs="Times New Roman" w:eastAsia="Times New Roman" w:hint="default"/>
          <w:b/>
          <w:bCs/>
          <w:spacing w:val="2"/>
          <w:sz w:val="28"/>
          <w:szCs w:val="28"/>
        </w:rPr>
        <w:t>”</w:t>
      </w:r>
      <w:r>
        <w:rPr>
          <w:rFonts w:ascii="Times New Roman" w:hAnsi="Times New Roman" w:cs="Times New Roman" w:eastAsia="Times New Roman" w:hint="default"/>
          <w:spacing w:val="2"/>
          <w:sz w:val="28"/>
          <w:szCs w:val="28"/>
        </w:rPr>
      </w:r>
    </w:p>
    <w:p>
      <w:pPr>
        <w:spacing w:line="442" w:lineRule="exact" w:before="0"/>
        <w:ind w:left="153"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部分，详细描述了公司经营中可能存在的风险及应对措施，敬请投资者关注相</w:t>
      </w:r>
      <w:r>
        <w:rPr>
          <w:rFonts w:ascii="Microsoft JhengHei" w:hAnsi="Microsoft JhengHei" w:cs="Microsoft JhengHei" w:eastAsia="Microsoft JhengHei" w:hint="default"/>
          <w:spacing w:val="2"/>
          <w:sz w:val="28"/>
          <w:szCs w:val="28"/>
        </w:rPr>
      </w:r>
    </w:p>
    <w:p>
      <w:pPr>
        <w:spacing w:before="136"/>
        <w:ind w:left="153"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关内容。</w:t>
      </w:r>
      <w:r>
        <w:rPr>
          <w:rFonts w:ascii="Microsoft JhengHei" w:hAnsi="Microsoft JhengHei" w:cs="Microsoft JhengHei" w:eastAsia="Microsoft JhengHei" w:hint="default"/>
          <w:sz w:val="28"/>
          <w:szCs w:val="28"/>
        </w:rPr>
      </w:r>
    </w:p>
    <w:p>
      <w:pPr>
        <w:spacing w:before="237"/>
        <w:ind w:left="71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公司计划不派发现金红利，不送红股，不以公积金转增股本。</w:t>
      </w:r>
      <w:r>
        <w:rPr>
          <w:rFonts w:ascii="Microsoft JhengHei" w:hAnsi="Microsoft JhengHei" w:cs="Microsoft JhengHei" w:eastAsia="Microsoft JhengHei" w:hint="default"/>
          <w:sz w:val="28"/>
          <w:szCs w:val="28"/>
        </w:rPr>
      </w:r>
    </w:p>
    <w:p>
      <w:pPr>
        <w:spacing w:after="0"/>
        <w:jc w:val="left"/>
        <w:rPr>
          <w:rFonts w:ascii="Microsoft JhengHei" w:hAnsi="Microsoft JhengHei" w:cs="Microsoft JhengHei" w:eastAsia="Microsoft JhengHei" w:hint="default"/>
          <w:sz w:val="28"/>
          <w:szCs w:val="28"/>
        </w:rPr>
        <w:sectPr>
          <w:footerReference w:type="default" r:id="rId8"/>
          <w:pgSz w:w="11910" w:h="16840"/>
          <w:pgMar w:footer="979" w:header="745" w:top="1060" w:bottom="1160" w:left="980" w:right="0"/>
          <w:pgNumType w:start="2"/>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14"/>
          <w:szCs w:val="14"/>
        </w:rPr>
      </w:pPr>
    </w:p>
    <w:p>
      <w:pPr>
        <w:spacing w:line="501" w:lineRule="exact" w:before="0"/>
        <w:ind w:left="139" w:right="1116"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16"/>
        <w:rPr>
          <w:rFonts w:ascii="Microsoft JhengHei" w:hAnsi="Microsoft JhengHei" w:cs="Microsoft JhengHei" w:eastAsia="Microsoft JhengHei" w:hint="default"/>
          <w:b/>
          <w:bCs/>
          <w:sz w:val="42"/>
          <w:szCs w:val="42"/>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43"/>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before="75"/>
            <w:ind w:right="0"/>
            <w:jc w:val="left"/>
            <w:rPr>
              <w:rFonts w:ascii="Times New Roman" w:hAnsi="Times New Roman" w:cs="Times New Roman" w:eastAsia="Times New Roman" w:hint="default"/>
              <w:b w:val="0"/>
              <w:bCs w:val="0"/>
            </w:rPr>
          </w:pPr>
          <w:hyperlink w:history="true" w:anchor="_bookmark1">
            <w:r>
              <w:rPr/>
              <w:t>第二节</w:t>
            </w:r>
            <w:r>
              <w:rPr>
                <w:spacing w:val="43"/>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43"/>
              </w:rPr>
              <w:t> </w:t>
            </w:r>
            <w:r>
              <w:rPr/>
              <w:t>公司业务概要</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43"/>
              </w:rPr>
              <w:t> </w:t>
            </w:r>
            <w:r>
              <w:rPr/>
              <w:t>经营情况讨论与分析</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43"/>
              </w:rPr>
              <w:t> </w:t>
            </w:r>
            <w:r>
              <w:rPr/>
              <w:t>重要事项</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43"/>
              </w:rPr>
              <w:t> </w:t>
            </w:r>
            <w:r>
              <w:rPr/>
              <w:t>股份变动及股东情况</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43"/>
              </w:rPr>
              <w:t> </w:t>
            </w:r>
            <w:r>
              <w:rPr/>
              <w:t>优先股相关情况</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第八节</w:t>
            </w:r>
            <w:r>
              <w:rPr>
                <w:spacing w:val="43"/>
              </w:rPr>
              <w:t> </w:t>
            </w:r>
            <w:r>
              <w:rPr/>
              <w:t>可转换公司债券相关情况</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第九节</w:t>
            </w:r>
            <w:r>
              <w:rPr>
                <w:spacing w:val="43"/>
              </w:rPr>
              <w:t> </w:t>
            </w:r>
            <w:r>
              <w:rPr/>
              <w:t>董事、监事、高级管理人员和员工情况</w:t>
            </w:r>
            <w:r>
              <w:rPr>
                <w:rFonts w:ascii="Times New Roman" w:hAnsi="Times New Roman" w:cs="Times New Roman" w:eastAsia="Times New Roman" w:hint="default"/>
              </w:rPr>
              <w:tab/>
              <w:t>79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第十节</w:t>
            </w:r>
            <w:r>
              <w:rPr>
                <w:spacing w:val="43"/>
              </w:rPr>
              <w:t> </w:t>
            </w:r>
            <w:r>
              <w:rPr/>
              <w:t>公司治理</w:t>
            </w:r>
            <w:r>
              <w:rPr>
                <w:rFonts w:ascii="Times New Roman" w:hAnsi="Times New Roman" w:cs="Times New Roman" w:eastAsia="Times New Roman" w:hint="default"/>
              </w:rPr>
              <w:tab/>
              <w:t>80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第十一节</w:t>
            </w:r>
            <w:r>
              <w:rPr>
                <w:spacing w:val="43"/>
              </w:rPr>
              <w:t> </w:t>
            </w:r>
            <w:r>
              <w:rPr/>
              <w:t>公司债券相关情况</w:t>
            </w:r>
            <w:r>
              <w:rPr>
                <w:rFonts w:ascii="Times New Roman" w:hAnsi="Times New Roman" w:cs="Times New Roman" w:eastAsia="Times New Roman" w:hint="default"/>
              </w:rPr>
              <w:tab/>
              <w:t>90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第十二节</w:t>
            </w:r>
            <w:r>
              <w:rPr>
                <w:spacing w:val="43"/>
              </w:rPr>
              <w:t> </w:t>
            </w:r>
            <w:r>
              <w:rPr/>
              <w:t>财务报告</w:t>
            </w:r>
            <w:r>
              <w:rPr>
                <w:rFonts w:ascii="Times New Roman" w:hAnsi="Times New Roman" w:cs="Times New Roman" w:eastAsia="Times New Roman" w:hint="default"/>
              </w:rPr>
              <w:tab/>
              <w:t>96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第十三节</w:t>
            </w:r>
            <w:r>
              <w:rPr>
                <w:spacing w:val="43"/>
              </w:rPr>
              <w:t> </w:t>
            </w:r>
            <w:r>
              <w:rPr/>
              <w:t>备查文件目录</w:t>
            </w:r>
            <w:r>
              <w:rPr>
                <w:rFonts w:ascii="Times New Roman" w:hAnsi="Times New Roman" w:cs="Times New Roman" w:eastAsia="Times New Roman" w:hint="default"/>
              </w:rPr>
              <w:tab/>
              <w:t>97</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79" w:top="1060" w:bottom="1160" w:left="980" w:right="0"/>
        </w:sectPr>
      </w:pPr>
    </w:p>
    <w:p>
      <w:pPr>
        <w:spacing w:before="843"/>
        <w:ind w:left="139" w:right="1116"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润和投资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江苏润和科技投资集团有限公司，系公司控股股东。</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联创智融</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北京联创智融信息技术有限公司，系公司全资子公司。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重庆度融</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重庆度融信息技术有限公司，系联创智融的控股子公司。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成都联创</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成都联创智融信息技术有限公司，系联创智融的全资子公司。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深圳联创</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深圳联创智融信息技术有限公司，系联创智融的全资子公司。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南京汇聚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南京汇聚智融信息技术有限公司，系联创智融的控股子公司。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合肥汇聚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合肥汇聚智融信息技术有限公司，系联创智融的全资子公司。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捷科智诚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北京捷科智诚科技有限公司，系公司全资子公司。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上海捷科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上海捷科智诚科技有限公司，系捷科智诚的全资子公司。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福州捷科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福州捷科智诚信息科技有限公司，系捷科智诚的全资子公司。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上海润和</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上海润和信息技术服务有限公司，系公司全资子公司。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菲耐得</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上海菲耐得信息科技有限公司，系公司全资子公司。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西安润和</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西安润和软件信息技术有限公司，系公司全资子公司。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武汉宁润</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武汉宁润软件信息技术有限公司，系公司全资子公司。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北京润和</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北京润和汇智信息技术有限公司，系公司全资子公司。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深圳润和</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深圳润和汇智信息技术有限公司，系北京润和全资子公司。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润和捷诚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江苏润和捷诚科技产业投资有限公司，系公司全资子公司。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外包园公司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江苏润和南京软件外包园投资有限公司，系公司全资子公司。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软信和熙</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江苏软信和熙信息科技有限公司，系外包园公司全资子公司。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东京润和</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株式会社ホープラン東京，系公司全资子公司。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新加坡润和</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HopeRun Software Singapore Pte.</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，系东京润和的控股子公司。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香港润和</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香港润和信息技术投资有限公司，系公司全资子公司。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波士顿润和</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HopeRun Technology Co.,</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，系公司全资子公司。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润和云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润和云（上海）科技有限公司，系公司原全资子公司，现已注销。</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广州润和</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广州润和颐能软件技术有限公司，系公司控股子公司。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润和润云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南京润和润云科技有限公司，系公司控股子公司。</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润和智融</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pacing w:val="-2"/>
                <w:sz w:val="18"/>
                <w:szCs w:val="18"/>
              </w:rPr>
              <w:t>江苏润和智融科技有限公司，原系公司控股子公司，现系公司参股公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润辰科技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南京润辰科技有限公司，系公司参股公司。</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28"/>
          <w:szCs w:val="28"/>
        </w:rPr>
      </w:pPr>
    </w:p>
    <w:p>
      <w:pPr>
        <w:pStyle w:val="BodyText"/>
        <w:spacing w:line="240" w:lineRule="auto" w:before="44"/>
        <w:ind w:left="0" w:right="1135"/>
        <w:jc w:val="right"/>
      </w:pPr>
      <w:r>
        <w:rPr/>
        <w:pict>
          <v:shape style="position:absolute;margin-left:56.424pt;margin-top:-197.338287pt;width:479.3pt;height:413.7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北京润链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北京润链科技有限公司，系润辰科技的控股子公司。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新维数联</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新维数联（北京）科技有限公司，系公司参股公司。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江苏开拓</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江苏开拓信息与系统有限公司，系公司参股公司。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博纳讯动</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苏州博纳讯动软件有限公司，系公司参股公司。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鑫合易家</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江苏鑫合易家信息技术有限责任公司，系公司参股公司。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奥特酷</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奥特酷智能科技（南京）有限公司，系公司参股公司。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苏民投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江苏民营投资控股有限公司，系公司参股公司。</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蚂蚁金服</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62"/>
                          <w:jc w:val="left"/>
                          <w:rPr>
                            <w:rFonts w:ascii="宋体" w:hAnsi="宋体" w:cs="宋体" w:eastAsia="宋体" w:hint="default"/>
                            <w:sz w:val="18"/>
                            <w:szCs w:val="18"/>
                          </w:rPr>
                        </w:pPr>
                        <w:r>
                          <w:rPr>
                            <w:rFonts w:ascii="宋体" w:hAnsi="宋体" w:cs="宋体" w:eastAsia="宋体" w:hint="default"/>
                            <w:sz w:val="18"/>
                            <w:szCs w:val="18"/>
                          </w:rPr>
                          <w:t>浙江蚂蚁小微金融服务集团股份有限公司，公司持股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以上股东上 海云鑫创业投资有限公司为蚂蚁金服的全资子公司。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混改基金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南京国资混改基金有限公司，系公司持股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服贸基金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服务贸易创新发展引导基</w:t>
                        </w:r>
                        <w:r>
                          <w:rPr>
                            <w:rFonts w:ascii="宋体" w:hAnsi="宋体" w:cs="宋体" w:eastAsia="宋体" w:hint="default"/>
                            <w:spacing w:val="-70"/>
                            <w:sz w:val="18"/>
                            <w:szCs w:val="18"/>
                          </w:rPr>
                          <w:t>金</w:t>
                        </w:r>
                        <w:r>
                          <w:rPr>
                            <w:rFonts w:ascii="宋体" w:hAnsi="宋体" w:cs="宋体" w:eastAsia="宋体" w:hint="default"/>
                            <w:sz w:val="18"/>
                            <w:szCs w:val="18"/>
                          </w:rPr>
                          <w:t>（</w:t>
                        </w:r>
                        <w:r>
                          <w:rPr>
                            <w:rFonts w:ascii="宋体" w:hAnsi="宋体" w:cs="宋体" w:eastAsia="宋体" w:hint="default"/>
                            <w:spacing w:val="2"/>
                            <w:sz w:val="18"/>
                            <w:szCs w:val="18"/>
                          </w:rPr>
                          <w:t>有</w:t>
                        </w:r>
                        <w:r>
                          <w:rPr>
                            <w:rFonts w:ascii="宋体" w:hAnsi="宋体" w:cs="宋体" w:eastAsia="宋体" w:hint="default"/>
                            <w:sz w:val="18"/>
                            <w:szCs w:val="18"/>
                          </w:rPr>
                          <w:t>限合伙</w:t>
                        </w:r>
                        <w:r>
                          <w:rPr>
                            <w:rFonts w:ascii="宋体" w:hAnsi="宋体" w:cs="宋体" w:eastAsia="宋体" w:hint="default"/>
                            <w:spacing w:val="-92"/>
                            <w:sz w:val="18"/>
                            <w:szCs w:val="18"/>
                          </w:rPr>
                          <w:t>）</w:t>
                        </w:r>
                        <w:r>
                          <w:rPr>
                            <w:rFonts w:ascii="宋体" w:hAnsi="宋体" w:cs="宋体" w:eastAsia="宋体" w:hint="default"/>
                            <w:spacing w:val="-70"/>
                            <w:sz w:val="18"/>
                            <w:szCs w:val="18"/>
                          </w:rPr>
                          <w:t>，</w:t>
                        </w:r>
                        <w:r>
                          <w:rPr>
                            <w:rFonts w:ascii="宋体" w:hAnsi="宋体" w:cs="宋体" w:eastAsia="宋体" w:hint="default"/>
                            <w:sz w:val="18"/>
                            <w:szCs w:val="18"/>
                          </w:rPr>
                          <w:t>系公司持股</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以</w:t>
                        </w:r>
                        <w:r>
                          <w:rPr>
                            <w:rFonts w:ascii="宋体" w:hAnsi="宋体" w:cs="宋体" w:eastAsia="宋体" w:hint="default"/>
                            <w:spacing w:val="2"/>
                            <w:sz w:val="18"/>
                            <w:szCs w:val="18"/>
                          </w:rPr>
                          <w:t>上</w:t>
                        </w:r>
                        <w:r>
                          <w:rPr>
                            <w:rFonts w:ascii="宋体" w:hAnsi="宋体" w:cs="宋体" w:eastAsia="宋体" w:hint="default"/>
                            <w:sz w:val="18"/>
                            <w:szCs w:val="18"/>
                          </w:rPr>
                          <w:t>的股东</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宁波宏创</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pacing w:val="-6"/>
                            <w:sz w:val="18"/>
                            <w:szCs w:val="18"/>
                          </w:rPr>
                          <w:t>宁波宏创股权投资合伙企业（有限合伙），原系公司持股</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w:t>
                        </w:r>
                        <w:r>
                          <w:rPr>
                            <w:rFonts w:ascii="宋体" w:hAnsi="宋体" w:cs="宋体" w:eastAsia="宋体" w:hint="default"/>
                            <w:spacing w:val="-87"/>
                            <w:sz w:val="18"/>
                            <w:szCs w:val="18"/>
                          </w:rPr>
                          <w:t> </w:t>
                        </w:r>
                        <w:r>
                          <w:rPr>
                            <w:rFonts w:ascii="宋体" w:hAnsi="宋体" w:cs="宋体" w:eastAsia="宋体" w:hint="default"/>
                            <w:sz w:val="18"/>
                            <w:szCs w:val="18"/>
                          </w:rPr>
                          <w:t>东。</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江苏润和软件股份有限公司的股东大会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江苏润和软件股份有限公司的董事会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江苏润和软件股份有限公司的监事会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江苏润和软件股份有限公司章程</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p>
              </w:txbxContent>
            </v:textbox>
            <w10:wrap type="none"/>
          </v:shape>
        </w:pict>
      </w:r>
      <w:r>
        <w:rPr/>
        <w:t>。</w:t>
      </w:r>
    </w:p>
    <w:p>
      <w:pPr>
        <w:spacing w:after="0" w:line="240" w:lineRule="auto"/>
        <w:jc w:val="righ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2724" w:right="0"/>
        <w:jc w:val="left"/>
        <w:rPr>
          <w:b w:val="0"/>
          <w:bCs w:val="0"/>
        </w:rPr>
      </w:pPr>
      <w:bookmarkStart w:name="_bookmark0" w:id="1"/>
      <w:bookmarkEnd w:id="1"/>
      <w:r>
        <w:rPr>
          <w:b w:val="0"/>
          <w:bCs w:val="0"/>
        </w:rPr>
      </w:r>
      <w:r>
        <w:rPr/>
        <w:t>第二节公司简介和主要财务指标</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pict>
          <v:shape style="position:absolute;margin-left:138.024002pt;margin-top:114.678497pt;width:396.95pt;height:19.75pt;mso-position-horizontal-relative:page;mso-position-vertical-relative:paragraph;z-index:-1330264" type="#_x0000_t202" filled="false" stroked="false">
            <v:textbox inset="0,0,0,0">
              <w:txbxContent>
                <w:p>
                  <w:pPr>
                    <w:pStyle w:val="BodyText"/>
                    <w:spacing w:line="240" w:lineRule="auto" w:before="49"/>
                    <w:ind w:left="0" w:right="0"/>
                    <w:jc w:val="left"/>
                  </w:pPr>
                  <w:r>
                    <w:rPr/>
                    <w:t>（如有）</w:t>
                  </w:r>
                </w:p>
              </w:txbxContent>
            </v:textbox>
            <w10:wrap type="none"/>
          </v:shape>
        </w:pict>
      </w:r>
      <w:r>
        <w:rPr/>
        <w:t>一、公司信息</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5"/>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润和软件</w:t>
            </w:r>
          </w:p>
        </w:tc>
        <w:tc>
          <w:tcPr>
            <w:tcW w:w="2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300339</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江苏润和软件股份有限公司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润和软件</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Jiangsu Hoperun Software Co.,</w:t>
            </w:r>
            <w:r>
              <w:rPr>
                <w:rFonts w:ascii="Times New Roman"/>
                <w:spacing w:val="-12"/>
                <w:sz w:val="18"/>
              </w:rPr>
              <w:t> </w:t>
            </w:r>
            <w:r>
              <w:rPr>
                <w:rFonts w:ascii="Times New Roman"/>
                <w:sz w:val="18"/>
              </w:rPr>
              <w:t>Ltd.</w:t>
            </w:r>
          </w:p>
        </w:tc>
      </w:tr>
      <w:tr>
        <w:trPr>
          <w:trHeight w:val="404" w:hRule="exact"/>
        </w:trPr>
        <w:tc>
          <w:tcPr>
            <w:tcW w:w="2284"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4" w:space="0" w:color="000000"/>
              <w:left w:val="single" w:sz="10" w:space="0" w:color="FFFFFF"/>
              <w:bottom w:val="single" w:sz="4" w:space="0" w:color="000000"/>
              <w:right w:val="single" w:sz="12" w:space="0" w:color="FFFFFF"/>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Hoperun</w:t>
            </w:r>
            <w:r>
              <w:rPr>
                <w:rFonts w:ascii="Times New Roman"/>
                <w:spacing w:val="-7"/>
                <w:sz w:val="18"/>
              </w:rPr>
              <w:t> </w:t>
            </w:r>
            <w:r>
              <w:rPr>
                <w:rFonts w:ascii="Times New Roman"/>
                <w:sz w:val="18"/>
              </w:rPr>
              <w:t>Software</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南京市雨花台区软件大道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210012</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南京市雨花台区软件大道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210012</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www.hoperun.com</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company@hoperun.com</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二、联系人和联系方式</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胡传高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李天蕾</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南京市雨花台区软件大道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南京市雨花台区软件大道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025-52668518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025-52668518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025-52668895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025-52668895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company@hoperun.com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company@hoperun.com</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三、信息披露及备置地点</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中国证券报、证券时报、证券日报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公司证券部办公室</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四、其他有关资料</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公司聘请的会计师事务所</w:t>
      </w:r>
    </w:p>
    <w:p>
      <w:pPr>
        <w:spacing w:after="0" w:line="240" w:lineRule="auto"/>
        <w:jc w:val="lef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容诚会计师事务所（特殊普通合伙）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北京市西城区阜成门外大街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幢外经贸大厦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901-22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901-26</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汪玉寿、孔令莉、李丹</w:t>
            </w:r>
          </w:p>
        </w:tc>
      </w:tr>
    </w:tbl>
    <w:p>
      <w:pPr>
        <w:pStyle w:val="BodyText"/>
        <w:spacing w:line="240" w:lineRule="auto" w:before="49"/>
        <w:ind w:right="0"/>
        <w:jc w:val="left"/>
      </w:pPr>
      <w:r>
        <w:rPr/>
        <w:t>公司聘请的报告期内履行持续督导职责的保荐机构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北京市西城区丰盛胡同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丰铭国际大厦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李琦、彭松林</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pStyle w:val="BodyText"/>
        <w:spacing w:line="240" w:lineRule="auto" w:before="49"/>
        <w:ind w:right="0"/>
        <w:jc w:val="left"/>
      </w:pPr>
      <w:r>
        <w:rPr/>
        <w:t>公司聘请的报告期内履行持续督导职责的财务顾问</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五、主要会计数据和财务指标</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公司是否需追溯调整或重述以前年度会计数据</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1"/>
        <w:gridCol w:w="1738"/>
        <w:gridCol w:w="1738"/>
        <w:gridCol w:w="1738"/>
        <w:gridCol w:w="1736"/>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2,121,173,720.66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2,037,713,936.33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1,611,974,436.67</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-1,794,232,923.06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314,377,918.28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-670.72%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249,411,156.16</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-1,823,764,945.13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292,203,574.22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-724.14%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225,585,118.92</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109,855,753.07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275,263,631.67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144,639,794.41</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0.35</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0.35</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-55.14%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6.93%</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4,627,124,261.74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6,355,454,798.88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-27.19%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5,446,279,251.67</w:t>
            </w:r>
          </w:p>
        </w:tc>
      </w:tr>
      <w:tr>
        <w:trPr>
          <w:trHeight w:val="716"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2,820,718,103.20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4,625,746,475.17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3,733,194,509.66</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六、分季度主要财务指标</w:t>
      </w:r>
      <w:r>
        <w:rPr>
          <w:b w:val="0"/>
          <w:bCs w:val="0"/>
        </w:rPr>
      </w:r>
    </w:p>
    <w:p>
      <w:pPr>
        <w:spacing w:line="240" w:lineRule="auto" w:before="11"/>
        <w:rPr>
          <w:rFonts w:ascii="Microsoft JhengHei" w:hAnsi="Microsoft JhengHei" w:cs="Microsoft JhengHei" w:eastAsia="Microsoft JhengHei" w:hint="default"/>
          <w:b/>
          <w:bCs/>
          <w:sz w:val="15"/>
          <w:szCs w:val="15"/>
        </w:rPr>
      </w:pPr>
    </w:p>
    <w:p>
      <w:pPr>
        <w:pStyle w:val="BodyText"/>
        <w:spacing w:line="240" w:lineRule="auto" w:before="44"/>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1"/>
        <w:gridCol w:w="1740"/>
        <w:gridCol w:w="1740"/>
        <w:gridCol w:w="1738"/>
        <w:gridCol w:w="1731"/>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511,740,813.17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554,753,278.25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580,673,370.47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474,006,258.77</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51,862,097.69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57,229,364.84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58,821,307.08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-1,962,145,692.67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40"/>
        <w:gridCol w:w="1740"/>
        <w:gridCol w:w="1738"/>
        <w:gridCol w:w="1731"/>
      </w:tblGrid>
      <w:tr>
        <w:trPr>
          <w:trHeight w:val="71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49,600,412.24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48,942,593.72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54,317,420.06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-1,976,625,371.15</w:t>
            </w:r>
          </w:p>
        </w:tc>
      </w:tr>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-205,222,808.57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-29,649,581.51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-3,361,501.00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348,089,644.15</w:t>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2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八、非经常性损益项目及金额</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6"/>
        <w:gridCol w:w="1522"/>
        <w:gridCol w:w="1519"/>
        <w:gridCol w:w="1522"/>
        <w:gridCol w:w="1712"/>
      </w:tblGrid>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7,334,414.23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583,372.19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3,274,697.68</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20,593,659.38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15,766,936.92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20,967,474.58</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918,000.00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2,027,000.00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6,768,604.38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3,640,374.26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-499,574.04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-1,385,427.85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-177,143.77</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5,776,000.00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3,547,877.29</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5,417,345.09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4,215,699.63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3,775,553.21</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165,736.79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18,211.83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11,315.33</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29,532,022.07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22,174,344.06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23,826,037.24</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7"/>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17"/>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right="1123"/>
        <w:jc w:val="center"/>
        <w:rPr>
          <w:b w:val="0"/>
          <w:bCs w:val="0"/>
        </w:rPr>
      </w:pPr>
      <w:bookmarkStart w:name="_bookmark1" w:id="2"/>
      <w:bookmarkEnd w:id="2"/>
      <w:r>
        <w:rPr>
          <w:b w:val="0"/>
          <w:bCs w:val="0"/>
        </w:rPr>
      </w:r>
      <w:r>
        <w:rPr/>
        <w:t>第三节公司业务概要</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40" w:lineRule="auto"/>
        <w:ind w:left="657" w:right="1089" w:hanging="504"/>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报告期内，公司的主营业务是向国内外客户提供以数字化解决方案为基础的综合科技服务，业务聚焦在</w:t>
      </w:r>
      <w:r>
        <w:rPr>
          <w:rFonts w:ascii="Times New Roman" w:hAnsi="Times New Roman" w:cs="Times New Roman" w:eastAsia="Times New Roman" w:hint="default"/>
        </w:rPr>
        <w:t>“</w:t>
      </w:r>
      <w:r>
        <w:rPr/>
        <w:t>金融科技</w:t>
      </w:r>
      <w:r>
        <w:rPr>
          <w:rFonts w:ascii="Times New Roman" w:hAnsi="Times New Roman" w:cs="Times New Roman" w:eastAsia="Times New Roman" w:hint="default"/>
        </w:rPr>
        <w:t>”</w:t>
      </w:r>
      <w:r>
        <w:rPr/>
        <w:t>、</w:t>
      </w:r>
    </w:p>
    <w:p>
      <w:pPr>
        <w:pStyle w:val="BodyText"/>
        <w:spacing w:line="228" w:lineRule="exact"/>
        <w:ind w:right="0"/>
        <w:jc w:val="left"/>
      </w:pPr>
      <w:r>
        <w:rPr>
          <w:rFonts w:ascii="Times New Roman" w:hAnsi="Times New Roman" w:cs="Times New Roman" w:eastAsia="Times New Roman" w:hint="default"/>
        </w:rPr>
        <w:t>“</w:t>
      </w:r>
      <w:r>
        <w:rPr/>
        <w:t>智能物联</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智慧能源信息化</w:t>
      </w:r>
      <w:r>
        <w:rPr>
          <w:rFonts w:ascii="Times New Roman" w:hAnsi="Times New Roman" w:cs="Times New Roman" w:eastAsia="Times New Roman" w:hint="default"/>
        </w:rPr>
        <w:t>”</w:t>
      </w:r>
      <w:r>
        <w:rPr/>
        <w:t>等专业领域，业务覆盖中国、日本、东南亚、北美等区域。公司总部位于南京，在北京、上</w:t>
      </w:r>
    </w:p>
    <w:p>
      <w:pPr>
        <w:pStyle w:val="BodyText"/>
        <w:spacing w:line="319" w:lineRule="auto" w:before="63"/>
        <w:ind w:right="1133"/>
        <w:jc w:val="both"/>
      </w:pPr>
      <w:r>
        <w:rPr>
          <w:spacing w:val="-2"/>
        </w:rPr>
        <w:t>海、深圳、广州、重庆、成都、武汉、西安、合肥、福州、香港等国内主要城市设有分子公司，并在日本东京、新加坡、美</w:t>
      </w:r>
      <w:r>
        <w:rPr>
          <w:spacing w:val="-73"/>
        </w:rPr>
        <w:t> </w:t>
      </w:r>
      <w:r>
        <w:rPr>
          <w:spacing w:val="-73"/>
        </w:rPr>
      </w:r>
      <w:r>
        <w:rPr>
          <w:spacing w:val="-2"/>
        </w:rPr>
        <w:t>国波士顿设立了海外子公司，拥有全球化的技术整合、客户响应与服务达到能力，能够为客户提供全面、即时、高效、智能</w:t>
      </w:r>
      <w:r>
        <w:rPr>
          <w:spacing w:val="-70"/>
        </w:rPr>
        <w:t> </w:t>
      </w:r>
      <w:r>
        <w:rPr>
          <w:spacing w:val="-70"/>
        </w:rPr>
      </w:r>
      <w:r>
        <w:rPr/>
        <w:t>的数字化科技服务。</w:t>
      </w:r>
    </w:p>
    <w:p>
      <w:pPr>
        <w:spacing w:line="240" w:lineRule="auto" w:before="2"/>
        <w:rPr>
          <w:rFonts w:ascii="宋体" w:hAnsi="宋体" w:cs="宋体" w:eastAsia="宋体" w:hint="default"/>
          <w:sz w:val="25"/>
          <w:szCs w:val="25"/>
        </w:rPr>
      </w:pPr>
    </w:p>
    <w:p>
      <w:pPr>
        <w:pStyle w:val="BodyText"/>
        <w:spacing w:line="300" w:lineRule="auto"/>
        <w:ind w:left="657" w:right="1120"/>
        <w:jc w:val="left"/>
      </w:pPr>
      <w:r>
        <w:rPr>
          <w:rFonts w:ascii="Times New Roman" w:hAnsi="Times New Roman" w:cs="Times New Roman" w:eastAsia="Times New Roman" w:hint="default"/>
        </w:rPr>
        <w:t>1</w:t>
      </w:r>
      <w:r>
        <w:rPr/>
        <w:t>、金融科技业务 </w:t>
      </w:r>
      <w:r>
        <w:rPr>
          <w:spacing w:val="-1"/>
        </w:rPr>
        <w:t>报告期内，公司金融科技业务以国内金融行业的数字化升级浪潮为契机，以城商行与第一梯队农商行为目标客户，以</w:t>
      </w:r>
    </w:p>
    <w:p>
      <w:pPr>
        <w:pStyle w:val="BodyText"/>
        <w:spacing w:line="309" w:lineRule="auto" w:before="31"/>
        <w:ind w:right="1163"/>
        <w:jc w:val="left"/>
      </w:pPr>
      <w:r>
        <w:rPr/>
        <w:t>业务中台为核心，以</w:t>
      </w:r>
      <w:r>
        <w:rPr>
          <w:rFonts w:ascii="Times New Roman" w:hAnsi="Times New Roman" w:cs="Times New Roman" w:eastAsia="Times New Roman" w:hint="default"/>
        </w:rPr>
        <w:t>DevOps</w:t>
      </w:r>
      <w:r>
        <w:rPr/>
        <w:t>和软件全生命周期管理为核心理念，致力于向客户提供创新的数字化信息技术服务，推动并帮 助传统银行逐步向数字银行转型，业务范围覆盖全国主要省市地区。 报告期内，公司金融科技业务主要分为专业交付、解决方案、科技运营等三大部分：</w:t>
      </w:r>
    </w:p>
    <w:p>
      <w:pPr>
        <w:pStyle w:val="BodyText"/>
        <w:spacing w:line="300" w:lineRule="auto" w:before="24"/>
        <w:ind w:left="657" w:right="0"/>
        <w:jc w:val="left"/>
      </w:pPr>
      <w:r>
        <w:rPr/>
        <w:t>（</w:t>
      </w:r>
      <w:r>
        <w:rPr>
          <w:rFonts w:ascii="Times New Roman" w:hAnsi="Times New Roman" w:cs="Times New Roman" w:eastAsia="Times New Roman" w:hint="default"/>
        </w:rPr>
        <w:t>1</w:t>
      </w:r>
      <w:r>
        <w:rPr/>
        <w:t>）专业交付 </w:t>
      </w:r>
      <w:r>
        <w:rPr>
          <w:spacing w:val="-3"/>
        </w:rPr>
        <w:t>报告期内，公司该业务系向银行、保险、其他持牌金融客户提供专业的软件交付服务，服务内容以信息化测试为核心，</w:t>
      </w:r>
    </w:p>
    <w:p>
      <w:pPr>
        <w:pStyle w:val="BodyText"/>
        <w:spacing w:line="300" w:lineRule="auto" w:before="31"/>
        <w:ind w:left="657" w:right="0" w:hanging="504"/>
        <w:jc w:val="left"/>
      </w:pPr>
      <w:r>
        <w:rPr/>
        <w:t>并向需求管理、持续集成等</w:t>
      </w:r>
      <w:r>
        <w:rPr>
          <w:rFonts w:ascii="Times New Roman" w:hAnsi="Times New Roman" w:cs="Times New Roman" w:eastAsia="Times New Roman" w:hint="default"/>
        </w:rPr>
        <w:t>DevOps</w:t>
      </w:r>
      <w:r>
        <w:rPr/>
        <w:t>领域快速延伸。 </w:t>
      </w:r>
      <w:r>
        <w:rPr>
          <w:spacing w:val="-3"/>
        </w:rPr>
        <w:t>报告期内，公司持续对软件工程全生命周期自动化交付工具进行升级和研发，不断完善自动化交付工具的功能和性能，</w:t>
      </w:r>
    </w:p>
    <w:p>
      <w:pPr>
        <w:pStyle w:val="BodyText"/>
        <w:spacing w:line="240" w:lineRule="auto" w:before="32"/>
        <w:ind w:right="0"/>
        <w:jc w:val="left"/>
      </w:pPr>
      <w:r>
        <w:rPr/>
        <w:t>并强化面向客户的价值交付体系与运营机制，持续提升该业务的交付效率和核心竞争力。</w:t>
      </w:r>
    </w:p>
    <w:p>
      <w:pPr>
        <w:pStyle w:val="BodyText"/>
        <w:spacing w:line="300" w:lineRule="auto" w:before="76"/>
        <w:ind w:left="657" w:right="1120"/>
        <w:jc w:val="left"/>
      </w:pPr>
      <w:r>
        <w:rPr/>
        <w:t>（</w:t>
      </w:r>
      <w:r>
        <w:rPr>
          <w:rFonts w:ascii="Times New Roman" w:hAnsi="Times New Roman" w:cs="Times New Roman" w:eastAsia="Times New Roman" w:hint="default"/>
        </w:rPr>
        <w:t>2</w:t>
      </w:r>
      <w:r>
        <w:rPr/>
        <w:t>）解决方案 </w:t>
      </w:r>
      <w:r>
        <w:rPr>
          <w:spacing w:val="-1"/>
        </w:rPr>
        <w:t>报告期内，公司该业务主要面向银行等金融机构提供核心业务系统、运营管理、产品生产、营销服务、渠道管理、风</w:t>
      </w:r>
    </w:p>
    <w:p>
      <w:pPr>
        <w:pStyle w:val="BodyText"/>
        <w:spacing w:line="316" w:lineRule="auto" w:before="31"/>
        <w:ind w:left="657" w:right="0" w:hanging="504"/>
        <w:jc w:val="left"/>
      </w:pPr>
      <w:r>
        <w:rPr/>
        <w:t>险管理、数据服务等专业的信息技术解决方案服务。 </w:t>
      </w:r>
      <w:r>
        <w:rPr>
          <w:spacing w:val="-1"/>
        </w:rPr>
        <w:t>报告期内，公司与蚂蚁金服联合完成了</w:t>
      </w:r>
      <w:r>
        <w:rPr>
          <w:rFonts w:ascii="Times New Roman" w:hAnsi="Times New Roman" w:cs="Times New Roman" w:eastAsia="Times New Roman" w:hint="default"/>
          <w:spacing w:val="-1"/>
        </w:rPr>
        <w:t>“</w:t>
      </w:r>
      <w:r>
        <w:rPr>
          <w:spacing w:val="-1"/>
        </w:rPr>
        <w:t>新一代分布式金融核心系统</w:t>
      </w:r>
      <w:r>
        <w:rPr>
          <w:rFonts w:ascii="Times New Roman" w:hAnsi="Times New Roman" w:cs="Times New Roman" w:eastAsia="Times New Roman" w:hint="default"/>
          <w:spacing w:val="-1"/>
        </w:rPr>
        <w:t>”</w:t>
      </w:r>
      <w:r>
        <w:rPr>
          <w:spacing w:val="-1"/>
        </w:rPr>
        <w:t>的研发工作，并以业务中台为核心基础，持续推</w:t>
      </w:r>
    </w:p>
    <w:p>
      <w:pPr>
        <w:pStyle w:val="BodyText"/>
        <w:spacing w:line="316" w:lineRule="auto"/>
        <w:ind w:right="0"/>
        <w:jc w:val="left"/>
      </w:pPr>
      <w:r>
        <w:rPr>
          <w:spacing w:val="-2"/>
        </w:rPr>
        <w:t>出融移动银行、智慧银行、数字银行为一体的金融科技解决方案产品及运营平台，通过持续的研发投入不断提高公司在该业</w:t>
      </w:r>
      <w:r>
        <w:rPr>
          <w:spacing w:val="-66"/>
        </w:rPr>
        <w:t> </w:t>
      </w:r>
      <w:r>
        <w:rPr>
          <w:spacing w:val="-66"/>
        </w:rPr>
      </w:r>
      <w:r>
        <w:rPr/>
        <w:t>务领域的产品覆盖率和核心竞争力。目前公司已在金融数字化解决方案业务领域取得了一定突破。</w:t>
      </w:r>
    </w:p>
    <w:p>
      <w:pPr>
        <w:pStyle w:val="BodyText"/>
        <w:spacing w:line="300" w:lineRule="auto" w:before="19"/>
        <w:ind w:left="657" w:right="1117"/>
        <w:jc w:val="left"/>
      </w:pPr>
      <w:r>
        <w:rPr/>
        <w:t>（</w:t>
      </w:r>
      <w:r>
        <w:rPr>
          <w:rFonts w:ascii="Times New Roman" w:hAnsi="Times New Roman" w:cs="Times New Roman" w:eastAsia="Times New Roman" w:hint="default"/>
        </w:rPr>
        <w:t>3</w:t>
      </w:r>
      <w:r>
        <w:rPr/>
        <w:t>）科技运营 </w:t>
      </w:r>
      <w:r>
        <w:rPr>
          <w:spacing w:val="-1"/>
        </w:rPr>
        <w:t>报告期内，公司通过面向中小商业银行的</w:t>
      </w:r>
      <w:r>
        <w:rPr>
          <w:rFonts w:ascii="Times New Roman" w:hAnsi="Times New Roman" w:cs="Times New Roman" w:eastAsia="Times New Roman" w:hint="default"/>
          <w:spacing w:val="-1"/>
        </w:rPr>
        <w:t>“</w:t>
      </w:r>
      <w:r>
        <w:rPr>
          <w:spacing w:val="-1"/>
        </w:rPr>
        <w:t>互联网金融业务</w:t>
      </w:r>
      <w:r>
        <w:rPr>
          <w:rFonts w:ascii="Times New Roman" w:hAnsi="Times New Roman" w:cs="Times New Roman" w:eastAsia="Times New Roman" w:hint="default"/>
          <w:spacing w:val="-1"/>
        </w:rPr>
        <w:t>”</w:t>
      </w:r>
      <w:r>
        <w:rPr>
          <w:spacing w:val="-1"/>
        </w:rPr>
        <w:t>运营平台，协助中小金融机构面向小微企业及个人开展基</w:t>
      </w:r>
    </w:p>
    <w:p>
      <w:pPr>
        <w:pStyle w:val="BodyText"/>
        <w:spacing w:line="240" w:lineRule="auto" w:before="13"/>
        <w:ind w:right="0"/>
        <w:jc w:val="left"/>
      </w:pPr>
      <w:r>
        <w:rPr/>
        <w:t>于互联网的普惠金融服务业务，公司将继续推动科技运营业务的发展。</w:t>
      </w:r>
    </w:p>
    <w:p>
      <w:pPr>
        <w:spacing w:line="240" w:lineRule="auto" w:before="0"/>
        <w:rPr>
          <w:rFonts w:ascii="宋体" w:hAnsi="宋体" w:cs="宋体" w:eastAsia="宋体" w:hint="default"/>
          <w:sz w:val="18"/>
          <w:szCs w:val="18"/>
        </w:rPr>
      </w:pPr>
    </w:p>
    <w:p>
      <w:pPr>
        <w:pStyle w:val="BodyText"/>
        <w:spacing w:line="300" w:lineRule="auto" w:before="153"/>
        <w:ind w:left="657" w:right="1120"/>
        <w:jc w:val="left"/>
      </w:pPr>
      <w:r>
        <w:rPr>
          <w:rFonts w:ascii="Times New Roman" w:hAnsi="Times New Roman" w:cs="Times New Roman" w:eastAsia="Times New Roman" w:hint="default"/>
        </w:rPr>
        <w:t>2</w:t>
      </w:r>
      <w:r>
        <w:rPr/>
        <w:t>、智能物联业务 </w:t>
      </w:r>
      <w:r>
        <w:rPr>
          <w:spacing w:val="-1"/>
        </w:rPr>
        <w:t>报告期内，公司以智能终端信息化业务为基础，全面向智能物联方向进行数字化战略升级，为此，公司以既有的芯片</w:t>
      </w:r>
    </w:p>
    <w:p>
      <w:pPr>
        <w:pStyle w:val="BodyText"/>
        <w:spacing w:line="300" w:lineRule="auto" w:before="31"/>
        <w:ind w:right="1150"/>
        <w:jc w:val="left"/>
      </w:pPr>
      <w:r>
        <w:rPr/>
        <w:t>与终端设备开发、人工智能、云计算、大数据等技术能力为基础，打通了从端到云、从底层技术到上层应用的</w:t>
      </w:r>
      <w:r>
        <w:rPr>
          <w:rFonts w:ascii="Times New Roman" w:hAnsi="Times New Roman" w:cs="Times New Roman" w:eastAsia="Times New Roman" w:hint="default"/>
        </w:rPr>
        <w:t>IoT</w:t>
      </w:r>
      <w:r>
        <w:rPr/>
        <w:t>解决方案 所需的全栈技术能力，具备了综合的软硬件一体化的智能物联网解决方案开发与服务能力，建立了完整的预研</w:t>
      </w:r>
      <w:r>
        <w:rPr>
          <w:rFonts w:ascii="Times New Roman" w:hAnsi="Times New Roman" w:cs="Times New Roman" w:eastAsia="Times New Roman" w:hint="default"/>
        </w:rPr>
        <w:t>-</w:t>
      </w:r>
      <w:r>
        <w:rPr/>
        <w:t>设计</w:t>
      </w:r>
      <w:r>
        <w:rPr>
          <w:rFonts w:ascii="Times New Roman" w:hAnsi="Times New Roman" w:cs="Times New Roman" w:eastAsia="Times New Roman" w:hint="default"/>
        </w:rPr>
        <w:t>-</w:t>
      </w:r>
      <w:r>
        <w:rPr/>
        <w:t>开发</w:t>
      </w:r>
      <w:r>
        <w:rPr>
          <w:rFonts w:ascii="Times New Roman" w:hAnsi="Times New Roman" w:cs="Times New Roman" w:eastAsia="Times New Roman" w:hint="default"/>
        </w:rPr>
        <w:t>- </w:t>
      </w:r>
      <w:r>
        <w:rPr/>
        <w:t>测试的技术及实施体系，以</w:t>
      </w:r>
      <w:r>
        <w:rPr>
          <w:rFonts w:ascii="Times New Roman" w:hAnsi="Times New Roman" w:cs="Times New Roman" w:eastAsia="Times New Roman" w:hint="default"/>
        </w:rPr>
        <w:t>“</w:t>
      </w:r>
      <w:r>
        <w:rPr/>
        <w:t>一站式的交付模式</w:t>
      </w:r>
      <w:r>
        <w:rPr>
          <w:rFonts w:ascii="Times New Roman" w:hAnsi="Times New Roman" w:cs="Times New Roman" w:eastAsia="Times New Roman" w:hint="default"/>
        </w:rPr>
        <w:t>”</w:t>
      </w:r>
      <w:r>
        <w:rPr/>
        <w:t>帮助客户快速研发产品、提高用户体验。</w:t>
      </w:r>
    </w:p>
    <w:p>
      <w:pPr>
        <w:pStyle w:val="BodyText"/>
        <w:spacing w:line="316" w:lineRule="auto" w:before="13"/>
        <w:ind w:right="1132" w:firstLine="504"/>
        <w:jc w:val="both"/>
      </w:pPr>
      <w:r>
        <w:rPr>
          <w:spacing w:val="-1"/>
        </w:rPr>
        <w:t>报告期内，公司智能终端信息化业务，在持续向智能手机、智能平板、智能芯片等客户提供芯片参考设计、整机系统</w:t>
      </w:r>
      <w:r>
        <w:rPr/>
        <w:t> 开发、智能设备调优等技术服务，同时通过数字化战略升级，实现了向智能物联网方案能力的延伸，具体如下：</w:t>
      </w:r>
    </w:p>
    <w:p>
      <w:pPr>
        <w:pStyle w:val="BodyText"/>
        <w:spacing w:line="307" w:lineRule="auto" w:before="19"/>
        <w:ind w:right="1132" w:firstLine="504"/>
        <w:jc w:val="both"/>
      </w:pPr>
      <w:r>
        <w:rPr/>
        <w:t>报告期内，公司在芯片与边缘计算能力方向持续加大研发投入，深耕新一代</w:t>
      </w:r>
      <w:r>
        <w:rPr>
          <w:rFonts w:ascii="Times New Roman" w:hAnsi="Times New Roman" w:cs="Times New Roman" w:eastAsia="Times New Roman" w:hint="default"/>
        </w:rPr>
        <w:t>AI</w:t>
      </w:r>
      <w:r>
        <w:rPr/>
        <w:t>计算平台</w:t>
      </w:r>
      <w:r>
        <w:rPr>
          <w:rFonts w:ascii="Times New Roman" w:hAnsi="Times New Roman" w:cs="Times New Roman" w:eastAsia="Times New Roman" w:hint="default"/>
        </w:rPr>
        <w:t>HiHope</w:t>
      </w:r>
      <w:r>
        <w:rPr/>
        <w:t>（包括</w:t>
      </w:r>
      <w:r>
        <w:rPr>
          <w:rFonts w:ascii="Times New Roman" w:hAnsi="Times New Roman" w:cs="Times New Roman" w:eastAsia="Times New Roman" w:hint="default"/>
        </w:rPr>
        <w:t>HiHope</w:t>
      </w:r>
      <w:r>
        <w:rPr/>
        <w:t>硬件开 发平台、</w:t>
      </w:r>
      <w:r>
        <w:rPr>
          <w:rFonts w:ascii="Times New Roman" w:hAnsi="Times New Roman" w:cs="Times New Roman" w:eastAsia="Times New Roman" w:hint="default"/>
        </w:rPr>
        <w:t>HiHopeAI-Engine</w:t>
      </w:r>
      <w:r>
        <w:rPr/>
        <w:t>、</w:t>
      </w:r>
      <w:r>
        <w:rPr>
          <w:rFonts w:ascii="Times New Roman" w:hAnsi="Times New Roman" w:cs="Times New Roman" w:eastAsia="Times New Roman" w:hint="default"/>
        </w:rPr>
        <w:t>HiHope</w:t>
      </w:r>
      <w:r>
        <w:rPr/>
        <w:t>开源社区等模块），旨在为业界提供创新、开放、简易的软硬一体化高性能平台，降低 </w:t>
      </w:r>
      <w:r>
        <w:rPr>
          <w:spacing w:val="-2"/>
        </w:rPr>
        <w:t>人工智能、图像处理、边缘计算等前沿领域的技术开发门槛，加速产品化进程，为公司未来全面开展智能物联网业务提供了</w:t>
      </w:r>
      <w:r>
        <w:rPr>
          <w:spacing w:val="-66"/>
        </w:rPr>
        <w:t> </w:t>
      </w:r>
      <w:r>
        <w:rPr>
          <w:spacing w:val="-66"/>
        </w:rPr>
      </w:r>
      <w:r>
        <w:rPr/>
        <w:t>坚实的技术平台基础。</w:t>
      </w:r>
    </w:p>
    <w:p>
      <w:pPr>
        <w:spacing w:after="0" w:line="307"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023" w:firstLine="504"/>
        <w:jc w:val="left"/>
      </w:pPr>
      <w:r>
        <w:rPr/>
        <w:t>截至报告期末，润和软件</w:t>
      </w:r>
      <w:r>
        <w:rPr>
          <w:rFonts w:ascii="Times New Roman" w:hAnsi="Times New Roman" w:cs="Times New Roman" w:eastAsia="Times New Roman" w:hint="default"/>
        </w:rPr>
        <w:t>HiHopeAI</w:t>
      </w:r>
      <w:r>
        <w:rPr/>
        <w:t>开源社区已与包括华为海思、瑞萨电子、索喜电子、</w:t>
      </w:r>
      <w:r>
        <w:rPr>
          <w:rFonts w:ascii="Times New Roman" w:hAnsi="Times New Roman" w:cs="Times New Roman" w:eastAsia="Times New Roman" w:hint="default"/>
        </w:rPr>
        <w:t>Google</w:t>
      </w:r>
      <w:r>
        <w:rPr/>
        <w:t>、德州仪器、英飞凌、 </w:t>
      </w:r>
      <w:r>
        <w:rPr>
          <w:rFonts w:ascii="Times New Roman" w:hAnsi="Times New Roman" w:cs="Times New Roman" w:eastAsia="Times New Roman" w:hint="default"/>
        </w:rPr>
        <w:t>Microchip</w:t>
      </w:r>
      <w:r>
        <w:rPr/>
        <w:t>、</w:t>
      </w:r>
      <w:r>
        <w:rPr>
          <w:rFonts w:ascii="Times New Roman" w:hAnsi="Times New Roman" w:cs="Times New Roman" w:eastAsia="Times New Roman" w:hint="default"/>
        </w:rPr>
        <w:t>NXP</w:t>
      </w:r>
      <w:r>
        <w:rPr/>
        <w:t>等业界顶级芯片商、操作系统商展开了紧密合作，在融合大数据、深度学习、高性能计算和异构计算能力 的基础上，有效推动芯片级服务能力向板端延伸。初步构建起了一个以</w:t>
      </w:r>
      <w:r>
        <w:rPr>
          <w:rFonts w:ascii="Times New Roman" w:hAnsi="Times New Roman" w:cs="Times New Roman" w:eastAsia="Times New Roman" w:hint="default"/>
        </w:rPr>
        <w:t>AI</w:t>
      </w:r>
      <w:r>
        <w:rPr/>
        <w:t>芯片为核心，全面涵盖开发者、板卡、产品原型、 下游客户与场景、综合软硬件服务支持的</w:t>
      </w:r>
      <w:r>
        <w:rPr>
          <w:rFonts w:ascii="Times New Roman" w:hAnsi="Times New Roman" w:cs="Times New Roman" w:eastAsia="Times New Roman" w:hint="default"/>
        </w:rPr>
        <w:t>HiHopeAI</w:t>
      </w:r>
      <w:r>
        <w:rPr/>
        <w:t>生态圈。</w:t>
      </w:r>
    </w:p>
    <w:p>
      <w:pPr>
        <w:pStyle w:val="BodyText"/>
        <w:spacing w:line="300" w:lineRule="auto" w:before="13"/>
        <w:ind w:right="1093" w:firstLine="504"/>
        <w:jc w:val="left"/>
      </w:pPr>
      <w:r>
        <w:rPr/>
        <w:t>截至报告期末，公司分别成为华为海思的战略合作伙伴、瑞萨电子中国区的独家战略伙伴、</w:t>
      </w:r>
      <w:r>
        <w:rPr>
          <w:rFonts w:ascii="Times New Roman" w:hAnsi="Times New Roman" w:cs="Times New Roman" w:eastAsia="Times New Roman" w:hint="default"/>
        </w:rPr>
        <w:t>GoogleAndroidTV</w:t>
      </w:r>
      <w:r>
        <w:rPr/>
        <w:t>的全球 顶级合作伙伴，并推出了</w:t>
      </w:r>
      <w:r>
        <w:rPr>
          <w:rFonts w:ascii="Times New Roman" w:hAnsi="Times New Roman" w:cs="Times New Roman" w:eastAsia="Times New Roman" w:hint="default"/>
        </w:rPr>
        <w:t>9</w:t>
      </w:r>
      <w:r>
        <w:rPr/>
        <w:t>款高性能</w:t>
      </w:r>
      <w:r>
        <w:rPr>
          <w:rFonts w:ascii="Times New Roman" w:hAnsi="Times New Roman" w:cs="Times New Roman" w:eastAsia="Times New Roman" w:hint="default"/>
        </w:rPr>
        <w:t>AI</w:t>
      </w:r>
      <w:r>
        <w:rPr/>
        <w:t>开发平台，具体包括：基于华为海思芯片能广泛应用于数字新媒体、智能机器人、智 能支付等场景的</w:t>
      </w:r>
      <w:r>
        <w:rPr>
          <w:rFonts w:ascii="Times New Roman" w:hAnsi="Times New Roman" w:cs="Times New Roman" w:eastAsia="Times New Roman" w:hint="default"/>
        </w:rPr>
        <w:t>HiKey960</w:t>
      </w:r>
      <w:r>
        <w:rPr/>
        <w:t>开发平台；基于华为海思芯片能广泛应用于机器人、智慧城市、深度学习、自动驾驶等场景的 </w:t>
      </w:r>
      <w:r>
        <w:rPr>
          <w:rFonts w:ascii="Times New Roman" w:hAnsi="Times New Roman" w:cs="Times New Roman" w:eastAsia="Times New Roman" w:hint="default"/>
        </w:rPr>
        <w:t>HiKey970</w:t>
      </w:r>
      <w:r>
        <w:rPr/>
        <w:t>开发平台；基于华为海思芯片能广泛应用于智能安防、客流统计、人脸识别、智能门禁、自动驾驶、机器人等场 景的</w:t>
      </w:r>
      <w:r>
        <w:rPr>
          <w:rFonts w:ascii="Times New Roman" w:hAnsi="Times New Roman" w:cs="Times New Roman" w:eastAsia="Times New Roman" w:hint="default"/>
        </w:rPr>
        <w:t>Hickory</w:t>
      </w:r>
      <w:r>
        <w:rPr/>
        <w:t>开发平台；基于华为海思芯片能广泛应用于数字家庭中控、智能</w:t>
      </w:r>
      <w:r>
        <w:rPr>
          <w:rFonts w:ascii="Times New Roman" w:hAnsi="Times New Roman" w:cs="Times New Roman" w:eastAsia="Times New Roman" w:hint="default"/>
        </w:rPr>
        <w:t>POS</w:t>
      </w:r>
      <w:r>
        <w:rPr/>
        <w:t>机、行业平板、自动售货机、智能办公等 场景的</w:t>
      </w:r>
      <w:r>
        <w:rPr>
          <w:rFonts w:ascii="Times New Roman" w:hAnsi="Times New Roman" w:cs="Times New Roman" w:eastAsia="Times New Roman" w:hint="default"/>
        </w:rPr>
        <w:t>Poplar</w:t>
      </w:r>
      <w:r>
        <w:rPr/>
        <w:t>开发平台；基于华为海思芯片能广泛应用于共享单车、智慧锁、智慧停车、智能安防等场景的</w:t>
      </w:r>
      <w:r>
        <w:rPr>
          <w:rFonts w:ascii="Times New Roman" w:hAnsi="Times New Roman" w:cs="Times New Roman" w:eastAsia="Times New Roman" w:hint="default"/>
        </w:rPr>
        <w:t>Luna</w:t>
      </w:r>
      <w:r>
        <w:rPr/>
        <w:t>开发平台； 基于瑞萨芯片能广泛应用于智慧楼宇、智慧工业、智慧家居等场景的</w:t>
      </w:r>
      <w:r>
        <w:rPr>
          <w:rFonts w:ascii="Times New Roman" w:hAnsi="Times New Roman" w:cs="Times New Roman" w:eastAsia="Times New Roman" w:hint="default"/>
        </w:rPr>
        <w:t>Musashi</w:t>
      </w:r>
      <w:r>
        <w:rPr/>
        <w:t>开发平台；基于索喜芯片能广泛应用于智慧家 </w:t>
      </w:r>
      <w:r>
        <w:rPr>
          <w:spacing w:val="-3"/>
        </w:rPr>
        <w:t>居、智能商显等场景的</w:t>
      </w:r>
      <w:r>
        <w:rPr>
          <w:rFonts w:ascii="Times New Roman" w:hAnsi="Times New Roman" w:cs="Times New Roman" w:eastAsia="Times New Roman" w:hint="default"/>
          <w:spacing w:val="-3"/>
        </w:rPr>
        <w:t>Akebi96</w:t>
      </w:r>
      <w:r>
        <w:rPr>
          <w:spacing w:val="-3"/>
        </w:rPr>
        <w:t>开发平台；基于德州仪器芯片能广泛应用于医疗检测、环境检测、温湿度检测等场景的</w:t>
      </w:r>
      <w:r>
        <w:rPr>
          <w:rFonts w:ascii="Times New Roman" w:hAnsi="Times New Roman" w:cs="Times New Roman" w:eastAsia="Times New Roman" w:hint="default"/>
          <w:spacing w:val="-3"/>
        </w:rPr>
        <w:t>Uranus </w:t>
      </w:r>
      <w:r>
        <w:rPr/>
        <w:t>开发平台；基于英飞凌芯片能广泛应用于服务器、物联网、智慧工业等场景的</w:t>
      </w:r>
      <w:r>
        <w:rPr>
          <w:rFonts w:ascii="Times New Roman" w:hAnsi="Times New Roman" w:cs="Times New Roman" w:eastAsia="Times New Roman" w:hint="default"/>
        </w:rPr>
        <w:t>Secure96</w:t>
      </w:r>
      <w:r>
        <w:rPr/>
        <w:t>开发平台。</w:t>
      </w:r>
    </w:p>
    <w:p>
      <w:pPr>
        <w:pStyle w:val="BodyText"/>
        <w:spacing w:line="300" w:lineRule="auto" w:before="13"/>
        <w:ind w:right="1128" w:firstLine="504"/>
        <w:jc w:val="left"/>
      </w:pPr>
      <w:r>
        <w:rPr/>
        <w:t>报告期内，公司强化了以智能驾驶舱为核心的智能驾驶解决方案相关的技术与团队的储备。其中，以</w:t>
      </w:r>
      <w:r>
        <w:rPr>
          <w:rFonts w:ascii="Times New Roman" w:hAnsi="Times New Roman" w:cs="Times New Roman" w:eastAsia="Times New Roman" w:hint="default"/>
        </w:rPr>
        <w:t>IntelApollolake </w:t>
      </w:r>
      <w:r>
        <w:rPr>
          <w:spacing w:val="-1"/>
        </w:rPr>
        <w:t>为平台并采用</w:t>
      </w:r>
      <w:r>
        <w:rPr>
          <w:rFonts w:ascii="Times New Roman" w:hAnsi="Times New Roman" w:cs="Times New Roman" w:eastAsia="Times New Roman" w:hint="default"/>
          <w:spacing w:val="-1"/>
        </w:rPr>
        <w:t>ACRN</w:t>
      </w:r>
      <w:r>
        <w:rPr>
          <w:spacing w:val="-1"/>
        </w:rPr>
        <w:t>虚拟化技术方案的智能驾驶舱方案已经成熟，该方案同时支持车载娱乐信息系统和智能仪表系统，并实</w:t>
      </w:r>
      <w:r>
        <w:rPr>
          <w:spacing w:val="-82"/>
        </w:rPr>
        <w:t> </w:t>
      </w:r>
      <w:r>
        <w:rPr>
          <w:spacing w:val="-82"/>
        </w:rPr>
      </w:r>
      <w:r>
        <w:rPr/>
        <w:t>现了两大系统之间的信息共享与交互。</w:t>
      </w:r>
    </w:p>
    <w:p>
      <w:pPr>
        <w:pStyle w:val="BodyText"/>
        <w:spacing w:line="312" w:lineRule="auto" w:before="31"/>
        <w:ind w:right="1128" w:firstLine="504"/>
        <w:jc w:val="both"/>
      </w:pPr>
      <w:r>
        <w:rPr>
          <w:spacing w:val="-1"/>
        </w:rPr>
        <w:t>报告期内，公司的餐饮连锁智能物联网解决方案已全面推向市场，该解决方案主要包括库存盘点与效期智能管理、后</w:t>
      </w:r>
      <w:r>
        <w:rPr/>
        <w:t> 厨智能物联等两大应用场景解决方案。通过上述方案，公司可以综合应用</w:t>
      </w:r>
      <w:r>
        <w:rPr>
          <w:rFonts w:ascii="Times New Roman" w:hAnsi="Times New Roman" w:cs="Times New Roman" w:eastAsia="Times New Roman" w:hint="default"/>
        </w:rPr>
        <w:t>RFID</w:t>
      </w:r>
      <w:r>
        <w:rPr/>
        <w:t>、图像</w:t>
      </w:r>
      <w:r>
        <w:rPr>
          <w:rFonts w:ascii="Times New Roman" w:hAnsi="Times New Roman" w:cs="Times New Roman" w:eastAsia="Times New Roman" w:hint="default"/>
        </w:rPr>
        <w:t>/</w:t>
      </w:r>
      <w:r>
        <w:rPr/>
        <w:t>人脸识别、语音输入、边缘计算与深 </w:t>
      </w:r>
      <w:r>
        <w:rPr>
          <w:spacing w:val="-2"/>
        </w:rPr>
        <w:t>度学习等智能物联网技术，帮助连锁门店实现对全库房的实时盘点、真实效期管理、原料全生命周期管理、后厨环境和设备</w:t>
      </w:r>
      <w:r>
        <w:rPr>
          <w:spacing w:val="-64"/>
        </w:rPr>
        <w:t> </w:t>
      </w:r>
      <w:r>
        <w:rPr>
          <w:spacing w:val="-64"/>
        </w:rPr>
      </w:r>
      <w:r>
        <w:rPr/>
        <w:t>动态感知等智能化、数字化运营。</w:t>
      </w:r>
    </w:p>
    <w:p>
      <w:pPr>
        <w:spacing w:line="240" w:lineRule="auto" w:before="7"/>
        <w:rPr>
          <w:rFonts w:ascii="宋体" w:hAnsi="宋体" w:cs="宋体" w:eastAsia="宋体" w:hint="default"/>
          <w:sz w:val="25"/>
          <w:szCs w:val="25"/>
        </w:rPr>
      </w:pPr>
    </w:p>
    <w:p>
      <w:pPr>
        <w:pStyle w:val="BodyText"/>
        <w:spacing w:line="300" w:lineRule="auto"/>
        <w:ind w:left="657" w:right="0"/>
        <w:jc w:val="left"/>
      </w:pPr>
      <w:r>
        <w:rPr>
          <w:rFonts w:ascii="Times New Roman" w:hAnsi="Times New Roman" w:cs="Times New Roman" w:eastAsia="Times New Roman" w:hint="default"/>
        </w:rPr>
        <w:t>3</w:t>
      </w:r>
      <w:r>
        <w:rPr/>
        <w:t>、智慧能源信息化业务 </w:t>
      </w:r>
      <w:r>
        <w:rPr>
          <w:spacing w:val="-1"/>
        </w:rPr>
        <w:t>报告期内，公司智慧能源信息化业务以</w:t>
      </w:r>
      <w:r>
        <w:rPr>
          <w:rFonts w:ascii="Times New Roman" w:hAnsi="Times New Roman" w:cs="Times New Roman" w:eastAsia="Times New Roman" w:hint="default"/>
          <w:spacing w:val="-1"/>
        </w:rPr>
        <w:t>“</w:t>
      </w:r>
      <w:r>
        <w:rPr>
          <w:spacing w:val="-1"/>
        </w:rPr>
        <w:t>物联传感</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数据分析</w:t>
      </w:r>
      <w:r>
        <w:rPr>
          <w:rFonts w:ascii="Times New Roman" w:hAnsi="Times New Roman" w:cs="Times New Roman" w:eastAsia="Times New Roman" w:hint="default"/>
          <w:spacing w:val="-1"/>
        </w:rPr>
        <w:t>”</w:t>
      </w:r>
      <w:r>
        <w:rPr>
          <w:spacing w:val="-1"/>
        </w:rPr>
        <w:t>技术为基础，向客户提供设备数据采集与分析、表计</w:t>
      </w:r>
    </w:p>
    <w:p>
      <w:pPr>
        <w:pStyle w:val="BodyText"/>
        <w:spacing w:line="316" w:lineRule="auto" w:before="13"/>
        <w:ind w:right="1131"/>
        <w:jc w:val="both"/>
      </w:pPr>
      <w:r>
        <w:rPr>
          <w:spacing w:val="-2"/>
        </w:rPr>
        <w:t>数据采集与分析、电网优化、生产移动作业管理、营销移动作业管理、综合能源服务、能源物联网等专业解决方案。主要细</w:t>
      </w:r>
      <w:r>
        <w:rPr>
          <w:spacing w:val="-68"/>
        </w:rPr>
        <w:t> </w:t>
      </w:r>
      <w:r>
        <w:rPr>
          <w:spacing w:val="-68"/>
        </w:rPr>
      </w:r>
      <w:r>
        <w:rPr>
          <w:spacing w:val="-2"/>
        </w:rPr>
        <w:t>分市场客户为发电企业、电网企业、新能源企业等，通过数字化的系统状态分析和辅助决策模型，帮助客户实现电网运营的</w:t>
      </w:r>
      <w:r>
        <w:rPr>
          <w:spacing w:val="-64"/>
        </w:rPr>
        <w:t> </w:t>
      </w:r>
      <w:r>
        <w:rPr>
          <w:spacing w:val="-64"/>
        </w:rPr>
      </w:r>
      <w:r>
        <w:rPr/>
        <w:t>可靠、安全、经济、高效的目标。</w:t>
      </w:r>
    </w:p>
    <w:p>
      <w:pPr>
        <w:pStyle w:val="BodyText"/>
        <w:spacing w:line="316" w:lineRule="auto" w:before="19"/>
        <w:ind w:right="1043" w:firstLine="504"/>
        <w:jc w:val="both"/>
      </w:pPr>
      <w:r>
        <w:rPr/>
        <w:t>报告期内，公司智慧能源信息化业务在实现专业交付的基础上，以数字化战略为目标，结合公司在智能物联领域的技 </w:t>
      </w:r>
      <w:r>
        <w:rPr>
          <w:spacing w:val="-2"/>
        </w:rPr>
        <w:t>术堆栈，通过采用分布式架构、大数据、人工智能、边缘计算、物联网、微服务架构等新技术进行深度融合研发，成功开发</w:t>
      </w:r>
      <w:r>
        <w:rPr>
          <w:spacing w:val="-74"/>
        </w:rPr>
        <w:t> </w:t>
      </w:r>
      <w:r>
        <w:rPr>
          <w:spacing w:val="-74"/>
        </w:rPr>
      </w:r>
      <w:r>
        <w:rPr>
          <w:spacing w:val="-4"/>
        </w:rPr>
        <w:t>了智能配电边缘计算网关系统，完善了公司智能配电物联网解决方案的提供能力，提升了公司在智慧能源行业的核心竞争力。</w:t>
      </w:r>
    </w:p>
    <w:p>
      <w:pPr>
        <w:spacing w:line="240" w:lineRule="auto" w:before="4"/>
        <w:rPr>
          <w:rFonts w:ascii="宋体" w:hAnsi="宋体" w:cs="宋体" w:eastAsia="宋体" w:hint="default"/>
          <w:sz w:val="25"/>
          <w:szCs w:val="25"/>
        </w:rPr>
      </w:pPr>
    </w:p>
    <w:p>
      <w:pPr>
        <w:pStyle w:val="BodyText"/>
        <w:spacing w:line="300" w:lineRule="auto"/>
        <w:ind w:left="657" w:right="3409"/>
        <w:jc w:val="left"/>
      </w:pPr>
      <w:r>
        <w:rPr>
          <w:rFonts w:ascii="Times New Roman" w:hAnsi="Times New Roman" w:cs="Times New Roman" w:eastAsia="Times New Roman" w:hint="default"/>
        </w:rPr>
        <w:t>4</w:t>
      </w:r>
      <w:r>
        <w:rPr/>
        <w:t>、其它主营业务 报告期内，公司除上述主要业务领域外，其它主营业务主要为智能供应链信息化业务。</w:t>
      </w:r>
    </w:p>
    <w:p>
      <w:pPr>
        <w:spacing w:line="240" w:lineRule="auto" w:before="3"/>
        <w:rPr>
          <w:rFonts w:ascii="宋体" w:hAnsi="宋体" w:cs="宋体" w:eastAsia="宋体" w:hint="default"/>
          <w:sz w:val="26"/>
          <w:szCs w:val="26"/>
        </w:rPr>
      </w:pPr>
    </w:p>
    <w:p>
      <w:pPr>
        <w:pStyle w:val="BodyText"/>
        <w:spacing w:line="319" w:lineRule="auto"/>
        <w:ind w:left="657" w:right="0"/>
        <w:jc w:val="left"/>
      </w:pPr>
      <w:r>
        <w:rPr/>
        <w:t>（二）报告期内公司所属行业的发展阶段以及公司所处的行业地位等 </w:t>
      </w:r>
      <w:r>
        <w:rPr>
          <w:spacing w:val="-1"/>
        </w:rPr>
        <w:t>根据中国证监会《上市公司行业分类指引》（</w:t>
      </w:r>
      <w:r>
        <w:rPr>
          <w:rFonts w:ascii="Times New Roman" w:hAnsi="Times New Roman" w:cs="Times New Roman" w:eastAsia="Times New Roman" w:hint="default"/>
          <w:spacing w:val="-1"/>
        </w:rPr>
        <w:t>2012</w:t>
      </w:r>
      <w:r>
        <w:rPr>
          <w:spacing w:val="-1"/>
        </w:rPr>
        <w:t>年修订），公司所处行业的编码为</w:t>
      </w:r>
      <w:r>
        <w:rPr>
          <w:rFonts w:ascii="Times New Roman" w:hAnsi="Times New Roman" w:cs="Times New Roman" w:eastAsia="Times New Roman" w:hint="default"/>
          <w:spacing w:val="-1"/>
        </w:rPr>
        <w:t>I65</w:t>
      </w:r>
      <w:r>
        <w:rPr>
          <w:spacing w:val="-1"/>
        </w:rPr>
        <w:t>，为</w:t>
      </w:r>
      <w:r>
        <w:rPr>
          <w:rFonts w:ascii="Times New Roman" w:hAnsi="Times New Roman" w:cs="Times New Roman" w:eastAsia="Times New Roman" w:hint="default"/>
          <w:spacing w:val="-1"/>
        </w:rPr>
        <w:t>“</w:t>
      </w:r>
      <w:r>
        <w:rPr>
          <w:spacing w:val="-1"/>
        </w:rPr>
        <w:t>信息传输、软件和信息</w:t>
      </w:r>
    </w:p>
    <w:p>
      <w:pPr>
        <w:pStyle w:val="BodyText"/>
        <w:spacing w:line="300" w:lineRule="auto"/>
        <w:ind w:right="1029"/>
        <w:jc w:val="left"/>
      </w:pPr>
      <w:r>
        <w:rPr>
          <w:spacing w:val="-1"/>
        </w:rPr>
        <w:t>技术服务业</w:t>
      </w:r>
      <w:r>
        <w:rPr>
          <w:rFonts w:ascii="Times New Roman" w:hAnsi="Times New Roman" w:cs="Times New Roman" w:eastAsia="Times New Roman" w:hint="default"/>
          <w:spacing w:val="-1"/>
        </w:rPr>
        <w:t>”</w:t>
      </w:r>
      <w:r>
        <w:rPr>
          <w:spacing w:val="-1"/>
        </w:rPr>
        <w:t>中的</w:t>
      </w:r>
      <w:r>
        <w:rPr>
          <w:rFonts w:ascii="Times New Roman" w:hAnsi="Times New Roman" w:cs="Times New Roman" w:eastAsia="Times New Roman" w:hint="default"/>
          <w:spacing w:val="-1"/>
        </w:rPr>
        <w:t>“</w:t>
      </w:r>
      <w:r>
        <w:rPr>
          <w:spacing w:val="-1"/>
        </w:rPr>
        <w:t>软件和信息技术服务业</w:t>
      </w:r>
      <w:r>
        <w:rPr>
          <w:rFonts w:ascii="Times New Roman" w:hAnsi="Times New Roman" w:cs="Times New Roman" w:eastAsia="Times New Roman" w:hint="default"/>
          <w:spacing w:val="-1"/>
        </w:rPr>
        <w:t>”</w:t>
      </w:r>
      <w:r>
        <w:rPr>
          <w:spacing w:val="-1"/>
        </w:rPr>
        <w:t>。据国家工业与信息化部发布数据，近年来我国软件产业产值持续保持较快增长。</w:t>
      </w:r>
      <w:r>
        <w:rPr>
          <w:spacing w:val="-88"/>
        </w:rPr>
        <w:t> </w:t>
      </w:r>
      <w:r>
        <w:rPr>
          <w:spacing w:val="-88"/>
        </w:rPr>
      </w:r>
      <w:r>
        <w:rPr>
          <w:rFonts w:ascii="Times New Roman" w:hAnsi="Times New Roman" w:cs="Times New Roman" w:eastAsia="Times New Roman" w:hint="default"/>
        </w:rPr>
        <w:t>2019</w:t>
      </w:r>
      <w:r>
        <w:rPr/>
        <w:t>年全国软件和信息技术服务业规模以上企业超</w:t>
      </w:r>
      <w:r>
        <w:rPr>
          <w:rFonts w:ascii="Times New Roman" w:hAnsi="Times New Roman" w:cs="Times New Roman" w:eastAsia="Times New Roman" w:hint="default"/>
        </w:rPr>
        <w:t>4</w:t>
      </w:r>
      <w:r>
        <w:rPr/>
        <w:t>万家，累计完成软件业务收入</w:t>
      </w:r>
      <w:r>
        <w:rPr>
          <w:rFonts w:ascii="Times New Roman" w:hAnsi="Times New Roman" w:cs="Times New Roman" w:eastAsia="Times New Roman" w:hint="default"/>
        </w:rPr>
        <w:t>71768</w:t>
      </w:r>
      <w:r>
        <w:rPr/>
        <w:t>亿元，同比增长</w:t>
      </w:r>
      <w:r>
        <w:rPr>
          <w:rFonts w:ascii="Times New Roman" w:hAnsi="Times New Roman" w:cs="Times New Roman" w:eastAsia="Times New Roman" w:hint="default"/>
        </w:rPr>
        <w:t>15.4%</w:t>
      </w:r>
      <w:r>
        <w:rPr/>
        <w:t>。从公司涉及 的细分业务领域看：</w:t>
      </w:r>
    </w:p>
    <w:p>
      <w:pPr>
        <w:spacing w:line="240" w:lineRule="auto" w:before="3"/>
        <w:rPr>
          <w:rFonts w:ascii="宋体" w:hAnsi="宋体" w:cs="宋体" w:eastAsia="宋体" w:hint="default"/>
          <w:sz w:val="26"/>
          <w:szCs w:val="26"/>
        </w:rPr>
      </w:pPr>
    </w:p>
    <w:p>
      <w:pPr>
        <w:pStyle w:val="BodyText"/>
        <w:spacing w:line="300" w:lineRule="auto"/>
        <w:ind w:left="657" w:right="1120"/>
        <w:jc w:val="left"/>
      </w:pPr>
      <w:r>
        <w:rPr>
          <w:rFonts w:ascii="Times New Roman" w:hAnsi="Times New Roman" w:cs="Times New Roman" w:eastAsia="Times New Roman" w:hint="default"/>
        </w:rPr>
        <w:t>1</w:t>
      </w:r>
      <w:r>
        <w:rPr/>
        <w:t>、金融科技业务 </w:t>
      </w:r>
      <w:r>
        <w:rPr>
          <w:spacing w:val="-1"/>
        </w:rPr>
        <w:t>近年来，中国金融业的经营环境正发生深刻变革，而数字化转型则是中国金融业应对变革的核心内容之一。随着金融</w:t>
      </w:r>
    </w:p>
    <w:p>
      <w:pPr>
        <w:pStyle w:val="BodyText"/>
        <w:spacing w:line="309" w:lineRule="auto" w:before="31"/>
        <w:ind w:right="1128"/>
        <w:jc w:val="both"/>
      </w:pPr>
      <w:r>
        <w:rPr>
          <w:spacing w:val="-2"/>
        </w:rPr>
        <w:t>机构自身精细化管理水平的提升，其对信息技术解决方案的整体需求也在不断提升和深化，预计未来行业信息技术解决方案</w:t>
      </w:r>
      <w:r>
        <w:rPr>
          <w:spacing w:val="-63"/>
        </w:rPr>
        <w:t> </w:t>
      </w:r>
      <w:r>
        <w:rPr>
          <w:spacing w:val="-63"/>
        </w:rPr>
      </w:r>
      <w:r>
        <w:rPr>
          <w:spacing w:val="-1"/>
        </w:rPr>
        <w:t>市场在继续保持稳定增长态势的同时也将步入存量整合期。据</w:t>
      </w:r>
      <w:r>
        <w:rPr>
          <w:rFonts w:ascii="Times New Roman" w:hAnsi="Times New Roman" w:cs="Times New Roman" w:eastAsia="Times New Roman" w:hint="default"/>
          <w:spacing w:val="-1"/>
        </w:rPr>
        <w:t>IDC</w:t>
      </w:r>
      <w:r>
        <w:rPr>
          <w:spacing w:val="-1"/>
        </w:rPr>
        <w:t>中国银行业</w:t>
      </w:r>
      <w:r>
        <w:rPr>
          <w:rFonts w:ascii="Times New Roman" w:hAnsi="Times New Roman" w:cs="Times New Roman" w:eastAsia="Times New Roman" w:hint="default"/>
          <w:spacing w:val="-1"/>
        </w:rPr>
        <w:t>IT</w:t>
      </w:r>
      <w:r>
        <w:rPr>
          <w:spacing w:val="-1"/>
        </w:rPr>
        <w:t>解决方案市场报告显示，</w:t>
      </w:r>
      <w:r>
        <w:rPr>
          <w:rFonts w:ascii="Times New Roman" w:hAnsi="Times New Roman" w:cs="Times New Roman" w:eastAsia="Times New Roman" w:hint="default"/>
          <w:spacing w:val="-1"/>
        </w:rPr>
        <w:t>2022</w:t>
      </w:r>
      <w:r>
        <w:rPr>
          <w:spacing w:val="-1"/>
        </w:rPr>
        <w:t>年中国银行业</w:t>
      </w:r>
      <w:r>
        <w:rPr>
          <w:spacing w:val="-55"/>
        </w:rPr>
        <w:t> </w:t>
      </w:r>
      <w:r>
        <w:rPr>
          <w:rFonts w:ascii="Times New Roman" w:hAnsi="Times New Roman" w:cs="Times New Roman" w:eastAsia="Times New Roman" w:hint="default"/>
        </w:rPr>
        <w:t>IT</w:t>
      </w:r>
      <w:r>
        <w:rPr/>
        <w:t>解决方案市场规模预计将达到</w:t>
      </w:r>
      <w:r>
        <w:rPr>
          <w:rFonts w:ascii="Times New Roman" w:hAnsi="Times New Roman" w:cs="Times New Roman" w:eastAsia="Times New Roman" w:hint="default"/>
        </w:rPr>
        <w:t>882.95</w:t>
      </w:r>
      <w:r>
        <w:rPr/>
        <w:t>亿元，</w:t>
      </w:r>
      <w:r>
        <w:rPr>
          <w:rFonts w:ascii="Times New Roman" w:hAnsi="Times New Roman" w:cs="Times New Roman" w:eastAsia="Times New Roman" w:hint="default"/>
        </w:rPr>
        <w:t>2018</w:t>
      </w:r>
      <w:r>
        <w:rPr/>
        <w:t>到</w:t>
      </w:r>
      <w:r>
        <w:rPr>
          <w:rFonts w:ascii="Times New Roman" w:hAnsi="Times New Roman" w:cs="Times New Roman" w:eastAsia="Times New Roman" w:hint="default"/>
        </w:rPr>
        <w:t>2022</w:t>
      </w:r>
      <w:r>
        <w:rPr/>
        <w:t>年的年均复合增长率达到</w:t>
      </w:r>
      <w:r>
        <w:rPr>
          <w:rFonts w:ascii="Times New Roman" w:hAnsi="Times New Roman" w:cs="Times New Roman" w:eastAsia="Times New Roman" w:hint="default"/>
        </w:rPr>
        <w:t>20.8%</w:t>
      </w:r>
      <w:r>
        <w:rPr/>
        <w:t>。信息技术服务的专业化依然是中</w:t>
      </w:r>
    </w:p>
    <w:p>
      <w:pPr>
        <w:spacing w:after="0" w:line="309"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left="657" w:right="1120" w:hanging="504"/>
        <w:jc w:val="left"/>
      </w:pPr>
      <w:r>
        <w:rPr/>
        <w:t>国金融业信息技术解决方案市场的重要发展趋势，因此对行业参与者的专业积累与专业化服务能力提出了更高的要求。 </w:t>
      </w:r>
      <w:r>
        <w:rPr>
          <w:spacing w:val="-1"/>
        </w:rPr>
        <w:t>随着科学技术的不断发展与演进，金融行业尤其是银行业的发展越来越依赖于科学技术的支持。对商业银行而言，在</w:t>
      </w:r>
    </w:p>
    <w:p>
      <w:pPr>
        <w:pStyle w:val="BodyText"/>
        <w:spacing w:line="316" w:lineRule="auto" w:before="19"/>
        <w:ind w:right="1117"/>
        <w:jc w:val="left"/>
      </w:pPr>
      <w:r>
        <w:rPr>
          <w:spacing w:val="-2"/>
        </w:rPr>
        <w:t>诸多由技术进步引发的管理变革中，如何有效促进业务与科技的深度融合，是金融创新能否成功、商业竞争能否取得先发优</w:t>
      </w:r>
      <w:r>
        <w:rPr>
          <w:spacing w:val="-63"/>
        </w:rPr>
        <w:t> </w:t>
      </w:r>
      <w:r>
        <w:rPr>
          <w:spacing w:val="-63"/>
        </w:rPr>
      </w:r>
      <w:r>
        <w:rPr/>
        <w:t>势的关键。</w:t>
      </w:r>
    </w:p>
    <w:p>
      <w:pPr>
        <w:pStyle w:val="BodyText"/>
        <w:spacing w:line="309" w:lineRule="auto" w:before="19"/>
        <w:ind w:right="1033" w:firstLine="504"/>
        <w:jc w:val="left"/>
      </w:pPr>
      <w:r>
        <w:rPr/>
        <w:t>近年来虽然我国金融机构正迅速调整业务理念，向</w:t>
      </w:r>
      <w:r>
        <w:rPr>
          <w:rFonts w:ascii="Times New Roman" w:hAnsi="Times New Roman" w:cs="Times New Roman" w:eastAsia="Times New Roman" w:hint="default"/>
        </w:rPr>
        <w:t>“</w:t>
      </w:r>
      <w:r>
        <w:rPr/>
        <w:t>以客户为中心</w:t>
      </w:r>
      <w:r>
        <w:rPr>
          <w:rFonts w:ascii="Times New Roman" w:hAnsi="Times New Roman" w:cs="Times New Roman" w:eastAsia="Times New Roman" w:hint="default"/>
        </w:rPr>
        <w:t>”</w:t>
      </w:r>
      <w:r>
        <w:rPr/>
        <w:t>转型，并且已经取得了一定的成效，但是较之发达 国家同行业的客户服务配套运营与管理水平仍有一定的差距。客户关系的管理和业务需求的提炼是银行信息化服务的重点， 信息技术结合客户管理、信息服务管理能力都将成为金融行业技术服务发展与进步的重要着力点。</w:t>
      </w:r>
    </w:p>
    <w:p>
      <w:pPr>
        <w:pStyle w:val="BodyText"/>
        <w:spacing w:line="316" w:lineRule="auto" w:before="24"/>
        <w:ind w:right="1130" w:firstLine="504"/>
        <w:jc w:val="both"/>
      </w:pPr>
      <w:r>
        <w:rPr>
          <w:spacing w:val="-1"/>
        </w:rPr>
        <w:t>目前，全球范围内的传统银行和科技公司均有意识的加快战略布局，以科技赋能金融服务创新，发展数字银行，以提</w:t>
      </w:r>
      <w:r>
        <w:rPr/>
        <w:t> </w:t>
      </w:r>
      <w:r>
        <w:rPr>
          <w:spacing w:val="-2"/>
        </w:rPr>
        <w:t>高金融服务可得性，增加用户对金融服务的获得感，以及提高金融服务满意度，因此未来金融科技业务市场具有良好的发展</w:t>
      </w:r>
      <w:r>
        <w:rPr>
          <w:spacing w:val="-63"/>
        </w:rPr>
        <w:t> </w:t>
      </w:r>
      <w:r>
        <w:rPr>
          <w:spacing w:val="-63"/>
        </w:rPr>
      </w:r>
      <w:r>
        <w:rPr/>
        <w:t>空间。</w:t>
      </w:r>
    </w:p>
    <w:p>
      <w:pPr>
        <w:spacing w:line="240" w:lineRule="auto" w:before="4"/>
        <w:rPr>
          <w:rFonts w:ascii="宋体" w:hAnsi="宋体" w:cs="宋体" w:eastAsia="宋体" w:hint="default"/>
          <w:sz w:val="25"/>
          <w:szCs w:val="25"/>
        </w:rPr>
      </w:pPr>
    </w:p>
    <w:p>
      <w:pPr>
        <w:pStyle w:val="BodyText"/>
        <w:spacing w:line="300" w:lineRule="auto"/>
        <w:ind w:left="657" w:right="1120"/>
        <w:jc w:val="left"/>
      </w:pPr>
      <w:r>
        <w:rPr>
          <w:rFonts w:ascii="Times New Roman" w:hAnsi="Times New Roman" w:cs="Times New Roman" w:eastAsia="Times New Roman" w:hint="default"/>
        </w:rPr>
        <w:t>2</w:t>
      </w:r>
      <w:r>
        <w:rPr/>
        <w:t>、智能物联业务 </w:t>
      </w:r>
      <w:r>
        <w:rPr>
          <w:spacing w:val="-1"/>
        </w:rPr>
        <w:t>随着移动互联技术的普及发展，智能终端设备越来越成为生活、娱乐、办公的必备媒介，其全球和中国出货量均多年</w:t>
      </w:r>
    </w:p>
    <w:p>
      <w:pPr>
        <w:pStyle w:val="BodyText"/>
        <w:spacing w:line="316" w:lineRule="auto" w:before="31"/>
        <w:ind w:right="0"/>
        <w:jc w:val="left"/>
      </w:pPr>
      <w:r>
        <w:rPr>
          <w:spacing w:val="-2"/>
        </w:rPr>
        <w:t>保持持续增长态势，智能终端设备的普及亦带动了相关产业的持续发展，芯片及整机厂商的嵌入式软件服务近年来一直呈现</w:t>
      </w:r>
      <w:r>
        <w:rPr>
          <w:spacing w:val="-64"/>
        </w:rPr>
        <w:t> </w:t>
      </w:r>
      <w:r>
        <w:rPr>
          <w:spacing w:val="-64"/>
        </w:rPr>
      </w:r>
      <w:r>
        <w:rPr/>
        <w:t>持续增长的趋势。随着</w:t>
      </w:r>
      <w:r>
        <w:rPr>
          <w:rFonts w:ascii="Times New Roman" w:hAnsi="Times New Roman" w:cs="Times New Roman" w:eastAsia="Times New Roman" w:hint="default"/>
        </w:rPr>
        <w:t>5G</w:t>
      </w:r>
      <w:r>
        <w:rPr/>
        <w:t>通讯建设的加速，嵌入式软件服务的市场需求预计会进一步提升。</w:t>
      </w:r>
    </w:p>
    <w:p>
      <w:pPr>
        <w:pStyle w:val="BodyText"/>
        <w:spacing w:line="314" w:lineRule="auto"/>
        <w:ind w:right="0" w:firstLine="504"/>
        <w:jc w:val="left"/>
      </w:pPr>
      <w:r>
        <w:rPr>
          <w:spacing w:val="-3"/>
        </w:rPr>
        <w:t>物联网是通过信息传感设备，按约定的协议，把任何物品与互联网相连接，进行信息交换和通信，以实现智能化识别、</w:t>
      </w:r>
      <w:r>
        <w:rPr/>
        <w:t> </w:t>
      </w:r>
      <w:r>
        <w:rPr>
          <w:spacing w:val="-2"/>
        </w:rPr>
        <w:t>定位、跟踪、监控和管理的一种网络。物联网正掀起信息产业的第三次革命浪潮，以智能驾驶、智能电网、智能零售、智能</w:t>
      </w:r>
      <w:r>
        <w:rPr>
          <w:spacing w:val="-73"/>
        </w:rPr>
        <w:t> </w:t>
      </w:r>
      <w:r>
        <w:rPr>
          <w:spacing w:val="-73"/>
        </w:rPr>
      </w:r>
      <w:r>
        <w:rPr>
          <w:spacing w:val="-2"/>
        </w:rPr>
        <w:t>家居、安防监控、移动支付、智能穿戴、远程医疗等应用领域为代表，为人们生活提供更大便利，提高公共服务资源调配效</w:t>
      </w:r>
      <w:r>
        <w:rPr>
          <w:spacing w:val="-70"/>
        </w:rPr>
        <w:t> </w:t>
      </w:r>
      <w:r>
        <w:rPr>
          <w:spacing w:val="-70"/>
        </w:rPr>
      </w:r>
      <w:r>
        <w:rPr/>
        <w:t>率，甚至改变日常生活方式。物联网还与</w:t>
      </w:r>
      <w:r>
        <w:rPr>
          <w:rFonts w:ascii="Times New Roman" w:hAnsi="Times New Roman" w:cs="Times New Roman" w:eastAsia="Times New Roman" w:hint="default"/>
        </w:rPr>
        <w:t>“</w:t>
      </w:r>
      <w:r>
        <w:rPr/>
        <w:t>工业</w:t>
      </w:r>
      <w:r>
        <w:rPr>
          <w:rFonts w:ascii="Times New Roman" w:hAnsi="Times New Roman" w:cs="Times New Roman" w:eastAsia="Times New Roman" w:hint="default"/>
        </w:rPr>
        <w:t>4.0”</w:t>
      </w:r>
      <w:r>
        <w:rPr/>
        <w:t>息息相关，将促进传统生产方式向绿色、智能、低碳的方向转变，从刚 性生产方式向柔性生产方式转变，显著提高生产效率。</w:t>
      </w:r>
    </w:p>
    <w:p>
      <w:pPr>
        <w:pStyle w:val="BodyText"/>
        <w:spacing w:line="319" w:lineRule="auto" w:before="20"/>
        <w:ind w:right="1051" w:firstLine="504"/>
        <w:jc w:val="both"/>
      </w:pPr>
      <w:r>
        <w:rPr/>
        <w:t>近年来为了抓住新一轮技术革命可能带来的历史机遇，发达国家的政府和企业纷纷进行物联网战略布局，开始重新审 </w:t>
      </w:r>
      <w:r>
        <w:rPr>
          <w:spacing w:val="-2"/>
        </w:rPr>
        <w:t>视实体经济和制造业战略地位，瞄准重大融合创新技术的研发与应用，寻找新一轮增长动力，以期把握未来国际经济科技竞</w:t>
      </w:r>
      <w:r>
        <w:rPr>
          <w:spacing w:val="-63"/>
        </w:rPr>
        <w:t> </w:t>
      </w:r>
      <w:r>
        <w:rPr>
          <w:spacing w:val="-63"/>
        </w:rPr>
      </w:r>
      <w:r>
        <w:rPr>
          <w:spacing w:val="-2"/>
        </w:rPr>
        <w:t>争主动权。我国物联网发展以完善物联网产业链为阶段性目标，重点发展与物联网产业链紧密相关的硬件、软件、系统集成</w:t>
      </w:r>
      <w:r>
        <w:rPr>
          <w:spacing w:val="-64"/>
        </w:rPr>
        <w:t> </w:t>
      </w:r>
      <w:r>
        <w:rPr>
          <w:spacing w:val="-64"/>
        </w:rPr>
      </w:r>
      <w:r>
        <w:rPr>
          <w:spacing w:val="-2"/>
        </w:rPr>
        <w:t>以及运营与服务等核心领域，着力打造传感器节点、网络接入、数据传输、操作系统、系统集成等重要产品与解决方案，从</w:t>
      </w:r>
      <w:r>
        <w:rPr>
          <w:spacing w:val="-70"/>
        </w:rPr>
        <w:t> </w:t>
      </w:r>
      <w:r>
        <w:rPr>
          <w:spacing w:val="-70"/>
        </w:rPr>
      </w:r>
      <w:r>
        <w:rPr/>
        <w:t>而实现产业链关键环节的突破。因此随着物联网领域整体投入的不断加大，也将为配套的软件服务行业带来新的发展机遇。</w:t>
      </w:r>
    </w:p>
    <w:p>
      <w:pPr>
        <w:spacing w:line="240" w:lineRule="auto" w:before="2"/>
        <w:rPr>
          <w:rFonts w:ascii="宋体" w:hAnsi="宋体" w:cs="宋体" w:eastAsia="宋体" w:hint="default"/>
          <w:sz w:val="25"/>
          <w:szCs w:val="25"/>
        </w:rPr>
      </w:pPr>
    </w:p>
    <w:p>
      <w:pPr>
        <w:pStyle w:val="BodyText"/>
        <w:spacing w:line="300" w:lineRule="auto"/>
        <w:ind w:left="657" w:right="1120"/>
        <w:jc w:val="left"/>
      </w:pPr>
      <w:r>
        <w:rPr>
          <w:rFonts w:ascii="Times New Roman" w:hAnsi="Times New Roman" w:cs="Times New Roman" w:eastAsia="Times New Roman" w:hint="default"/>
        </w:rPr>
        <w:t>3</w:t>
      </w:r>
      <w:r>
        <w:rPr/>
        <w:t>、智慧能源信息化 </w:t>
      </w:r>
      <w:r>
        <w:rPr>
          <w:spacing w:val="-1"/>
        </w:rPr>
        <w:t>近年来以新能源大规模开发利用为标志，以再电气化为根本路径的新一轮能源革命正在全球深入发展，同时以互联网</w:t>
      </w:r>
    </w:p>
    <w:p>
      <w:pPr>
        <w:pStyle w:val="BodyText"/>
        <w:spacing w:line="312" w:lineRule="auto" w:before="31"/>
        <w:ind w:right="1033"/>
        <w:jc w:val="left"/>
      </w:pPr>
      <w:r>
        <w:rPr/>
        <w:t>为代表的新一代信息通信技术不断发展渗透，为传统产业发展形成以人为中心的、信息物理深度融合的新业态提供了方向。 </w:t>
      </w:r>
      <w:r>
        <w:rPr>
          <w:spacing w:val="-2"/>
        </w:rPr>
        <w:t>作为两大趋势的结合点，能源管理的智能化将改变传统电网管理模式不能满足新时期电网发展需求的局面，通过在管控手段</w:t>
      </w:r>
      <w:r>
        <w:rPr>
          <w:spacing w:val="-64"/>
        </w:rPr>
        <w:t> </w:t>
      </w:r>
      <w:r>
        <w:rPr>
          <w:spacing w:val="-64"/>
        </w:rPr>
      </w:r>
      <w:r>
        <w:rPr>
          <w:spacing w:val="-2"/>
        </w:rPr>
        <w:t>薄弱的配电网领域应用互联网理念和</w:t>
      </w:r>
      <w:r>
        <w:rPr>
          <w:rFonts w:ascii="Times New Roman" w:hAnsi="Times New Roman" w:cs="Times New Roman" w:eastAsia="Times New Roman" w:hint="default"/>
          <w:spacing w:val="-2"/>
        </w:rPr>
        <w:t>“</w:t>
      </w:r>
      <w:r>
        <w:rPr>
          <w:spacing w:val="-2"/>
        </w:rPr>
        <w:t>云大物移智</w:t>
      </w:r>
      <w:r>
        <w:rPr>
          <w:rFonts w:ascii="Times New Roman" w:hAnsi="Times New Roman" w:cs="Times New Roman" w:eastAsia="Times New Roman" w:hint="default"/>
          <w:spacing w:val="-2"/>
        </w:rPr>
        <w:t>”</w:t>
      </w:r>
      <w:r>
        <w:rPr>
          <w:spacing w:val="-2"/>
        </w:rPr>
        <w:t>等先进技术，从本质上提升配电网建设、运维、管理水平。因此，能源物</w:t>
      </w:r>
      <w:r>
        <w:rPr>
          <w:spacing w:val="-48"/>
        </w:rPr>
        <w:t> </w:t>
      </w:r>
      <w:r>
        <w:rPr>
          <w:spacing w:val="-48"/>
        </w:rPr>
      </w:r>
      <w:r>
        <w:rPr/>
        <w:t>联网的理念和解决方案应运而生，并将成为未来产业布局的新思路、新模式、新焦点。</w:t>
      </w:r>
    </w:p>
    <w:p>
      <w:pPr>
        <w:pStyle w:val="BodyText"/>
        <w:spacing w:line="307" w:lineRule="auto" w:before="22"/>
        <w:ind w:right="0" w:firstLine="504"/>
        <w:jc w:val="left"/>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月，国家电网有限公司（下称</w:t>
      </w:r>
      <w:r>
        <w:rPr>
          <w:rFonts w:ascii="Times New Roman" w:hAnsi="Times New Roman" w:cs="Times New Roman" w:eastAsia="Times New Roman" w:hint="default"/>
        </w:rPr>
        <w:t>“</w:t>
      </w:r>
      <w:r>
        <w:rPr/>
        <w:t>国网公司</w:t>
      </w:r>
      <w:r>
        <w:rPr>
          <w:rFonts w:ascii="Times New Roman" w:hAnsi="Times New Roman" w:cs="Times New Roman" w:eastAsia="Times New Roman" w:hint="default"/>
        </w:rPr>
        <w:t>”</w:t>
      </w:r>
      <w:r>
        <w:rPr/>
        <w:t>）已印发《国家电网有限公司关于全面深化改革奋力攻坚突破的意 </w:t>
      </w:r>
      <w:r>
        <w:rPr>
          <w:spacing w:val="-2"/>
        </w:rPr>
        <w:t>见》（下称《意见》）。《意见》提出，到</w:t>
      </w:r>
      <w:r>
        <w:rPr>
          <w:rFonts w:ascii="Times New Roman" w:hAnsi="Times New Roman" w:cs="Times New Roman" w:eastAsia="Times New Roman" w:hint="default"/>
          <w:spacing w:val="-2"/>
        </w:rPr>
        <w:t>2020</w:t>
      </w:r>
      <w:r>
        <w:rPr>
          <w:spacing w:val="-2"/>
        </w:rPr>
        <w:t>年底，推动</w:t>
      </w:r>
      <w:r>
        <w:rPr>
          <w:rFonts w:ascii="Times New Roman" w:hAnsi="Times New Roman" w:cs="Times New Roman" w:eastAsia="Times New Roman" w:hint="default"/>
          <w:spacing w:val="-2"/>
        </w:rPr>
        <w:t>“</w:t>
      </w:r>
      <w:r>
        <w:rPr>
          <w:spacing w:val="-2"/>
        </w:rPr>
        <w:t>两网融合</w:t>
      </w:r>
      <w:r>
        <w:rPr>
          <w:rFonts w:ascii="Times New Roman" w:hAnsi="Times New Roman" w:cs="Times New Roman" w:eastAsia="Times New Roman" w:hint="default"/>
          <w:spacing w:val="-2"/>
        </w:rPr>
        <w:t>”</w:t>
      </w:r>
      <w:r>
        <w:rPr>
          <w:spacing w:val="-2"/>
        </w:rPr>
        <w:t>（坚强智能电网和泛在电力物联网）业务新体系落地</w:t>
      </w:r>
      <w:r>
        <w:rPr>
          <w:spacing w:val="-43"/>
        </w:rPr>
        <w:t> </w:t>
      </w:r>
      <w:r>
        <w:rPr>
          <w:spacing w:val="-43"/>
        </w:rPr>
      </w:r>
      <w:r>
        <w:rPr>
          <w:spacing w:val="-2"/>
        </w:rPr>
        <w:t>实施，全面推进泛在电力物联网建设。根据《意见》，国网公司未来将加快泛在电力物联网建设，推动构建能源互联网产业</w:t>
      </w:r>
      <w:r>
        <w:rPr>
          <w:spacing w:val="-70"/>
        </w:rPr>
        <w:t> </w:t>
      </w:r>
      <w:r>
        <w:rPr>
          <w:spacing w:val="-70"/>
        </w:rPr>
      </w:r>
      <w:r>
        <w:rPr>
          <w:spacing w:val="-2"/>
        </w:rPr>
        <w:t>链，打造互利共赢能源新生态，进一步提高电力系统各环节效率，加强政企联动，以新型智慧城市建设为载体，汇集全社会</w:t>
      </w:r>
      <w:r>
        <w:rPr>
          <w:spacing w:val="-67"/>
        </w:rPr>
        <w:t> </w:t>
      </w:r>
      <w:r>
        <w:rPr>
          <w:spacing w:val="-67"/>
        </w:rPr>
      </w:r>
      <w:r>
        <w:rPr>
          <w:spacing w:val="-2"/>
        </w:rPr>
        <w:t>力量建设泛在电力物联网，迭代打造企业中台和智慧物联体系。</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w:t>
      </w:r>
      <w:r>
        <w:rPr>
          <w:spacing w:val="-2"/>
        </w:rPr>
        <w:t>日，国家电网有限公司召开</w:t>
      </w:r>
      <w:r>
        <w:rPr>
          <w:rFonts w:ascii="Times New Roman" w:hAnsi="Times New Roman" w:cs="Times New Roman" w:eastAsia="Times New Roman" w:hint="default"/>
          <w:spacing w:val="-2"/>
        </w:rPr>
        <w:t>“</w:t>
      </w:r>
      <w:r>
        <w:rPr>
          <w:spacing w:val="-2"/>
        </w:rPr>
        <w:t>新基建</w:t>
      </w:r>
      <w:r>
        <w:rPr>
          <w:rFonts w:ascii="Times New Roman" w:hAnsi="Times New Roman" w:cs="Times New Roman" w:eastAsia="Times New Roman" w:hint="default"/>
          <w:spacing w:val="-2"/>
        </w:rPr>
        <w:t>”</w:t>
      </w:r>
      <w:r>
        <w:rPr>
          <w:spacing w:val="-2"/>
        </w:rPr>
        <w:t>工作领导小</w:t>
      </w:r>
      <w:r>
        <w:rPr>
          <w:spacing w:val="-40"/>
        </w:rPr>
        <w:t> </w:t>
      </w:r>
      <w:r>
        <w:rPr>
          <w:spacing w:val="-40"/>
        </w:rPr>
      </w:r>
      <w:r>
        <w:rPr/>
        <w:t>组第一次会议，会议强调要进一步强化创新驱动，聚焦重点领域，开展技术攻关，加强大功率充电、</w:t>
      </w:r>
      <w:r>
        <w:rPr>
          <w:rFonts w:ascii="Times New Roman" w:hAnsi="Times New Roman" w:cs="Times New Roman" w:eastAsia="Times New Roman" w:hint="default"/>
        </w:rPr>
        <w:t>5G</w:t>
      </w:r>
      <w:r>
        <w:rPr/>
        <w:t>、大数据、人工智 能、物联网等技术研究。</w:t>
      </w:r>
    </w:p>
    <w:p>
      <w:pPr>
        <w:pStyle w:val="BodyText"/>
        <w:spacing w:line="316" w:lineRule="auto" w:before="26"/>
        <w:ind w:right="1120" w:firstLine="504"/>
        <w:jc w:val="left"/>
      </w:pPr>
      <w:r>
        <w:rPr>
          <w:spacing w:val="-1"/>
        </w:rPr>
        <w:t>因此，随着智慧能源管理理念的不断深入以及核心参与者不断加大研究和投入，以智能电网为核心的能源物联网解决</w:t>
      </w:r>
      <w:r>
        <w:rPr/>
        <w:t> 方案的服务需求预计也将有显著的提升。</w:t>
      </w:r>
    </w:p>
    <w:p>
      <w:pPr>
        <w:spacing w:line="240" w:lineRule="auto" w:before="4"/>
        <w:rPr>
          <w:rFonts w:ascii="宋体" w:hAnsi="宋体" w:cs="宋体" w:eastAsia="宋体" w:hint="default"/>
          <w:sz w:val="25"/>
          <w:szCs w:val="25"/>
        </w:rPr>
      </w:pPr>
    </w:p>
    <w:p>
      <w:pPr>
        <w:pStyle w:val="BodyText"/>
        <w:spacing w:line="316" w:lineRule="auto"/>
        <w:ind w:right="0" w:firstLine="576"/>
        <w:jc w:val="left"/>
      </w:pPr>
      <w:r>
        <w:rPr/>
        <w:t>综上，国内软件和信息技术服务业处于持续稳定的增长期，为公司的业务持续发展提供了良好的市场空间。金融科 </w:t>
      </w:r>
      <w:r>
        <w:rPr>
          <w:spacing w:val="-2"/>
        </w:rPr>
        <w:t>技业务的是公司的传统优势领域，公司在中国银行</w:t>
      </w:r>
      <w:r>
        <w:rPr>
          <w:rFonts w:ascii="Times New Roman" w:hAnsi="Times New Roman" w:cs="Times New Roman" w:eastAsia="Times New Roman" w:hint="default"/>
          <w:spacing w:val="-2"/>
        </w:rPr>
        <w:t>IT</w:t>
      </w:r>
      <w:r>
        <w:rPr>
          <w:spacing w:val="-2"/>
        </w:rPr>
        <w:t>解决方案市场（包括业务类解决方案、核心业务解决方案等）的市场占</w:t>
      </w:r>
    </w:p>
    <w:p>
      <w:pPr>
        <w:spacing w:after="0" w:line="316"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2" w:lineRule="auto" w:before="44"/>
        <w:ind w:right="1132"/>
        <w:jc w:val="both"/>
      </w:pPr>
      <w:r>
        <w:rPr>
          <w:spacing w:val="-2"/>
        </w:rPr>
        <w:t>有率位于行业前列，公司的金融信息化第三方测试业务在国内拥有较高的市场份额和较高的品牌影响力。智能物联业务和智</w:t>
      </w:r>
      <w:r>
        <w:rPr>
          <w:spacing w:val="-64"/>
        </w:rPr>
        <w:t> </w:t>
      </w:r>
      <w:r>
        <w:rPr>
          <w:spacing w:val="-64"/>
        </w:rPr>
      </w:r>
      <w:r>
        <w:rPr>
          <w:spacing w:val="-2"/>
        </w:rPr>
        <w:t>慧能源信息化业务是公司未来新的业务增长点，其所处的市场规模均呈现持续增长态势，公司在上述领域也已形成了一定的</w:t>
      </w:r>
      <w:r>
        <w:rPr>
          <w:spacing w:val="-64"/>
        </w:rPr>
        <w:t> </w:t>
      </w:r>
      <w:r>
        <w:rPr>
          <w:spacing w:val="-64"/>
        </w:rPr>
      </w:r>
      <w:r>
        <w:rPr>
          <w:spacing w:val="-2"/>
        </w:rPr>
        <w:t>差异化竞争优势。公司</w:t>
      </w:r>
      <w:r>
        <w:rPr>
          <w:rFonts w:ascii="Times New Roman" w:hAnsi="Times New Roman" w:cs="Times New Roman" w:eastAsia="Times New Roman" w:hint="default"/>
          <w:spacing w:val="-2"/>
        </w:rPr>
        <w:t>“</w:t>
      </w:r>
      <w:r>
        <w:rPr>
          <w:spacing w:val="-2"/>
        </w:rPr>
        <w:t>数字化升级战略</w:t>
      </w:r>
      <w:r>
        <w:rPr>
          <w:rFonts w:ascii="Times New Roman" w:hAnsi="Times New Roman" w:cs="Times New Roman" w:eastAsia="Times New Roman" w:hint="default"/>
          <w:spacing w:val="-2"/>
        </w:rPr>
        <w:t>”</w:t>
      </w:r>
      <w:r>
        <w:rPr>
          <w:spacing w:val="-2"/>
        </w:rPr>
        <w:t>业务发展方向也符合行业发展趋势，为公司业务的持续发展提供了良好市场发展基</w:t>
      </w:r>
      <w:r>
        <w:rPr>
          <w:spacing w:val="-47"/>
        </w:rPr>
        <w:t> </w:t>
      </w:r>
      <w:r>
        <w:rPr>
          <w:spacing w:val="-47"/>
        </w:rPr>
      </w:r>
      <w:r>
        <w:rPr/>
        <w:t>础。</w:t>
      </w:r>
    </w:p>
    <w:p>
      <w:pPr>
        <w:pStyle w:val="BodyText"/>
        <w:spacing w:line="309" w:lineRule="auto" w:before="22"/>
        <w:ind w:right="0" w:firstLine="504"/>
        <w:jc w:val="left"/>
      </w:pPr>
      <w:r>
        <w:rPr/>
        <w:t>公司是中国电子工业标准化技术协会信息技术服务分会理事单位，是信息技术服务国家标准制定单位，公司拥有 </w:t>
      </w:r>
      <w:r>
        <w:rPr>
          <w:rFonts w:ascii="Times New Roman" w:hAnsi="Times New Roman" w:cs="Times New Roman" w:eastAsia="Times New Roman" w:hint="default"/>
          <w:spacing w:val="-2"/>
        </w:rPr>
        <w:t>ISO9001</w:t>
      </w:r>
      <w:r>
        <w:rPr>
          <w:spacing w:val="-2"/>
        </w:rPr>
        <w:t>、</w:t>
      </w:r>
      <w:r>
        <w:rPr>
          <w:rFonts w:ascii="Times New Roman" w:hAnsi="Times New Roman" w:cs="Times New Roman" w:eastAsia="Times New Roman" w:hint="default"/>
          <w:spacing w:val="-2"/>
        </w:rPr>
        <w:t>ISO27001</w:t>
      </w:r>
      <w:r>
        <w:rPr>
          <w:spacing w:val="-2"/>
        </w:rPr>
        <w:t>、</w:t>
      </w:r>
      <w:r>
        <w:rPr>
          <w:rFonts w:ascii="Times New Roman" w:hAnsi="Times New Roman" w:cs="Times New Roman" w:eastAsia="Times New Roman" w:hint="default"/>
          <w:spacing w:val="-2"/>
        </w:rPr>
        <w:t>ISO14001</w:t>
      </w:r>
      <w:r>
        <w:rPr>
          <w:spacing w:val="-2"/>
        </w:rPr>
        <w:t>、</w:t>
      </w:r>
      <w:r>
        <w:rPr>
          <w:rFonts w:ascii="Times New Roman" w:hAnsi="Times New Roman" w:cs="Times New Roman" w:eastAsia="Times New Roman" w:hint="default"/>
          <w:spacing w:val="-2"/>
        </w:rPr>
        <w:t>OHSAS18001</w:t>
      </w:r>
      <w:r>
        <w:rPr>
          <w:spacing w:val="-2"/>
        </w:rPr>
        <w:t>、</w:t>
      </w:r>
      <w:r>
        <w:rPr>
          <w:rFonts w:ascii="Times New Roman" w:hAnsi="Times New Roman" w:cs="Times New Roman" w:eastAsia="Times New Roman" w:hint="default"/>
          <w:spacing w:val="-2"/>
        </w:rPr>
        <w:t>CMMI5</w:t>
      </w:r>
      <w:r>
        <w:rPr>
          <w:spacing w:val="-2"/>
        </w:rPr>
        <w:t>、系统集成二级等多项资质认证，公司还获得了江苏省高新技术企</w:t>
      </w:r>
      <w:r>
        <w:rPr>
          <w:spacing w:val="-27"/>
        </w:rPr>
        <w:t> </w:t>
      </w:r>
      <w:r>
        <w:rPr>
          <w:spacing w:val="-27"/>
        </w:rPr>
      </w:r>
      <w:r>
        <w:rPr/>
        <w:t>业、江苏省首批技术先进型服务企业、江苏省信息产业优秀企业联合研发创新中心等多项荣誉。</w:t>
      </w:r>
    </w:p>
    <w:p>
      <w:pPr>
        <w:spacing w:line="240" w:lineRule="auto" w:before="6"/>
        <w:rPr>
          <w:rFonts w:ascii="宋体" w:hAnsi="宋体" w:cs="宋体" w:eastAsia="宋体" w:hint="default"/>
          <w:sz w:val="15"/>
          <w:szCs w:val="15"/>
        </w:rPr>
      </w:pPr>
    </w:p>
    <w:p>
      <w:pPr>
        <w:pStyle w:val="Heading2"/>
        <w:spacing w:line="240" w:lineRule="auto"/>
        <w:ind w:right="0"/>
        <w:jc w:val="left"/>
        <w:rPr>
          <w:b w:val="0"/>
          <w:bCs w:val="0"/>
        </w:rPr>
      </w:pPr>
      <w:r>
        <w:rPr/>
        <w:t>二、主要资产重大变化情况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051"/>
        <w:gridCol w:w="6520"/>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vMerge w:val="restart"/>
            <w:tcBorders>
              <w:top w:val="single" w:sz="4" w:space="0" w:color="000000"/>
              <w:left w:val="single" w:sz="4" w:space="0" w:color="000000"/>
              <w:right w:val="single" w:sz="4" w:space="0" w:color="000000"/>
            </w:tcBorders>
          </w:tcPr>
          <w:p>
            <w:pPr>
              <w:pStyle w:val="TableParagraph"/>
              <w:spacing w:line="309" w:lineRule="auto" w:before="51"/>
              <w:ind w:left="24" w:right="21"/>
              <w:jc w:val="both"/>
              <w:rPr>
                <w:rFonts w:ascii="宋体" w:hAnsi="宋体" w:cs="宋体" w:eastAsia="宋体" w:hint="default"/>
                <w:sz w:val="18"/>
                <w:szCs w:val="18"/>
              </w:rPr>
            </w:pPr>
            <w:r>
              <w:rPr>
                <w:rFonts w:ascii="宋体" w:hAnsi="宋体" w:cs="宋体" w:eastAsia="宋体" w:hint="default"/>
                <w:sz w:val="18"/>
                <w:szCs w:val="18"/>
              </w:rPr>
              <w:t>长期股权投资期末余额较期初余额增长</w:t>
            </w:r>
            <w:r>
              <w:rPr>
                <w:rFonts w:ascii="宋体" w:hAnsi="宋体" w:cs="宋体" w:eastAsia="宋体" w:hint="default"/>
                <w:spacing w:val="-38"/>
                <w:sz w:val="18"/>
                <w:szCs w:val="18"/>
              </w:rPr>
              <w:t> </w:t>
            </w:r>
            <w:r>
              <w:rPr>
                <w:rFonts w:ascii="Times New Roman" w:hAnsi="Times New Roman" w:cs="Times New Roman" w:eastAsia="Times New Roman" w:hint="default"/>
                <w:spacing w:val="-4"/>
                <w:sz w:val="18"/>
                <w:szCs w:val="18"/>
              </w:rPr>
              <w:t>90.94%</w:t>
            </w:r>
            <w:r>
              <w:rPr>
                <w:rFonts w:ascii="宋体" w:hAnsi="宋体" w:cs="宋体" w:eastAsia="宋体" w:hint="default"/>
                <w:spacing w:val="-4"/>
                <w:sz w:val="18"/>
                <w:szCs w:val="18"/>
              </w:rPr>
              <w:t>，主要原因是：①本期公司转让润辰</w:t>
            </w:r>
            <w:r>
              <w:rPr>
                <w:rFonts w:ascii="宋体" w:hAnsi="宋体" w:cs="宋体" w:eastAsia="宋体" w:hint="default"/>
                <w:sz w:val="18"/>
                <w:szCs w:val="18"/>
              </w:rPr>
              <w:t> </w:t>
            </w:r>
            <w:r>
              <w:rPr>
                <w:rFonts w:ascii="宋体" w:hAnsi="宋体" w:cs="宋体" w:eastAsia="宋体" w:hint="default"/>
                <w:spacing w:val="-1"/>
                <w:sz w:val="18"/>
                <w:szCs w:val="18"/>
              </w:rPr>
              <w:t>科技部分股权后丧失控制权，不再将其纳入合并财务报表范围；②本期公司对新维</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数联表决权发生变化，由原控制变化为重大影响，新维数联不再纳入合并财务报表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范围；③本期公司对鑫合易家的股权投资由原不具有控制、共同控制和重大影响变</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化为具有重大影响，该投资由</w:t>
            </w:r>
            <w:r>
              <w:rPr>
                <w:rFonts w:ascii="Times New Roman" w:hAnsi="Times New Roman" w:cs="Times New Roman" w:eastAsia="Times New Roman" w:hint="default"/>
                <w:sz w:val="18"/>
                <w:szCs w:val="18"/>
              </w:rPr>
              <w:t>“</w:t>
            </w:r>
            <w:r>
              <w:rPr>
                <w:rFonts w:ascii="宋体" w:hAnsi="宋体" w:cs="宋体" w:eastAsia="宋体" w:hint="default"/>
                <w:sz w:val="18"/>
                <w:szCs w:val="18"/>
              </w:rPr>
              <w:t>其他权益工具投资</w:t>
            </w:r>
            <w:r>
              <w:rPr>
                <w:rFonts w:ascii="Times New Roman" w:hAnsi="Times New Roman" w:cs="Times New Roman" w:eastAsia="Times New Roman" w:hint="default"/>
                <w:sz w:val="18"/>
                <w:szCs w:val="18"/>
              </w:rPr>
              <w:t>”</w:t>
            </w:r>
            <w:r>
              <w:rPr>
                <w:rFonts w:ascii="宋体" w:hAnsi="宋体" w:cs="宋体" w:eastAsia="宋体" w:hint="default"/>
                <w:sz w:val="18"/>
                <w:szCs w:val="18"/>
              </w:rPr>
              <w:t>转列</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核算。以上 三项均增加了</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项目余额。</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0" w:type="dxa"/>
            <w:vMerge/>
            <w:tcBorders>
              <w:left w:val="single" w:sz="4" w:space="0" w:color="000000"/>
              <w:right w:val="single" w:sz="4" w:space="0" w:color="000000"/>
            </w:tcBorders>
          </w:tcPr>
          <w:p>
            <w:pPr/>
          </w:p>
        </w:tc>
      </w:tr>
      <w:tr>
        <w:trPr>
          <w:trHeight w:val="7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vMerge/>
            <w:tcBorders>
              <w:left w:val="single" w:sz="4" w:space="0" w:color="000000"/>
              <w:bottom w:val="single" w:sz="4" w:space="0" w:color="000000"/>
              <w:right w:val="single" w:sz="4" w:space="0" w:color="000000"/>
            </w:tcBorders>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3"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vMerge w:val="restart"/>
            <w:tcBorders>
              <w:top w:val="single" w:sz="4" w:space="0" w:color="000000"/>
              <w:left w:val="single" w:sz="4" w:space="0" w:color="000000"/>
              <w:right w:val="single" w:sz="4" w:space="0" w:color="000000"/>
            </w:tcBorders>
          </w:tcPr>
          <w:p>
            <w:pPr>
              <w:pStyle w:val="TableParagraph"/>
              <w:spacing w:line="297"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无形资产期末账面价值较期初账面价值增加</w:t>
            </w:r>
            <w:r>
              <w:rPr>
                <w:rFonts w:ascii="宋体" w:hAnsi="宋体" w:cs="宋体" w:eastAsia="宋体" w:hint="default"/>
                <w:spacing w:val="-31"/>
                <w:sz w:val="18"/>
                <w:szCs w:val="18"/>
              </w:rPr>
              <w:t> </w:t>
            </w:r>
            <w:r>
              <w:rPr>
                <w:rFonts w:ascii="Times New Roman" w:hAnsi="Times New Roman" w:cs="Times New Roman" w:eastAsia="Times New Roman" w:hint="default"/>
                <w:spacing w:val="-5"/>
                <w:sz w:val="18"/>
                <w:szCs w:val="18"/>
              </w:rPr>
              <w:t>50.62%</w:t>
            </w:r>
            <w:r>
              <w:rPr>
                <w:rFonts w:ascii="宋体" w:hAnsi="宋体" w:cs="宋体" w:eastAsia="宋体" w:hint="default"/>
                <w:spacing w:val="-5"/>
                <w:sz w:val="18"/>
                <w:szCs w:val="18"/>
              </w:rPr>
              <w:t>，主要原因是本期公司的研发项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新一代分布式金融核心系统</w:t>
            </w:r>
            <w:r>
              <w:rPr>
                <w:rFonts w:ascii="Times New Roman" w:hAnsi="Times New Roman" w:cs="Times New Roman" w:eastAsia="Times New Roman" w:hint="default"/>
                <w:sz w:val="18"/>
                <w:szCs w:val="18"/>
              </w:rPr>
              <w:t>”</w:t>
            </w:r>
            <w:r>
              <w:rPr>
                <w:rFonts w:ascii="宋体" w:hAnsi="宋体" w:cs="宋体" w:eastAsia="宋体" w:hint="default"/>
                <w:sz w:val="18"/>
                <w:szCs w:val="18"/>
              </w:rPr>
              <w:t>已完成研发，由开发支出转入无形资产。</w:t>
            </w:r>
          </w:p>
        </w:tc>
      </w:tr>
      <w:tr>
        <w:trPr>
          <w:trHeight w:val="392"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0" w:type="dxa"/>
            <w:vMerge/>
            <w:tcBorders>
              <w:left w:val="single" w:sz="4" w:space="0" w:color="000000"/>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vMerge/>
            <w:tcBorders>
              <w:left w:val="single" w:sz="4" w:space="0" w:color="000000"/>
              <w:bottom w:val="single" w:sz="4" w:space="0" w:color="000000"/>
              <w:right w:val="single" w:sz="4" w:space="0" w:color="000000"/>
            </w:tcBorders>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43"/>
              <w:jc w:val="left"/>
              <w:rPr>
                <w:rFonts w:ascii="宋体" w:hAnsi="宋体" w:cs="宋体" w:eastAsia="宋体" w:hint="default"/>
                <w:sz w:val="18"/>
                <w:szCs w:val="18"/>
              </w:rPr>
            </w:pPr>
            <w:r>
              <w:rPr>
                <w:rFonts w:ascii="宋体" w:hAnsi="宋体" w:cs="宋体" w:eastAsia="宋体" w:hint="default"/>
                <w:sz w:val="18"/>
                <w:szCs w:val="18"/>
              </w:rPr>
              <w:t>开发支出期末余额较期初余额减少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63.53%</w:t>
            </w:r>
            <w:r>
              <w:rPr>
                <w:rFonts w:ascii="宋体" w:hAnsi="宋体" w:cs="宋体" w:eastAsia="宋体" w:hint="default"/>
                <w:sz w:val="18"/>
                <w:szCs w:val="18"/>
              </w:rPr>
              <w:t>，主要原因是本期公司的研发项目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新一 代分布式金融核心系统</w:t>
            </w:r>
            <w:r>
              <w:rPr>
                <w:rFonts w:ascii="Times New Roman" w:hAnsi="Times New Roman" w:cs="Times New Roman" w:eastAsia="Times New Roman" w:hint="default"/>
                <w:sz w:val="18"/>
                <w:szCs w:val="18"/>
              </w:rPr>
              <w:t>”</w:t>
            </w:r>
            <w:r>
              <w:rPr>
                <w:rFonts w:ascii="宋体" w:hAnsi="宋体" w:cs="宋体" w:eastAsia="宋体" w:hint="default"/>
                <w:sz w:val="18"/>
                <w:szCs w:val="18"/>
              </w:rPr>
              <w:t>已完成研发，由开发支出转入无形资产。</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其他权益工具投资期末余额较期初余额增长</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1018.29%</w:t>
            </w:r>
            <w:r>
              <w:rPr>
                <w:rFonts w:ascii="宋体" w:hAnsi="宋体" w:cs="宋体" w:eastAsia="宋体" w:hint="default"/>
                <w:spacing w:val="-4"/>
                <w:sz w:val="18"/>
                <w:szCs w:val="18"/>
              </w:rPr>
              <w:t>，主要原因是本期新增对江苏</w:t>
            </w:r>
            <w:r>
              <w:rPr>
                <w:rFonts w:ascii="宋体" w:hAnsi="宋体" w:cs="宋体" w:eastAsia="宋体" w:hint="default"/>
                <w:sz w:val="18"/>
                <w:szCs w:val="18"/>
              </w:rPr>
              <w:t> 民营投资控股有限公司的股权投资。</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商誉期末余额较期初余额减少</w:t>
            </w:r>
            <w:r>
              <w:rPr>
                <w:rFonts w:ascii="宋体" w:hAnsi="宋体" w:cs="宋体" w:eastAsia="宋体" w:hint="default"/>
                <w:spacing w:val="-28"/>
                <w:sz w:val="18"/>
                <w:szCs w:val="18"/>
              </w:rPr>
              <w:t> </w:t>
            </w:r>
            <w:r>
              <w:rPr>
                <w:rFonts w:ascii="Times New Roman" w:hAnsi="Times New Roman" w:cs="Times New Roman" w:eastAsia="Times New Roman" w:hint="default"/>
                <w:spacing w:val="-4"/>
                <w:sz w:val="18"/>
                <w:szCs w:val="18"/>
              </w:rPr>
              <w:t>62.62%</w:t>
            </w:r>
            <w:r>
              <w:rPr>
                <w:rFonts w:ascii="宋体" w:hAnsi="宋体" w:cs="宋体" w:eastAsia="宋体" w:hint="default"/>
                <w:spacing w:val="-4"/>
                <w:sz w:val="18"/>
                <w:szCs w:val="18"/>
              </w:rPr>
              <w:t>，原因是本期对联创智融及菲耐得商誉资产组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计提商誉减值准备。</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三、核心竞争力分析</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left="657" w:right="0"/>
        <w:jc w:val="left"/>
      </w:pPr>
      <w:r>
        <w:rPr>
          <w:rFonts w:ascii="Times New Roman" w:hAnsi="Times New Roman" w:cs="Times New Roman" w:eastAsia="Times New Roman" w:hint="default"/>
        </w:rPr>
        <w:t>1</w:t>
      </w:r>
      <w:r>
        <w:rPr/>
        <w:t>、公司在各业务领域拥有较强的技术积累和较完善的产品结构</w:t>
      </w:r>
    </w:p>
    <w:p>
      <w:pPr>
        <w:pStyle w:val="BodyText"/>
        <w:spacing w:line="300" w:lineRule="auto" w:before="63"/>
        <w:ind w:left="657" w:right="1120"/>
        <w:jc w:val="left"/>
      </w:pPr>
      <w:r>
        <w:rPr/>
        <w:t>（</w:t>
      </w:r>
      <w:r>
        <w:rPr>
          <w:rFonts w:ascii="Times New Roman" w:hAnsi="Times New Roman" w:cs="Times New Roman" w:eastAsia="Times New Roman" w:hint="default"/>
        </w:rPr>
        <w:t>1</w:t>
      </w:r>
      <w:r>
        <w:rPr/>
        <w:t>）金融科技领域 </w:t>
      </w:r>
      <w:r>
        <w:rPr>
          <w:spacing w:val="-1"/>
        </w:rPr>
        <w:t>针对传统银行在场景化批量获客、全渠道客户服务、敏捷化中台运营、精准化营销创新、智能化大数据应用等五大数</w:t>
      </w:r>
    </w:p>
    <w:p>
      <w:pPr>
        <w:pStyle w:val="BodyText"/>
        <w:spacing w:line="316" w:lineRule="auto" w:before="31"/>
        <w:ind w:right="0"/>
        <w:jc w:val="left"/>
      </w:pPr>
      <w:r>
        <w:rPr>
          <w:spacing w:val="-4"/>
        </w:rPr>
        <w:t>字化能力短板，公司对既有金融科技业务版图进行了持续优化与完整构建，能够以新一代分布式核心系统与业务中台为基础，</w:t>
      </w:r>
      <w:r>
        <w:rPr>
          <w:spacing w:val="-44"/>
        </w:rPr>
        <w:t> </w:t>
      </w:r>
      <w:r>
        <w:rPr>
          <w:spacing w:val="-44"/>
        </w:rPr>
      </w:r>
      <w:r>
        <w:rPr>
          <w:spacing w:val="-2"/>
        </w:rPr>
        <w:t>向传统金融客户提供包括互联网金融、小微金融、零售金融、智能风控、资产联合运营等整体解决方案与综合服务。同时公</w:t>
      </w:r>
    </w:p>
    <w:p>
      <w:pPr>
        <w:spacing w:after="0" w:line="316"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2"/>
        <w:jc w:val="both"/>
      </w:pPr>
      <w:r>
        <w:rPr>
          <w:spacing w:val="-2"/>
        </w:rPr>
        <w:t>司构建了面向金融行业的软件全生命周期管理能力平台，实现自动化、知识化与仿真化，已初步实现了全生命周期管理的能</w:t>
      </w:r>
      <w:r>
        <w:rPr>
          <w:spacing w:val="-65"/>
        </w:rPr>
        <w:t> </w:t>
      </w:r>
      <w:r>
        <w:rPr>
          <w:spacing w:val="-65"/>
        </w:rPr>
      </w:r>
      <w:r>
        <w:rPr/>
        <w:t>力闭环，进一步提升了公司自有平台与工具的自动化、智能化水平，逐步构建起了面向客户的价值交付体系与运营机制。</w:t>
      </w:r>
    </w:p>
    <w:p>
      <w:pPr>
        <w:pStyle w:val="BodyText"/>
        <w:spacing w:line="300" w:lineRule="auto" w:before="19"/>
        <w:ind w:left="657" w:right="1120"/>
        <w:jc w:val="left"/>
      </w:pPr>
      <w:r>
        <w:rPr/>
        <w:t>（</w:t>
      </w:r>
      <w:r>
        <w:rPr>
          <w:rFonts w:ascii="Times New Roman" w:hAnsi="Times New Roman" w:cs="Times New Roman" w:eastAsia="Times New Roman" w:hint="default"/>
        </w:rPr>
        <w:t>2</w:t>
      </w:r>
      <w:r>
        <w:rPr/>
        <w:t>）智能物联领域 </w:t>
      </w:r>
      <w:r>
        <w:rPr>
          <w:spacing w:val="-1"/>
        </w:rPr>
        <w:t>公司构建了虚拟企业技术中台，基本实现了包括芯片与端设备开发、人工智能、云计算、大数据等技术能力的贯通与</w:t>
      </w:r>
    </w:p>
    <w:p>
      <w:pPr>
        <w:pStyle w:val="BodyText"/>
        <w:spacing w:line="240" w:lineRule="auto" w:before="31"/>
        <w:ind w:right="0"/>
        <w:jc w:val="both"/>
      </w:pPr>
      <w:r>
        <w:rPr/>
        <w:t>融合，打通了从端到云、从技术到应用的全栈式</w:t>
      </w:r>
      <w:r>
        <w:rPr>
          <w:rFonts w:ascii="Times New Roman" w:hAnsi="Times New Roman" w:cs="Times New Roman" w:eastAsia="Times New Roman" w:hint="default"/>
        </w:rPr>
        <w:t>IoT</w:t>
      </w:r>
      <w:r>
        <w:rPr/>
        <w:t>解决方案能力。</w:t>
      </w:r>
    </w:p>
    <w:p>
      <w:pPr>
        <w:pStyle w:val="BodyText"/>
        <w:spacing w:line="300" w:lineRule="auto" w:before="63"/>
        <w:ind w:left="657" w:right="1131"/>
        <w:jc w:val="left"/>
      </w:pPr>
      <w:r>
        <w:rPr/>
        <w:t>（</w:t>
      </w:r>
      <w:r>
        <w:rPr>
          <w:rFonts w:ascii="Times New Roman" w:hAnsi="Times New Roman" w:cs="Times New Roman" w:eastAsia="Times New Roman" w:hint="default"/>
        </w:rPr>
        <w:t>3</w:t>
      </w:r>
      <w:r>
        <w:rPr/>
        <w:t>）智慧能源领域 </w:t>
      </w:r>
      <w:r>
        <w:rPr>
          <w:spacing w:val="-1"/>
        </w:rPr>
        <w:t>公司结合智慧能源行业长期的</w:t>
      </w:r>
      <w:r>
        <w:rPr>
          <w:rFonts w:ascii="Times New Roman" w:hAnsi="Times New Roman" w:cs="Times New Roman" w:eastAsia="Times New Roman" w:hint="default"/>
          <w:spacing w:val="-1"/>
        </w:rPr>
        <w:t>IT</w:t>
      </w:r>
      <w:r>
        <w:rPr>
          <w:spacing w:val="-1"/>
        </w:rPr>
        <w:t>实践与行业洞察，融合企业技术中台理念，在行业内率先成功开发了面向智能电网的</w:t>
      </w:r>
    </w:p>
    <w:p>
      <w:pPr>
        <w:pStyle w:val="BodyText"/>
        <w:spacing w:line="240" w:lineRule="auto" w:before="13"/>
        <w:ind w:right="0"/>
        <w:jc w:val="both"/>
      </w:pPr>
      <w:r>
        <w:rPr/>
        <w:t>应用解决方案，抢占了智慧能源管理的市场先机。</w:t>
      </w:r>
    </w:p>
    <w:p>
      <w:pPr>
        <w:pStyle w:val="BodyText"/>
        <w:spacing w:line="300" w:lineRule="auto" w:before="76"/>
        <w:ind w:left="657" w:right="0"/>
        <w:jc w:val="left"/>
      </w:pPr>
      <w:r>
        <w:rPr>
          <w:rFonts w:ascii="Times New Roman" w:hAnsi="Times New Roman" w:cs="Times New Roman" w:eastAsia="Times New Roman" w:hint="default"/>
        </w:rPr>
        <w:t>2</w:t>
      </w:r>
      <w:r>
        <w:rPr/>
        <w:t>、公司拥有实力雄厚的行业合作伙伴 </w:t>
      </w:r>
      <w:r>
        <w:rPr>
          <w:spacing w:val="-1"/>
        </w:rPr>
        <w:t>公司在金融科技领域与蚂蚁金服深度合作，联合完成了</w:t>
      </w:r>
      <w:r>
        <w:rPr>
          <w:rFonts w:ascii="Times New Roman" w:hAnsi="Times New Roman" w:cs="Times New Roman" w:eastAsia="Times New Roman" w:hint="default"/>
          <w:spacing w:val="-1"/>
        </w:rPr>
        <w:t>“</w:t>
      </w:r>
      <w:r>
        <w:rPr>
          <w:spacing w:val="-1"/>
        </w:rPr>
        <w:t>新一代分布式金融核心系统</w:t>
      </w:r>
      <w:r>
        <w:rPr>
          <w:rFonts w:ascii="Times New Roman" w:hAnsi="Times New Roman" w:cs="Times New Roman" w:eastAsia="Times New Roman" w:hint="default"/>
          <w:spacing w:val="-1"/>
        </w:rPr>
        <w:t>”</w:t>
      </w:r>
      <w:r>
        <w:rPr>
          <w:spacing w:val="-1"/>
        </w:rPr>
        <w:t>的研发工作；在智能物联领域公</w:t>
      </w:r>
    </w:p>
    <w:p>
      <w:pPr>
        <w:pStyle w:val="BodyText"/>
        <w:spacing w:line="309" w:lineRule="auto" w:before="13"/>
        <w:ind w:right="1132"/>
        <w:jc w:val="both"/>
      </w:pPr>
      <w:r>
        <w:rPr>
          <w:spacing w:val="-1"/>
        </w:rPr>
        <w:t>司分别成为华为海思的战略合作伙伴、瑞萨电子中国区的独家战略伙伴、</w:t>
      </w:r>
      <w:r>
        <w:rPr>
          <w:rFonts w:ascii="Times New Roman" w:hAnsi="Times New Roman" w:cs="Times New Roman" w:eastAsia="Times New Roman" w:hint="default"/>
          <w:spacing w:val="-1"/>
        </w:rPr>
        <w:t>GoogleAndroidTV</w:t>
      </w:r>
      <w:r>
        <w:rPr>
          <w:spacing w:val="-1"/>
        </w:rPr>
        <w:t>的全球顶级合作伙伴。与各自行</w:t>
      </w:r>
      <w:r>
        <w:rPr>
          <w:spacing w:val="-47"/>
        </w:rPr>
        <w:t> </w:t>
      </w:r>
      <w:r>
        <w:rPr>
          <w:spacing w:val="-47"/>
        </w:rPr>
      </w:r>
      <w:r>
        <w:rPr>
          <w:spacing w:val="-2"/>
        </w:rPr>
        <w:t>业内的领先者合作一方面有利于公司掌握相关领域最前沿的发展趋势，利用自身技术积累，形成更为贴近市场需求的产品序</w:t>
      </w:r>
      <w:r>
        <w:rPr>
          <w:spacing w:val="-64"/>
        </w:rPr>
        <w:t> </w:t>
      </w:r>
      <w:r>
        <w:rPr>
          <w:spacing w:val="-64"/>
        </w:rPr>
      </w:r>
      <w:r>
        <w:rPr/>
        <w:t>列，另一方面有利于公司利用合作伙伴广泛的业务渠道，进一步提升公司产品的市场影响力。</w:t>
      </w:r>
    </w:p>
    <w:p>
      <w:pPr>
        <w:spacing w:after="0" w:line="309"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456" w:lineRule="exact"/>
        <w:ind w:left="3045" w:right="0"/>
        <w:jc w:val="left"/>
        <w:rPr>
          <w:b w:val="0"/>
          <w:bCs w:val="0"/>
        </w:rPr>
      </w:pPr>
      <w:bookmarkStart w:name="_bookmark2" w:id="3"/>
      <w:bookmarkEnd w:id="3"/>
      <w:r>
        <w:rPr>
          <w:b w:val="0"/>
          <w:bCs w:val="0"/>
        </w:rPr>
      </w:r>
      <w:r>
        <w:rPr/>
        <w:t>第四节经营情况讨论与分析</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一、概述</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6" w:lineRule="auto"/>
        <w:ind w:right="0" w:firstLine="504"/>
        <w:jc w:val="left"/>
      </w:pPr>
      <w:r>
        <w:rPr>
          <w:spacing w:val="-3"/>
        </w:rPr>
        <w:t>报告期内，公司根据发展战略及年度经营计划，积极推进各项工作，整体业务稳中有增，其中智能物联业务快速增长，</w:t>
      </w:r>
      <w:r>
        <w:rPr/>
        <w:t> 但是金融科技业务中的金融解决方案业务出现较大幅度下滑</w:t>
      </w:r>
      <w:r>
        <w:rPr>
          <w:spacing w:val="-18"/>
        </w:rPr>
        <w:t> </w:t>
      </w:r>
      <w:r>
        <w:rPr/>
        <w:t>。具体经营数据如下：</w:t>
      </w:r>
    </w:p>
    <w:p>
      <w:pPr>
        <w:pStyle w:val="BodyText"/>
        <w:spacing w:line="300" w:lineRule="auto" w:before="19"/>
        <w:ind w:right="1131" w:firstLine="504"/>
        <w:jc w:val="both"/>
      </w:pPr>
      <w:r>
        <w:rPr>
          <w:spacing w:val="-1"/>
        </w:rPr>
        <w:t>本报告期，公司实现营业收入</w:t>
      </w:r>
      <w:r>
        <w:rPr>
          <w:rFonts w:ascii="Times New Roman" w:hAnsi="Times New Roman" w:cs="Times New Roman" w:eastAsia="Times New Roman" w:hint="default"/>
          <w:spacing w:val="-1"/>
        </w:rPr>
        <w:t>212,117.37</w:t>
      </w:r>
      <w:r>
        <w:rPr>
          <w:spacing w:val="-1"/>
        </w:rPr>
        <w:t>万元，较上年同期增长</w:t>
      </w:r>
      <w:r>
        <w:rPr>
          <w:rFonts w:ascii="Times New Roman" w:hAnsi="Times New Roman" w:cs="Times New Roman" w:eastAsia="Times New Roman" w:hint="default"/>
          <w:spacing w:val="-1"/>
        </w:rPr>
        <w:t>4.10%</w:t>
      </w:r>
      <w:r>
        <w:rPr>
          <w:spacing w:val="-1"/>
        </w:rPr>
        <w:t>；利润总额为</w:t>
      </w:r>
      <w:r>
        <w:rPr>
          <w:rFonts w:ascii="Times New Roman" w:hAnsi="Times New Roman" w:cs="Times New Roman" w:eastAsia="Times New Roman" w:hint="default"/>
          <w:spacing w:val="-1"/>
        </w:rPr>
        <w:t>-179,995.92</w:t>
      </w:r>
      <w:r>
        <w:rPr>
          <w:spacing w:val="-1"/>
        </w:rPr>
        <w:t>万元，较上年同期减少</w:t>
      </w:r>
      <w:r>
        <w:rPr/>
        <w:t> </w:t>
      </w:r>
      <w:r>
        <w:rPr>
          <w:rFonts w:ascii="Times New Roman" w:hAnsi="Times New Roman" w:cs="Times New Roman" w:eastAsia="Times New Roman" w:hint="default"/>
          <w:spacing w:val="-2"/>
        </w:rPr>
        <w:t>652.24%</w:t>
      </w:r>
      <w:r>
        <w:rPr>
          <w:spacing w:val="-2"/>
        </w:rPr>
        <w:t>；归属上市公司股东净利润为</w:t>
      </w:r>
      <w:r>
        <w:rPr>
          <w:rFonts w:ascii="Times New Roman" w:hAnsi="Times New Roman" w:cs="Times New Roman" w:eastAsia="Times New Roman" w:hint="default"/>
          <w:spacing w:val="-2"/>
        </w:rPr>
        <w:t>-179,423.29</w:t>
      </w:r>
      <w:r>
        <w:rPr>
          <w:spacing w:val="-2"/>
        </w:rPr>
        <w:t>万元，较上年同期减少</w:t>
      </w:r>
      <w:r>
        <w:rPr>
          <w:rFonts w:ascii="Times New Roman" w:hAnsi="Times New Roman" w:cs="Times New Roman" w:eastAsia="Times New Roman" w:hint="default"/>
          <w:spacing w:val="-2"/>
        </w:rPr>
        <w:t>670.72%</w:t>
      </w:r>
      <w:r>
        <w:rPr>
          <w:spacing w:val="-2"/>
        </w:rPr>
        <w:t>；归属于上市公司股东的扣除非经常性损益</w:t>
      </w:r>
      <w:r>
        <w:rPr>
          <w:spacing w:val="-52"/>
        </w:rPr>
        <w:t> </w:t>
      </w:r>
      <w:r>
        <w:rPr>
          <w:spacing w:val="-52"/>
        </w:rPr>
      </w:r>
      <w:r>
        <w:rPr/>
        <w:t>的净利润为</w:t>
      </w:r>
      <w:r>
        <w:rPr>
          <w:rFonts w:ascii="Times New Roman" w:hAnsi="Times New Roman" w:cs="Times New Roman" w:eastAsia="Times New Roman" w:hint="default"/>
        </w:rPr>
        <w:t>-182,376.49</w:t>
      </w:r>
      <w:r>
        <w:rPr/>
        <w:t>万元，较上年同期减少</w:t>
      </w:r>
      <w:r>
        <w:rPr>
          <w:rFonts w:ascii="Times New Roman" w:hAnsi="Times New Roman" w:cs="Times New Roman" w:eastAsia="Times New Roman" w:hint="default"/>
        </w:rPr>
        <w:t>724.14%</w:t>
      </w:r>
      <w:r>
        <w:rPr/>
        <w:t>。</w:t>
      </w:r>
    </w:p>
    <w:p>
      <w:pPr>
        <w:pStyle w:val="BodyText"/>
        <w:spacing w:line="300" w:lineRule="auto" w:before="13"/>
        <w:ind w:right="0" w:firstLine="504"/>
        <w:jc w:val="left"/>
      </w:pPr>
      <w:r>
        <w:rPr/>
        <w:t>本报告期，公司主营业务收入为</w:t>
      </w:r>
      <w:r>
        <w:rPr>
          <w:rFonts w:ascii="Times New Roman" w:hAnsi="Times New Roman" w:cs="Times New Roman" w:eastAsia="Times New Roman" w:hint="default"/>
        </w:rPr>
        <w:t>207,639.52</w:t>
      </w:r>
      <w:r>
        <w:rPr/>
        <w:t>万元，较上年同期增长</w:t>
      </w:r>
      <w:r>
        <w:rPr>
          <w:rFonts w:ascii="Times New Roman" w:hAnsi="Times New Roman" w:cs="Times New Roman" w:eastAsia="Times New Roman" w:hint="default"/>
        </w:rPr>
        <w:t>3.88%</w:t>
      </w:r>
      <w:r>
        <w:rPr/>
        <w:t>，其中，公司金融科技服务业务实现营业收入 </w:t>
      </w:r>
      <w:r>
        <w:rPr>
          <w:rFonts w:ascii="Times New Roman" w:hAnsi="Times New Roman" w:cs="Times New Roman" w:eastAsia="Times New Roman" w:hint="default"/>
          <w:spacing w:val="-2"/>
        </w:rPr>
        <w:t>111,642.37</w:t>
      </w:r>
      <w:r>
        <w:rPr>
          <w:spacing w:val="-2"/>
        </w:rPr>
        <w:t>万元，较上年同期减少</w:t>
      </w:r>
      <w:r>
        <w:rPr>
          <w:rFonts w:ascii="Times New Roman" w:hAnsi="Times New Roman" w:cs="Times New Roman" w:eastAsia="Times New Roman" w:hint="default"/>
          <w:spacing w:val="-2"/>
        </w:rPr>
        <w:t>15.59%</w:t>
      </w:r>
      <w:r>
        <w:rPr>
          <w:spacing w:val="-2"/>
        </w:rPr>
        <w:t>，主要原因是子公司联创智融实现业务收入</w:t>
      </w:r>
      <w:r>
        <w:rPr>
          <w:rFonts w:ascii="Times New Roman" w:hAnsi="Times New Roman" w:cs="Times New Roman" w:eastAsia="Times New Roman" w:hint="default"/>
          <w:spacing w:val="-2"/>
        </w:rPr>
        <w:t>34,571.29</w:t>
      </w:r>
      <w:r>
        <w:rPr>
          <w:spacing w:val="-2"/>
        </w:rPr>
        <w:t>万元，较上年同期下降</w:t>
      </w:r>
      <w:r>
        <w:rPr>
          <w:rFonts w:ascii="Times New Roman" w:hAnsi="Times New Roman" w:cs="Times New Roman" w:eastAsia="Times New Roman" w:hint="default"/>
          <w:spacing w:val="-2"/>
        </w:rPr>
        <w:t>45.88%</w:t>
      </w:r>
      <w:r>
        <w:rPr>
          <w:spacing w:val="-2"/>
        </w:rPr>
        <w:t>；</w:t>
      </w:r>
      <w:r>
        <w:rPr>
          <w:spacing w:val="-68"/>
        </w:rPr>
        <w:t> </w:t>
      </w:r>
      <w:r>
        <w:rPr/>
        <w:t>智能物联业务实现营业收入</w:t>
      </w:r>
      <w:r>
        <w:rPr>
          <w:rFonts w:ascii="Times New Roman" w:hAnsi="Times New Roman" w:cs="Times New Roman" w:eastAsia="Times New Roman" w:hint="default"/>
        </w:rPr>
        <w:t>55,938.45</w:t>
      </w:r>
      <w:r>
        <w:rPr/>
        <w:t>万元，较上年同期增长</w:t>
      </w:r>
      <w:r>
        <w:rPr>
          <w:rFonts w:ascii="Times New Roman" w:hAnsi="Times New Roman" w:cs="Times New Roman" w:eastAsia="Times New Roman" w:hint="default"/>
        </w:rPr>
        <w:t>87.60%</w:t>
      </w:r>
      <w:r>
        <w:rPr/>
        <w:t>，主要原因是公司已初步完成智能终端信息化业务向智 </w:t>
      </w:r>
      <w:r>
        <w:rPr>
          <w:spacing w:val="-2"/>
        </w:rPr>
        <w:t>能物联业务方向拓展升级，核心竞争力显著提升，业务规模扩大；智慧能源信息化业务实现营业收入</w:t>
      </w:r>
      <w:r>
        <w:rPr>
          <w:rFonts w:ascii="Times New Roman" w:hAnsi="Times New Roman" w:cs="Times New Roman" w:eastAsia="Times New Roman" w:hint="default"/>
          <w:spacing w:val="-2"/>
        </w:rPr>
        <w:t>24,011.85</w:t>
      </w:r>
      <w:r>
        <w:rPr>
          <w:spacing w:val="-2"/>
        </w:rPr>
        <w:t>万元，较上年</w:t>
      </w:r>
      <w:r>
        <w:rPr>
          <w:spacing w:val="-56"/>
        </w:rPr>
        <w:t> </w:t>
      </w:r>
      <w:r>
        <w:rPr>
          <w:spacing w:val="-56"/>
        </w:rPr>
      </w:r>
      <w:r>
        <w:rPr/>
        <w:t>同期增长</w:t>
      </w:r>
      <w:r>
        <w:rPr>
          <w:rFonts w:ascii="Times New Roman" w:hAnsi="Times New Roman" w:cs="Times New Roman" w:eastAsia="Times New Roman" w:hint="default"/>
        </w:rPr>
        <w:t>24.92%</w:t>
      </w:r>
      <w:r>
        <w:rPr/>
        <w:t>；智能供应链信息化业务实现营业收入</w:t>
      </w:r>
      <w:r>
        <w:rPr>
          <w:rFonts w:ascii="Times New Roman" w:hAnsi="Times New Roman" w:cs="Times New Roman" w:eastAsia="Times New Roman" w:hint="default"/>
        </w:rPr>
        <w:t>13,277.74</w:t>
      </w:r>
      <w:r>
        <w:rPr/>
        <w:t>万元，较上年同期减少</w:t>
      </w:r>
      <w:r>
        <w:rPr>
          <w:rFonts w:ascii="Times New Roman" w:hAnsi="Times New Roman" w:cs="Times New Roman" w:eastAsia="Times New Roman" w:hint="default"/>
        </w:rPr>
        <w:t>23.25%</w:t>
      </w:r>
      <w:r>
        <w:rPr/>
        <w:t>；外购软硬件产品销售业务 与其他软件服务业务实现营业收入分别为</w:t>
      </w:r>
      <w:r>
        <w:rPr>
          <w:rFonts w:ascii="Times New Roman" w:hAnsi="Times New Roman" w:cs="Times New Roman" w:eastAsia="Times New Roman" w:hint="default"/>
        </w:rPr>
        <w:t>2,359.98</w:t>
      </w:r>
      <w:r>
        <w:rPr/>
        <w:t>万元、</w:t>
      </w:r>
      <w:r>
        <w:rPr>
          <w:rFonts w:ascii="Times New Roman" w:hAnsi="Times New Roman" w:cs="Times New Roman" w:eastAsia="Times New Roman" w:hint="default"/>
        </w:rPr>
        <w:t>409.13</w:t>
      </w:r>
      <w:r>
        <w:rPr/>
        <w:t>万元，占营业收入比重较小。公司非主营业务实现营业收入 </w:t>
      </w:r>
      <w:r>
        <w:rPr>
          <w:rFonts w:ascii="Times New Roman" w:hAnsi="Times New Roman" w:cs="Times New Roman" w:eastAsia="Times New Roman" w:hint="default"/>
        </w:rPr>
        <w:t>4,477.85</w:t>
      </w:r>
      <w:r>
        <w:rPr/>
        <w:t>万元，较上年同期增长</w:t>
      </w:r>
      <w:r>
        <w:rPr>
          <w:rFonts w:ascii="Times New Roman" w:hAnsi="Times New Roman" w:cs="Times New Roman" w:eastAsia="Times New Roman" w:hint="default"/>
        </w:rPr>
        <w:t>15.37%</w:t>
      </w:r>
      <w:r>
        <w:rPr/>
        <w:t>，非主营业务主要系公司子公司外包园公司的房屋租赁及物业收入。</w:t>
      </w:r>
    </w:p>
    <w:p>
      <w:pPr>
        <w:pStyle w:val="BodyText"/>
        <w:spacing w:line="309" w:lineRule="auto" w:before="13"/>
        <w:ind w:right="1131" w:firstLine="432"/>
        <w:jc w:val="both"/>
      </w:pPr>
      <w:r>
        <w:rPr>
          <w:spacing w:val="-1"/>
        </w:rPr>
        <w:t>本报告期，公司主营业务毛利率为</w:t>
      </w:r>
      <w:r>
        <w:rPr>
          <w:rFonts w:ascii="Times New Roman" w:hAnsi="Times New Roman" w:cs="Times New Roman" w:eastAsia="Times New Roman" w:hint="default"/>
          <w:spacing w:val="-1"/>
        </w:rPr>
        <w:t>26.62%</w:t>
      </w:r>
      <w:r>
        <w:rPr>
          <w:spacing w:val="-1"/>
        </w:rPr>
        <w:t>，较上年同期下降</w:t>
      </w:r>
      <w:r>
        <w:rPr>
          <w:rFonts w:ascii="Times New Roman" w:hAnsi="Times New Roman" w:cs="Times New Roman" w:eastAsia="Times New Roman" w:hint="default"/>
          <w:spacing w:val="-1"/>
        </w:rPr>
        <w:t>14.53%</w:t>
      </w:r>
      <w:r>
        <w:rPr>
          <w:spacing w:val="-1"/>
        </w:rPr>
        <w:t>，主要原因是：①子公司联创智融业务收入未达预</w:t>
      </w:r>
      <w:r>
        <w:rPr/>
        <w:t> </w:t>
      </w:r>
      <w:r>
        <w:rPr>
          <w:spacing w:val="-2"/>
        </w:rPr>
        <w:t>期，业务收入大幅下滑。②公司主营业务成本主要为员工薪酬成本，基于现有业务和未来业务发展需要，进行了人才扩充和</w:t>
      </w:r>
      <w:r>
        <w:rPr>
          <w:spacing w:val="-64"/>
        </w:rPr>
        <w:t> </w:t>
      </w:r>
      <w:r>
        <w:rPr>
          <w:spacing w:val="-64"/>
        </w:rPr>
      </w:r>
      <w:r>
        <w:rPr/>
        <w:t>储备，员工总人数增加，加之员工薪酬水平不断提高，员工薪酬成本总额大幅增加。</w:t>
      </w:r>
    </w:p>
    <w:p>
      <w:pPr>
        <w:pStyle w:val="BodyText"/>
        <w:spacing w:line="312" w:lineRule="auto" w:before="24"/>
        <w:ind w:right="1033" w:firstLine="432"/>
        <w:jc w:val="left"/>
      </w:pPr>
      <w:r>
        <w:rPr/>
        <w:t>本报告期，公司出现上市以来首次亏损，主要原因是：①因公司并购的子公司联创智融、菲耐得经营业绩下滑，导致 计提大额商誉减值，共计提商誉减值损失</w:t>
      </w:r>
      <w:r>
        <w:rPr>
          <w:rFonts w:ascii="Times New Roman" w:hAnsi="Times New Roman" w:cs="Times New Roman" w:eastAsia="Times New Roman" w:hint="default"/>
        </w:rPr>
        <w:t>162,966.69</w:t>
      </w:r>
      <w:r>
        <w:rPr/>
        <w:t>万元。②子公司联创智融应收账款回收未达预期，公司对联创智融应收 账款对应的客户进行综合分析，发现部分应收账款存在一定回收风险，公司对该部分客户应收账款进行单项计提坏账准备， 单项计提坏账准备</w:t>
      </w:r>
      <w:r>
        <w:rPr>
          <w:rFonts w:ascii="Times New Roman" w:hAnsi="Times New Roman" w:cs="Times New Roman" w:eastAsia="Times New Roman" w:hint="default"/>
        </w:rPr>
        <w:t>14,327.30</w:t>
      </w:r>
      <w:r>
        <w:rPr/>
        <w:t>万元，信用减值损失大幅增加。</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二、主营业务分析</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line="482" w:lineRule="auto" w:before="0"/>
        <w:ind w:left="153" w:right="647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、概述</w:t>
      </w:r>
      <w:r>
        <w:rPr>
          <w:rFonts w:ascii="Microsoft JhengHei" w:hAnsi="Microsoft JhengHei" w:cs="Microsoft JhengHei" w:eastAsia="Microsoft JhengHei" w:hint="default"/>
          <w:b/>
          <w:bCs/>
          <w:spacing w:val="-4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、收入与成本</w:t>
      </w:r>
      <w:r>
        <w:rPr>
          <w:rFonts w:ascii="Microsoft JhengHei" w:hAnsi="Microsoft JhengHei" w:cs="Microsoft JhengHei" w:eastAsia="Microsoft JhengHei" w:hint="default"/>
          <w:sz w:val="21"/>
          <w:szCs w:val="21"/>
        </w:rPr>
      </w:r>
    </w:p>
    <w:p>
      <w:pPr>
        <w:pStyle w:val="Heading3"/>
        <w:spacing w:line="330" w:lineRule="exact"/>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营业收入整体情况</w:t>
      </w:r>
    </w:p>
    <w:p>
      <w:pPr>
        <w:pStyle w:val="BodyText"/>
        <w:spacing w:line="240" w:lineRule="auto" w:before="117"/>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2,121,173,720.66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2,037,713,936.33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2,052,795,436.78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96.78%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1,993,318,672.78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外购软硬件产品销 售业务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23,599,818.92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5,583,169.70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322.70%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44,778,464.96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38,812,093.85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15.37%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金融科技业务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1,116,423,705.53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1,322,686,007.15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-15.59%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智能物联业务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559,384,540.85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298,185,959.68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87.60%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智慧能源信息化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240,118,532.07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192,224,531.62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24.92%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智能供应链信息化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132,777,345.43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173,010,918.93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-23.25%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外购软硬件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23,599,818.92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5,583,169.70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322.70%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其他软件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4,091,312.90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7,211,255.40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-43.26%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r>
              <w:rPr>
                <w:rFonts w:ascii="Times New Roman" w:hAnsi="Times New Roman" w:cs="Times New Roman" w:eastAsia="Times New Roman" w:hint="default"/>
                <w:sz w:val="18"/>
                <w:szCs w:val="18"/>
              </w:rPr>
              <w:t>-</w:t>
            </w:r>
            <w:r>
              <w:rPr>
                <w:rFonts w:ascii="宋体" w:hAnsi="宋体" w:cs="宋体" w:eastAsia="宋体" w:hint="default"/>
                <w:sz w:val="18"/>
                <w:szCs w:val="18"/>
              </w:rPr>
              <w:t>房租物业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44,778,464.96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38,812,093.85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15.37%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2,036,115,389.50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1,961,811,872.81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85,058,331.16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75,902,063.52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12.06%</w:t>
            </w:r>
          </w:p>
        </w:tc>
      </w:tr>
    </w:tbl>
    <w:p>
      <w:pPr>
        <w:pStyle w:val="BodyText"/>
        <w:spacing w:line="240" w:lineRule="auto" w:before="49"/>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1"/>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19"/>
        <w:gridCol w:w="1009"/>
        <w:gridCol w:w="1008"/>
        <w:gridCol w:w="1013"/>
        <w:gridCol w:w="1010"/>
        <w:gridCol w:w="1004"/>
        <w:gridCol w:w="1006"/>
        <w:gridCol w:w="1001"/>
        <w:gridCol w:w="1003"/>
      </w:tblGrid>
      <w:tr>
        <w:trPr>
          <w:trHeight w:val="404" w:hRule="exact"/>
        </w:trPr>
        <w:tc>
          <w:tcPr>
            <w:tcW w:w="1519" w:type="dxa"/>
            <w:vMerge w:val="restart"/>
            <w:tcBorders>
              <w:top w:val="single" w:sz="4" w:space="0" w:color="000000"/>
              <w:left w:val="single" w:sz="4" w:space="0" w:color="000000"/>
              <w:right w:val="single" w:sz="4" w:space="0" w:color="000000"/>
            </w:tcBorders>
            <w:shd w:val="clear" w:color="auto" w:fill="D2D2D2"/>
          </w:tcPr>
          <w:p>
            <w:pPr/>
          </w:p>
        </w:tc>
        <w:tc>
          <w:tcPr>
            <w:tcW w:w="40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1519" w:type="dxa"/>
            <w:vMerge/>
            <w:tcBorders>
              <w:left w:val="single" w:sz="4" w:space="0" w:color="000000"/>
              <w:bottom w:val="single" w:sz="4" w:space="0" w:color="000000"/>
              <w:right w:val="single" w:sz="4" w:space="0" w:color="000000"/>
            </w:tcBorders>
            <w:shd w:val="clear" w:color="auto" w:fill="D2D2D2"/>
          </w:tcPr>
          <w:p>
            <w:pP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15" w:hRule="exact"/>
        </w:trPr>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511,740,813.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554,753,278.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580,673,370.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474,006,258.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448,502,583.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429,028,856.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526,143,354.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634,039,141.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31</w:t>
            </w:r>
          </w:p>
        </w:tc>
      </w:tr>
      <w:tr>
        <w:trPr>
          <w:trHeight w:val="713" w:hRule="exact"/>
        </w:trPr>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43"/>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51,862,097.6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57,229,364.8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58,821,307.0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-1,962,145,6</w:t>
            </w:r>
          </w:p>
          <w:p>
            <w:pPr>
              <w:pStyle w:val="TableParagraph"/>
              <w:spacing w:line="240" w:lineRule="auto" w:before="102"/>
              <w:ind w:left="573" w:right="0"/>
              <w:jc w:val="left"/>
              <w:rPr>
                <w:rFonts w:ascii="Times New Roman" w:hAnsi="Times New Roman" w:cs="Times New Roman" w:eastAsia="Times New Roman" w:hint="default"/>
                <w:sz w:val="18"/>
                <w:szCs w:val="18"/>
              </w:rPr>
            </w:pPr>
            <w:r>
              <w:rPr>
                <w:rFonts w:ascii="Times New Roman"/>
                <w:sz w:val="18"/>
              </w:rPr>
              <w:t>92.67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45,162,295.8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52,657,573.4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81,147,878.8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135,410,170.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23</w:t>
            </w:r>
          </w:p>
        </w:tc>
      </w:tr>
    </w:tbl>
    <w:p>
      <w:pPr>
        <w:pStyle w:val="BodyText"/>
        <w:spacing w:line="240" w:lineRule="auto" w:before="49"/>
        <w:ind w:right="0"/>
        <w:jc w:val="left"/>
      </w:pPr>
      <w:r>
        <w:rPr/>
        <w:t>说明经营季节性（或周期性）发生的原因及波动风险</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2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2"/>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0" w:right="48" w:hanging="361"/>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2,052,795,436.78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1,501,500,749.90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27.93%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-14.26%</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金融科技业务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1,116,423,705.53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826,022,255.94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12.26%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-18.36%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智能物联业务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559,384,540.85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384,274,476.90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113.62%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智慧能源信息化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240,118,532.07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176,102,441.15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24.92%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51.99%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-13.06%</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2,036,115,389.50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1,487,135,322.14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29.07%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-14.31%</w:t>
            </w:r>
          </w:p>
        </w:tc>
      </w:tr>
    </w:tbl>
    <w:p>
      <w:pPr>
        <w:pStyle w:val="BodyText"/>
        <w:spacing w:line="240" w:lineRule="auto" w:before="49"/>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0"/>
        </w:sectPr>
      </w:pPr>
    </w:p>
    <w:p>
      <w:pPr>
        <w:pStyle w:val="BodyText"/>
        <w:spacing w:line="360" w:lineRule="auto" w:before="44"/>
        <w:ind w:right="-20"/>
        <w:jc w:val="left"/>
      </w:pPr>
      <w:r>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74" w:space="8047"/>
            <w:col w:w="2009"/>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软件与信息技术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、职工薪酬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1,150,014,327.41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73.96%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725,125,530.48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58.60%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软件与信息技术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、采购成本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260,279,344.76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267,908,943.58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软件与信息技术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71"/>
              <w:jc w:val="left"/>
              <w:rPr>
                <w:rFonts w:ascii="宋体" w:hAnsi="宋体" w:cs="宋体" w:eastAsia="宋体" w:hint="default"/>
                <w:sz w:val="18"/>
                <w:szCs w:val="18"/>
              </w:rPr>
            </w:pPr>
            <w:r>
              <w:rPr>
                <w:rFonts w:ascii="宋体" w:hAnsi="宋体" w:cs="宋体" w:eastAsia="宋体" w:hint="default"/>
                <w:spacing w:val="-12"/>
                <w:sz w:val="18"/>
                <w:szCs w:val="18"/>
              </w:rPr>
              <w:t>其中：（</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）外包</w:t>
            </w:r>
            <w:r>
              <w:rPr>
                <w:rFonts w:ascii="宋体" w:hAnsi="宋体" w:cs="宋体" w:eastAsia="宋体" w:hint="default"/>
                <w:spacing w:val="-85"/>
                <w:sz w:val="18"/>
                <w:szCs w:val="18"/>
              </w:rPr>
              <w:t> </w:t>
            </w: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238,568,829.81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230,914,909.17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软件与信息技术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）软硬件成本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21,710,514.95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36,994,034.41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-41.31%</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软件与信息技术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、项目实施费用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113,404,776.06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183,268,830.78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-38.12%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软件与信息技术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主营成本合计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1,523,698,448.23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1,176,303,304.84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29.53%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49"/>
        <w:ind w:right="-19"/>
        <w:jc w:val="left"/>
      </w:pPr>
      <w:r>
        <w:rPr/>
        <w:t>说明</w:t>
      </w:r>
    </w:p>
    <w:p>
      <w:pPr>
        <w:pStyle w:val="BodyText"/>
        <w:spacing w:line="338" w:lineRule="auto" w:before="117"/>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3188"/>
        <w:gridCol w:w="3190"/>
        <w:gridCol w:w="1594"/>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、职工薪酬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1,150,014,327.41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73.96%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725,125,530.48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58.60%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、采购成本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260,279,344.76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267,908,943.58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13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41"/>
                <w:sz w:val="18"/>
                <w:szCs w:val="18"/>
              </w:rPr>
              <w:t>）</w:t>
            </w:r>
            <w:r>
              <w:rPr>
                <w:rFonts w:ascii="宋体" w:hAnsi="宋体" w:cs="宋体" w:eastAsia="宋体" w:hint="default"/>
                <w:sz w:val="18"/>
                <w:szCs w:val="18"/>
              </w:rPr>
              <w:t>外包成本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238,568,829.81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230,914,909.17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3.31%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）软硬件成本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21,710,514.95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36,994,034.41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-41.31%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、项目实施费用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113,404,776.06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183,268,830.78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-38.12%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主营成本合计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1,523,698,448.23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1,176,303,304.84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29.53%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left="657" w:right="0"/>
        <w:jc w:val="left"/>
      </w:pPr>
      <w:r>
        <w:rPr/>
        <w:t>详情见第十二节、八、合并范围的变更。</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731,795,394.06</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34.50%</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2"/>
        <w:gridCol w:w="3144"/>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380,327,708.85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17.93%</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96,726,129.42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4.56%</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93,593,822.77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80,768,088.68</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80,379,644.34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731,795,394.06</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34.50%</w:t>
            </w:r>
          </w:p>
        </w:tc>
      </w:tr>
    </w:tbl>
    <w:p>
      <w:pPr>
        <w:pStyle w:val="BodyText"/>
        <w:spacing w:line="240" w:lineRule="auto" w:before="49"/>
        <w:ind w:right="0"/>
        <w:jc w:val="left"/>
      </w:pPr>
      <w:r>
        <w:rPr/>
        <w:t>主要客户其他情况说明</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90,992,173.38</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34.95%</w:t>
            </w:r>
          </w:p>
        </w:tc>
      </w:tr>
      <w:tr>
        <w:trPr>
          <w:trHeight w:val="39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2"/>
        <w:rPr>
          <w:rFonts w:ascii="宋体" w:hAnsi="宋体" w:cs="宋体" w:eastAsia="宋体" w:hint="default"/>
          <w:sz w:val="28"/>
          <w:szCs w:val="28"/>
        </w:rPr>
      </w:pPr>
    </w:p>
    <w:p>
      <w:pPr>
        <w:spacing w:line="38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19.1pt;mso-position-horizontal-relative:char;mso-position-vertical-relative:line" coordorigin="0,0" coordsize="9581,382">
            <v:group style="position:absolute;left:4237;top:14;width:22;height:354" coordorigin="4237,14" coordsize="22,354">
              <v:shape style="position:absolute;left:4237;top:14;width:22;height:354" coordorigin="4237,14" coordsize="22,354" path="m4237,368l4259,368,4259,14,4237,14,4237,368xe" filled="true" fillcolor="#d2d2d2" stroked="false">
                <v:path arrowok="t"/>
                <v:fill type="solid"/>
              </v:shape>
            </v:group>
            <v:group style="position:absolute;left:12;top:14;width:22;height:354" coordorigin="12,14" coordsize="22,354">
              <v:shape style="position:absolute;left:12;top:14;width:22;height:354" coordorigin="12,14" coordsize="22,354" path="m12,368l34,368,34,14,12,14,12,368xe" filled="true" fillcolor="#d2d2d2" stroked="false">
                <v:path arrowok="t"/>
                <v:fill type="solid"/>
              </v:shape>
            </v:group>
            <v:group style="position:absolute;left:34;top:14;width:4204;height:354" coordorigin="34,14" coordsize="4204,354">
              <v:shape style="position:absolute;left:34;top:14;width:4204;height:354" coordorigin="34,14" coordsize="4204,354" path="m34,368l4237,368,4237,14,34,14,34,368xe" filled="true" fillcolor="#d2d2d2" stroked="false">
                <v:path arrowok="t"/>
                <v:fill type="solid"/>
              </v:shape>
            </v:group>
            <v:group style="position:absolute;left:10;top:10;width:4249;height:2" coordorigin="10,10" coordsize="4249,2">
              <v:shape style="position:absolute;left:10;top:10;width:4249;height:2" coordorigin="10,10" coordsize="4249,0" path="m10,10l4259,10e" filled="false" stroked="true" strokeweight=".48pt" strokecolor="#000000">
                <v:path arrowok="t"/>
              </v:shape>
            </v:group>
            <v:group style="position:absolute;left:4268;top:10;width:5303;height:2" coordorigin="4268,10" coordsize="5303,2">
              <v:shape style="position:absolute;left:4268;top:10;width:5303;height:2" coordorigin="4268,10" coordsize="5303,0" path="m4268,10l9571,10e" filled="false" stroked="true" strokeweight=".48pt" strokecolor="#000000">
                <v:path arrowok="t"/>
              </v:shape>
            </v:group>
            <v:group style="position:absolute;left:5;top:5;width:2;height:373" coordorigin="5,5" coordsize="2,373">
              <v:shape style="position:absolute;left:5;top:5;width:2;height:373" coordorigin="5,5" coordsize="0,373" path="m5,5l5,377e" filled="false" stroked="true" strokeweight=".48pt" strokecolor="#000000">
                <v:path arrowok="t"/>
              </v:shape>
            </v:group>
            <v:group style="position:absolute;left:10;top:372;width:4249;height:2" coordorigin="10,372" coordsize="4249,2">
              <v:shape style="position:absolute;left:10;top:372;width:4249;height:2" coordorigin="10,372" coordsize="4249,0" path="m10,372l4259,372e" filled="false" stroked="true" strokeweight=".48pt" strokecolor="#000000">
                <v:path arrowok="t"/>
              </v:shape>
            </v:group>
            <v:group style="position:absolute;left:4263;top:5;width:2;height:373" coordorigin="4263,5" coordsize="2,373">
              <v:shape style="position:absolute;left:4263;top:5;width:2;height:373" coordorigin="4263,5" coordsize="0,373" path="m4263,5l4263,377e" filled="false" stroked="true" strokeweight=".48001pt" strokecolor="#000000">
                <v:path arrowok="t"/>
              </v:shape>
            </v:group>
            <v:group style="position:absolute;left:4268;top:372;width:5303;height:2" coordorigin="4268,372" coordsize="5303,2">
              <v:shape style="position:absolute;left:4268;top:372;width:5303;height:2" coordorigin="4268,372" coordsize="5303,0" path="m4268,372l9571,372e" filled="false" stroked="true" strokeweight=".48pt" strokecolor="#000000">
                <v:path arrowok="t"/>
              </v:shape>
            </v:group>
            <v:group style="position:absolute;left:9576;top:5;width:2;height:373" coordorigin="9576,5" coordsize="2,373">
              <v:shape style="position:absolute;left:9576;top:5;width:2;height:373" coordorigin="9576,5" coordsize="0,373" path="m9576,5l9576,377e" filled="false" stroked="true" strokeweight=".47998pt" strokecolor="#000000">
                <v:path arrowok="t"/>
              </v:shape>
              <v:shape style="position:absolute;left:34;top:7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比例</w:t>
                      </w:r>
                    </w:p>
                  </w:txbxContent>
                </v:textbox>
                <w10:wrap type="none"/>
              </v:shape>
            </v:group>
          </v:group>
        </w:pict>
      </w:r>
      <w:r>
        <w:rPr>
          <w:rFonts w:ascii="宋体" w:hAnsi="宋体" w:cs="宋体" w:eastAsia="宋体" w:hint="default"/>
          <w:position w:val="-7"/>
          <w:sz w:val="20"/>
          <w:szCs w:val="20"/>
        </w:rPr>
      </w:r>
    </w:p>
    <w:p>
      <w:pPr>
        <w:pStyle w:val="BodyText"/>
        <w:spacing w:line="240" w:lineRule="auto" w:before="44"/>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2"/>
        <w:gridCol w:w="3144"/>
      </w:tblGrid>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57,946,781.46</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22.26%</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11,424,528.29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4.39%</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8,706,183.18</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3.34%</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7,233,490.59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5,681,189.86</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90,992,173.38</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34.95%</w:t>
            </w:r>
          </w:p>
        </w:tc>
      </w:tr>
    </w:tbl>
    <w:p>
      <w:pPr>
        <w:pStyle w:val="BodyText"/>
        <w:spacing w:line="240" w:lineRule="auto" w:before="49"/>
        <w:ind w:right="0"/>
        <w:jc w:val="left"/>
      </w:pPr>
      <w:r>
        <w:rPr/>
        <w:t>主要供应商其他情况说明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637"/>
        <w:gridCol w:w="1637"/>
        <w:gridCol w:w="1462"/>
        <w:gridCol w:w="2919"/>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80,968,982.29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70,002,961.69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176,818,147.72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150,158,425.30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17.75%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79,173,566.34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66,268,200.59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227,000,503.23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231,799,180.39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-2.07%</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16" w:lineRule="auto" w:before="101"/>
        <w:ind w:right="1130" w:firstLine="504"/>
        <w:jc w:val="both"/>
      </w:pPr>
      <w:r>
        <w:rPr>
          <w:spacing w:val="-1"/>
        </w:rPr>
        <w:t>报告期内，公司确定了数字化升级战略，为保障公司顺利从人才与技术密集型向科技密集型转型，公司加大了战略发</w:t>
      </w:r>
      <w:r>
        <w:rPr/>
        <w:t> 展落地的配套研发。</w:t>
      </w:r>
    </w:p>
    <w:p>
      <w:pPr>
        <w:pStyle w:val="BodyText"/>
        <w:spacing w:line="316" w:lineRule="auto" w:before="19"/>
        <w:ind w:right="1130" w:firstLine="504"/>
        <w:jc w:val="both"/>
      </w:pPr>
      <w:r>
        <w:rPr>
          <w:spacing w:val="-1"/>
        </w:rPr>
        <w:t>为保持公司的技术及业务先进性，公司持续投入资金进行自主知识产权软件产品的研发，将公司多年积累的专业知识</w:t>
      </w:r>
      <w:r>
        <w:rPr/>
        <w:t> </w:t>
      </w:r>
      <w:r>
        <w:rPr>
          <w:spacing w:val="-2"/>
        </w:rPr>
        <w:t>与技术优势进行产品化、解决方案化，以适应和满足产业升级背景下信息化、智能化、移动化发展对软件服务的广阔市场需</w:t>
      </w:r>
      <w:r>
        <w:rPr>
          <w:spacing w:val="-64"/>
        </w:rPr>
        <w:t> </w:t>
      </w:r>
      <w:r>
        <w:rPr>
          <w:spacing w:val="-64"/>
        </w:rPr>
      </w:r>
      <w:r>
        <w:rPr/>
        <w:t>求，集中力量提升公司的核心竞争力。</w:t>
      </w:r>
    </w:p>
    <w:p>
      <w:pPr>
        <w:pStyle w:val="BodyText"/>
        <w:spacing w:line="300" w:lineRule="auto" w:before="19"/>
        <w:ind w:right="1128" w:firstLine="504"/>
        <w:jc w:val="both"/>
      </w:pPr>
      <w:r>
        <w:rPr>
          <w:spacing w:val="-2"/>
        </w:rPr>
        <w:t>报告期内，公司研发投入为</w:t>
      </w:r>
      <w:r>
        <w:rPr>
          <w:rFonts w:ascii="Times New Roman" w:hAnsi="Times New Roman" w:cs="Times New Roman" w:eastAsia="Times New Roman" w:hint="default"/>
          <w:spacing w:val="-2"/>
        </w:rPr>
        <w:t>29,139.30</w:t>
      </w:r>
      <w:r>
        <w:rPr>
          <w:spacing w:val="-2"/>
        </w:rPr>
        <w:t>万元，占营业收入的比重为</w:t>
      </w:r>
      <w:r>
        <w:rPr>
          <w:rFonts w:ascii="Times New Roman" w:hAnsi="Times New Roman" w:cs="Times New Roman" w:eastAsia="Times New Roman" w:hint="default"/>
          <w:spacing w:val="-2"/>
        </w:rPr>
        <w:t>13.74%</w:t>
      </w:r>
      <w:r>
        <w:rPr>
          <w:spacing w:val="-2"/>
        </w:rPr>
        <w:t>，主要用于专业领域的自主知识产权软件产品</w:t>
      </w:r>
      <w:r>
        <w:rPr/>
        <w:t> </w:t>
      </w:r>
      <w:r>
        <w:rPr>
          <w:spacing w:val="-2"/>
        </w:rPr>
        <w:t>的研发。截止报告期末，公司共拥有软件著作权</w:t>
      </w:r>
      <w:r>
        <w:rPr>
          <w:rFonts w:ascii="Times New Roman" w:hAnsi="Times New Roman" w:cs="Times New Roman" w:eastAsia="Times New Roman" w:hint="default"/>
          <w:spacing w:val="-2"/>
        </w:rPr>
        <w:t>353</w:t>
      </w:r>
      <w:r>
        <w:rPr>
          <w:spacing w:val="-2"/>
        </w:rPr>
        <w:t>项，较上年增加</w:t>
      </w:r>
      <w:r>
        <w:rPr>
          <w:rFonts w:ascii="Times New Roman" w:hAnsi="Times New Roman" w:cs="Times New Roman" w:eastAsia="Times New Roman" w:hint="default"/>
          <w:spacing w:val="-2"/>
        </w:rPr>
        <w:t>71</w:t>
      </w:r>
      <w:r>
        <w:rPr>
          <w:spacing w:val="-2"/>
        </w:rPr>
        <w:t>项；拥有专利</w:t>
      </w:r>
      <w:r>
        <w:rPr>
          <w:rFonts w:ascii="Times New Roman" w:hAnsi="Times New Roman" w:cs="Times New Roman" w:eastAsia="Times New Roman" w:hint="default"/>
          <w:spacing w:val="-2"/>
        </w:rPr>
        <w:t>12</w:t>
      </w:r>
      <w:r>
        <w:rPr>
          <w:spacing w:val="-2"/>
        </w:rPr>
        <w:t>项，其中发明专利</w:t>
      </w:r>
      <w:r>
        <w:rPr>
          <w:rFonts w:ascii="Times New Roman" w:hAnsi="Times New Roman" w:cs="Times New Roman" w:eastAsia="Times New Roman" w:hint="default"/>
          <w:spacing w:val="-2"/>
        </w:rPr>
        <w:t>9</w:t>
      </w:r>
      <w:r>
        <w:rPr>
          <w:spacing w:val="-2"/>
        </w:rPr>
        <w:t>项，外观设计专利</w:t>
      </w:r>
      <w:r>
        <w:rPr>
          <w:spacing w:val="-60"/>
        </w:rPr>
        <w:t> </w:t>
      </w:r>
      <w:r>
        <w:rPr>
          <w:spacing w:val="-60"/>
        </w:rPr>
      </w:r>
      <w:r>
        <w:rPr>
          <w:rFonts w:ascii="Times New Roman" w:hAnsi="Times New Roman" w:cs="Times New Roman" w:eastAsia="Times New Roman" w:hint="default"/>
        </w:rPr>
        <w:t>2</w:t>
      </w:r>
      <w:r>
        <w:rPr/>
        <w:t>项，实用新型专利</w:t>
      </w:r>
      <w:r>
        <w:rPr>
          <w:rFonts w:ascii="Times New Roman" w:hAnsi="Times New Roman" w:cs="Times New Roman" w:eastAsia="Times New Roman" w:hint="default"/>
        </w:rPr>
        <w:t>1</w:t>
      </w:r>
      <w:r>
        <w:rPr/>
        <w:t>项，较上年增加发明专利</w:t>
      </w:r>
      <w:r>
        <w:rPr>
          <w:rFonts w:ascii="Times New Roman" w:hAnsi="Times New Roman" w:cs="Times New Roman" w:eastAsia="Times New Roman" w:hint="default"/>
        </w:rPr>
        <w:t>2</w:t>
      </w:r>
      <w:r>
        <w:rPr/>
        <w:t>项。</w:t>
      </w:r>
    </w:p>
    <w:p>
      <w:pPr>
        <w:spacing w:line="240" w:lineRule="auto" w:before="0"/>
        <w:rPr>
          <w:rFonts w:ascii="宋体" w:hAnsi="宋体" w:cs="宋体" w:eastAsia="宋体" w:hint="default"/>
          <w:sz w:val="18"/>
          <w:szCs w:val="18"/>
        </w:rPr>
      </w:pPr>
    </w:p>
    <w:p>
      <w:pPr>
        <w:pStyle w:val="BodyText"/>
        <w:spacing w:line="240" w:lineRule="auto" w:before="130"/>
        <w:ind w:right="0"/>
        <w:jc w:val="left"/>
      </w:pPr>
      <w:r>
        <w:rPr/>
        <w:t>近三年公司研发投入金额及占营业收入的比例</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14.08%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291,393,044.80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300,663,301.31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193,795,465.01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12.02%</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62,282,090.07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68,224,046.18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17,401,591.25</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8.98%</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240" w:lineRule="auto" w:before="49"/>
        <w:ind w:right="-19"/>
        <w:jc w:val="left"/>
      </w:pPr>
      <w:r>
        <w:rPr/>
        <w:t>研发投入总额占营业收入的比重较上年发生显著变化的原因</w:t>
      </w:r>
    </w:p>
    <w:p>
      <w:pPr>
        <w:pStyle w:val="BodyText"/>
        <w:spacing w:line="340" w:lineRule="auto" w:before="115"/>
        <w:ind w:right="49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1"/>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2"/>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477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能源信息化平台项目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324" w:right="0"/>
              <w:jc w:val="left"/>
              <w:rPr>
                <w:rFonts w:ascii="Times New Roman" w:hAnsi="Times New Roman" w:cs="Times New Roman" w:eastAsia="Times New Roman" w:hint="default"/>
                <w:sz w:val="18"/>
                <w:szCs w:val="18"/>
              </w:rPr>
            </w:pPr>
            <w:r>
              <w:rPr>
                <w:rFonts w:ascii="Times New Roman"/>
                <w:sz w:val="18"/>
              </w:rPr>
              <w:t>22,046,257.36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能源信息化平台项目</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 基于智慧能源信息化业务发 展战略而启动的研发项目。能 源信息化平台项目研究开发 方向为电力物联网，即面向能 源变革发展和提高电力服务 水平的需求，基于物联网的信 息感知、传输、汇聚和处理技 术，以新一代配电自动化系统 为应用中心，以智能配变终端 为数据汇聚和边缘计算中心， 以中低压传感设备为感知设 备，以边缘计算和站端协同为 核心，实现配电网开放接入、 全景感知和精益管理。</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该研发项目的开发进度约为</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r>
    </w:tbl>
    <w:p>
      <w:pPr>
        <w:pStyle w:val="BodyText"/>
        <w:spacing w:line="300" w:lineRule="auto" w:before="8"/>
        <w:ind w:right="0" w:firstLine="504"/>
        <w:jc w:val="left"/>
      </w:pPr>
      <w:r>
        <w:rPr>
          <w:rFonts w:ascii="Times New Roman" w:hAnsi="Times New Roman" w:cs="Times New Roman" w:eastAsia="Times New Roman" w:hint="default"/>
          <w:spacing w:val="-1"/>
        </w:rPr>
        <w:t>“</w:t>
      </w:r>
      <w:r>
        <w:rPr>
          <w:spacing w:val="-1"/>
        </w:rPr>
        <w:t>能源信息化平台项目</w:t>
      </w:r>
      <w:r>
        <w:rPr>
          <w:rFonts w:ascii="Times New Roman" w:hAnsi="Times New Roman" w:cs="Times New Roman" w:eastAsia="Times New Roman" w:hint="default"/>
          <w:spacing w:val="-1"/>
        </w:rPr>
        <w:t>”</w:t>
      </w:r>
      <w:r>
        <w:rPr>
          <w:spacing w:val="-1"/>
        </w:rPr>
        <w:t>系公司基于智慧能源信息化业务发展战略而启动的研发项目，其《可行性研究报告》于</w:t>
      </w:r>
      <w:r>
        <w:rPr>
          <w:rFonts w:ascii="Times New Roman" w:hAnsi="Times New Roman" w:cs="Times New Roman" w:eastAsia="Times New Roman" w:hint="default"/>
          <w:spacing w:val="-1"/>
        </w:rPr>
        <w:t>2019</w:t>
      </w:r>
      <w:r>
        <w:rPr>
          <w:spacing w:val="-1"/>
        </w:rPr>
        <w:t>年</w:t>
      </w:r>
      <w:r>
        <w:rPr/>
        <w:t> </w:t>
      </w:r>
      <w:r>
        <w:rPr>
          <w:rFonts w:ascii="Times New Roman" w:hAnsi="Times New Roman" w:cs="Times New Roman" w:eastAsia="Times New Roman" w:hint="default"/>
        </w:rPr>
        <w:t>4</w:t>
      </w:r>
      <w:r>
        <w:rPr/>
        <w:t>月通过评审，根据公司研发资本化适用的会计政策规定（详见第十二节、五</w:t>
      </w:r>
      <w:r>
        <w:rPr>
          <w:rFonts w:ascii="Times New Roman" w:hAnsi="Times New Roman" w:cs="Times New Roman" w:eastAsia="Times New Roman" w:hint="default"/>
        </w:rPr>
        <w:t>“</w:t>
      </w:r>
      <w:r>
        <w:rPr/>
        <w:t>重要会计政策及会计估计</w:t>
      </w:r>
      <w:r>
        <w:rPr>
          <w:rFonts w:ascii="Times New Roman" w:hAnsi="Times New Roman" w:cs="Times New Roman" w:eastAsia="Times New Roman" w:hint="default"/>
        </w:rPr>
        <w:t>”</w:t>
      </w:r>
      <w:r>
        <w:rPr/>
        <w:t>之第</w:t>
      </w:r>
      <w:r>
        <w:rPr>
          <w:rFonts w:ascii="Times New Roman" w:hAnsi="Times New Roman" w:cs="Times New Roman" w:eastAsia="Times New Roman" w:hint="default"/>
        </w:rPr>
        <w:t>30</w:t>
      </w:r>
      <w:r>
        <w:rPr/>
        <w:t>项</w:t>
      </w:r>
      <w:r>
        <w:rPr>
          <w:rFonts w:ascii="Times New Roman" w:hAnsi="Times New Roman" w:cs="Times New Roman" w:eastAsia="Times New Roman" w:hint="default"/>
        </w:rPr>
        <w:t>“</w:t>
      </w:r>
      <w:r>
        <w:rPr/>
        <w:t>无形资 产</w:t>
      </w:r>
      <w:r>
        <w:rPr>
          <w:rFonts w:ascii="Times New Roman" w:hAnsi="Times New Roman" w:cs="Times New Roman" w:eastAsia="Times New Roman" w:hint="default"/>
        </w:rPr>
        <w:t>”</w:t>
      </w:r>
      <w:r>
        <w:rPr/>
        <w:t>），在《可行性研究报告》评审通过后至项目完成验收期间发生的研发费用计入开发支出核算。</w:t>
      </w:r>
    </w:p>
    <w:p>
      <w:pPr>
        <w:spacing w:line="240" w:lineRule="auto" w:before="4"/>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2,106,124,390.85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2,031,216,523.80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1,996,268,637.78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1,755,952,892.13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13.69%</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109,855,753.07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275,263,631.67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1,704,175,303.99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1,420,631,251.95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19.96%</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2,205,007,001.41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1,800,094,389.82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22.49%</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-500,831,697.42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-379,463,137.87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-31.98%</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1,563,230,350.00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1,743,501,513.96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-10.34%</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1,662,962,812.92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1,288,617,106.43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29.05%</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-99,732,462.92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454,884,407.53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-121.92%</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-489,630,585.60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366,186,409.91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-233.71%</w:t>
            </w:r>
          </w:p>
        </w:tc>
      </w:tr>
    </w:tbl>
    <w:p>
      <w:pPr>
        <w:pStyle w:val="BodyText"/>
        <w:spacing w:line="240" w:lineRule="auto" w:before="49"/>
        <w:ind w:right="0"/>
        <w:jc w:val="left"/>
      </w:pPr>
      <w:r>
        <w:rPr/>
        <w:t>相关数据同比发生重大变动的主要影响因素说明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30"/>
        <w:jc w:val="left"/>
      </w:pPr>
      <w:r>
        <w:rPr/>
        <w:t>经营活动产生的现金流量净额</w:t>
      </w:r>
      <w:r>
        <w:rPr>
          <w:rFonts w:ascii="Times New Roman" w:hAnsi="Times New Roman" w:cs="Times New Roman" w:eastAsia="Times New Roman" w:hint="default"/>
        </w:rPr>
        <w:t>2019</w:t>
      </w:r>
      <w:r>
        <w:rPr/>
        <w:t>年度较</w:t>
      </w:r>
      <w:r>
        <w:rPr>
          <w:rFonts w:ascii="Times New Roman" w:hAnsi="Times New Roman" w:cs="Times New Roman" w:eastAsia="Times New Roman" w:hint="default"/>
        </w:rPr>
        <w:t>2018</w:t>
      </w:r>
      <w:r>
        <w:rPr/>
        <w:t>年度减少</w:t>
      </w:r>
      <w:r>
        <w:rPr>
          <w:spacing w:val="-21"/>
        </w:rPr>
        <w:t> </w:t>
      </w:r>
      <w:r>
        <w:rPr>
          <w:rFonts w:ascii="Times New Roman" w:hAnsi="Times New Roman" w:cs="Times New Roman" w:eastAsia="Times New Roman" w:hint="default"/>
        </w:rPr>
        <w:t>60.09%</w:t>
      </w:r>
      <w:r>
        <w:rPr/>
        <w:t>，主要原因是本期支付给职工及为职工支付的现金增加。 投资活动产生的现金流量净额</w:t>
      </w:r>
      <w:r>
        <w:rPr>
          <w:rFonts w:ascii="Times New Roman" w:hAnsi="Times New Roman" w:cs="Times New Roman" w:eastAsia="Times New Roman" w:hint="default"/>
        </w:rPr>
        <w:t>2019</w:t>
      </w:r>
      <w:r>
        <w:rPr/>
        <w:t>年度较</w:t>
      </w:r>
      <w:r>
        <w:rPr>
          <w:rFonts w:ascii="Times New Roman" w:hAnsi="Times New Roman" w:cs="Times New Roman" w:eastAsia="Times New Roman" w:hint="default"/>
        </w:rPr>
        <w:t>2018</w:t>
      </w:r>
      <w:r>
        <w:rPr/>
        <w:t>年度减少</w:t>
      </w:r>
      <w:r>
        <w:rPr>
          <w:spacing w:val="-22"/>
        </w:rPr>
        <w:t> </w:t>
      </w:r>
      <w:r>
        <w:rPr>
          <w:rFonts w:ascii="Times New Roman" w:hAnsi="Times New Roman" w:cs="Times New Roman" w:eastAsia="Times New Roman" w:hint="default"/>
        </w:rPr>
        <w:t>31.98%</w:t>
      </w:r>
      <w:r>
        <w:rPr/>
        <w:t>，主要原因是本期新增对江苏民营投资控股有限公司的股权 投资支出。</w:t>
      </w:r>
    </w:p>
    <w:p>
      <w:pPr>
        <w:pStyle w:val="BodyText"/>
        <w:spacing w:line="300" w:lineRule="auto" w:before="31"/>
        <w:ind w:right="1115"/>
        <w:jc w:val="left"/>
      </w:pPr>
      <w:r>
        <w:rPr/>
        <w:t>筹资活动产生的现金流量净额</w:t>
      </w:r>
      <w:r>
        <w:rPr>
          <w:rFonts w:ascii="Times New Roman" w:hAnsi="Times New Roman" w:cs="Times New Roman" w:eastAsia="Times New Roman" w:hint="default"/>
        </w:rPr>
        <w:t>2019</w:t>
      </w:r>
      <w:r>
        <w:rPr/>
        <w:t>年度较</w:t>
      </w:r>
      <w:r>
        <w:rPr>
          <w:rFonts w:ascii="Times New Roman" w:hAnsi="Times New Roman" w:cs="Times New Roman" w:eastAsia="Times New Roman" w:hint="default"/>
        </w:rPr>
        <w:t>2018</w:t>
      </w:r>
      <w:r>
        <w:rPr/>
        <w:t>年度减少</w:t>
      </w:r>
      <w:r>
        <w:rPr>
          <w:spacing w:val="-47"/>
        </w:rPr>
        <w:t> </w:t>
      </w:r>
      <w:r>
        <w:rPr>
          <w:rFonts w:ascii="Times New Roman" w:hAnsi="Times New Roman" w:cs="Times New Roman" w:eastAsia="Times New Roman" w:hint="default"/>
        </w:rPr>
        <w:t>121.92%</w:t>
      </w:r>
      <w:r>
        <w:rPr/>
        <w:t>，主要原因是公司上年同期收到非公开发行</w:t>
      </w:r>
      <w:r>
        <w:rPr>
          <w:rFonts w:ascii="Times New Roman" w:hAnsi="Times New Roman" w:cs="Times New Roman" w:eastAsia="Times New Roman" w:hint="default"/>
        </w:rPr>
        <w:t>A</w:t>
      </w:r>
      <w:r>
        <w:rPr/>
        <w:t>股股票所募集 的资金。</w:t>
      </w:r>
    </w:p>
    <w:p>
      <w:pPr>
        <w:pStyle w:val="BodyText"/>
        <w:spacing w:line="240" w:lineRule="auto" w:before="72"/>
        <w:ind w:right="0"/>
        <w:jc w:val="left"/>
      </w:pPr>
      <w:r>
        <w:rPr/>
        <w:t>报告期内公司经营活动产生的现金净流量与本年度净利润存在重大差异的原因说明</w:t>
      </w:r>
    </w:p>
    <w:p>
      <w:pPr>
        <w:pStyle w:val="BodyText"/>
        <w:spacing w:line="340" w:lineRule="auto" w:before="115"/>
        <w:ind w:right="39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报告期内公司经营活动产生的现金净流量与本年度净利润存在重大差异的原因主要为：</w:t>
      </w:r>
    </w:p>
    <w:p>
      <w:pPr>
        <w:pStyle w:val="BodyText"/>
        <w:spacing w:line="240" w:lineRule="auto" w:before="1"/>
        <w:ind w:right="0"/>
        <w:jc w:val="left"/>
      </w:pPr>
      <w:r>
        <w:rPr/>
        <w:t>（</w:t>
      </w:r>
      <w:r>
        <w:rPr>
          <w:rFonts w:ascii="Times New Roman" w:hAnsi="Times New Roman" w:cs="Times New Roman" w:eastAsia="Times New Roman" w:hint="default"/>
        </w:rPr>
        <w:t>1</w:t>
      </w:r>
      <w:r>
        <w:rPr/>
        <w:t>）因公司并购的子公司联创智融、菲耐得经营业绩下滑，导致计提大额商誉减值，共计提商誉减值</w:t>
      </w:r>
      <w:r>
        <w:rPr>
          <w:rFonts w:ascii="Times New Roman" w:hAnsi="Times New Roman" w:cs="Times New Roman" w:eastAsia="Times New Roman" w:hint="default"/>
        </w:rPr>
        <w:t>162,966.69</w:t>
      </w:r>
      <w:r>
        <w:rPr/>
        <w:t>万元；</w:t>
      </w:r>
    </w:p>
    <w:p>
      <w:pPr>
        <w:pStyle w:val="BodyText"/>
        <w:spacing w:line="300" w:lineRule="auto" w:before="63"/>
        <w:ind w:right="1131"/>
        <w:jc w:val="both"/>
      </w:pPr>
      <w:r>
        <w:rPr/>
        <w:t>（</w:t>
      </w:r>
      <w:r>
        <w:rPr>
          <w:rFonts w:ascii="Times New Roman" w:hAnsi="Times New Roman" w:cs="Times New Roman" w:eastAsia="Times New Roman" w:hint="default"/>
        </w:rPr>
        <w:t>2</w:t>
      </w:r>
      <w:r>
        <w:rPr/>
        <w:t>）子公司联创智融应收账款回收未达预期，公司对联创智融应收账款对应的客户进行综合分析，发现部分应收账款存在 </w:t>
      </w:r>
      <w:r>
        <w:rPr>
          <w:spacing w:val="-2"/>
        </w:rPr>
        <w:t>一定回收风险，公司对该部分客户应收账款进行单项计提坏账准备，单项计提坏账准备</w:t>
      </w:r>
      <w:r>
        <w:rPr>
          <w:rFonts w:ascii="Times New Roman" w:hAnsi="Times New Roman" w:cs="Times New Roman" w:eastAsia="Times New Roman" w:hint="default"/>
          <w:spacing w:val="-2"/>
        </w:rPr>
        <w:t>14,327.30</w:t>
      </w:r>
      <w:r>
        <w:rPr>
          <w:spacing w:val="-2"/>
        </w:rPr>
        <w:t>万元，本期信用减值损失大</w:t>
      </w:r>
      <w:r>
        <w:rPr>
          <w:spacing w:val="-58"/>
        </w:rPr>
        <w:t> </w:t>
      </w:r>
      <w:r>
        <w:rPr>
          <w:spacing w:val="-58"/>
        </w:rPr>
      </w:r>
      <w:r>
        <w:rPr/>
        <w:t>幅增加。</w:t>
      </w:r>
    </w:p>
    <w:p>
      <w:pPr>
        <w:spacing w:line="240" w:lineRule="auto" w:before="13"/>
        <w:rPr>
          <w:rFonts w:ascii="宋体" w:hAnsi="宋体" w:cs="宋体" w:eastAsia="宋体" w:hint="default"/>
          <w:sz w:val="15"/>
          <w:szCs w:val="15"/>
        </w:rPr>
      </w:pPr>
    </w:p>
    <w:p>
      <w:pPr>
        <w:pStyle w:val="Heading2"/>
        <w:spacing w:line="240" w:lineRule="auto"/>
        <w:ind w:right="0"/>
        <w:jc w:val="left"/>
        <w:rPr>
          <w:b w:val="0"/>
          <w:bCs w:val="0"/>
        </w:rPr>
      </w:pPr>
      <w:r>
        <w:rPr/>
        <w:t>三、非主营业务情况</w:t>
      </w:r>
      <w:r>
        <w:rPr>
          <w:b w:val="0"/>
          <w:bCs w:val="0"/>
        </w:rPr>
      </w:r>
    </w:p>
    <w:p>
      <w:pPr>
        <w:spacing w:line="240" w:lineRule="auto" w:before="11"/>
        <w:rPr>
          <w:rFonts w:ascii="Microsoft JhengHei" w:hAnsi="Microsoft JhengHei" w:cs="Microsoft JhengHei" w:eastAsia="Microsoft JhengHei" w:hint="default"/>
          <w:b/>
          <w:bCs/>
          <w:sz w:val="15"/>
          <w:szCs w:val="1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3"/>
        <w:gridCol w:w="2168"/>
        <w:gridCol w:w="2340"/>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340"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19,407,074.72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6"/>
              <w:jc w:val="left"/>
              <w:rPr>
                <w:rFonts w:ascii="宋体" w:hAnsi="宋体" w:cs="宋体" w:eastAsia="宋体" w:hint="default"/>
                <w:sz w:val="18"/>
                <w:szCs w:val="18"/>
              </w:rPr>
            </w:pPr>
            <w:r>
              <w:rPr>
                <w:rFonts w:ascii="宋体" w:hAnsi="宋体" w:cs="宋体" w:eastAsia="宋体" w:hint="default"/>
                <w:sz w:val="18"/>
                <w:szCs w:val="18"/>
              </w:rPr>
              <w:t>主要系报告期内构买金融 机构理财产品产生的收益， 以及处置原控股子公司润 辰科技产生的处置收益。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-1,629,666,940.32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90.54%</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2"/>
              <w:jc w:val="both"/>
              <w:rPr>
                <w:rFonts w:ascii="宋体" w:hAnsi="宋体" w:cs="宋体" w:eastAsia="宋体" w:hint="default"/>
                <w:sz w:val="18"/>
                <w:szCs w:val="18"/>
              </w:rPr>
            </w:pPr>
            <w:r>
              <w:rPr>
                <w:rFonts w:ascii="宋体" w:hAnsi="宋体" w:cs="宋体" w:eastAsia="宋体" w:hint="default"/>
                <w:sz w:val="18"/>
                <w:szCs w:val="18"/>
              </w:rPr>
              <w:t>系本期对联创智融及菲耐 得商誉资产组计提的商誉 减值准备。</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12,978,921.86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-0.72%</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主要系收到的政府补助。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1,371,503.25</w:t>
            </w:r>
          </w:p>
        </w:tc>
        <w:tc>
          <w:tcPr>
            <w:tcW w:w="162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主要系对外捐赠支出。</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-197,254,100.52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10.96%</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主要系单项计提应收账款</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3"/>
        <w:gridCol w:w="2168"/>
        <w:gridCol w:w="2340"/>
      </w:tblGrid>
      <w:tr>
        <w:trPr>
          <w:trHeight w:val="363" w:hRule="exact"/>
        </w:trPr>
        <w:tc>
          <w:tcPr>
            <w:tcW w:w="152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坏账准备所致。</w:t>
            </w:r>
          </w:p>
        </w:tc>
        <w:tc>
          <w:tcPr>
            <w:tcW w:w="23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四、资产及负债状况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0"/>
        </w:sectPr>
      </w:pPr>
    </w:p>
    <w:p>
      <w:pPr>
        <w:pStyle w:val="BodyText"/>
        <w:spacing w:line="240" w:lineRule="auto" w:before="44"/>
        <w:ind w:right="-17"/>
        <w:jc w:val="left"/>
      </w:pPr>
      <w:r>
        <w:rPr/>
        <w:t>公司</w:t>
      </w:r>
      <w:r>
        <w:rPr>
          <w:spacing w:val="-47"/>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3"/>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525" w:space="395"/>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5"/>
        <w:gridCol w:w="1063"/>
        <w:gridCol w:w="1196"/>
        <w:gridCol w:w="1063"/>
        <w:gridCol w:w="797"/>
        <w:gridCol w:w="2919"/>
      </w:tblGrid>
      <w:tr>
        <w:trPr>
          <w:trHeight w:val="383"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1" w:hRule="exact"/>
        </w:trPr>
        <w:tc>
          <w:tcPr>
            <w:tcW w:w="1368" w:type="dxa"/>
            <w:vMerge/>
            <w:tcBorders>
              <w:left w:val="single" w:sz="4" w:space="0" w:color="000000"/>
              <w:right w:val="single" w:sz="4" w:space="0" w:color="000000"/>
            </w:tcBorders>
            <w:shd w:val="clear" w:color="auto" w:fill="D2D2D2"/>
          </w:tcPr>
          <w:p>
            <w:pP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5"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760,601,549.2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1,252,551,826.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1,172,540,005.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1,209,334,647.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89,474,576.86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46,858,875.12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613,875,908.2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630,185,392.19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55,045.87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59,537.93</w:t>
            </w:r>
          </w:p>
        </w:tc>
        <w:tc>
          <w:tcPr>
            <w:tcW w:w="10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825,413,393.4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448,305,478.1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468,000,000.0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270,050,000.00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其他权益工具投 资</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233,637,522.4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20,892,385.13</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986,181,014.1</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2,638,024,655.</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41.51%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系本期对联创智融及菲耐得商誉资 </w:t>
            </w:r>
            <w:r>
              <w:rPr>
                <w:rFonts w:ascii="宋体" w:hAnsi="宋体" w:cs="宋体" w:eastAsia="宋体" w:hint="default"/>
                <w:spacing w:val="-2"/>
                <w:sz w:val="18"/>
                <w:szCs w:val="18"/>
              </w:rPr>
              <w:t>产组计提商誉减值准备，商誉账面价</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值减少。</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132,423,144.4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87,916,054.97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22,046,257.36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60,442,202.13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90,530,731.70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32,568,373.74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82"/>
        <w:gridCol w:w="1015"/>
        <w:gridCol w:w="1064"/>
        <w:gridCol w:w="1193"/>
        <w:gridCol w:w="931"/>
        <w:gridCol w:w="1195"/>
        <w:gridCol w:w="1064"/>
        <w:gridCol w:w="914"/>
        <w:gridCol w:w="1212"/>
      </w:tblGrid>
      <w:tr>
        <w:trPr>
          <w:trHeight w:val="1025"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77" w:right="74"/>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89" w:right="98" w:hanging="89"/>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7"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45"/>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 融资产（不 含衍生金融 资产）</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270,050,000.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1,875,000,000.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1,677,050,00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468,000,000.00</w:t>
            </w:r>
          </w:p>
        </w:tc>
      </w:tr>
      <w:tr>
        <w:trPr>
          <w:trHeight w:val="716"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 工具投资</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20,892,385.1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220,131,794.37</w:t>
            </w:r>
          </w:p>
        </w:tc>
        <w:tc>
          <w:tcPr>
            <w:tcW w:w="106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-7,386,657.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233,637,522.46</w:t>
            </w:r>
          </w:p>
        </w:tc>
      </w:tr>
      <w:tr>
        <w:trPr>
          <w:trHeight w:val="71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45"/>
              <w:jc w:val="left"/>
              <w:rPr>
                <w:rFonts w:ascii="宋体" w:hAnsi="宋体" w:cs="宋体" w:eastAsia="宋体" w:hint="default"/>
                <w:sz w:val="18"/>
                <w:szCs w:val="18"/>
              </w:rPr>
            </w:pPr>
            <w:r>
              <w:rPr>
                <w:rFonts w:ascii="宋体" w:hAnsi="宋体" w:cs="宋体" w:eastAsia="宋体" w:hint="default"/>
                <w:sz w:val="18"/>
                <w:szCs w:val="18"/>
              </w:rPr>
              <w:t>应收款项融 资</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8,709,930.16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12,001,483.03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15,342,217.1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9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5,369,196.03</w:t>
            </w:r>
          </w:p>
        </w:tc>
      </w:tr>
      <w:tr>
        <w:trPr>
          <w:trHeight w:val="715"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299,652,315.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2,107,133,277.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1,692,392,21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7.16</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-7,386,657.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707,006,718.49</w:t>
            </w:r>
          </w:p>
        </w:tc>
      </w:tr>
      <w:tr>
        <w:trPr>
          <w:trHeight w:val="401"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其他变动的内容</w:t>
      </w:r>
    </w:p>
    <w:p>
      <w:pPr>
        <w:pStyle w:val="BodyText"/>
        <w:spacing w:line="328" w:lineRule="auto" w:before="117"/>
        <w:ind w:right="1097" w:firstLine="504"/>
        <w:jc w:val="both"/>
      </w:pPr>
      <w:r>
        <w:rPr>
          <w:spacing w:val="-1"/>
        </w:rPr>
        <w:t>其他变动内容系本期公司对鑫合易家的股权投资由原不具有控制、共同控制和重大影响变化为具有重大影响，该投资</w:t>
      </w:r>
      <w:r>
        <w:rPr/>
        <w:t> 由</w:t>
      </w:r>
      <w:r>
        <w:rPr>
          <w:rFonts w:ascii="Times New Roman" w:hAnsi="Times New Roman" w:cs="Times New Roman" w:eastAsia="Times New Roman" w:hint="default"/>
        </w:rPr>
        <w:t>“</w:t>
      </w:r>
      <w:r>
        <w:rPr/>
        <w:t>其他权益工具投资</w:t>
      </w:r>
      <w:r>
        <w:rPr>
          <w:rFonts w:ascii="Times New Roman" w:hAnsi="Times New Roman" w:cs="Times New Roman" w:eastAsia="Times New Roman" w:hint="default"/>
        </w:rPr>
        <w:t>”</w:t>
      </w:r>
      <w:r>
        <w:rPr/>
        <w:t>转列</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w:t>
      </w:r>
      <w:r>
        <w:rPr/>
        <w:t>核算，以及对</w:t>
      </w:r>
      <w:r>
        <w:rPr>
          <w:rFonts w:ascii="Times New Roman" w:hAnsi="Times New Roman" w:cs="Times New Roman" w:eastAsia="Times New Roman" w:hint="default"/>
        </w:rPr>
        <w:t>NEVADA NANOTECH SYSTEMS</w:t>
      </w:r>
      <w:r>
        <w:rPr>
          <w:rFonts w:ascii="Times New Roman" w:hAnsi="Times New Roman" w:cs="Times New Roman" w:eastAsia="Times New Roman" w:hint="default"/>
          <w:spacing w:val="-6"/>
        </w:rPr>
        <w:t> </w:t>
      </w:r>
      <w:r>
        <w:rPr>
          <w:rFonts w:ascii="Times New Roman" w:hAnsi="Times New Roman" w:cs="Times New Roman" w:eastAsia="Times New Roman" w:hint="default"/>
        </w:rPr>
        <w:t>INC.</w:t>
      </w:r>
      <w:r>
        <w:rPr/>
        <w:t>股权投资汇率变化的影响。 报告期内公司主要资产计量属性是否发生重大变化</w:t>
      </w:r>
    </w:p>
    <w:p>
      <w:pPr>
        <w:pStyle w:val="BodyText"/>
        <w:spacing w:line="340" w:lineRule="auto" w:before="48"/>
        <w:ind w:right="37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报告期内公司主要资产计量属性发生重大变化的原因说明及对其经营成果和财务状况影响</w:t>
      </w:r>
    </w:p>
    <w:p>
      <w:pPr>
        <w:pStyle w:val="BodyText"/>
        <w:spacing w:line="300" w:lineRule="auto" w:before="39"/>
        <w:ind w:right="1042" w:firstLine="504"/>
        <w:jc w:val="both"/>
      </w:pPr>
      <w:r>
        <w:rPr/>
        <w:t>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日执行新金融工具准则，公司将购买的金融机构理财产品（结构性存款）由原列报项目</w:t>
      </w:r>
      <w:r>
        <w:rPr>
          <w:rFonts w:ascii="Times New Roman" w:hAnsi="Times New Roman" w:cs="Times New Roman" w:eastAsia="Times New Roman" w:hint="default"/>
        </w:rPr>
        <w:t>“</w:t>
      </w:r>
      <w:r>
        <w:rPr/>
        <w:t>其他流动 </w:t>
      </w:r>
      <w:r>
        <w:rPr>
          <w:spacing w:val="-1"/>
        </w:rPr>
        <w:t>资产</w:t>
      </w:r>
      <w:r>
        <w:rPr>
          <w:rFonts w:ascii="Times New Roman" w:hAnsi="Times New Roman" w:cs="Times New Roman" w:eastAsia="Times New Roman" w:hint="default"/>
          <w:spacing w:val="-1"/>
        </w:rPr>
        <w:t>”</w:t>
      </w:r>
      <w:r>
        <w:rPr>
          <w:spacing w:val="-1"/>
        </w:rPr>
        <w:t>调整至</w:t>
      </w:r>
      <w:r>
        <w:rPr>
          <w:rFonts w:ascii="Times New Roman" w:hAnsi="Times New Roman" w:cs="Times New Roman" w:eastAsia="Times New Roman" w:hint="default"/>
          <w:spacing w:val="-1"/>
        </w:rPr>
        <w:t>“</w:t>
      </w:r>
      <w:r>
        <w:rPr>
          <w:spacing w:val="-1"/>
        </w:rPr>
        <w:t>交易性金融资产</w:t>
      </w:r>
      <w:r>
        <w:rPr>
          <w:rFonts w:ascii="Times New Roman" w:hAnsi="Times New Roman" w:cs="Times New Roman" w:eastAsia="Times New Roman" w:hint="default"/>
          <w:spacing w:val="-1"/>
        </w:rPr>
        <w:t>”</w:t>
      </w:r>
      <w:r>
        <w:rPr>
          <w:spacing w:val="-1"/>
        </w:rPr>
        <w:t>列报，相应的计量属性由历史成本调整为公允价值，对经营成果和财务状况不产生重大影响。</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6" w:type="dxa"/>
        <w:tblLayout w:type="fixed"/>
        <w:tblCellMar>
          <w:top w:w="0" w:type="dxa"/>
          <w:left w:w="0" w:type="dxa"/>
          <w:bottom w:w="0" w:type="dxa"/>
          <w:right w:w="0" w:type="dxa"/>
        </w:tblCellMar>
        <w:tblLook w:val="01E0"/>
      </w:tblPr>
      <w:tblGrid>
        <w:gridCol w:w="1980"/>
        <w:gridCol w:w="1707"/>
        <w:gridCol w:w="5387"/>
      </w:tblGrid>
      <w:tr>
        <w:trPr>
          <w:trHeight w:val="346"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16"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5387"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348"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3,655,466.18</w:t>
            </w:r>
          </w:p>
        </w:tc>
        <w:tc>
          <w:tcPr>
            <w:tcW w:w="5387"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保函保证金。</w:t>
            </w:r>
          </w:p>
        </w:tc>
      </w:tr>
      <w:tr>
        <w:trPr>
          <w:trHeight w:val="349"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570,743,056.88</w:t>
            </w:r>
          </w:p>
        </w:tc>
        <w:tc>
          <w:tcPr>
            <w:tcW w:w="5387" w:type="dxa"/>
            <w:tcBorders>
              <w:top w:val="single" w:sz="6" w:space="0" w:color="000000"/>
              <w:left w:val="single" w:sz="6" w:space="0" w:color="000000"/>
              <w:bottom w:val="single" w:sz="6" w:space="0" w:color="000000"/>
              <w:right w:val="nil" w:sz="6" w:space="0" w:color="auto"/>
            </w:tcBorders>
          </w:tcPr>
          <w:p>
            <w:pPr>
              <w:pStyle w:val="TableParagraph"/>
              <w:spacing w:line="273" w:lineRule="exact"/>
              <w:ind w:left="4" w:right="0"/>
              <w:jc w:val="left"/>
              <w:rPr>
                <w:rFonts w:ascii="宋体" w:hAnsi="宋体" w:cs="宋体" w:eastAsia="宋体" w:hint="default"/>
                <w:sz w:val="21"/>
                <w:szCs w:val="21"/>
              </w:rPr>
            </w:pPr>
            <w:r>
              <w:rPr>
                <w:rFonts w:ascii="宋体" w:hAnsi="宋体" w:cs="宋体" w:eastAsia="宋体" w:hint="default"/>
                <w:sz w:val="21"/>
                <w:szCs w:val="21"/>
              </w:rPr>
              <w:t>银行借款抵押物。</w:t>
            </w:r>
          </w:p>
        </w:tc>
      </w:tr>
      <w:tr>
        <w:trPr>
          <w:trHeight w:val="346"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37,082,819.10</w:t>
            </w:r>
          </w:p>
        </w:tc>
        <w:tc>
          <w:tcPr>
            <w:tcW w:w="5387"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银行借款抵押物。</w:t>
            </w:r>
          </w:p>
        </w:tc>
      </w:tr>
      <w:tr>
        <w:trPr>
          <w:trHeight w:val="1596"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1"/>
              <w:jc w:val="left"/>
              <w:rPr>
                <w:rFonts w:ascii="宋体" w:hAnsi="宋体" w:cs="宋体" w:eastAsia="宋体" w:hint="default"/>
                <w:sz w:val="21"/>
                <w:szCs w:val="21"/>
              </w:rPr>
            </w:pPr>
            <w:r>
              <w:rPr>
                <w:rFonts w:ascii="宋体" w:hAnsi="宋体" w:cs="宋体" w:eastAsia="宋体" w:hint="default"/>
                <w:spacing w:val="5"/>
                <w:sz w:val="21"/>
                <w:szCs w:val="21"/>
              </w:rPr>
              <w:t>本公司所持联创智融</w:t>
            </w:r>
          </w:p>
          <w:p>
            <w:pPr>
              <w:pStyle w:val="TableParagraph"/>
              <w:spacing w:line="240" w:lineRule="auto" w:before="37"/>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100%</w:t>
            </w:r>
            <w:r>
              <w:rPr>
                <w:rFonts w:ascii="宋体" w:hAnsi="宋体" w:cs="宋体" w:eastAsia="宋体" w:hint="default"/>
                <w:sz w:val="21"/>
                <w:szCs w:val="21"/>
              </w:rPr>
              <w:t>股权</w:t>
            </w:r>
          </w:p>
        </w:tc>
        <w:tc>
          <w:tcPr>
            <w:tcW w:w="1707" w:type="dxa"/>
            <w:tcBorders>
              <w:top w:val="single" w:sz="6" w:space="0" w:color="000000"/>
              <w:left w:val="single" w:sz="6" w:space="0" w:color="000000"/>
              <w:bottom w:val="single" w:sz="6" w:space="0" w:color="000000"/>
              <w:right w:val="single" w:sz="6" w:space="0" w:color="000000"/>
            </w:tcBorders>
          </w:tcPr>
          <w:p>
            <w:pPr/>
          </w:p>
        </w:tc>
        <w:tc>
          <w:tcPr>
            <w:tcW w:w="5387" w:type="dxa"/>
            <w:tcBorders>
              <w:top w:val="single" w:sz="6" w:space="0" w:color="000000"/>
              <w:left w:val="single" w:sz="6" w:space="0" w:color="000000"/>
              <w:bottom w:val="single" w:sz="6" w:space="0" w:color="000000"/>
              <w:right w:val="nil" w:sz="6" w:space="0" w:color="auto"/>
            </w:tcBorders>
          </w:tcPr>
          <w:p>
            <w:pPr>
              <w:pStyle w:val="TableParagraph"/>
              <w:spacing w:line="261" w:lineRule="auto"/>
              <w:ind w:left="4" w:right="0"/>
              <w:jc w:val="both"/>
              <w:rPr>
                <w:rFonts w:ascii="宋体" w:hAnsi="宋体" w:cs="宋体" w:eastAsia="宋体" w:hint="default"/>
                <w:sz w:val="21"/>
                <w:szCs w:val="21"/>
              </w:rPr>
            </w:pPr>
            <w:r>
              <w:rPr>
                <w:rFonts w:ascii="宋体" w:hAnsi="宋体" w:cs="宋体" w:eastAsia="宋体" w:hint="default"/>
                <w:sz w:val="21"/>
                <w:szCs w:val="21"/>
              </w:rPr>
              <w:t>银行借款质押物。本公司以子公司联创智融</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股权作为</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5"/>
                <w:w w:val="100"/>
                <w:sz w:val="21"/>
                <w:szCs w:val="21"/>
              </w:rPr>
              <w:t>质押物向中国工商银行南京玄武支行取得并购资金借款，借</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款总额</w:t>
            </w:r>
            <w:r>
              <w:rPr>
                <w:rFonts w:ascii="Times New Roman" w:hAnsi="Times New Roman" w:cs="Times New Roman" w:eastAsia="Times New Roman" w:hint="default"/>
                <w:sz w:val="21"/>
                <w:szCs w:val="21"/>
              </w:rPr>
              <w:t>400,000,000.00</w:t>
            </w:r>
            <w:r>
              <w:rPr>
                <w:rFonts w:ascii="宋体" w:hAnsi="宋体" w:cs="宋体" w:eastAsia="宋体" w:hint="default"/>
                <w:sz w:val="21"/>
                <w:szCs w:val="21"/>
              </w:rPr>
              <w:t>元，截止</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日，已归还借</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1"/>
                <w:sz w:val="21"/>
                <w:szCs w:val="21"/>
              </w:rPr>
              <w:t>款</w:t>
            </w:r>
            <w:r>
              <w:rPr>
                <w:rFonts w:ascii="Times New Roman" w:hAnsi="Times New Roman" w:cs="Times New Roman" w:eastAsia="Times New Roman" w:hint="default"/>
                <w:spacing w:val="-1"/>
                <w:sz w:val="21"/>
                <w:szCs w:val="21"/>
              </w:rPr>
              <w:t>300,000,000.00</w:t>
            </w:r>
            <w:r>
              <w:rPr>
                <w:rFonts w:ascii="宋体" w:hAnsi="宋体" w:cs="宋体" w:eastAsia="宋体" w:hint="default"/>
                <w:spacing w:val="-1"/>
                <w:sz w:val="21"/>
                <w:szCs w:val="21"/>
              </w:rPr>
              <w:t>元，借款余额</w:t>
            </w:r>
            <w:r>
              <w:rPr>
                <w:rFonts w:ascii="Times New Roman" w:hAnsi="Times New Roman" w:cs="Times New Roman" w:eastAsia="Times New Roman" w:hint="default"/>
                <w:spacing w:val="-1"/>
                <w:sz w:val="21"/>
                <w:szCs w:val="21"/>
              </w:rPr>
              <w:t>100,000,000.00</w:t>
            </w:r>
            <w:r>
              <w:rPr>
                <w:rFonts w:ascii="宋体" w:hAnsi="宋体" w:cs="宋体" w:eastAsia="宋体" w:hint="default"/>
                <w:spacing w:val="-1"/>
                <w:sz w:val="21"/>
                <w:szCs w:val="21"/>
              </w:rPr>
              <w:t>元，重分类至</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一年内到期的非流动负债。</w:t>
            </w:r>
          </w:p>
        </w:tc>
      </w:tr>
      <w:tr>
        <w:trPr>
          <w:trHeight w:val="1284"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pacing w:val="5"/>
                <w:sz w:val="21"/>
                <w:szCs w:val="21"/>
              </w:rPr>
              <w:t>特定资产的经营收入</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权</w:t>
            </w:r>
          </w:p>
        </w:tc>
        <w:tc>
          <w:tcPr>
            <w:tcW w:w="1707" w:type="dxa"/>
            <w:tcBorders>
              <w:top w:val="single" w:sz="6" w:space="0" w:color="000000"/>
              <w:left w:val="single" w:sz="6" w:space="0" w:color="000000"/>
              <w:bottom w:val="single" w:sz="6" w:space="0" w:color="000000"/>
              <w:right w:val="single" w:sz="6" w:space="0" w:color="000000"/>
            </w:tcBorders>
          </w:tcPr>
          <w:p>
            <w:pPr/>
          </w:p>
        </w:tc>
        <w:tc>
          <w:tcPr>
            <w:tcW w:w="5387" w:type="dxa"/>
            <w:tcBorders>
              <w:top w:val="single" w:sz="6" w:space="0" w:color="000000"/>
              <w:left w:val="single" w:sz="6" w:space="0" w:color="000000"/>
              <w:bottom w:val="single" w:sz="6" w:space="0" w:color="000000"/>
              <w:right w:val="nil" w:sz="6" w:space="0" w:color="auto"/>
            </w:tcBorders>
          </w:tcPr>
          <w:p>
            <w:pPr>
              <w:pStyle w:val="TableParagraph"/>
              <w:spacing w:line="261" w:lineRule="auto"/>
              <w:ind w:left="4" w:right="0"/>
              <w:jc w:val="both"/>
              <w:rPr>
                <w:rFonts w:ascii="宋体" w:hAnsi="宋体" w:cs="宋体" w:eastAsia="宋体" w:hint="default"/>
                <w:sz w:val="21"/>
                <w:szCs w:val="21"/>
              </w:rPr>
            </w:pPr>
            <w:r>
              <w:rPr>
                <w:rFonts w:ascii="宋体" w:hAnsi="宋体" w:cs="宋体" w:eastAsia="宋体" w:hint="default"/>
                <w:spacing w:val="-5"/>
                <w:w w:val="100"/>
                <w:sz w:val="21"/>
                <w:szCs w:val="21"/>
              </w:rPr>
              <w:t>银行借款质押物。本公司子公司外包园公司以位于软件大道</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Times New Roman" w:hAnsi="Times New Roman" w:cs="Times New Roman" w:eastAsia="Times New Roman" w:hint="default"/>
                <w:spacing w:val="-1"/>
                <w:sz w:val="21"/>
                <w:szCs w:val="21"/>
              </w:rPr>
              <w:t>168</w:t>
            </w:r>
            <w:r>
              <w:rPr>
                <w:rFonts w:ascii="宋体" w:hAnsi="宋体" w:cs="宋体" w:eastAsia="宋体" w:hint="default"/>
                <w:spacing w:val="-1"/>
                <w:sz w:val="21"/>
                <w:szCs w:val="21"/>
              </w:rPr>
              <w:t>号的特定资产的经营收入权利作为质押物向中国工商银</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行南京玄武支行取得的固定资产支持融资借款，截至</w:t>
            </w:r>
            <w:r>
              <w:rPr>
                <w:rFonts w:ascii="Times New Roman" w:hAnsi="Times New Roman" w:cs="Times New Roman" w:eastAsia="Times New Roman" w:hint="default"/>
                <w:spacing w:val="2"/>
                <w:sz w:val="21"/>
                <w:szCs w:val="21"/>
              </w:rPr>
              <w:t>2019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日止，质押借款余额</w:t>
            </w:r>
            <w:r>
              <w:rPr>
                <w:rFonts w:ascii="Times New Roman" w:hAnsi="Times New Roman" w:cs="Times New Roman" w:eastAsia="Times New Roman" w:hint="default"/>
                <w:sz w:val="21"/>
                <w:szCs w:val="21"/>
              </w:rPr>
              <w:t>439,450,902.32</w:t>
            </w:r>
            <w:r>
              <w:rPr>
                <w:rFonts w:ascii="宋体" w:hAnsi="宋体" w:cs="宋体" w:eastAsia="宋体" w:hint="default"/>
                <w:sz w:val="21"/>
                <w:szCs w:val="21"/>
              </w:rPr>
              <w:t>元，该长期借</w:t>
            </w:r>
          </w:p>
        </w:tc>
      </w:tr>
    </w:tbl>
    <w:p>
      <w:pPr>
        <w:spacing w:after="0" w:line="261" w:lineRule="auto"/>
        <w:jc w:val="both"/>
        <w:rPr>
          <w:rFonts w:ascii="宋体" w:hAnsi="宋体" w:cs="宋体" w:eastAsia="宋体" w:hint="default"/>
          <w:sz w:val="21"/>
          <w:szCs w:val="21"/>
        </w:rPr>
        <w:sectPr>
          <w:pgSz w:w="11910" w:h="16840"/>
          <w:pgMar w:header="745" w:footer="979" w:top="1060" w:bottom="1160" w:left="980" w:right="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526" w:type="dxa"/>
        <w:tblLayout w:type="fixed"/>
        <w:tblCellMar>
          <w:top w:w="0" w:type="dxa"/>
          <w:left w:w="0" w:type="dxa"/>
          <w:bottom w:w="0" w:type="dxa"/>
          <w:right w:w="0" w:type="dxa"/>
        </w:tblCellMar>
        <w:tblLook w:val="01E0"/>
      </w:tblPr>
      <w:tblGrid>
        <w:gridCol w:w="1980"/>
        <w:gridCol w:w="1707"/>
        <w:gridCol w:w="5387"/>
      </w:tblGrid>
      <w:tr>
        <w:trPr>
          <w:trHeight w:val="660" w:hRule="exact"/>
        </w:trPr>
        <w:tc>
          <w:tcPr>
            <w:tcW w:w="1980" w:type="dxa"/>
            <w:tcBorders>
              <w:top w:val="single" w:sz="6" w:space="0" w:color="000000"/>
              <w:left w:val="single" w:sz="6"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5387" w:type="dxa"/>
            <w:tcBorders>
              <w:top w:val="single" w:sz="6" w:space="0" w:color="000000"/>
              <w:left w:val="single" w:sz="6" w:space="0" w:color="000000"/>
              <w:bottom w:val="single" w:sz="6" w:space="0" w:color="000000"/>
              <w:right w:val="nil" w:sz="6" w:space="0" w:color="auto"/>
            </w:tcBorders>
          </w:tcPr>
          <w:p>
            <w:pPr>
              <w:pStyle w:val="TableParagraph"/>
              <w:spacing w:line="256" w:lineRule="auto"/>
              <w:ind w:left="4" w:right="3"/>
              <w:jc w:val="left"/>
              <w:rPr>
                <w:rFonts w:ascii="宋体" w:hAnsi="宋体" w:cs="宋体" w:eastAsia="宋体" w:hint="default"/>
                <w:sz w:val="21"/>
                <w:szCs w:val="21"/>
              </w:rPr>
            </w:pPr>
            <w:r>
              <w:rPr>
                <w:rFonts w:ascii="宋体" w:hAnsi="宋体" w:cs="宋体" w:eastAsia="宋体" w:hint="default"/>
                <w:spacing w:val="-3"/>
                <w:sz w:val="21"/>
                <w:szCs w:val="21"/>
              </w:rPr>
              <w:t>款年末余额中</w:t>
            </w:r>
            <w:r>
              <w:rPr>
                <w:rFonts w:ascii="Times New Roman" w:hAnsi="Times New Roman" w:cs="Times New Roman" w:eastAsia="Times New Roman" w:hint="default"/>
                <w:spacing w:val="-3"/>
                <w:sz w:val="21"/>
                <w:szCs w:val="21"/>
              </w:rPr>
              <w:t>16,813,265.89</w:t>
            </w:r>
            <w:r>
              <w:rPr>
                <w:rFonts w:ascii="宋体" w:hAnsi="宋体" w:cs="宋体" w:eastAsia="宋体" w:hint="default"/>
                <w:spacing w:val="-3"/>
                <w:sz w:val="21"/>
                <w:szCs w:val="21"/>
              </w:rPr>
              <w:t>元将于一年内到期，重分类至一</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年内到期的非流动负债。</w:t>
            </w:r>
          </w:p>
        </w:tc>
      </w:tr>
      <w:tr>
        <w:trPr>
          <w:trHeight w:val="3154"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2"/>
              <w:jc w:val="left"/>
              <w:rPr>
                <w:rFonts w:ascii="宋体" w:hAnsi="宋体" w:cs="宋体" w:eastAsia="宋体" w:hint="default"/>
                <w:sz w:val="21"/>
                <w:szCs w:val="21"/>
              </w:rPr>
            </w:pPr>
            <w:r>
              <w:rPr>
                <w:rFonts w:ascii="宋体" w:hAnsi="宋体" w:cs="宋体" w:eastAsia="宋体" w:hint="default"/>
                <w:sz w:val="21"/>
                <w:szCs w:val="21"/>
              </w:rPr>
              <w:t>捷</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4"/>
                <w:sz w:val="21"/>
                <w:szCs w:val="21"/>
              </w:rPr>
              <w:t> </w:t>
            </w:r>
            <w:r>
              <w:rPr>
                <w:rFonts w:ascii="宋体" w:hAnsi="宋体" w:cs="宋体" w:eastAsia="宋体" w:hint="default"/>
                <w:sz w:val="21"/>
                <w:szCs w:val="21"/>
              </w:rPr>
              <w:t>智</w:t>
            </w:r>
            <w:r>
              <w:rPr>
                <w:rFonts w:ascii="宋体" w:hAnsi="宋体" w:cs="宋体" w:eastAsia="宋体" w:hint="default"/>
                <w:spacing w:val="-66"/>
                <w:sz w:val="21"/>
                <w:szCs w:val="21"/>
              </w:rPr>
              <w:t> </w:t>
            </w:r>
            <w:r>
              <w:rPr>
                <w:rFonts w:ascii="宋体" w:hAnsi="宋体" w:cs="宋体" w:eastAsia="宋体" w:hint="default"/>
                <w:sz w:val="21"/>
                <w:szCs w:val="21"/>
              </w:rPr>
              <w:t>诚</w:t>
            </w:r>
            <w:r>
              <w:rPr>
                <w:rFonts w:ascii="宋体" w:hAnsi="宋体" w:cs="宋体" w:eastAsia="宋体" w:hint="default"/>
                <w:spacing w:val="-66"/>
                <w:sz w:val="21"/>
                <w:szCs w:val="21"/>
              </w:rPr>
              <w:t> </w:t>
            </w:r>
            <w:r>
              <w:rPr>
                <w:rFonts w:ascii="宋体" w:hAnsi="宋体" w:cs="宋体" w:eastAsia="宋体" w:hint="default"/>
                <w:sz w:val="21"/>
                <w:szCs w:val="21"/>
              </w:rPr>
              <w:t>对</w:t>
            </w:r>
            <w:r>
              <w:rPr>
                <w:rFonts w:ascii="宋体" w:hAnsi="宋体" w:cs="宋体" w:eastAsia="宋体" w:hint="default"/>
                <w:spacing w:val="-66"/>
                <w:sz w:val="21"/>
                <w:szCs w:val="21"/>
              </w:rPr>
              <w:t> </w:t>
            </w:r>
            <w:r>
              <w:rPr>
                <w:rFonts w:ascii="宋体" w:hAnsi="宋体" w:cs="宋体" w:eastAsia="宋体" w:hint="default"/>
                <w:sz w:val="21"/>
                <w:szCs w:val="21"/>
              </w:rPr>
              <w:t>应</w:t>
            </w:r>
            <w:r>
              <w:rPr>
                <w:rFonts w:ascii="宋体" w:hAnsi="宋体" w:cs="宋体" w:eastAsia="宋体" w:hint="default"/>
                <w:spacing w:val="-64"/>
                <w:sz w:val="21"/>
                <w:szCs w:val="21"/>
              </w:rPr>
              <w:t> </w:t>
            </w:r>
            <w:r>
              <w:rPr>
                <w:rFonts w:ascii="宋体" w:hAnsi="宋体" w:cs="宋体" w:eastAsia="宋体" w:hint="default"/>
                <w:sz w:val="21"/>
                <w:szCs w:val="21"/>
              </w:rPr>
              <w:t>合</w:t>
            </w:r>
            <w:r>
              <w:rPr>
                <w:rFonts w:ascii="宋体" w:hAnsi="宋体" w:cs="宋体" w:eastAsia="宋体" w:hint="default"/>
                <w:spacing w:val="-66"/>
                <w:sz w:val="21"/>
                <w:szCs w:val="21"/>
              </w:rPr>
              <w:t> </w:t>
            </w:r>
            <w:r>
              <w:rPr>
                <w:rFonts w:ascii="宋体" w:hAnsi="宋体" w:cs="宋体" w:eastAsia="宋体" w:hint="default"/>
                <w:sz w:val="21"/>
                <w:szCs w:val="21"/>
              </w:rPr>
              <w:t>同</w:t>
            </w:r>
          </w:p>
          <w:p>
            <w:pPr>
              <w:pStyle w:val="TableParagraph"/>
              <w:spacing w:line="240" w:lineRule="auto" w:before="37"/>
              <w:ind w:left="4" w:right="-2"/>
              <w:jc w:val="left"/>
              <w:rPr>
                <w:rFonts w:ascii="宋体" w:hAnsi="宋体" w:cs="宋体" w:eastAsia="宋体" w:hint="default"/>
                <w:sz w:val="21"/>
                <w:szCs w:val="21"/>
              </w:rPr>
            </w:pPr>
            <w:r>
              <w:rPr>
                <w:rFonts w:ascii="Times New Roman" w:hAnsi="Times New Roman" w:cs="Times New Roman" w:eastAsia="Times New Roman" w:hint="default"/>
                <w:sz w:val="21"/>
                <w:szCs w:val="21"/>
              </w:rPr>
              <w:t>JKYW182016</w:t>
            </w:r>
            <w:r>
              <w:rPr>
                <w:rFonts w:ascii="Times New Roman" w:hAnsi="Times New Roman" w:cs="Times New Roman" w:eastAsia="Times New Roman" w:hint="default"/>
                <w:spacing w:val="27"/>
                <w:sz w:val="21"/>
                <w:szCs w:val="21"/>
              </w:rPr>
              <w:t> </w:t>
            </w:r>
            <w:r>
              <w:rPr>
                <w:rFonts w:ascii="宋体" w:hAnsi="宋体" w:cs="宋体" w:eastAsia="宋体" w:hint="default"/>
                <w:spacing w:val="12"/>
                <w:sz w:val="21"/>
                <w:szCs w:val="21"/>
              </w:rPr>
              <w:t>的两年</w:t>
            </w:r>
          </w:p>
          <w:p>
            <w:pPr>
              <w:pStyle w:val="TableParagraph"/>
              <w:spacing w:line="240" w:lineRule="auto" w:before="21"/>
              <w:ind w:left="4" w:right="0"/>
              <w:jc w:val="left"/>
              <w:rPr>
                <w:rFonts w:ascii="宋体" w:hAnsi="宋体" w:cs="宋体" w:eastAsia="宋体" w:hint="default"/>
                <w:sz w:val="21"/>
                <w:szCs w:val="21"/>
              </w:rPr>
            </w:pPr>
            <w:r>
              <w:rPr>
                <w:rFonts w:ascii="宋体" w:hAnsi="宋体" w:cs="宋体" w:eastAsia="宋体" w:hint="default"/>
                <w:sz w:val="21"/>
                <w:szCs w:val="21"/>
              </w:rPr>
              <w:t>应收权</w:t>
            </w:r>
          </w:p>
        </w:tc>
        <w:tc>
          <w:tcPr>
            <w:tcW w:w="1707" w:type="dxa"/>
            <w:tcBorders>
              <w:top w:val="single" w:sz="6" w:space="0" w:color="000000"/>
              <w:left w:val="single" w:sz="6" w:space="0" w:color="000000"/>
              <w:bottom w:val="single" w:sz="6" w:space="0" w:color="000000"/>
              <w:right w:val="single" w:sz="6" w:space="0" w:color="000000"/>
            </w:tcBorders>
          </w:tcPr>
          <w:p>
            <w:pPr/>
          </w:p>
        </w:tc>
        <w:tc>
          <w:tcPr>
            <w:tcW w:w="5387" w:type="dxa"/>
            <w:tcBorders>
              <w:top w:val="single" w:sz="6" w:space="0" w:color="000000"/>
              <w:left w:val="single" w:sz="6" w:space="0" w:color="000000"/>
              <w:bottom w:val="single" w:sz="6" w:space="0" w:color="000000"/>
              <w:right w:val="nil" w:sz="6" w:space="0" w:color="auto"/>
            </w:tcBorders>
          </w:tcPr>
          <w:p>
            <w:pPr>
              <w:pStyle w:val="TableParagraph"/>
              <w:spacing w:line="261" w:lineRule="auto"/>
              <w:ind w:left="4" w:right="0"/>
              <w:jc w:val="both"/>
              <w:rPr>
                <w:rFonts w:ascii="宋体" w:hAnsi="宋体" w:cs="宋体" w:eastAsia="宋体" w:hint="default"/>
                <w:sz w:val="21"/>
                <w:szCs w:val="21"/>
              </w:rPr>
            </w:pPr>
            <w:r>
              <w:rPr>
                <w:rFonts w:ascii="宋体" w:hAnsi="宋体" w:cs="宋体" w:eastAsia="宋体" w:hint="default"/>
                <w:spacing w:val="-3"/>
                <w:sz w:val="21"/>
                <w:szCs w:val="21"/>
              </w:rPr>
              <w:t>银行借款质押物。本公司质押借款余额</w:t>
            </w:r>
            <w:r>
              <w:rPr>
                <w:rFonts w:ascii="Times New Roman" w:hAnsi="Times New Roman" w:cs="Times New Roman" w:eastAsia="Times New Roman" w:hint="default"/>
                <w:spacing w:val="-3"/>
                <w:sz w:val="21"/>
                <w:szCs w:val="21"/>
              </w:rPr>
              <w:t>35,000,000.00</w:t>
            </w:r>
            <w:r>
              <w:rPr>
                <w:rFonts w:ascii="宋体" w:hAnsi="宋体" w:cs="宋体" w:eastAsia="宋体" w:hint="default"/>
                <w:spacing w:val="-3"/>
                <w:sz w:val="21"/>
                <w:szCs w:val="21"/>
              </w:rPr>
              <w:t>元，系</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向中国银行南京江宁支行取得的</w:t>
            </w:r>
            <w:r>
              <w:rPr>
                <w:rFonts w:ascii="Times New Roman" w:hAnsi="Times New Roman" w:cs="Times New Roman" w:eastAsia="Times New Roman" w:hint="default"/>
                <w:sz w:val="21"/>
                <w:szCs w:val="21"/>
              </w:rPr>
              <w:t>40,000,000.00 </w:t>
            </w:r>
            <w:r>
              <w:rPr>
                <w:rFonts w:ascii="宋体" w:hAnsi="宋体" w:cs="宋体" w:eastAsia="宋体" w:hint="default"/>
                <w:spacing w:val="2"/>
                <w:sz w:val="21"/>
                <w:szCs w:val="21"/>
              </w:rPr>
              <w:t>元流动资金</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3"/>
                <w:sz w:val="21"/>
                <w:szCs w:val="21"/>
              </w:rPr>
              <w:t>借款，捷科智诚以合同编号为</w:t>
            </w:r>
            <w:r>
              <w:rPr>
                <w:rFonts w:ascii="Times New Roman" w:hAnsi="Times New Roman" w:cs="Times New Roman" w:eastAsia="Times New Roman" w:hint="default"/>
                <w:spacing w:val="-3"/>
                <w:sz w:val="21"/>
                <w:szCs w:val="21"/>
              </w:rPr>
              <w:t>JKYW182016</w:t>
            </w:r>
            <w:r>
              <w:rPr>
                <w:rFonts w:ascii="宋体" w:hAnsi="宋体" w:cs="宋体" w:eastAsia="宋体" w:hint="default"/>
                <w:spacing w:val="-3"/>
                <w:sz w:val="21"/>
                <w:szCs w:val="21"/>
              </w:rPr>
              <w:t>的两年合同应收</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5"/>
                <w:w w:val="100"/>
                <w:sz w:val="21"/>
                <w:szCs w:val="21"/>
              </w:rPr>
              <w:t>权利为该笔借款提供质押担保，合同对应客户为中国银行股</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5"/>
                <w:sz w:val="21"/>
                <w:szCs w:val="21"/>
              </w:rPr>
              <w:t>份有限公司，截至</w:t>
            </w:r>
            <w:r>
              <w:rPr>
                <w:rFonts w:ascii="Times New Roman" w:hAnsi="Times New Roman" w:cs="Times New Roman" w:eastAsia="Times New Roman" w:hint="default"/>
                <w:spacing w:val="-5"/>
                <w:sz w:val="21"/>
                <w:szCs w:val="21"/>
              </w:rPr>
              <w:t>2019</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12</w:t>
            </w:r>
            <w:r>
              <w:rPr>
                <w:rFonts w:ascii="宋体" w:hAnsi="宋体" w:cs="宋体" w:eastAsia="宋体" w:hint="default"/>
                <w:spacing w:val="-5"/>
                <w:sz w:val="21"/>
                <w:szCs w:val="21"/>
              </w:rPr>
              <w:t>月</w:t>
            </w:r>
            <w:r>
              <w:rPr>
                <w:rFonts w:ascii="Times New Roman" w:hAnsi="Times New Roman" w:cs="Times New Roman" w:eastAsia="Times New Roman" w:hint="default"/>
                <w:spacing w:val="-5"/>
                <w:sz w:val="21"/>
                <w:szCs w:val="21"/>
              </w:rPr>
              <w:t>31</w:t>
            </w:r>
            <w:r>
              <w:rPr>
                <w:rFonts w:ascii="宋体" w:hAnsi="宋体" w:cs="宋体" w:eastAsia="宋体" w:hint="default"/>
                <w:spacing w:val="-5"/>
                <w:sz w:val="21"/>
                <w:szCs w:val="21"/>
              </w:rPr>
              <w:t>日止，对应合同应收账款余</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2"/>
                <w:sz w:val="21"/>
                <w:szCs w:val="21"/>
              </w:rPr>
              <w:t>额为</w:t>
            </w:r>
            <w:r>
              <w:rPr>
                <w:rFonts w:ascii="Times New Roman" w:hAnsi="Times New Roman" w:cs="Times New Roman" w:eastAsia="Times New Roman" w:hint="default"/>
                <w:spacing w:val="-2"/>
                <w:sz w:val="21"/>
                <w:szCs w:val="21"/>
              </w:rPr>
              <w:t>36,602,223.66</w:t>
            </w:r>
            <w:r>
              <w:rPr>
                <w:rFonts w:ascii="宋体" w:hAnsi="宋体" w:cs="宋体" w:eastAsia="宋体" w:hint="default"/>
                <w:spacing w:val="-2"/>
                <w:sz w:val="21"/>
                <w:szCs w:val="21"/>
              </w:rPr>
              <w:t>元。截至</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日止，此项借款中</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借款期限少于一年的借款年末余额为</w:t>
            </w:r>
            <w:r>
              <w:rPr>
                <w:rFonts w:ascii="Times New Roman" w:hAnsi="Times New Roman" w:cs="Times New Roman" w:eastAsia="Times New Roman" w:hint="default"/>
                <w:sz w:val="21"/>
                <w:szCs w:val="21"/>
              </w:rPr>
              <w:t>5,000,000.00</w:t>
            </w:r>
            <w:r>
              <w:rPr>
                <w:rFonts w:ascii="宋体" w:hAnsi="宋体" w:cs="宋体" w:eastAsia="宋体" w:hint="default"/>
                <w:sz w:val="21"/>
                <w:szCs w:val="21"/>
              </w:rPr>
              <w:t>元，在短</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期</w:t>
            </w:r>
            <w:r>
              <w:rPr>
                <w:rFonts w:ascii="宋体" w:hAnsi="宋体" w:cs="宋体" w:eastAsia="宋体" w:hint="default"/>
                <w:spacing w:val="-69"/>
                <w:sz w:val="21"/>
                <w:szCs w:val="21"/>
              </w:rPr>
              <w:t> </w:t>
            </w:r>
            <w:r>
              <w:rPr>
                <w:rFonts w:ascii="宋体" w:hAnsi="宋体" w:cs="宋体" w:eastAsia="宋体" w:hint="default"/>
                <w:sz w:val="21"/>
                <w:szCs w:val="21"/>
              </w:rPr>
              <w:t>借</w:t>
            </w:r>
            <w:r>
              <w:rPr>
                <w:rFonts w:ascii="宋体" w:hAnsi="宋体" w:cs="宋体" w:eastAsia="宋体" w:hint="default"/>
                <w:spacing w:val="-71"/>
                <w:sz w:val="21"/>
                <w:szCs w:val="21"/>
              </w:rPr>
              <w:t> </w:t>
            </w:r>
            <w:r>
              <w:rPr>
                <w:rFonts w:ascii="宋体" w:hAnsi="宋体" w:cs="宋体" w:eastAsia="宋体" w:hint="default"/>
                <w:sz w:val="21"/>
                <w:szCs w:val="21"/>
              </w:rPr>
              <w:t>款</w:t>
            </w:r>
            <w:r>
              <w:rPr>
                <w:rFonts w:ascii="宋体" w:hAnsi="宋体" w:cs="宋体" w:eastAsia="宋体" w:hint="default"/>
                <w:spacing w:val="-71"/>
                <w:sz w:val="21"/>
                <w:szCs w:val="21"/>
              </w:rPr>
              <w:t> </w:t>
            </w:r>
            <w:r>
              <w:rPr>
                <w:rFonts w:ascii="宋体" w:hAnsi="宋体" w:cs="宋体" w:eastAsia="宋体" w:hint="default"/>
                <w:sz w:val="21"/>
                <w:szCs w:val="21"/>
              </w:rPr>
              <w:t>科</w:t>
            </w:r>
            <w:r>
              <w:rPr>
                <w:rFonts w:ascii="宋体" w:hAnsi="宋体" w:cs="宋体" w:eastAsia="宋体" w:hint="default"/>
                <w:spacing w:val="-69"/>
                <w:sz w:val="21"/>
                <w:szCs w:val="21"/>
              </w:rPr>
              <w:t> </w:t>
            </w:r>
            <w:r>
              <w:rPr>
                <w:rFonts w:ascii="宋体" w:hAnsi="宋体" w:cs="宋体" w:eastAsia="宋体" w:hint="default"/>
                <w:sz w:val="21"/>
                <w:szCs w:val="21"/>
              </w:rPr>
              <w:t>目</w:t>
            </w:r>
            <w:r>
              <w:rPr>
                <w:rFonts w:ascii="宋体" w:hAnsi="宋体" w:cs="宋体" w:eastAsia="宋体" w:hint="default"/>
                <w:spacing w:val="-71"/>
                <w:sz w:val="21"/>
                <w:szCs w:val="21"/>
              </w:rPr>
              <w:t> </w:t>
            </w:r>
            <w:r>
              <w:rPr>
                <w:rFonts w:ascii="宋体" w:hAnsi="宋体" w:cs="宋体" w:eastAsia="宋体" w:hint="default"/>
                <w:sz w:val="21"/>
                <w:szCs w:val="21"/>
              </w:rPr>
              <w:t>列</w:t>
            </w:r>
            <w:r>
              <w:rPr>
                <w:rFonts w:ascii="宋体" w:hAnsi="宋体" w:cs="宋体" w:eastAsia="宋体" w:hint="default"/>
                <w:spacing w:val="-71"/>
                <w:sz w:val="21"/>
                <w:szCs w:val="21"/>
              </w:rPr>
              <w:t> </w:t>
            </w:r>
            <w:r>
              <w:rPr>
                <w:rFonts w:ascii="宋体" w:hAnsi="宋体" w:cs="宋体" w:eastAsia="宋体" w:hint="default"/>
                <w:sz w:val="21"/>
                <w:szCs w:val="21"/>
              </w:rPr>
              <w:t>式</w:t>
            </w:r>
            <w:r>
              <w:rPr>
                <w:rFonts w:ascii="宋体" w:hAnsi="宋体" w:cs="宋体" w:eastAsia="宋体" w:hint="default"/>
                <w:spacing w:val="-71"/>
                <w:sz w:val="21"/>
                <w:szCs w:val="21"/>
              </w:rPr>
              <w:t> </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借</w:t>
            </w:r>
            <w:r>
              <w:rPr>
                <w:rFonts w:ascii="宋体" w:hAnsi="宋体" w:cs="宋体" w:eastAsia="宋体" w:hint="default"/>
                <w:spacing w:val="-71"/>
                <w:sz w:val="21"/>
                <w:szCs w:val="21"/>
              </w:rPr>
              <w:t> </w:t>
            </w:r>
            <w:r>
              <w:rPr>
                <w:rFonts w:ascii="宋体" w:hAnsi="宋体" w:cs="宋体" w:eastAsia="宋体" w:hint="default"/>
                <w:sz w:val="21"/>
                <w:szCs w:val="21"/>
              </w:rPr>
              <w:t>款</w:t>
            </w:r>
            <w:r>
              <w:rPr>
                <w:rFonts w:ascii="宋体" w:hAnsi="宋体" w:cs="宋体" w:eastAsia="宋体" w:hint="default"/>
                <w:spacing w:val="-71"/>
                <w:sz w:val="21"/>
                <w:szCs w:val="21"/>
              </w:rPr>
              <w:t> </w:t>
            </w:r>
            <w:r>
              <w:rPr>
                <w:rFonts w:ascii="宋体" w:hAnsi="宋体" w:cs="宋体" w:eastAsia="宋体" w:hint="default"/>
                <w:sz w:val="21"/>
                <w:szCs w:val="21"/>
              </w:rPr>
              <w:t>期</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spacing w:val="-71"/>
                <w:sz w:val="21"/>
                <w:szCs w:val="21"/>
              </w:rPr>
              <w:t> </w:t>
            </w:r>
            <w:r>
              <w:rPr>
                <w:rFonts w:ascii="宋体" w:hAnsi="宋体" w:cs="宋体" w:eastAsia="宋体" w:hint="default"/>
                <w:sz w:val="21"/>
                <w:szCs w:val="21"/>
              </w:rPr>
              <w:t>大</w:t>
            </w:r>
            <w:r>
              <w:rPr>
                <w:rFonts w:ascii="宋体" w:hAnsi="宋体" w:cs="宋体" w:eastAsia="宋体" w:hint="default"/>
                <w:spacing w:val="-71"/>
                <w:sz w:val="21"/>
                <w:szCs w:val="21"/>
              </w:rPr>
              <w:t> </w:t>
            </w:r>
            <w:r>
              <w:rPr>
                <w:rFonts w:ascii="宋体" w:hAnsi="宋体" w:cs="宋体" w:eastAsia="宋体" w:hint="default"/>
                <w:sz w:val="21"/>
                <w:szCs w:val="21"/>
              </w:rPr>
              <w:t>于</w:t>
            </w:r>
            <w:r>
              <w:rPr>
                <w:rFonts w:ascii="宋体" w:hAnsi="宋体" w:cs="宋体" w:eastAsia="宋体" w:hint="default"/>
                <w:spacing w:val="-69"/>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的</w:t>
            </w:r>
            <w:r>
              <w:rPr>
                <w:rFonts w:ascii="宋体" w:hAnsi="宋体" w:cs="宋体" w:eastAsia="宋体" w:hint="default"/>
                <w:spacing w:val="-71"/>
                <w:sz w:val="21"/>
                <w:szCs w:val="21"/>
              </w:rPr>
              <w:t> </w:t>
            </w:r>
            <w:r>
              <w:rPr>
                <w:rFonts w:ascii="宋体" w:hAnsi="宋体" w:cs="宋体" w:eastAsia="宋体" w:hint="default"/>
                <w:sz w:val="21"/>
                <w:szCs w:val="21"/>
              </w:rPr>
              <w:t>借</w:t>
            </w:r>
            <w:r>
              <w:rPr>
                <w:rFonts w:ascii="宋体" w:hAnsi="宋体" w:cs="宋体" w:eastAsia="宋体" w:hint="default"/>
                <w:spacing w:val="-69"/>
                <w:sz w:val="21"/>
                <w:szCs w:val="21"/>
              </w:rPr>
              <w:t> </w:t>
            </w:r>
            <w:r>
              <w:rPr>
                <w:rFonts w:ascii="宋体" w:hAnsi="宋体" w:cs="宋体" w:eastAsia="宋体" w:hint="default"/>
                <w:sz w:val="21"/>
                <w:szCs w:val="21"/>
              </w:rPr>
              <w:t>款</w:t>
            </w:r>
            <w:r>
              <w:rPr>
                <w:rFonts w:ascii="宋体" w:hAnsi="宋体" w:cs="宋体" w:eastAsia="宋体" w:hint="default"/>
                <w:spacing w:val="-71"/>
                <w:sz w:val="21"/>
                <w:szCs w:val="21"/>
              </w:rPr>
              <w:t> </w:t>
            </w:r>
            <w:r>
              <w:rPr>
                <w:rFonts w:ascii="宋体" w:hAnsi="宋体" w:cs="宋体" w:eastAsia="宋体" w:hint="default"/>
                <w:sz w:val="21"/>
                <w:szCs w:val="21"/>
              </w:rPr>
              <w:t>余</w:t>
            </w:r>
            <w:r>
              <w:rPr>
                <w:rFonts w:ascii="宋体" w:hAnsi="宋体" w:cs="宋体" w:eastAsia="宋体" w:hint="default"/>
                <w:spacing w:val="-71"/>
                <w:sz w:val="21"/>
                <w:szCs w:val="21"/>
              </w:rPr>
              <w:t> </w:t>
            </w:r>
            <w:r>
              <w:rPr>
                <w:rFonts w:ascii="宋体" w:hAnsi="宋体" w:cs="宋体" w:eastAsia="宋体" w:hint="default"/>
                <w:sz w:val="21"/>
                <w:szCs w:val="21"/>
              </w:rPr>
              <w:t>额</w:t>
            </w:r>
            <w:r>
              <w:rPr>
                <w:rFonts w:ascii="宋体" w:hAnsi="宋体" w:cs="宋体" w:eastAsia="宋体" w:hint="default"/>
                <w:spacing w:val="-69"/>
                <w:sz w:val="21"/>
                <w:szCs w:val="21"/>
              </w:rPr>
              <w:t> </w:t>
            </w:r>
            <w:r>
              <w:rPr>
                <w:rFonts w:ascii="宋体" w:hAnsi="宋体" w:cs="宋体" w:eastAsia="宋体" w:hint="default"/>
                <w:sz w:val="21"/>
                <w:szCs w:val="21"/>
              </w:rPr>
              <w:t>为</w:t>
            </w:r>
            <w:r>
              <w:rPr>
                <w:rFonts w:ascii="宋体" w:hAnsi="宋体" w:cs="宋体" w:eastAsia="宋体" w:hint="default"/>
                <w:w w:val="100"/>
                <w:sz w:val="21"/>
                <w:szCs w:val="21"/>
              </w:rPr>
              <w:t> </w:t>
            </w:r>
            <w:r>
              <w:rPr>
                <w:rFonts w:ascii="Times New Roman" w:hAnsi="Times New Roman" w:cs="Times New Roman" w:eastAsia="Times New Roman" w:hint="default"/>
                <w:spacing w:val="-4"/>
                <w:w w:val="100"/>
                <w:sz w:val="21"/>
                <w:szCs w:val="21"/>
              </w:rPr>
              <w:t>30,000,000.00</w:t>
            </w:r>
            <w:r>
              <w:rPr>
                <w:rFonts w:ascii="宋体" w:hAnsi="宋体" w:cs="宋体" w:eastAsia="宋体" w:hint="default"/>
                <w:spacing w:val="-4"/>
                <w:w w:val="100"/>
                <w:sz w:val="21"/>
                <w:szCs w:val="21"/>
              </w:rPr>
              <w:t>元，对应长期借款年末余额中</w:t>
            </w:r>
            <w:r>
              <w:rPr>
                <w:rFonts w:ascii="Times New Roman" w:hAnsi="Times New Roman" w:cs="Times New Roman" w:eastAsia="Times New Roman" w:hint="default"/>
                <w:spacing w:val="-4"/>
                <w:w w:val="100"/>
                <w:sz w:val="21"/>
                <w:szCs w:val="21"/>
              </w:rPr>
              <w:t>5,000,000.00</w:t>
            </w:r>
            <w:r>
              <w:rPr>
                <w:rFonts w:ascii="宋体" w:hAnsi="宋体" w:cs="宋体" w:eastAsia="宋体" w:hint="default"/>
                <w:spacing w:val="-4"/>
                <w:w w:val="100"/>
                <w:sz w:val="21"/>
                <w:szCs w:val="21"/>
              </w:rPr>
              <w:t>元将</w:t>
            </w:r>
            <w:r>
              <w:rPr>
                <w:rFonts w:ascii="宋体" w:hAnsi="宋体" w:cs="宋体" w:eastAsia="宋体" w:hint="default"/>
                <w:spacing w:val="-76"/>
                <w:w w:val="100"/>
                <w:sz w:val="21"/>
                <w:szCs w:val="21"/>
              </w:rPr>
              <w:t> </w:t>
            </w:r>
            <w:r>
              <w:rPr>
                <w:rFonts w:ascii="宋体" w:hAnsi="宋体" w:cs="宋体" w:eastAsia="宋体" w:hint="default"/>
                <w:sz w:val="21"/>
                <w:szCs w:val="21"/>
              </w:rPr>
              <w:t>于一年内到期，重分类至一年内到期的非流动负债。</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1"/>
          <w:szCs w:val="11"/>
        </w:rPr>
      </w:pPr>
    </w:p>
    <w:p>
      <w:pPr>
        <w:pStyle w:val="Heading2"/>
        <w:spacing w:line="367" w:lineRule="exact"/>
        <w:ind w:left="533" w:right="1123"/>
        <w:jc w:val="left"/>
        <w:rPr>
          <w:b w:val="0"/>
          <w:bCs w:val="0"/>
        </w:rPr>
      </w:pPr>
      <w:r>
        <w:rPr/>
        <w:t>五、投资状况分析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left="533" w:right="112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533"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52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235,131,794.37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27,954,029.81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741.14%</w:t>
            </w:r>
          </w:p>
        </w:tc>
      </w:tr>
    </w:tbl>
    <w:p>
      <w:pPr>
        <w:spacing w:line="240" w:lineRule="auto" w:before="3"/>
        <w:rPr>
          <w:rFonts w:ascii="宋体" w:hAnsi="宋体" w:cs="宋体" w:eastAsia="宋体" w:hint="default"/>
          <w:sz w:val="19"/>
          <w:szCs w:val="19"/>
        </w:rPr>
      </w:pPr>
    </w:p>
    <w:p>
      <w:pPr>
        <w:pStyle w:val="Heading3"/>
        <w:spacing w:line="335" w:lineRule="exact"/>
        <w:ind w:left="533" w:right="112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533"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0"/>
        <w:jc w:val="right"/>
      </w:pPr>
      <w:r>
        <w:rPr/>
        <w:pict>
          <v:group style="position:absolute;margin-left:126.379997pt;margin-top:74.107712pt;width:32.5500pt;height:220.35pt;mso-position-horizontal-relative:page;mso-position-vertical-relative:paragraph;z-index:-1330192" coordorigin="2528,1482" coordsize="651,4407">
            <v:group style="position:absolute;left:2528;top:1482;width:651;height:4407" coordorigin="2528,1482" coordsize="651,4407">
              <v:shape style="position:absolute;left:2528;top:1482;width:651;height:4407" coordorigin="2528,1482" coordsize="651,4407" path="m2528,5889l3178,5889,3178,1482,2528,1482,2528,5889xe" filled="true" fillcolor="#ffffff" stroked="false">
                <v:path arrowok="t"/>
                <v:fill type="solid"/>
              </v:shape>
            </v:group>
            <v:group style="position:absolute;left:2549;top:3491;width:608;height:392" coordorigin="2549,3491" coordsize="608,392">
              <v:shape style="position:absolute;left:2549;top:3491;width:608;height:392" coordorigin="2549,3491" coordsize="608,392" path="m2549,3883l3156,3883,3156,3491,2549,3491,2549,3883xe" filled="true" fillcolor="#ffffff" stroked="false">
                <v:path arrowok="t"/>
                <v:fill type="solid"/>
              </v:shape>
            </v:group>
            <w10:wrap type="none"/>
          </v:group>
        </w:pict>
      </w:r>
      <w:r>
        <w:rPr/>
        <w:t>单位：元</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121"/>
        <w:gridCol w:w="694"/>
        <w:gridCol w:w="663"/>
        <w:gridCol w:w="663"/>
        <w:gridCol w:w="660"/>
        <w:gridCol w:w="662"/>
        <w:gridCol w:w="1354"/>
        <w:gridCol w:w="566"/>
        <w:gridCol w:w="567"/>
        <w:gridCol w:w="710"/>
        <w:gridCol w:w="566"/>
        <w:gridCol w:w="566"/>
        <w:gridCol w:w="850"/>
        <w:gridCol w:w="710"/>
      </w:tblGrid>
      <w:tr>
        <w:trPr>
          <w:trHeight w:val="1027" w:hRule="exact"/>
        </w:trPr>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77" w:right="101" w:hanging="270"/>
              <w:jc w:val="left"/>
              <w:rPr>
                <w:rFonts w:ascii="宋体" w:hAnsi="宋体" w:cs="宋体" w:eastAsia="宋体" w:hint="default"/>
                <w:sz w:val="18"/>
                <w:szCs w:val="18"/>
              </w:rPr>
            </w:pPr>
            <w:r>
              <w:rPr>
                <w:rFonts w:ascii="宋体" w:hAnsi="宋体" w:cs="宋体" w:eastAsia="宋体" w:hint="default"/>
                <w:sz w:val="18"/>
                <w:szCs w:val="18"/>
              </w:rPr>
              <w:t>被投资公司 名称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1" w:right="6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0"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9" w:right="5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1"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8"/>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9" w:right="79"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both"/>
              <w:rPr>
                <w:rFonts w:ascii="宋体" w:hAnsi="宋体" w:cs="宋体" w:eastAsia="宋体" w:hint="default"/>
                <w:sz w:val="18"/>
                <w:szCs w:val="18"/>
              </w:rPr>
            </w:pPr>
            <w:r>
              <w:rPr>
                <w:rFonts w:ascii="宋体" w:hAnsi="宋体" w:cs="宋体" w:eastAsia="宋体" w:hint="default"/>
                <w:sz w:val="18"/>
                <w:szCs w:val="18"/>
              </w:rPr>
              <w:t>本期 投资 盈亏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60"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4419"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316" w:lineRule="auto"/>
              <w:ind w:left="26" w:right="182"/>
              <w:jc w:val="both"/>
              <w:rPr>
                <w:rFonts w:ascii="宋体" w:hAnsi="宋体" w:cs="宋体" w:eastAsia="宋体" w:hint="default"/>
                <w:sz w:val="18"/>
                <w:szCs w:val="18"/>
              </w:rPr>
            </w:pPr>
            <w:r>
              <w:rPr>
                <w:rFonts w:ascii="宋体" w:hAnsi="宋体" w:cs="宋体" w:eastAsia="宋体" w:hint="default"/>
                <w:sz w:val="18"/>
                <w:szCs w:val="18"/>
              </w:rPr>
              <w:t>江苏民营投 资控股有限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22"/>
                <w:sz w:val="18"/>
                <w:szCs w:val="18"/>
              </w:rPr>
              <w:t>股权、债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权投资 及管理 实业投 </w:t>
            </w:r>
            <w:r>
              <w:rPr>
                <w:rFonts w:ascii="宋体" w:hAnsi="宋体" w:cs="宋体" w:eastAsia="宋体" w:hint="default"/>
                <w:spacing w:val="-22"/>
                <w:sz w:val="18"/>
                <w:szCs w:val="18"/>
              </w:rPr>
              <w:t>资、资产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2"/>
                <w:sz w:val="18"/>
                <w:szCs w:val="18"/>
              </w:rPr>
              <w:t>管理、国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际并购 商务咨 </w:t>
            </w:r>
            <w:r>
              <w:rPr>
                <w:rFonts w:ascii="宋体" w:hAnsi="宋体" w:cs="宋体" w:eastAsia="宋体" w:hint="default"/>
                <w:spacing w:val="-22"/>
                <w:sz w:val="18"/>
                <w:szCs w:val="18"/>
              </w:rPr>
              <w:t>询、财务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2"/>
                <w:sz w:val="18"/>
                <w:szCs w:val="18"/>
              </w:rPr>
              <w:t>咨询、投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资咨询 发起设 立股权 投资基</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186"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6" w:lineRule="exact"/>
              <w:ind w:left="23" w:right="0"/>
              <w:jc w:val="left"/>
              <w:rPr>
                <w:rFonts w:ascii="宋体" w:hAnsi="宋体" w:cs="宋体" w:eastAsia="宋体" w:hint="default"/>
                <w:sz w:val="18"/>
                <w:szCs w:val="18"/>
              </w:rPr>
            </w:pPr>
            <w:r>
              <w:rPr>
                <w:rFonts w:ascii="宋体" w:hAnsi="宋体" w:cs="宋体" w:eastAsia="宋体" w:hint="default"/>
                <w:sz w:val="18"/>
                <w:szCs w:val="18"/>
              </w:rPr>
              <w:t>增资</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220,000</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2.00%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26" w:right="8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8"/>
              <w:jc w:val="left"/>
              <w:rPr>
                <w:rFonts w:ascii="宋体" w:hAnsi="宋体" w:cs="宋体" w:eastAsia="宋体" w:hint="default"/>
                <w:sz w:val="18"/>
                <w:szCs w:val="18"/>
              </w:rPr>
            </w:pPr>
            <w:r>
              <w:rPr>
                <w:rFonts w:ascii="宋体" w:hAnsi="宋体" w:cs="宋体" w:eastAsia="宋体" w:hint="default"/>
                <w:sz w:val="18"/>
                <w:szCs w:val="18"/>
              </w:rPr>
              <w:t>江苏沙钢集团有 限公司、协鑫资 本管理有限公 司、红豆集团有 限公司、江苏扬 子江船厂有限公 司、江苏澄星实 业集团有限公 司、南京丰盛大 族科技股份有限 公司、新城发展 投资有限公司、 中国民生投资股 份有限公司、江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24" w:right="171"/>
              <w:jc w:val="left"/>
              <w:rPr>
                <w:rFonts w:ascii="宋体" w:hAnsi="宋体" w:cs="宋体" w:eastAsia="宋体" w:hint="default"/>
                <w:sz w:val="18"/>
                <w:szCs w:val="18"/>
              </w:rPr>
            </w:pPr>
            <w:r>
              <w:rPr>
                <w:rFonts w:ascii="宋体" w:hAnsi="宋体" w:cs="宋体" w:eastAsia="宋体" w:hint="default"/>
                <w:sz w:val="18"/>
                <w:szCs w:val="18"/>
              </w:rPr>
              <w:t>不适 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38" w:lineRule="auto"/>
              <w:ind w:left="24" w:right="7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p>
          <w:p>
            <w:pPr>
              <w:pStyle w:val="TableParagraph"/>
              <w:spacing w:line="362" w:lineRule="auto" w:before="23"/>
              <w:ind w:left="24" w:right="48"/>
              <w:jc w:val="both"/>
              <w:rPr>
                <w:rFonts w:ascii="Times New Roman" w:hAnsi="Times New Roman" w:cs="Times New Roman" w:eastAsia="Times New Roman" w:hint="default"/>
                <w:sz w:val="18"/>
                <w:szCs w:val="18"/>
              </w:rPr>
            </w:pPr>
            <w:r>
              <w:rPr>
                <w:rFonts w:ascii="Times New Roman"/>
                <w:sz w:val="18"/>
              </w:rPr>
              <w:t>ww.cnin fo.com.c n</w:t>
            </w:r>
          </w:p>
        </w:tc>
      </w:tr>
    </w:tbl>
    <w:p>
      <w:pPr>
        <w:spacing w:after="0" w:line="362" w:lineRule="auto"/>
        <w:jc w:val="both"/>
        <w:rPr>
          <w:rFonts w:ascii="Times New Roman" w:hAnsi="Times New Roman" w:cs="Times New Roman" w:eastAsia="Times New Roman" w:hint="default"/>
          <w:sz w:val="18"/>
          <w:szCs w:val="18"/>
        </w:rPr>
        <w:sectPr>
          <w:pgSz w:w="11910" w:h="16840"/>
          <w:pgMar w:header="745" w:footer="979" w:top="1060" w:bottom="1160" w:left="60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1121"/>
        <w:gridCol w:w="694"/>
        <w:gridCol w:w="663"/>
        <w:gridCol w:w="663"/>
        <w:gridCol w:w="660"/>
        <w:gridCol w:w="662"/>
        <w:gridCol w:w="1354"/>
        <w:gridCol w:w="566"/>
        <w:gridCol w:w="567"/>
        <w:gridCol w:w="710"/>
        <w:gridCol w:w="566"/>
        <w:gridCol w:w="566"/>
        <w:gridCol w:w="850"/>
        <w:gridCol w:w="710"/>
      </w:tblGrid>
      <w:tr>
        <w:trPr>
          <w:trHeight w:val="10036" w:hRule="exact"/>
        </w:trPr>
        <w:tc>
          <w:tcPr>
            <w:tcW w:w="1121"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金及基 金管理 </w:t>
            </w:r>
            <w:r>
              <w:rPr>
                <w:rFonts w:ascii="宋体" w:hAnsi="宋体" w:cs="宋体" w:eastAsia="宋体" w:hint="default"/>
                <w:spacing w:val="-22"/>
                <w:sz w:val="18"/>
                <w:szCs w:val="18"/>
              </w:rPr>
              <w:t>公司、国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家法律 法规允 许的其 他境内 外投资 和资产 </w:t>
            </w:r>
            <w:r>
              <w:rPr>
                <w:rFonts w:ascii="宋体" w:hAnsi="宋体" w:cs="宋体" w:eastAsia="宋体" w:hint="default"/>
                <w:spacing w:val="-22"/>
                <w:sz w:val="18"/>
                <w:szCs w:val="18"/>
              </w:rPr>
              <w:t>管理；供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应链管 </w:t>
            </w:r>
            <w:r>
              <w:rPr>
                <w:rFonts w:ascii="宋体" w:hAnsi="宋体" w:cs="宋体" w:eastAsia="宋体" w:hint="default"/>
                <w:spacing w:val="-22"/>
                <w:sz w:val="18"/>
                <w:szCs w:val="18"/>
              </w:rPr>
              <w:t>理；国内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2"/>
                <w:sz w:val="18"/>
                <w:szCs w:val="18"/>
              </w:rPr>
              <w:t>贸易，自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营和代 理各类 商品及 技术的 进出口 </w:t>
            </w:r>
            <w:r>
              <w:rPr>
                <w:rFonts w:ascii="宋体" w:hAnsi="宋体" w:cs="宋体" w:eastAsia="宋体" w:hint="default"/>
                <w:spacing w:val="-22"/>
                <w:sz w:val="18"/>
                <w:szCs w:val="18"/>
              </w:rPr>
              <w:t>业务（国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家限定 公司经 营或禁 止进出 口的商 品和技 术除 </w:t>
            </w:r>
            <w:r>
              <w:rPr>
                <w:rFonts w:ascii="宋体" w:hAnsi="宋体" w:cs="宋体" w:eastAsia="宋体" w:hint="default"/>
                <w:spacing w:val="-23"/>
                <w:sz w:val="18"/>
                <w:szCs w:val="18"/>
              </w:rPr>
              <w:t>外）；贸</w:t>
            </w:r>
            <w:r>
              <w:rPr>
                <w:rFonts w:ascii="宋体" w:hAnsi="宋体" w:cs="宋体" w:eastAsia="宋体" w:hint="default"/>
                <w:sz w:val="18"/>
                <w:szCs w:val="18"/>
              </w:rPr>
              <w:t> 易经纪 与代理 企业管 理咨询 服务。</w:t>
            </w:r>
            <w:r>
              <w:rPr>
                <w:rFonts w:ascii="Times New Roman" w:hAnsi="Times New Roman" w:cs="Times New Roman" w:eastAsia="Times New Roman" w:hint="default"/>
                <w:sz w:val="18"/>
                <w:szCs w:val="18"/>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4"/>
              <w:jc w:val="both"/>
              <w:rPr>
                <w:rFonts w:ascii="宋体" w:hAnsi="宋体" w:cs="宋体" w:eastAsia="宋体" w:hint="default"/>
                <w:sz w:val="18"/>
                <w:szCs w:val="18"/>
              </w:rPr>
            </w:pPr>
            <w:r>
              <w:rPr>
                <w:rFonts w:ascii="宋体" w:hAnsi="宋体" w:cs="宋体" w:eastAsia="宋体" w:hint="default"/>
                <w:sz w:val="18"/>
                <w:szCs w:val="18"/>
              </w:rPr>
              <w:t>苏中超控股股份 有限公司、远东 控股集团有限公 司、江阴市长江 钢管有限公司、 南京国信金智创 业投资中心（有 </w:t>
            </w:r>
            <w:r>
              <w:rPr>
                <w:rFonts w:ascii="宋体" w:hAnsi="宋体" w:cs="宋体" w:eastAsia="宋体" w:hint="default"/>
                <w:spacing w:val="-19"/>
                <w:sz w:val="18"/>
                <w:szCs w:val="18"/>
              </w:rPr>
              <w:t>限合伙）、南京三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宝科技股份有限 公司、南京新苑 实业投资有限公 司、天奇自动化 工程股份有限公 司</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220,000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left="533" w:right="1123"/>
        <w:jc w:val="left"/>
        <w:rPr>
          <w:b w:val="0"/>
          <w:bCs w:val="0"/>
        </w:rPr>
      </w:pPr>
      <w:r>
        <w:rPr/>
        <w:pict>
          <v:group style="position:absolute;margin-left:126.379997pt;margin-top:-550.025024pt;width:32.5500pt;height:501.35pt;mso-position-horizontal-relative:page;mso-position-vertical-relative:paragraph;z-index:-1330168" coordorigin="2528,-11001" coordsize="651,10027">
            <v:shape style="position:absolute;left:2528;top:-11001;width:651;height:10027" coordorigin="2528,-11001" coordsize="651,10027" path="m2528,-974l3178,-974,3178,-11001,2528,-11001,2528,-974xe" filled="true" fillcolor="#ffffff" stroked="false">
              <v:path arrowok="t"/>
              <v:fill type="solid"/>
            </v:shape>
            <w10:wrap type="none"/>
          </v:group>
        </w:pict>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33"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left="533" w:right="112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33"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600" w:right="0"/>
        </w:sectPr>
      </w:pPr>
    </w:p>
    <w:p>
      <w:pPr>
        <w:spacing w:line="240" w:lineRule="auto" w:before="10"/>
        <w:rPr>
          <w:rFonts w:ascii="宋体" w:hAnsi="宋体" w:cs="宋体" w:eastAsia="宋体" w:hint="default"/>
          <w:sz w:val="24"/>
          <w:szCs w:val="24"/>
        </w:rPr>
      </w:pPr>
    </w:p>
    <w:p>
      <w:pPr>
        <w:pStyle w:val="Heading3"/>
        <w:spacing w:line="335" w:lineRule="exact"/>
        <w:ind w:left="533" w:right="112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33"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left="533" w:right="112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533"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0"/>
        <w:jc w:val="right"/>
      </w:pPr>
      <w:r>
        <w:rPr/>
        <w:t>单位：万元</w:t>
      </w:r>
    </w:p>
    <w:p>
      <w:pPr>
        <w:spacing w:line="240" w:lineRule="auto" w:before="3"/>
        <w:rPr>
          <w:rFonts w:ascii="宋体" w:hAnsi="宋体" w:cs="宋体" w:eastAsia="宋体" w:hint="default"/>
          <w:sz w:val="8"/>
          <w:szCs w:val="8"/>
        </w:rPr>
      </w:pPr>
    </w:p>
    <w:tbl>
      <w:tblPr>
        <w:tblW w:w="0" w:type="auto"/>
        <w:jc w:val="left"/>
        <w:tblInd w:w="528" w:type="dxa"/>
        <w:tblLayout w:type="fixed"/>
        <w:tblCellMar>
          <w:top w:w="0" w:type="dxa"/>
          <w:left w:w="0" w:type="dxa"/>
          <w:bottom w:w="0" w:type="dxa"/>
          <w:right w:w="0" w:type="dxa"/>
        </w:tblCellMar>
        <w:tblLook w:val="01E0"/>
      </w:tblPr>
      <w:tblGrid>
        <w:gridCol w:w="864"/>
        <w:gridCol w:w="871"/>
        <w:gridCol w:w="869"/>
        <w:gridCol w:w="871"/>
        <w:gridCol w:w="869"/>
        <w:gridCol w:w="871"/>
        <w:gridCol w:w="869"/>
        <w:gridCol w:w="872"/>
        <w:gridCol w:w="869"/>
        <w:gridCol w:w="872"/>
        <w:gridCol w:w="869"/>
      </w:tblGrid>
      <w:tr>
        <w:trPr>
          <w:trHeight w:val="1339"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1"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70"/>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70"/>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64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13"/>
              <w:jc w:val="left"/>
              <w:rPr>
                <w:rFonts w:ascii="宋体" w:hAnsi="宋体" w:cs="宋体" w:eastAsia="宋体" w:hint="default"/>
                <w:sz w:val="18"/>
                <w:szCs w:val="18"/>
              </w:rPr>
            </w:pPr>
            <w:r>
              <w:rPr>
                <w:rFonts w:ascii="宋体" w:hAnsi="宋体" w:cs="宋体" w:eastAsia="宋体" w:hint="default"/>
                <w:sz w:val="18"/>
                <w:szCs w:val="18"/>
              </w:rPr>
              <w:t>非公共发 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79,073.42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6" w:right="0"/>
              <w:jc w:val="center"/>
              <w:rPr>
                <w:rFonts w:ascii="Times New Roman" w:hAnsi="Times New Roman" w:cs="Times New Roman" w:eastAsia="Times New Roman" w:hint="default"/>
                <w:sz w:val="18"/>
                <w:szCs w:val="18"/>
              </w:rPr>
            </w:pPr>
            <w:r>
              <w:rPr>
                <w:rFonts w:ascii="Times New Roman"/>
                <w:sz w:val="18"/>
              </w:rPr>
              <w:t>18,911.97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38,262.1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40,814.42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存放募集 资金专户 及购买金 融机构理 财产品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center"/>
              <w:rPr>
                <w:rFonts w:ascii="Times New Roman" w:hAnsi="Times New Roman" w:cs="Times New Roman" w:eastAsia="Times New Roman" w:hint="default"/>
                <w:sz w:val="18"/>
                <w:szCs w:val="18"/>
              </w:rPr>
            </w:pPr>
            <w:r>
              <w:rPr>
                <w:rFonts w:ascii="Times New Roman"/>
                <w:sz w:val="18"/>
              </w:rPr>
              <w:t>79,073.42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center"/>
              <w:rPr>
                <w:rFonts w:ascii="Times New Roman" w:hAnsi="Times New Roman" w:cs="Times New Roman" w:eastAsia="Times New Roman" w:hint="default"/>
                <w:sz w:val="18"/>
                <w:szCs w:val="18"/>
              </w:rPr>
            </w:pPr>
            <w:r>
              <w:rPr>
                <w:rFonts w:ascii="Times New Roman"/>
                <w:sz w:val="18"/>
              </w:rPr>
              <w:t>18,911.97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38,262.1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40,814.42</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64"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年度，公司募集资金使用情况为：使用募集资金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12,601.79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万元投资金融云服务平台建设项目，使用募集资金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6,307.08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万元投资能源信息化平台建设项目，补充流动资金项目募集资金专户已销户，该账户余额</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3.10</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万元用于补充流动资金，合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计使用募集资金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18,911.97 </w:t>
            </w:r>
            <w:r>
              <w:rPr>
                <w:rFonts w:ascii="宋体" w:hAnsi="宋体" w:cs="宋体" w:eastAsia="宋体" w:hint="default"/>
                <w:sz w:val="18"/>
                <w:szCs w:val="18"/>
              </w:rPr>
              <w:t>万元，截止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日，累计使用募集资金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38,262.10 </w:t>
            </w:r>
            <w:r>
              <w:rPr>
                <w:rFonts w:ascii="宋体" w:hAnsi="宋体" w:cs="宋体" w:eastAsia="宋体" w:hint="default"/>
                <w:sz w:val="18"/>
                <w:szCs w:val="18"/>
              </w:rPr>
              <w:t>万元，扣除累计已使用募集资金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（不包括因销户转出利息收入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3.10 </w:t>
            </w:r>
            <w:r>
              <w:rPr>
                <w:rFonts w:ascii="宋体" w:hAnsi="宋体" w:cs="宋体" w:eastAsia="宋体" w:hint="default"/>
                <w:sz w:val="18"/>
                <w:szCs w:val="18"/>
              </w:rPr>
              <w:t>万元用于补充流动资金）后，募集资金余额为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40,814.42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万元，募集资金专用账户累计</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利息收入余额（利息收入扣除手续费）为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2,926.94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万元，使用暂时闲置募集资金购买金融机构理财产品的余额为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42,800.00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万元，募集资金专用账户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941.36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pStyle w:val="Heading3"/>
        <w:spacing w:line="335" w:lineRule="exact"/>
        <w:ind w:left="533" w:right="112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533"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0"/>
        <w:jc w:val="right"/>
      </w:pPr>
      <w:r>
        <w:rPr/>
        <w:t>单位：万元</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994"/>
        <w:gridCol w:w="710"/>
        <w:gridCol w:w="850"/>
        <w:gridCol w:w="994"/>
        <w:gridCol w:w="847"/>
        <w:gridCol w:w="898"/>
        <w:gridCol w:w="898"/>
        <w:gridCol w:w="728"/>
        <w:gridCol w:w="727"/>
        <w:gridCol w:w="898"/>
        <w:gridCol w:w="1100"/>
        <w:gridCol w:w="710"/>
      </w:tblGrid>
      <w:tr>
        <w:trPr>
          <w:trHeight w:val="165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43" w:right="38" w:hanging="1"/>
              <w:jc w:val="center"/>
              <w:rPr>
                <w:rFonts w:ascii="宋体" w:hAnsi="宋体" w:cs="宋体" w:eastAsia="宋体" w:hint="default"/>
                <w:sz w:val="18"/>
                <w:szCs w:val="18"/>
              </w:rPr>
            </w:pPr>
            <w:r>
              <w:rPr>
                <w:rFonts w:ascii="宋体" w:hAnsi="宋体" w:cs="宋体" w:eastAsia="宋体" w:hint="default"/>
                <w:sz w:val="18"/>
                <w:szCs w:val="18"/>
              </w:rPr>
              <w:t>承诺投资项 目和超募资 金投向</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50" w:right="48"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0" w:right="58"/>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06" w:right="41"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59" w:right="55"/>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83" w:right="8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26" w:lineRule="auto"/>
              <w:ind w:left="83" w:right="8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8" w:right="87"/>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83" w:right="83"/>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5" w:right="9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9"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1035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3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56"/>
              <w:jc w:val="both"/>
              <w:rPr>
                <w:rFonts w:ascii="宋体" w:hAnsi="宋体" w:cs="宋体" w:eastAsia="宋体" w:hint="default"/>
                <w:sz w:val="18"/>
                <w:szCs w:val="18"/>
              </w:rPr>
            </w:pPr>
            <w:r>
              <w:rPr>
                <w:rFonts w:ascii="宋体" w:hAnsi="宋体" w:cs="宋体" w:eastAsia="宋体" w:hint="default"/>
                <w:sz w:val="18"/>
                <w:szCs w:val="18"/>
              </w:rPr>
              <w:t>金融云服务 平台建设项 目的存储和 使用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42,481.22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42,481.22</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12,601.79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17,491.38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41.17%</w:t>
            </w: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1,166.45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1,166.45</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能源信息化</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center"/>
              <w:rPr>
                <w:rFonts w:ascii="Times New Roman" w:hAnsi="Times New Roman" w:cs="Times New Roman" w:eastAsia="Times New Roman" w:hint="default"/>
                <w:sz w:val="18"/>
                <w:szCs w:val="18"/>
              </w:rPr>
            </w:pPr>
            <w:r>
              <w:rPr>
                <w:rFonts w:ascii="Times New Roman"/>
                <w:sz w:val="18"/>
              </w:rPr>
              <w:t>22,131.66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22,131.66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3" w:right="0"/>
              <w:jc w:val="center"/>
              <w:rPr>
                <w:rFonts w:ascii="Times New Roman" w:hAnsi="Times New Roman" w:cs="Times New Roman" w:eastAsia="Times New Roman" w:hint="default"/>
                <w:sz w:val="18"/>
                <w:szCs w:val="18"/>
              </w:rPr>
            </w:pPr>
            <w:r>
              <w:rPr>
                <w:rFonts w:ascii="Times New Roman"/>
                <w:sz w:val="18"/>
              </w:rPr>
              <w:t>6,307.08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6,307.08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28.50%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600" w:right="0"/>
        </w:sectPr>
      </w:pPr>
    </w:p>
    <w:p>
      <w:pPr>
        <w:spacing w:line="240" w:lineRule="auto" w:before="0"/>
        <w:rPr>
          <w:rFonts w:ascii="宋体" w:hAnsi="宋体" w:cs="宋体" w:eastAsia="宋体" w:hint="default"/>
          <w:sz w:val="20"/>
          <w:szCs w:val="20"/>
        </w:rPr>
      </w:pPr>
      <w:r>
        <w:rPr/>
        <w:pict>
          <v:shape style="position:absolute;margin-left:35.040001pt;margin-top:71.999985pt;width:518.4pt;height:683.15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710"/>
                    <w:gridCol w:w="850"/>
                    <w:gridCol w:w="994"/>
                    <w:gridCol w:w="847"/>
                    <w:gridCol w:w="898"/>
                    <w:gridCol w:w="898"/>
                    <w:gridCol w:w="728"/>
                    <w:gridCol w:w="727"/>
                    <w:gridCol w:w="898"/>
                    <w:gridCol w:w="1100"/>
                    <w:gridCol w:w="710"/>
                  </w:tblGrid>
                  <w:tr>
                    <w:trPr>
                      <w:trHeight w:val="98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55"/>
                          <w:jc w:val="both"/>
                          <w:rPr>
                            <w:rFonts w:ascii="宋体" w:hAnsi="宋体" w:cs="宋体" w:eastAsia="宋体" w:hint="default"/>
                            <w:sz w:val="18"/>
                            <w:szCs w:val="18"/>
                          </w:rPr>
                        </w:pPr>
                        <w:r>
                          <w:rPr>
                            <w:rFonts w:ascii="宋体" w:hAnsi="宋体" w:cs="宋体" w:eastAsia="宋体" w:hint="default"/>
                            <w:sz w:val="18"/>
                            <w:szCs w:val="18"/>
                          </w:rPr>
                          <w:t>平台建设项 目的存储和 使用</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56"/>
                          <w:jc w:val="both"/>
                          <w:rPr>
                            <w:rFonts w:ascii="宋体" w:hAnsi="宋体" w:cs="宋体" w:eastAsia="宋体" w:hint="default"/>
                            <w:sz w:val="18"/>
                            <w:szCs w:val="18"/>
                          </w:rPr>
                        </w:pPr>
                        <w:r>
                          <w:rPr>
                            <w:rFonts w:ascii="宋体" w:hAnsi="宋体" w:cs="宋体" w:eastAsia="宋体" w:hint="default"/>
                            <w:sz w:val="18"/>
                            <w:szCs w:val="18"/>
                          </w:rPr>
                          <w:t>补充流动资 金项目的存 储和使用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14,460.54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14,460.54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14,463.64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100.02%</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25"/>
                          <w:jc w:val="right"/>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56"/>
                          <w:jc w:val="left"/>
                          <w:rPr>
                            <w:rFonts w:ascii="宋体" w:hAnsi="宋体" w:cs="宋体" w:eastAsia="宋体" w:hint="default"/>
                            <w:sz w:val="18"/>
                            <w:szCs w:val="18"/>
                          </w:rPr>
                        </w:pPr>
                        <w:r>
                          <w:rPr>
                            <w:rFonts w:ascii="宋体" w:hAnsi="宋体" w:cs="宋体" w:eastAsia="宋体" w:hint="default"/>
                            <w:sz w:val="18"/>
                            <w:szCs w:val="18"/>
                          </w:rPr>
                          <w:t>承诺投资项 目小计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79,073.42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79,073.42</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18,911.97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38,262.1</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6"/>
                          <w:jc w:val="right"/>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1,166.45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1,166.45</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82"/>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8"/>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1035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6"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79,073.42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79,073.42</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18,911.97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38,262.1</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6"/>
                          <w:jc w:val="right"/>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1,166.45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1,166.45</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82"/>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r>
                  <w:tr>
                    <w:trPr>
                      <w:trHeight w:val="165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56"/>
                          <w:jc w:val="both"/>
                          <w:rPr>
                            <w:rFonts w:ascii="宋体" w:hAnsi="宋体" w:cs="宋体" w:eastAsia="宋体" w:hint="default"/>
                            <w:sz w:val="18"/>
                            <w:szCs w:val="18"/>
                          </w:rPr>
                        </w:pPr>
                        <w:r>
                          <w:rPr>
                            <w:rFonts w:ascii="宋体" w:hAnsi="宋体" w:cs="宋体" w:eastAsia="宋体" w:hint="default"/>
                            <w:sz w:val="18"/>
                            <w:szCs w:val="18"/>
                          </w:rPr>
                          <w:t>未达到计划 进度或预计 收益的情况 和原因（分 具体项目）</w:t>
                        </w:r>
                      </w:p>
                    </w:tc>
                    <w:tc>
                      <w:tcPr>
                        <w:tcW w:w="936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3" w:right="3"/>
                          <w:jc w:val="both"/>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金融云服务平台建设项目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能源信息化平台建设项目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实际投资进度晚于投资计划，主要原因是由于技术变革， </w:t>
                        </w:r>
                        <w:r>
                          <w:rPr>
                            <w:rFonts w:ascii="宋体" w:hAnsi="宋体" w:cs="宋体" w:eastAsia="宋体" w:hint="default"/>
                            <w:spacing w:val="-2"/>
                            <w:sz w:val="18"/>
                            <w:szCs w:val="18"/>
                          </w:rPr>
                          <w:t>上述项目的市场环境和客户需求发生了较大变化。前次规划的募集资金投资项目的实施方式已不适用于当前项目开展的</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2"/>
                            <w:sz w:val="18"/>
                            <w:szCs w:val="18"/>
                          </w:rPr>
                          <w:t>实际需求，经公司审慎考虑，在不改变募集资金投资项目整体方向的前提下，对上述募集资金投资项目的实施方式进行</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变更。</w:t>
                        </w:r>
                      </w:p>
                    </w:tc>
                  </w:tr>
                  <w:tr>
                    <w:trPr>
                      <w:trHeight w:val="1337"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56"/>
                          <w:jc w:val="both"/>
                          <w:rPr>
                            <w:rFonts w:ascii="宋体" w:hAnsi="宋体" w:cs="宋体" w:eastAsia="宋体" w:hint="default"/>
                            <w:sz w:val="18"/>
                            <w:szCs w:val="18"/>
                          </w:rPr>
                        </w:pPr>
                        <w:r>
                          <w:rPr>
                            <w:rFonts w:ascii="宋体" w:hAnsi="宋体" w:cs="宋体" w:eastAsia="宋体" w:hint="default"/>
                            <w:sz w:val="18"/>
                            <w:szCs w:val="18"/>
                          </w:rPr>
                          <w:t>项目可行性 发生重大变 化的情况说 明</w:t>
                        </w:r>
                      </w:p>
                    </w:tc>
                    <w:tc>
                      <w:tcPr>
                        <w:tcW w:w="936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6" w:right="56"/>
                          <w:jc w:val="both"/>
                          <w:rPr>
                            <w:rFonts w:ascii="宋体" w:hAnsi="宋体" w:cs="宋体" w:eastAsia="宋体" w:hint="default"/>
                            <w:sz w:val="18"/>
                            <w:szCs w:val="18"/>
                          </w:rPr>
                        </w:pPr>
                        <w:r>
                          <w:rPr>
                            <w:rFonts w:ascii="宋体" w:hAnsi="宋体" w:cs="宋体" w:eastAsia="宋体" w:hint="default"/>
                            <w:sz w:val="18"/>
                            <w:szCs w:val="18"/>
                          </w:rPr>
                          <w:t>超募资金的 金额、用途 及使用进展 情况</w:t>
                        </w:r>
                      </w:p>
                    </w:tc>
                    <w:tc>
                      <w:tcPr>
                        <w:tcW w:w="936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36"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9360" w:type="dxa"/>
                        <w:gridSpan w:val="11"/>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6" w:right="56"/>
                          <w:jc w:val="both"/>
                          <w:rPr>
                            <w:rFonts w:ascii="宋体" w:hAnsi="宋体" w:cs="宋体" w:eastAsia="宋体" w:hint="default"/>
                            <w:sz w:val="18"/>
                            <w:szCs w:val="18"/>
                          </w:rPr>
                        </w:pPr>
                        <w:r>
                          <w:rPr>
                            <w:rFonts w:ascii="宋体" w:hAnsi="宋体" w:cs="宋体" w:eastAsia="宋体" w:hint="default"/>
                            <w:sz w:val="18"/>
                            <w:szCs w:val="18"/>
                          </w:rPr>
                          <w:t>募集资金投 资项目实施 地点变更情 况</w:t>
                        </w:r>
                      </w:p>
                    </w:tc>
                    <w:tc>
                      <w:tcPr>
                        <w:tcW w:w="936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994" w:type="dxa"/>
                        <w:vMerge/>
                        <w:tcBorders>
                          <w:left w:val="single" w:sz="4" w:space="0" w:color="000000"/>
                          <w:right w:val="single" w:sz="4" w:space="0" w:color="000000"/>
                        </w:tcBorders>
                        <w:shd w:val="clear" w:color="auto" w:fill="D2D2D2"/>
                      </w:tcPr>
                      <w:p>
                        <w:pPr/>
                      </w:p>
                    </w:tc>
                    <w:tc>
                      <w:tcPr>
                        <w:tcW w:w="9360" w:type="dxa"/>
                        <w:gridSpan w:val="11"/>
                        <w:tcBorders>
                          <w:top w:val="single" w:sz="4" w:space="0" w:color="000000"/>
                          <w:left w:val="single" w:sz="4" w:space="0" w:color="000000"/>
                          <w:bottom w:val="single" w:sz="4" w:space="0" w:color="000000"/>
                          <w:right w:val="single" w:sz="4" w:space="0" w:color="000000"/>
                        </w:tcBorders>
                      </w:tcPr>
                      <w:p>
                        <w:pPr/>
                      </w:p>
                    </w:tc>
                  </w:tr>
                  <w:tr>
                    <w:trPr>
                      <w:trHeight w:val="533"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9360" w:type="dxa"/>
                        <w:gridSpan w:val="11"/>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316" w:lineRule="auto"/>
                          <w:ind w:left="26" w:right="56"/>
                          <w:jc w:val="both"/>
                          <w:rPr>
                            <w:rFonts w:ascii="宋体" w:hAnsi="宋体" w:cs="宋体" w:eastAsia="宋体" w:hint="default"/>
                            <w:sz w:val="18"/>
                            <w:szCs w:val="18"/>
                          </w:rPr>
                        </w:pPr>
                        <w:r>
                          <w:rPr>
                            <w:rFonts w:ascii="宋体" w:hAnsi="宋体" w:cs="宋体" w:eastAsia="宋体" w:hint="default"/>
                            <w:sz w:val="18"/>
                            <w:szCs w:val="18"/>
                          </w:rPr>
                          <w:t>募集资金投 资项目实施 方式调整情 况</w:t>
                        </w:r>
                      </w:p>
                    </w:tc>
                    <w:tc>
                      <w:tcPr>
                        <w:tcW w:w="936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994" w:type="dxa"/>
                        <w:vMerge/>
                        <w:tcBorders>
                          <w:left w:val="single" w:sz="4" w:space="0" w:color="000000"/>
                          <w:right w:val="single" w:sz="4" w:space="0" w:color="000000"/>
                        </w:tcBorders>
                        <w:shd w:val="clear" w:color="auto" w:fill="D2D2D2"/>
                      </w:tcPr>
                      <w:p>
                        <w:pPr/>
                      </w:p>
                    </w:tc>
                    <w:tc>
                      <w:tcPr>
                        <w:tcW w:w="936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3253"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9360"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36"/>
                          <w:jc w:val="left"/>
                          <w:rPr>
                            <w:rFonts w:ascii="宋体" w:hAnsi="宋体" w:cs="宋体" w:eastAsia="宋体" w:hint="default"/>
                            <w:sz w:val="18"/>
                            <w:szCs w:val="18"/>
                          </w:rPr>
                        </w:pPr>
                        <w:r>
                          <w:rPr>
                            <w:rFonts w:ascii="宋体" w:hAnsi="宋体" w:cs="宋体" w:eastAsia="宋体" w:hint="default"/>
                            <w:spacing w:val="-2"/>
                            <w:sz w:val="18"/>
                            <w:szCs w:val="18"/>
                          </w:rPr>
                          <w:t>金融云服务平台建设项目：由于公司目标客户金融机构在核心系统建设中对公有云的接受度低，仍以私有云为主，同时</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分布式架构是金融科技的主流发展趋势，结合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年度公司与蚂蚁金服达成战略合作后获取了其底层技术平台支持， 金融云服务平台建设项目对公司研发、实施及运维人员的数量及能力均提出更高要求，因此公司对该项目的建设内容、 商业模式、建设周期和投资结构进行了变更。</w:t>
                        </w:r>
                      </w:p>
                      <w:p>
                        <w:pPr>
                          <w:pStyle w:val="TableParagraph"/>
                          <w:spacing w:line="300"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能源信息化平台建设项目：由于配电物联网（</w:t>
                        </w:r>
                        <w:r>
                          <w:rPr>
                            <w:rFonts w:ascii="Times New Roman" w:hAnsi="Times New Roman" w:cs="Times New Roman" w:eastAsia="Times New Roman" w:hint="default"/>
                            <w:sz w:val="18"/>
                            <w:szCs w:val="18"/>
                          </w:rPr>
                          <w:t>D-IoT</w:t>
                        </w:r>
                        <w:r>
                          <w:rPr>
                            <w:rFonts w:ascii="宋体" w:hAnsi="宋体" w:cs="宋体" w:eastAsia="宋体" w:hint="default"/>
                            <w:sz w:val="18"/>
                            <w:szCs w:val="18"/>
                          </w:rPr>
                          <w:t>）成为能源产业发展新理念以及基于嵌入式神经网络处理器（</w:t>
                        </w:r>
                        <w:r>
                          <w:rPr>
                            <w:rFonts w:ascii="Times New Roman" w:hAnsi="Times New Roman" w:cs="Times New Roman" w:eastAsia="Times New Roman" w:hint="default"/>
                            <w:sz w:val="18"/>
                            <w:szCs w:val="18"/>
                          </w:rPr>
                          <w:t>NPU</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AI</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芯片助力边缘计算在物联网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IoT</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领域的技术应用，</w:t>
                        </w:r>
                        <w:r>
                          <w:rPr>
                            <w:rFonts w:ascii="Times New Roman" w:hAnsi="Times New Roman" w:cs="Times New Roman" w:eastAsia="Times New Roman" w:hint="default"/>
                            <w:spacing w:val="-3"/>
                            <w:sz w:val="18"/>
                            <w:szCs w:val="18"/>
                          </w:rPr>
                          <w:t>5G</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与边缘计算技术的革新减少了对计算机硬件的需求，项目商 </w:t>
                        </w:r>
                        <w:r>
                          <w:rPr>
                            <w:rFonts w:ascii="宋体" w:hAnsi="宋体" w:cs="宋体" w:eastAsia="宋体" w:hint="default"/>
                            <w:spacing w:val="-3"/>
                            <w:sz w:val="18"/>
                            <w:szCs w:val="18"/>
                          </w:rPr>
                          <w:t>业模式需要新增更多研发及实施维护费用，因此公司对该项目的建设内容、商业模式、建设周期和投资结构进行了变更</w:t>
                        </w:r>
                      </w:p>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日公司召开的第五届董事会第四十五次会议、第五届监事会第二十五次会议以及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日公司</w:t>
                        </w:r>
                      </w:p>
                      <w:p>
                        <w:pPr>
                          <w:pStyle w:val="TableParagraph"/>
                          <w:spacing w:line="300" w:lineRule="auto" w:before="63"/>
                          <w:ind w:left="23" w:right="23"/>
                          <w:jc w:val="left"/>
                          <w:rPr>
                            <w:rFonts w:ascii="宋体" w:hAnsi="宋体" w:cs="宋体" w:eastAsia="宋体" w:hint="default"/>
                            <w:sz w:val="18"/>
                            <w:szCs w:val="18"/>
                          </w:rPr>
                        </w:pPr>
                        <w:r>
                          <w:rPr>
                            <w:rFonts w:ascii="宋体" w:hAnsi="宋体" w:cs="宋体" w:eastAsia="宋体" w:hint="default"/>
                            <w:spacing w:val="-1"/>
                            <w:sz w:val="18"/>
                            <w:szCs w:val="18"/>
                          </w:rPr>
                          <w:t>召开的</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4"/>
                            <w:sz w:val="18"/>
                            <w:szCs w:val="18"/>
                          </w:rPr>
                          <w:t>年第二次临时股东大会审议通过了《关于调整部分非公开发行募集资金投资项目实施方式的议案》，同意对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募集资金投资项目金融云服务平台建设项目和能源信息化平台建设项目的实施方式进行变更，具体内容详见公司于巨潮</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40" w:lineRule="auto" w:before="44"/>
        <w:ind w:left="0" w:right="780"/>
        <w:jc w:val="right"/>
      </w:pPr>
      <w:r>
        <w:rPr/>
        <w:t>）</w:t>
      </w:r>
    </w:p>
    <w:p>
      <w:pPr>
        <w:spacing w:line="240" w:lineRule="auto" w:before="4"/>
        <w:rPr>
          <w:rFonts w:ascii="宋体" w:hAnsi="宋体" w:cs="宋体" w:eastAsia="宋体" w:hint="default"/>
          <w:sz w:val="26"/>
          <w:szCs w:val="26"/>
        </w:rPr>
      </w:pPr>
    </w:p>
    <w:p>
      <w:pPr>
        <w:pStyle w:val="BodyText"/>
        <w:spacing w:line="240" w:lineRule="auto" w:before="44"/>
        <w:ind w:left="0" w:right="787"/>
        <w:jc w:val="right"/>
      </w:pPr>
      <w:r>
        <w:rPr/>
        <w:t>。</w:t>
      </w:r>
    </w:p>
    <w:p>
      <w:pPr>
        <w:spacing w:after="0" w:line="240" w:lineRule="auto"/>
        <w:jc w:val="right"/>
        <w:sectPr>
          <w:pgSz w:w="11910" w:h="16840"/>
          <w:pgMar w:header="745" w:footer="979" w:top="1060" w:bottom="1160" w:left="60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993"/>
        <w:gridCol w:w="9360"/>
      </w:tblGrid>
      <w:tr>
        <w:trPr>
          <w:trHeight w:val="363"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资讯网披露的公告。</w:t>
            </w:r>
          </w:p>
        </w:tc>
      </w:tr>
      <w:tr>
        <w:trPr>
          <w:trHeight w:val="401" w:hRule="exact"/>
        </w:trPr>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5" w:right="56"/>
              <w:jc w:val="both"/>
              <w:rPr>
                <w:rFonts w:ascii="宋体" w:hAnsi="宋体" w:cs="宋体" w:eastAsia="宋体" w:hint="default"/>
                <w:sz w:val="18"/>
                <w:szCs w:val="18"/>
              </w:rPr>
            </w:pPr>
            <w:r>
              <w:rPr>
                <w:rFonts w:ascii="宋体" w:hAnsi="宋体" w:cs="宋体" w:eastAsia="宋体" w:hint="default"/>
                <w:sz w:val="18"/>
                <w:szCs w:val="18"/>
              </w:rPr>
              <w:t>募集资金投 资项目先期 投入及置换 情况</w:t>
            </w:r>
          </w:p>
        </w:tc>
        <w:tc>
          <w:tcPr>
            <w:tcW w:w="9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36"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93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5" w:right="56"/>
              <w:jc w:val="both"/>
              <w:rPr>
                <w:rFonts w:ascii="宋体" w:hAnsi="宋体" w:cs="宋体" w:eastAsia="宋体" w:hint="default"/>
                <w:sz w:val="18"/>
                <w:szCs w:val="18"/>
              </w:rPr>
            </w:pPr>
            <w:r>
              <w:rPr>
                <w:rFonts w:ascii="宋体" w:hAnsi="宋体" w:cs="宋体" w:eastAsia="宋体" w:hint="default"/>
                <w:sz w:val="18"/>
                <w:szCs w:val="18"/>
              </w:rPr>
              <w:t>用闲置募集 资金暂时补 充流动资金 情况</w:t>
            </w:r>
          </w:p>
        </w:tc>
        <w:tc>
          <w:tcPr>
            <w:tcW w:w="9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36"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93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5" w:right="56"/>
              <w:jc w:val="both"/>
              <w:rPr>
                <w:rFonts w:ascii="宋体" w:hAnsi="宋体" w:cs="宋体" w:eastAsia="宋体" w:hint="default"/>
                <w:sz w:val="18"/>
                <w:szCs w:val="18"/>
              </w:rPr>
            </w:pPr>
            <w:r>
              <w:rPr>
                <w:rFonts w:ascii="宋体" w:hAnsi="宋体" w:cs="宋体" w:eastAsia="宋体" w:hint="default"/>
                <w:sz w:val="18"/>
                <w:szCs w:val="18"/>
              </w:rPr>
              <w:t>项目实施出 现募集资金 结余的金额 及原因</w:t>
            </w:r>
          </w:p>
        </w:tc>
        <w:tc>
          <w:tcPr>
            <w:tcW w:w="9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37"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9360" w:type="dxa"/>
            <w:tcBorders>
              <w:top w:val="single" w:sz="4" w:space="0" w:color="000000"/>
              <w:left w:val="single" w:sz="4" w:space="0" w:color="000000"/>
              <w:bottom w:val="single" w:sz="4" w:space="0" w:color="000000"/>
              <w:right w:val="single" w:sz="4" w:space="0" w:color="000000"/>
            </w:tcBorders>
          </w:tcPr>
          <w:p>
            <w:pPr/>
          </w:p>
        </w:tc>
      </w:tr>
      <w:tr>
        <w:trPr>
          <w:trHeight w:val="2275"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5" w:right="56"/>
              <w:jc w:val="both"/>
              <w:rPr>
                <w:rFonts w:ascii="宋体" w:hAnsi="宋体" w:cs="宋体" w:eastAsia="宋体" w:hint="default"/>
                <w:sz w:val="18"/>
                <w:szCs w:val="18"/>
              </w:rPr>
            </w:pPr>
            <w:r>
              <w:rPr>
                <w:rFonts w:ascii="宋体" w:hAnsi="宋体" w:cs="宋体" w:eastAsia="宋体" w:hint="default"/>
                <w:sz w:val="18"/>
                <w:szCs w:val="18"/>
              </w:rPr>
              <w:t>尚未使用的 募集资金用 途及去向</w:t>
            </w:r>
          </w:p>
        </w:tc>
        <w:tc>
          <w:tcPr>
            <w:tcW w:w="93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50"/>
              <w:jc w:val="both"/>
              <w:rPr>
                <w:rFonts w:ascii="宋体" w:hAnsi="宋体" w:cs="宋体" w:eastAsia="宋体" w:hint="default"/>
                <w:sz w:val="18"/>
                <w:szCs w:val="18"/>
              </w:rPr>
            </w:pPr>
            <w:r>
              <w:rPr>
                <w:rFonts w:ascii="宋体" w:hAnsi="宋体" w:cs="宋体" w:eastAsia="宋体" w:hint="default"/>
                <w:sz w:val="18"/>
                <w:szCs w:val="18"/>
              </w:rPr>
              <w:t>根据公司第五届董事会第三十一次会议及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年第一次临时股东大会决议审议通过的《关于使用部分闲置募集资金进 </w:t>
            </w:r>
            <w:r>
              <w:rPr>
                <w:rFonts w:ascii="宋体" w:hAnsi="宋体" w:cs="宋体" w:eastAsia="宋体" w:hint="default"/>
                <w:spacing w:val="-2"/>
                <w:sz w:val="18"/>
                <w:szCs w:val="18"/>
              </w:rPr>
              <w:t>行现金管理的议案》，同意公司在确保不影响募集资金投资项目建设、不变相改变募集资金使用用途、不影响公司正常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经营及确保资金安全的情况下，使用不超过人民币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万元的暂时闲置募集资金进行现金管理，用于购买金融机构</w:t>
            </w:r>
          </w:p>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z w:val="18"/>
                <w:szCs w:val="18"/>
              </w:rPr>
              <w:t>发行的期限不超过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个月保本型理财产品（包括但不限于银行固定收益型或保本浮动收益型的理财产品、结构性存款</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及证券公司保本型收益凭证等</w:t>
            </w:r>
            <w:r>
              <w:rPr>
                <w:rFonts w:ascii="宋体" w:hAnsi="宋体" w:cs="宋体" w:eastAsia="宋体" w:hint="default"/>
                <w:spacing w:val="-89"/>
                <w:sz w:val="18"/>
                <w:szCs w:val="18"/>
              </w:rPr>
              <w:t>）</w:t>
            </w:r>
            <w:r>
              <w:rPr>
                <w:rFonts w:ascii="宋体" w:hAnsi="宋体" w:cs="宋体" w:eastAsia="宋体" w:hint="default"/>
                <w:spacing w:val="-32"/>
                <w:sz w:val="18"/>
                <w:szCs w:val="18"/>
              </w:rPr>
              <w:t>，</w:t>
            </w:r>
            <w:r>
              <w:rPr>
                <w:rFonts w:ascii="宋体" w:hAnsi="宋体" w:cs="宋体" w:eastAsia="宋体" w:hint="default"/>
                <w:sz w:val="18"/>
                <w:szCs w:val="18"/>
              </w:rPr>
              <w:t>使用期限自公司股东大会</w:t>
            </w:r>
            <w:r>
              <w:rPr>
                <w:rFonts w:ascii="宋体" w:hAnsi="宋体" w:cs="宋体" w:eastAsia="宋体" w:hint="default"/>
                <w:spacing w:val="2"/>
                <w:sz w:val="18"/>
                <w:szCs w:val="18"/>
              </w:rPr>
              <w:t>审</w:t>
            </w:r>
            <w:r>
              <w:rPr>
                <w:rFonts w:ascii="宋体" w:hAnsi="宋体" w:cs="宋体" w:eastAsia="宋体" w:hint="default"/>
                <w:sz w:val="18"/>
                <w:szCs w:val="18"/>
              </w:rPr>
              <w:t>议通过之日起</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个月内有效</w:t>
            </w:r>
            <w:r>
              <w:rPr>
                <w:rFonts w:ascii="宋体" w:hAnsi="宋体" w:cs="宋体" w:eastAsia="宋体" w:hint="default"/>
                <w:spacing w:val="-34"/>
                <w:sz w:val="18"/>
                <w:szCs w:val="18"/>
              </w:rPr>
              <w:t>。</w:t>
            </w:r>
            <w:r>
              <w:rPr>
                <w:rFonts w:ascii="宋体" w:hAnsi="宋体" w:cs="宋体" w:eastAsia="宋体" w:hint="default"/>
                <w:sz w:val="18"/>
                <w:szCs w:val="18"/>
              </w:rPr>
              <w:t>在上述使用期限及额度范围</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内，资金可以循环滚动使用。截至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日，使用暂时闲置募集资金购买金融机构保本型理财产品的余额为</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42,800.00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万元，剩余募集资金存放在募集资金专户。</w:t>
            </w:r>
          </w:p>
        </w:tc>
      </w:tr>
      <w:tr>
        <w:trPr>
          <w:trHeight w:val="1337"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5" w:right="56"/>
              <w:jc w:val="both"/>
              <w:rPr>
                <w:rFonts w:ascii="宋体" w:hAnsi="宋体" w:cs="宋体" w:eastAsia="宋体" w:hint="default"/>
                <w:sz w:val="18"/>
                <w:szCs w:val="18"/>
              </w:rPr>
            </w:pPr>
            <w:r>
              <w:rPr>
                <w:rFonts w:ascii="宋体" w:hAnsi="宋体" w:cs="宋体" w:eastAsia="宋体" w:hint="default"/>
                <w:sz w:val="18"/>
                <w:szCs w:val="18"/>
              </w:rPr>
              <w:t>募集资金使 用及披露中 存在的问题 或其他情况</w:t>
            </w:r>
          </w:p>
        </w:tc>
        <w:tc>
          <w:tcPr>
            <w:tcW w:w="9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335" w:lineRule="exact"/>
        <w:ind w:left="533" w:right="112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left="533"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6"/>
        <w:rPr>
          <w:rFonts w:ascii="宋体" w:hAnsi="宋体" w:cs="宋体" w:eastAsia="宋体" w:hint="default"/>
          <w:sz w:val="13"/>
          <w:szCs w:val="13"/>
        </w:rPr>
      </w:pPr>
    </w:p>
    <w:p>
      <w:pPr>
        <w:pStyle w:val="Heading2"/>
        <w:spacing w:line="240" w:lineRule="auto"/>
        <w:ind w:left="533" w:right="1123"/>
        <w:jc w:val="left"/>
        <w:rPr>
          <w:b w:val="0"/>
          <w:bCs w:val="0"/>
        </w:rPr>
      </w:pPr>
      <w:r>
        <w:rPr/>
        <w:t>六、重大资产和股权出售</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left="533" w:right="112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left="53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6"/>
        <w:rPr>
          <w:rFonts w:ascii="宋体" w:hAnsi="宋体" w:cs="宋体" w:eastAsia="宋体" w:hint="default"/>
          <w:sz w:val="16"/>
          <w:szCs w:val="16"/>
        </w:rPr>
      </w:pPr>
    </w:p>
    <w:p>
      <w:pPr>
        <w:pStyle w:val="Heading3"/>
        <w:spacing w:line="240" w:lineRule="auto"/>
        <w:ind w:left="533" w:right="112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33"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600" w:right="0"/>
        </w:sectPr>
      </w:pPr>
    </w:p>
    <w:p>
      <w:pPr>
        <w:spacing w:line="240" w:lineRule="auto" w:before="6"/>
        <w:rPr>
          <w:rFonts w:ascii="宋体" w:hAnsi="宋体" w:cs="宋体" w:eastAsia="宋体" w:hint="default"/>
          <w:sz w:val="28"/>
          <w:szCs w:val="28"/>
        </w:rPr>
      </w:pPr>
    </w:p>
    <w:tbl>
      <w:tblPr>
        <w:tblW w:w="0" w:type="auto"/>
        <w:jc w:val="left"/>
        <w:tblInd w:w="241" w:type="dxa"/>
        <w:tblLayout w:type="fixed"/>
        <w:tblCellMar>
          <w:top w:w="0" w:type="dxa"/>
          <w:left w:w="0" w:type="dxa"/>
          <w:bottom w:w="0" w:type="dxa"/>
          <w:right w:w="0" w:type="dxa"/>
        </w:tblCellMar>
        <w:tblLook w:val="01E0"/>
      </w:tblPr>
      <w:tblGrid>
        <w:gridCol w:w="708"/>
        <w:gridCol w:w="852"/>
        <w:gridCol w:w="850"/>
        <w:gridCol w:w="709"/>
        <w:gridCol w:w="710"/>
        <w:gridCol w:w="1275"/>
        <w:gridCol w:w="708"/>
        <w:gridCol w:w="852"/>
        <w:gridCol w:w="567"/>
        <w:gridCol w:w="569"/>
        <w:gridCol w:w="708"/>
        <w:gridCol w:w="708"/>
        <w:gridCol w:w="708"/>
        <w:gridCol w:w="852"/>
      </w:tblGrid>
      <w:tr>
        <w:trPr>
          <w:trHeight w:val="3521"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331" w:right="60" w:hanging="272"/>
              <w:jc w:val="left"/>
              <w:rPr>
                <w:rFonts w:ascii="宋体" w:hAnsi="宋体" w:cs="宋体" w:eastAsia="宋体" w:hint="default"/>
                <w:sz w:val="18"/>
                <w:szCs w:val="18"/>
              </w:rPr>
            </w:pPr>
            <w:r>
              <w:rPr>
                <w:rFonts w:ascii="宋体" w:hAnsi="宋体" w:cs="宋体" w:eastAsia="宋体" w:hint="default"/>
                <w:sz w:val="18"/>
                <w:szCs w:val="18"/>
              </w:rPr>
              <w:t>被出售股 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79" w:right="77"/>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79" w:right="79"/>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453" w:right="89" w:hanging="360"/>
              <w:jc w:val="left"/>
              <w:rPr>
                <w:rFonts w:ascii="宋体" w:hAnsi="宋体" w:cs="宋体" w:eastAsia="宋体" w:hint="default"/>
                <w:sz w:val="18"/>
                <w:szCs w:val="18"/>
              </w:rPr>
            </w:pPr>
            <w:r>
              <w:rPr>
                <w:rFonts w:ascii="宋体" w:hAnsi="宋体" w:cs="宋体" w:eastAsia="宋体" w:hint="default"/>
                <w:sz w:val="18"/>
                <w:szCs w:val="18"/>
              </w:rPr>
              <w:t>出售对公司的 影响</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62" w:right="59"/>
              <w:jc w:val="left"/>
              <w:rPr>
                <w:rFonts w:ascii="宋体" w:hAnsi="宋体" w:cs="宋体" w:eastAsia="宋体" w:hint="default"/>
                <w:sz w:val="18"/>
                <w:szCs w:val="18"/>
              </w:rPr>
            </w:pPr>
            <w:r>
              <w:rPr>
                <w:rFonts w:ascii="宋体" w:hAnsi="宋体" w:cs="宋体" w:eastAsia="宋体" w:hint="default"/>
                <w:sz w:val="18"/>
                <w:szCs w:val="18"/>
              </w:rPr>
              <w:t>股权出售 定价原则</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98" w:right="98"/>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98" w:right="98"/>
              <w:jc w:val="both"/>
              <w:rPr>
                <w:rFonts w:ascii="宋体" w:hAnsi="宋体" w:cs="宋体" w:eastAsia="宋体" w:hint="default"/>
                <w:sz w:val="18"/>
                <w:szCs w:val="18"/>
              </w:rPr>
            </w:pPr>
            <w:r>
              <w:rPr>
                <w:rFonts w:ascii="宋体" w:hAnsi="宋体" w:cs="宋体" w:eastAsia="宋体" w:hint="default"/>
                <w:sz w:val="18"/>
                <w:szCs w:val="18"/>
              </w:rPr>
              <w:t>与交 易对 方的 关联 关系</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79" w:right="77"/>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46" w:hanging="70"/>
              <w:jc w:val="center"/>
              <w:rPr>
                <w:rFonts w:ascii="宋体" w:hAnsi="宋体" w:cs="宋体" w:eastAsia="宋体" w:hint="default"/>
                <w:sz w:val="18"/>
                <w:szCs w:val="18"/>
              </w:rPr>
            </w:pPr>
            <w:r>
              <w:rPr>
                <w:rFonts w:ascii="宋体" w:hAnsi="宋体" w:cs="宋体" w:eastAsia="宋体" w:hint="default"/>
                <w:sz w:val="18"/>
                <w:szCs w:val="18"/>
              </w:rPr>
              <w:t>是否按 计划如 期实施， 如未按 计划实 </w:t>
            </w:r>
            <w:r>
              <w:rPr>
                <w:rFonts w:ascii="宋体" w:hAnsi="宋体" w:cs="宋体" w:eastAsia="宋体" w:hint="default"/>
                <w:spacing w:val="-17"/>
                <w:sz w:val="18"/>
                <w:szCs w:val="18"/>
              </w:rPr>
              <w:t>施，应当</w:t>
            </w:r>
            <w:r>
              <w:rPr>
                <w:rFonts w:ascii="宋体" w:hAnsi="宋体" w:cs="宋体" w:eastAsia="宋体" w:hint="default"/>
                <w:sz w:val="18"/>
                <w:szCs w:val="18"/>
              </w:rPr>
              <w:t> 说明原 因及公 司已采 取的措</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施</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77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3" w:right="132"/>
              <w:jc w:val="both"/>
              <w:rPr>
                <w:rFonts w:ascii="宋体" w:hAnsi="宋体" w:cs="宋体" w:eastAsia="宋体" w:hint="default"/>
                <w:sz w:val="18"/>
                <w:szCs w:val="18"/>
              </w:rPr>
            </w:pPr>
            <w:r>
              <w:rPr>
                <w:rFonts w:ascii="宋体" w:hAnsi="宋体" w:cs="宋体" w:eastAsia="宋体" w:hint="default"/>
                <w:sz w:val="18"/>
                <w:szCs w:val="18"/>
              </w:rPr>
              <w:t>南京润 创信息 科技合 伙企业</w:t>
            </w:r>
          </w:p>
          <w:p>
            <w:pPr>
              <w:pStyle w:val="TableParagraph"/>
              <w:spacing w:line="316" w:lineRule="auto" w:before="19"/>
              <w:ind w:left="23" w:right="132"/>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4" w:right="96"/>
              <w:jc w:val="both"/>
              <w:rPr>
                <w:rFonts w:ascii="宋体" w:hAnsi="宋体" w:cs="宋体" w:eastAsia="宋体" w:hint="default"/>
                <w:sz w:val="18"/>
                <w:szCs w:val="18"/>
              </w:rPr>
            </w:pPr>
            <w:r>
              <w:rPr>
                <w:rFonts w:ascii="宋体" w:hAnsi="宋体" w:cs="宋体" w:eastAsia="宋体" w:hint="default"/>
                <w:sz w:val="18"/>
                <w:szCs w:val="18"/>
              </w:rPr>
              <w:t>南京润辰 科技有限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36" w:right="0"/>
              <w:jc w:val="left"/>
              <w:rPr>
                <w:rFonts w:ascii="Times New Roman" w:hAnsi="Times New Roman" w:cs="Times New Roman" w:eastAsia="Times New Roman" w:hint="default"/>
                <w:sz w:val="18"/>
                <w:szCs w:val="18"/>
              </w:rPr>
            </w:pPr>
            <w:r>
              <w:rPr>
                <w:rFonts w:ascii="Times New Roman"/>
                <w:sz w:val="18"/>
              </w:rPr>
              <w:t>1,072.5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22" w:right="0"/>
              <w:jc w:val="left"/>
              <w:rPr>
                <w:rFonts w:ascii="Times New Roman" w:hAnsi="Times New Roman" w:cs="Times New Roman" w:eastAsia="Times New Roman" w:hint="default"/>
                <w:sz w:val="18"/>
                <w:szCs w:val="18"/>
              </w:rPr>
            </w:pPr>
            <w:r>
              <w:rPr>
                <w:rFonts w:ascii="Times New Roman"/>
                <w:sz w:val="18"/>
              </w:rPr>
              <w:t>-149.17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20"/>
              <w:jc w:val="left"/>
              <w:rPr>
                <w:rFonts w:ascii="宋体" w:hAnsi="宋体" w:cs="宋体" w:eastAsia="宋体" w:hint="default"/>
                <w:sz w:val="18"/>
                <w:szCs w:val="18"/>
              </w:rPr>
            </w:pPr>
            <w:r>
              <w:rPr>
                <w:rFonts w:ascii="宋体" w:hAnsi="宋体" w:cs="宋体" w:eastAsia="宋体" w:hint="default"/>
                <w:sz w:val="18"/>
                <w:szCs w:val="18"/>
              </w:rPr>
              <w:t>公司本次转让 南京润和科技 有限公司的目 的旨在进一步 聚焦公司经营 </w:t>
            </w:r>
            <w:r>
              <w:rPr>
                <w:rFonts w:ascii="宋体" w:hAnsi="宋体" w:cs="宋体" w:eastAsia="宋体" w:hint="default"/>
                <w:spacing w:val="-6"/>
                <w:sz w:val="18"/>
                <w:szCs w:val="18"/>
              </w:rPr>
              <w:t>战略，集中资源</w:t>
            </w:r>
            <w:r>
              <w:rPr>
                <w:rFonts w:ascii="宋体" w:hAnsi="宋体" w:cs="宋体" w:eastAsia="宋体" w:hint="default"/>
                <w:sz w:val="18"/>
                <w:szCs w:val="18"/>
              </w:rPr>
              <w:t> 发展公司核心 </w:t>
            </w:r>
            <w:r>
              <w:rPr>
                <w:rFonts w:ascii="宋体" w:hAnsi="宋体" w:cs="宋体" w:eastAsia="宋体" w:hint="default"/>
                <w:spacing w:val="-6"/>
                <w:sz w:val="18"/>
                <w:szCs w:val="18"/>
              </w:rPr>
              <w:t>业务。本次交易</w:t>
            </w:r>
            <w:r>
              <w:rPr>
                <w:rFonts w:ascii="宋体" w:hAnsi="宋体" w:cs="宋体" w:eastAsia="宋体" w:hint="default"/>
                <w:sz w:val="18"/>
                <w:szCs w:val="18"/>
              </w:rPr>
              <w:t> 对公司财务状 况和经营成果 不产生重大影 </w:t>
            </w:r>
            <w:r>
              <w:rPr>
                <w:rFonts w:ascii="宋体" w:hAnsi="宋体" w:cs="宋体" w:eastAsia="宋体" w:hint="default"/>
                <w:spacing w:val="-6"/>
                <w:sz w:val="18"/>
                <w:szCs w:val="18"/>
              </w:rPr>
              <w:t>响，不存在损害</w:t>
            </w:r>
            <w:r>
              <w:rPr>
                <w:rFonts w:ascii="宋体" w:hAnsi="宋体" w:cs="宋体" w:eastAsia="宋体" w:hint="default"/>
                <w:sz w:val="18"/>
                <w:szCs w:val="18"/>
              </w:rPr>
              <w:t> 公司及广大股 东特别是中小 股东的情形。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11" w:right="0"/>
              <w:jc w:val="left"/>
              <w:rPr>
                <w:rFonts w:ascii="Times New Roman" w:hAnsi="Times New Roman" w:cs="Times New Roman" w:eastAsia="Times New Roman" w:hint="default"/>
                <w:sz w:val="18"/>
                <w:szCs w:val="18"/>
              </w:rPr>
            </w:pPr>
            <w:r>
              <w:rPr>
                <w:rFonts w:ascii="Times New Roman"/>
                <w:sz w:val="18"/>
              </w:rPr>
              <w:t>0.08%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6" w:right="95"/>
              <w:jc w:val="both"/>
              <w:rPr>
                <w:rFonts w:ascii="宋体" w:hAnsi="宋体" w:cs="宋体" w:eastAsia="宋体" w:hint="default"/>
                <w:sz w:val="18"/>
                <w:szCs w:val="18"/>
              </w:rPr>
            </w:pPr>
            <w:r>
              <w:rPr>
                <w:rFonts w:ascii="宋体" w:hAnsi="宋体" w:cs="宋体" w:eastAsia="宋体" w:hint="default"/>
                <w:sz w:val="18"/>
                <w:szCs w:val="18"/>
              </w:rPr>
              <w:t>经转让方 与受让方 协商，按 原投资账 面价值转 让</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38" w:lineRule="auto"/>
              <w:ind w:left="24" w:right="7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 </w:t>
            </w:r>
            <w:hyperlink r:id="rId13">
              <w:r>
                <w:rPr>
                  <w:rFonts w:ascii="Times New Roman" w:hAnsi="Times New Roman" w:cs="Times New Roman" w:eastAsia="Times New Roman" w:hint="default"/>
                  <w:sz w:val="18"/>
                  <w:szCs w:val="18"/>
                </w:rPr>
                <w:t>http://ww</w:t>
              </w:r>
            </w:hyperlink>
          </w:p>
          <w:p>
            <w:pPr>
              <w:pStyle w:val="TableParagraph"/>
              <w:spacing w:line="362" w:lineRule="auto" w:before="23"/>
              <w:ind w:left="24" w:right="70"/>
              <w:jc w:val="left"/>
              <w:rPr>
                <w:rFonts w:ascii="Times New Roman" w:hAnsi="Times New Roman" w:cs="Times New Roman" w:eastAsia="Times New Roman" w:hint="default"/>
                <w:sz w:val="18"/>
                <w:szCs w:val="18"/>
              </w:rPr>
            </w:pPr>
            <w:r>
              <w:rPr>
                <w:rFonts w:ascii="Times New Roman"/>
                <w:spacing w:val="-2"/>
                <w:sz w:val="18"/>
              </w:rPr>
              <w:t>w.cninfo.c</w:t>
            </w:r>
            <w:r>
              <w:rPr>
                <w:rFonts w:ascii="Times New Roman"/>
                <w:spacing w:val="-42"/>
                <w:sz w:val="18"/>
              </w:rPr>
              <w:t> </w:t>
            </w:r>
            <w:r>
              <w:rPr>
                <w:rFonts w:ascii="Times New Roman"/>
                <w:spacing w:val="-42"/>
                <w:sz w:val="18"/>
              </w:rPr>
            </w:r>
            <w:r>
              <w:rPr>
                <w:rFonts w:ascii="Times New Roman"/>
                <w:sz w:val="18"/>
              </w:rPr>
              <w:t>om.cn</w:t>
            </w:r>
          </w:p>
        </w:tc>
      </w:tr>
    </w:tbl>
    <w:p>
      <w:pPr>
        <w:spacing w:line="240" w:lineRule="auto" w:before="1"/>
        <w:rPr>
          <w:rFonts w:ascii="宋体" w:hAnsi="宋体" w:cs="宋体" w:eastAsia="宋体" w:hint="default"/>
          <w:sz w:val="18"/>
          <w:szCs w:val="18"/>
        </w:rPr>
      </w:pPr>
    </w:p>
    <w:p>
      <w:pPr>
        <w:pStyle w:val="Heading2"/>
        <w:spacing w:line="367" w:lineRule="exact"/>
        <w:ind w:left="813" w:right="1159"/>
        <w:jc w:val="left"/>
        <w:rPr>
          <w:b w:val="0"/>
          <w:bCs w:val="0"/>
        </w:rPr>
      </w:pPr>
      <w:r>
        <w:rPr/>
        <w:t>七、主要控股参股公司分析</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after="0" w:line="240" w:lineRule="auto"/>
        <w:rPr>
          <w:rFonts w:ascii="Microsoft JhengHei" w:hAnsi="Microsoft JhengHei" w:cs="Microsoft JhengHei" w:eastAsia="Microsoft JhengHei" w:hint="default"/>
          <w:sz w:val="15"/>
          <w:szCs w:val="15"/>
        </w:rPr>
        <w:sectPr>
          <w:pgSz w:w="11910" w:h="16840"/>
          <w:pgMar w:header="745" w:footer="979" w:top="1060" w:bottom="1160" w:left="320" w:right="0"/>
        </w:sectPr>
      </w:pPr>
    </w:p>
    <w:p>
      <w:pPr>
        <w:pStyle w:val="BodyText"/>
        <w:spacing w:line="240" w:lineRule="auto" w:before="44"/>
        <w:ind w:left="81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813" w:right="-19"/>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813" w:right="0"/>
        <w:jc w:val="left"/>
      </w:pPr>
      <w:r>
        <w:rPr/>
        <w:t>单位：元</w:t>
      </w:r>
    </w:p>
    <w:p>
      <w:pPr>
        <w:spacing w:after="0" w:line="240" w:lineRule="auto"/>
        <w:jc w:val="left"/>
        <w:sectPr>
          <w:type w:val="continuous"/>
          <w:pgSz w:w="11910" w:h="16840"/>
          <w:pgMar w:top="1060" w:bottom="1160" w:left="320" w:right="0"/>
          <w:cols w:num="2" w:equalWidth="0">
            <w:col w:w="5511" w:space="3409"/>
            <w:col w:w="2670"/>
          </w:cols>
        </w:sectPr>
      </w:pP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992"/>
        <w:gridCol w:w="852"/>
        <w:gridCol w:w="1561"/>
        <w:gridCol w:w="1274"/>
        <w:gridCol w:w="1275"/>
        <w:gridCol w:w="1277"/>
        <w:gridCol w:w="1277"/>
        <w:gridCol w:w="1275"/>
        <w:gridCol w:w="1277"/>
      </w:tblGrid>
      <w:tr>
        <w:trPr>
          <w:trHeight w:val="401" w:hRule="exact"/>
        </w:trPr>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2587"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外包园公司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6"/>
              <w:jc w:val="both"/>
              <w:rPr>
                <w:rFonts w:ascii="宋体" w:hAnsi="宋体" w:cs="宋体" w:eastAsia="宋体" w:hint="default"/>
                <w:sz w:val="18"/>
                <w:szCs w:val="18"/>
              </w:rPr>
            </w:pPr>
            <w:r>
              <w:rPr>
                <w:rFonts w:ascii="宋体" w:hAnsi="宋体" w:cs="宋体" w:eastAsia="宋体" w:hint="default"/>
                <w:sz w:val="18"/>
                <w:szCs w:val="18"/>
              </w:rPr>
              <w:t>软件外包园区的投 资和管理；实业投 资；计算机软、硬 件系统的开发、集 成、咨询、销售和 服务；物业管理； 自建房屋出租；停 车场管理服务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128,761,620.11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671,282,074.48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202,844,162.95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72,059,774.31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-562,826.00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11,473.43</w:t>
            </w:r>
          </w:p>
        </w:tc>
      </w:tr>
      <w:tr>
        <w:trPr>
          <w:trHeight w:val="40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捷科智诚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468,936,603.62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282,832,559.88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650,000,516.13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75,294,782.35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72,205,090.47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32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992"/>
        <w:gridCol w:w="852"/>
        <w:gridCol w:w="1561"/>
        <w:gridCol w:w="1274"/>
        <w:gridCol w:w="1275"/>
        <w:gridCol w:w="1277"/>
        <w:gridCol w:w="1277"/>
        <w:gridCol w:w="1275"/>
        <w:gridCol w:w="1277"/>
      </w:tblGrid>
      <w:tr>
        <w:trPr>
          <w:trHeight w:val="40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联创智融</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103,975,000.00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567,674,948.19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402,862,679.51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345,712,899.65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-143,871,061.16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-139,518,793.45</w:t>
            </w:r>
          </w:p>
        </w:tc>
      </w:tr>
      <w:tr>
        <w:trPr>
          <w:trHeight w:val="40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西安润和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6" w:right="0"/>
              <w:jc w:val="center"/>
              <w:rPr>
                <w:rFonts w:ascii="Times New Roman" w:hAnsi="Times New Roman" w:cs="Times New Roman" w:eastAsia="Times New Roman" w:hint="default"/>
                <w:sz w:val="18"/>
                <w:szCs w:val="18"/>
              </w:rPr>
            </w:pPr>
            <w:r>
              <w:rPr>
                <w:rFonts w:ascii="Times New Roman"/>
                <w:sz w:val="18"/>
              </w:rPr>
              <w:t>25,786,091.67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8" w:right="0"/>
              <w:jc w:val="center"/>
              <w:rPr>
                <w:rFonts w:ascii="Times New Roman" w:hAnsi="Times New Roman" w:cs="Times New Roman" w:eastAsia="Times New Roman" w:hint="default"/>
                <w:sz w:val="18"/>
                <w:szCs w:val="18"/>
              </w:rPr>
            </w:pPr>
            <w:r>
              <w:rPr>
                <w:rFonts w:ascii="Times New Roman"/>
                <w:sz w:val="18"/>
              </w:rPr>
              <w:t>13,998,067.74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4" w:right="0"/>
              <w:jc w:val="center"/>
              <w:rPr>
                <w:rFonts w:ascii="Times New Roman" w:hAnsi="Times New Roman" w:cs="Times New Roman" w:eastAsia="Times New Roman" w:hint="default"/>
                <w:sz w:val="18"/>
                <w:szCs w:val="18"/>
              </w:rPr>
            </w:pPr>
            <w:r>
              <w:rPr>
                <w:rFonts w:ascii="Times New Roman"/>
                <w:sz w:val="18"/>
              </w:rPr>
              <w:t>95,007,959.96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-1,505,765.91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-1,357,617.62</w:t>
            </w:r>
          </w:p>
        </w:tc>
      </w:tr>
      <w:tr>
        <w:trPr>
          <w:trHeight w:val="40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菲耐得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center"/>
              <w:rPr>
                <w:rFonts w:ascii="Times New Roman" w:hAnsi="Times New Roman" w:cs="Times New Roman" w:eastAsia="Times New Roman" w:hint="default"/>
                <w:sz w:val="18"/>
                <w:szCs w:val="18"/>
              </w:rPr>
            </w:pPr>
            <w:r>
              <w:rPr>
                <w:rFonts w:ascii="Times New Roman"/>
                <w:sz w:val="18"/>
              </w:rPr>
              <w:t>61,625,357.41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center"/>
              <w:rPr>
                <w:rFonts w:ascii="Times New Roman" w:hAnsi="Times New Roman" w:cs="Times New Roman" w:eastAsia="Times New Roman" w:hint="default"/>
                <w:sz w:val="18"/>
                <w:szCs w:val="18"/>
              </w:rPr>
            </w:pPr>
            <w:r>
              <w:rPr>
                <w:rFonts w:ascii="Times New Roman"/>
                <w:sz w:val="18"/>
              </w:rPr>
              <w:t>54,541,390.36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center"/>
              <w:rPr>
                <w:rFonts w:ascii="Times New Roman" w:hAnsi="Times New Roman" w:cs="Times New Roman" w:eastAsia="Times New Roman" w:hint="default"/>
                <w:sz w:val="18"/>
                <w:szCs w:val="18"/>
              </w:rPr>
            </w:pPr>
            <w:r>
              <w:rPr>
                <w:rFonts w:ascii="Times New Roman"/>
                <w:sz w:val="18"/>
              </w:rPr>
              <w:t>68,442,476.90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654,755.08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1,455,973.87</w:t>
            </w:r>
          </w:p>
        </w:tc>
      </w:tr>
    </w:tbl>
    <w:p>
      <w:pPr>
        <w:pStyle w:val="BodyText"/>
        <w:spacing w:line="240" w:lineRule="auto" w:before="49"/>
        <w:ind w:left="813" w:right="1159"/>
        <w:jc w:val="left"/>
      </w:pPr>
      <w:r>
        <w:rPr/>
        <w:t>报告期内取得和处置子公司的情况</w:t>
      </w:r>
    </w:p>
    <w:p>
      <w:pPr>
        <w:pStyle w:val="BodyText"/>
        <w:spacing w:line="240" w:lineRule="auto" w:before="115"/>
        <w:ind w:left="813" w:right="11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80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258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南京润辰科技有限公司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转让处置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
              <w:jc w:val="left"/>
              <w:rPr>
                <w:rFonts w:ascii="宋体" w:hAnsi="宋体" w:cs="宋体" w:eastAsia="宋体" w:hint="default"/>
                <w:sz w:val="18"/>
                <w:szCs w:val="18"/>
              </w:rPr>
            </w:pPr>
            <w:r>
              <w:rPr>
                <w:rFonts w:ascii="宋体" w:hAnsi="宋体" w:cs="宋体" w:eastAsia="宋体" w:hint="default"/>
                <w:sz w:val="18"/>
                <w:szCs w:val="18"/>
              </w:rPr>
              <w:t>公司本次转让南京润辰科技有限公司的 目的旨在进一步聚焦公司经营战略，集 中资源发展公司核心业务。本次交易对 公司财务状况和经营成果不产生重大影 响，不存在损害公司及广大股东特别是 中小股东的情形。本次交易对</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 归属于母公司所有者的净利润影响为</w:t>
            </w:r>
          </w:p>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574.99 </w:t>
            </w:r>
            <w:r>
              <w:rPr>
                <w:rFonts w:ascii="宋体" w:hAnsi="宋体" w:cs="宋体" w:eastAsia="宋体" w:hint="default"/>
                <w:sz w:val="18"/>
                <w:szCs w:val="18"/>
              </w:rPr>
              <w:t>万元。</w:t>
            </w:r>
          </w:p>
        </w:tc>
      </w:tr>
      <w:tr>
        <w:trPr>
          <w:trHeight w:val="227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润和云（上海）科技有限公司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公司全资子公司润和云（上海）科技有 限公司自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年以来已不开展实际经 营业务，故公司决定予以注销。本次注 销润和云（上海）科技有限公司不会对 公司整体业务发展和盈利水平产生不利 影响，不存在损害公司及广大股东特别 是中小股东利益的情形。</w:t>
            </w:r>
          </w:p>
        </w:tc>
      </w:tr>
      <w:tr>
        <w:trPr>
          <w:trHeight w:val="19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新维数联（北京）科技有限公司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解除股东会表决权委托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报告期内，新维数联其他股东解除委托 本公司行使其股东会表决权，新维数联 不再纳入本公司合并财务报表范围，对 公司整体业务发展和盈利水平不产生影 响，不存在损害公司及广大股东特别是 中小股东利益的情形。</w:t>
            </w:r>
          </w:p>
        </w:tc>
      </w:tr>
    </w:tbl>
    <w:p>
      <w:pPr>
        <w:pStyle w:val="BodyText"/>
        <w:spacing w:line="240" w:lineRule="auto" w:before="49"/>
        <w:ind w:left="813" w:right="1159"/>
        <w:jc w:val="left"/>
      </w:pPr>
      <w:r>
        <w:rPr/>
        <w:t>主要控股参股公司情况说明</w:t>
      </w:r>
    </w:p>
    <w:p>
      <w:pPr>
        <w:pStyle w:val="BodyText"/>
        <w:spacing w:line="240" w:lineRule="auto" w:before="115"/>
        <w:ind w:left="1317" w:right="1159"/>
        <w:jc w:val="left"/>
      </w:pPr>
      <w:r>
        <w:rPr/>
        <w:t>报告期内公司全资子公司联创智融经营业绩同比出现大幅波动，</w:t>
      </w:r>
      <w:r>
        <w:rPr>
          <w:spacing w:val="-15"/>
        </w:rPr>
        <w:t> </w:t>
      </w:r>
      <w:r>
        <w:rPr/>
        <w:t>归属于上市公司股东的净利润较上年同期减少</w:t>
      </w:r>
    </w:p>
    <w:p>
      <w:pPr>
        <w:pStyle w:val="BodyText"/>
        <w:spacing w:line="240" w:lineRule="auto" w:before="76"/>
        <w:ind w:left="813" w:right="1159"/>
        <w:jc w:val="left"/>
      </w:pPr>
      <w:r>
        <w:rPr>
          <w:rFonts w:ascii="Times New Roman" w:hAnsi="Times New Roman" w:cs="Times New Roman" w:eastAsia="Times New Roman" w:hint="default"/>
        </w:rPr>
        <w:t>161.84%</w:t>
      </w:r>
      <w:r>
        <w:rPr/>
        <w:t>，对公司合并经营业绩造成重大影响，占公司合并报表归属于上市公司股东净利润的比例为</w:t>
      </w:r>
      <w:r>
        <w:rPr>
          <w:rFonts w:ascii="Times New Roman" w:hAnsi="Times New Roman" w:cs="Times New Roman" w:eastAsia="Times New Roman" w:hint="default"/>
        </w:rPr>
        <w:t>7.78%</w:t>
      </w:r>
      <w:r>
        <w:rPr/>
        <w:t>，主要原因系：</w:t>
      </w:r>
    </w:p>
    <w:p>
      <w:pPr>
        <w:pStyle w:val="BodyText"/>
        <w:spacing w:line="300" w:lineRule="auto" w:before="63"/>
        <w:ind w:left="813" w:right="1159" w:firstLine="504"/>
        <w:jc w:val="left"/>
      </w:pPr>
      <w:r>
        <w:rPr>
          <w:rFonts w:ascii="Times New Roman" w:hAnsi="Times New Roman" w:cs="Times New Roman" w:eastAsia="Times New Roman" w:hint="default"/>
        </w:rPr>
        <w:t>1</w:t>
      </w:r>
      <w:r>
        <w:rPr/>
        <w:t>、全资子公司联创智融出现部分业务骨干人员流失，在经营过程中新客户开拓不达预期，并对历史客户基于回款信 用主动收缩了部分业务，联创智融</w:t>
      </w:r>
      <w:r>
        <w:rPr>
          <w:rFonts w:ascii="Times New Roman" w:hAnsi="Times New Roman" w:cs="Times New Roman" w:eastAsia="Times New Roman" w:hint="default"/>
        </w:rPr>
        <w:t>2019</w:t>
      </w:r>
      <w:r>
        <w:rPr/>
        <w:t>年度实现业务收入</w:t>
      </w:r>
      <w:r>
        <w:rPr>
          <w:rFonts w:ascii="Times New Roman" w:hAnsi="Times New Roman" w:cs="Times New Roman" w:eastAsia="Times New Roman" w:hint="default"/>
        </w:rPr>
        <w:t>34,571.29</w:t>
      </w:r>
      <w:r>
        <w:rPr/>
        <w:t>万元，较上年同期下降</w:t>
      </w:r>
      <w:r>
        <w:rPr>
          <w:rFonts w:ascii="Times New Roman" w:hAnsi="Times New Roman" w:cs="Times New Roman" w:eastAsia="Times New Roman" w:hint="default"/>
        </w:rPr>
        <w:t>45.88%</w:t>
      </w:r>
      <w:r>
        <w:rPr/>
        <w:t>；</w:t>
      </w:r>
    </w:p>
    <w:p>
      <w:pPr>
        <w:pStyle w:val="BodyText"/>
        <w:spacing w:line="300" w:lineRule="auto" w:before="13"/>
        <w:ind w:left="813" w:right="1033" w:firstLine="504"/>
        <w:jc w:val="left"/>
      </w:pPr>
      <w:r>
        <w:rPr>
          <w:rFonts w:ascii="Times New Roman" w:hAnsi="Times New Roman" w:cs="Times New Roman" w:eastAsia="Times New Roman" w:hint="default"/>
        </w:rPr>
        <w:t>2</w:t>
      </w:r>
      <w:r>
        <w:rPr/>
        <w:t>、全资子公司联创智融应收账款回收未达预期，公司对联创智融应收账款对应的客户进行综合分析，发现部分应收 账款存在一定回收风险，公司对联创智融该部分客户的应收账款进行单项计提坏账准备，单项计提坏账准备</w:t>
      </w:r>
      <w:r>
        <w:rPr>
          <w:rFonts w:ascii="Times New Roman" w:hAnsi="Times New Roman" w:cs="Times New Roman" w:eastAsia="Times New Roman" w:hint="default"/>
        </w:rPr>
        <w:t>13,667.55</w:t>
      </w:r>
      <w:r>
        <w:rPr/>
        <w:t>万元， 本期信用减值损失大幅增加。</w:t>
      </w:r>
    </w:p>
    <w:p>
      <w:pPr>
        <w:spacing w:line="240" w:lineRule="auto" w:before="13"/>
        <w:rPr>
          <w:rFonts w:ascii="宋体" w:hAnsi="宋体" w:cs="宋体" w:eastAsia="宋体" w:hint="default"/>
          <w:sz w:val="15"/>
          <w:szCs w:val="15"/>
        </w:rPr>
      </w:pPr>
    </w:p>
    <w:p>
      <w:pPr>
        <w:pStyle w:val="Heading2"/>
        <w:spacing w:line="240" w:lineRule="auto"/>
        <w:ind w:left="813" w:right="1159"/>
        <w:jc w:val="left"/>
        <w:rPr>
          <w:b w:val="0"/>
          <w:bCs w:val="0"/>
        </w:rPr>
      </w:pPr>
      <w:r>
        <w:rPr/>
        <w:t>八、公司控制的结构化主体情况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left="813" w:right="11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320" w:right="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九、公司未来发展的展望</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left="657" w:right="0"/>
        <w:jc w:val="left"/>
      </w:pPr>
      <w:r>
        <w:rPr/>
        <w:t>（一）公司发展规划</w:t>
      </w:r>
    </w:p>
    <w:p>
      <w:pPr>
        <w:pStyle w:val="BodyText"/>
        <w:spacing w:line="300" w:lineRule="auto" w:before="76"/>
        <w:ind w:left="585" w:right="0" w:firstLine="72"/>
        <w:jc w:val="left"/>
      </w:pPr>
      <w:r>
        <w:rPr>
          <w:rFonts w:ascii="Times New Roman" w:hAnsi="Times New Roman" w:cs="Times New Roman" w:eastAsia="Times New Roman" w:hint="default"/>
        </w:rPr>
        <w:t>1</w:t>
      </w:r>
      <w:r>
        <w:rPr/>
        <w:t>、坚持</w:t>
      </w:r>
      <w:r>
        <w:rPr>
          <w:rFonts w:ascii="Times New Roman" w:hAnsi="Times New Roman" w:cs="Times New Roman" w:eastAsia="Times New Roman" w:hint="default"/>
        </w:rPr>
        <w:t>“</w:t>
      </w:r>
      <w:r>
        <w:rPr/>
        <w:t>金融科技</w:t>
      </w:r>
      <w:r>
        <w:rPr>
          <w:rFonts w:ascii="Times New Roman" w:hAnsi="Times New Roman" w:cs="Times New Roman" w:eastAsia="Times New Roman" w:hint="default"/>
        </w:rPr>
        <w:t>”+“</w:t>
      </w:r>
      <w:r>
        <w:rPr/>
        <w:t>智能物联</w:t>
      </w:r>
      <w:r>
        <w:rPr>
          <w:rFonts w:ascii="Times New Roman" w:hAnsi="Times New Roman" w:cs="Times New Roman" w:eastAsia="Times New Roman" w:hint="default"/>
        </w:rPr>
        <w:t>”</w:t>
      </w:r>
      <w:r>
        <w:rPr/>
        <w:t>双轮发展战略 公司经过多年的发展，业务版图不断聚焦，已经形成了清晰的</w:t>
      </w:r>
      <w:r>
        <w:rPr>
          <w:rFonts w:ascii="Times New Roman" w:hAnsi="Times New Roman" w:cs="Times New Roman" w:eastAsia="Times New Roman" w:hint="default"/>
        </w:rPr>
        <w:t>“</w:t>
      </w:r>
      <w:r>
        <w:rPr/>
        <w:t>金融科技</w:t>
      </w:r>
      <w:r>
        <w:rPr>
          <w:rFonts w:ascii="Times New Roman" w:hAnsi="Times New Roman" w:cs="Times New Roman" w:eastAsia="Times New Roman" w:hint="default"/>
        </w:rPr>
        <w:t>”+“</w:t>
      </w:r>
      <w:r>
        <w:rPr/>
        <w:t>智能物联</w:t>
      </w:r>
      <w:r>
        <w:rPr>
          <w:rFonts w:ascii="Times New Roman" w:hAnsi="Times New Roman" w:cs="Times New Roman" w:eastAsia="Times New Roman" w:hint="default"/>
        </w:rPr>
        <w:t>”</w:t>
      </w:r>
      <w:r>
        <w:rPr/>
        <w:t>双轮驱动的发展战略。 金融科技业务，主要聚焦银行信息化领域，以城商行和头部农商行等中小银行为主要目标客户，未来将重点围绕公司</w:t>
      </w:r>
    </w:p>
    <w:p>
      <w:pPr>
        <w:pStyle w:val="BodyText"/>
        <w:spacing w:line="300" w:lineRule="auto" w:before="31"/>
        <w:ind w:right="1131"/>
        <w:jc w:val="both"/>
      </w:pPr>
      <w:r>
        <w:rPr/>
        <w:t>研发的</w:t>
      </w:r>
      <w:r>
        <w:rPr>
          <w:rFonts w:ascii="Times New Roman" w:hAnsi="Times New Roman" w:cs="Times New Roman" w:eastAsia="Times New Roman" w:hint="default"/>
        </w:rPr>
        <w:t>“</w:t>
      </w:r>
      <w:r>
        <w:rPr/>
        <w:t>新一代分布式核心系统</w:t>
      </w:r>
      <w:r>
        <w:rPr>
          <w:rFonts w:ascii="Times New Roman" w:hAnsi="Times New Roman" w:cs="Times New Roman" w:eastAsia="Times New Roman" w:hint="default"/>
        </w:rPr>
        <w:t>”</w:t>
      </w:r>
      <w:r>
        <w:rPr/>
        <w:t>、面向</w:t>
      </w:r>
      <w:r>
        <w:rPr>
          <w:rFonts w:ascii="Times New Roman" w:hAnsi="Times New Roman" w:cs="Times New Roman" w:eastAsia="Times New Roman" w:hint="default"/>
        </w:rPr>
        <w:t>“</w:t>
      </w:r>
      <w:r>
        <w:rPr/>
        <w:t>零售和互金业务</w:t>
      </w:r>
      <w:r>
        <w:rPr>
          <w:rFonts w:ascii="Times New Roman" w:hAnsi="Times New Roman" w:cs="Times New Roman" w:eastAsia="Times New Roman" w:hint="default"/>
        </w:rPr>
        <w:t>”</w:t>
      </w:r>
      <w:r>
        <w:rPr/>
        <w:t>的</w:t>
      </w:r>
      <w:r>
        <w:rPr>
          <w:rFonts w:ascii="Times New Roman" w:hAnsi="Times New Roman" w:cs="Times New Roman" w:eastAsia="Times New Roman" w:hint="default"/>
        </w:rPr>
        <w:t>“</w:t>
      </w:r>
      <w:r>
        <w:rPr/>
        <w:t>业务中台系统</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数据中台系统</w:t>
      </w:r>
      <w:r>
        <w:rPr>
          <w:rFonts w:ascii="Times New Roman" w:hAnsi="Times New Roman" w:cs="Times New Roman" w:eastAsia="Times New Roman" w:hint="default"/>
        </w:rPr>
        <w:t>”</w:t>
      </w:r>
      <w:r>
        <w:rPr/>
        <w:t>等产品和解决方案进行销售， 为客户提供从咨询服务、开发、测试、运维全生命周期的信息技术服务。</w:t>
      </w:r>
    </w:p>
    <w:p>
      <w:pPr>
        <w:pStyle w:val="BodyText"/>
        <w:spacing w:line="240" w:lineRule="auto" w:before="31"/>
        <w:ind w:left="657" w:right="0"/>
        <w:jc w:val="left"/>
      </w:pPr>
      <w:r>
        <w:rPr/>
        <w:t>智能物联业务，公司以智能终端研发业务所形成的从芯片、操作系统、终端硬件、嵌入式软件、人工智能、云计算的</w:t>
      </w:r>
    </w:p>
    <w:p>
      <w:pPr>
        <w:pStyle w:val="BodyText"/>
        <w:spacing w:line="309" w:lineRule="auto" w:before="76"/>
        <w:ind w:right="1131"/>
        <w:jc w:val="both"/>
      </w:pPr>
      <w:r>
        <w:rPr>
          <w:spacing w:val="-2"/>
        </w:rPr>
        <w:t>（终）端到（云）端的技术能力为核心，未来将结合公司在电力行业、零售餐饮行业、汽车电子、智能家居等行业所积累的</w:t>
      </w:r>
      <w:r>
        <w:rPr>
          <w:spacing w:val="-73"/>
        </w:rPr>
        <w:t> </w:t>
      </w:r>
      <w:r>
        <w:rPr>
          <w:spacing w:val="-73"/>
        </w:rPr>
      </w:r>
      <w:r>
        <w:rPr>
          <w:spacing w:val="-2"/>
        </w:rPr>
        <w:t>场景应用经验，重点针对未来物联网发展所带来的大量行业定制终端需求，发展</w:t>
      </w:r>
      <w:r>
        <w:rPr>
          <w:rFonts w:ascii="Times New Roman" w:hAnsi="Times New Roman" w:cs="Times New Roman" w:eastAsia="Times New Roman" w:hint="default"/>
          <w:spacing w:val="-2"/>
        </w:rPr>
        <w:t>“</w:t>
      </w:r>
      <w:r>
        <w:rPr>
          <w:spacing w:val="-2"/>
        </w:rPr>
        <w:t>软硬一体化</w:t>
      </w:r>
      <w:r>
        <w:rPr>
          <w:rFonts w:ascii="Times New Roman" w:hAnsi="Times New Roman" w:cs="Times New Roman" w:eastAsia="Times New Roman" w:hint="default"/>
          <w:spacing w:val="-2"/>
        </w:rPr>
        <w:t>”</w:t>
      </w:r>
      <w:r>
        <w:rPr>
          <w:spacing w:val="-2"/>
        </w:rPr>
        <w:t>智能终端产品，为行业客户提</w:t>
      </w:r>
      <w:r>
        <w:rPr>
          <w:spacing w:val="-44"/>
        </w:rPr>
        <w:t> </w:t>
      </w:r>
      <w:r>
        <w:rPr>
          <w:spacing w:val="-44"/>
        </w:rPr>
      </w:r>
      <w:r>
        <w:rPr/>
        <w:t>供完整的物联网应用解决方案。</w:t>
      </w:r>
    </w:p>
    <w:p>
      <w:pPr>
        <w:pStyle w:val="BodyText"/>
        <w:spacing w:line="316" w:lineRule="auto" w:before="24"/>
        <w:ind w:right="1130" w:firstLine="504"/>
        <w:jc w:val="both"/>
      </w:pPr>
      <w:r>
        <w:rPr>
          <w:spacing w:val="-1"/>
        </w:rPr>
        <w:t>金融科技和智能物联都是国家战略性新兴产业的重点发展领域，发展潜力巨大。公司在这两个领域已经深耕多年，始</w:t>
      </w:r>
      <w:r>
        <w:rPr/>
        <w:t> </w:t>
      </w:r>
      <w:r>
        <w:rPr>
          <w:spacing w:val="-2"/>
        </w:rPr>
        <w:t>终处于行业内企业的第一梯队，构建了自己独特的技术体系和品牌优势，并以此为基础形成了一定的业务规模。未来公司将</w:t>
      </w:r>
      <w:r>
        <w:rPr>
          <w:spacing w:val="-63"/>
        </w:rPr>
        <w:t> </w:t>
      </w:r>
      <w:r>
        <w:rPr>
          <w:spacing w:val="-63"/>
        </w:rPr>
      </w:r>
      <w:r>
        <w:rPr>
          <w:spacing w:val="-2"/>
        </w:rPr>
        <w:t>继续坚持双轮驱动的战略方针，通过持续的研发投入不断优化产品结构和提升服务能力，抓住两大产业高速发展带来的黄金</w:t>
      </w:r>
      <w:r>
        <w:rPr>
          <w:spacing w:val="-64"/>
        </w:rPr>
        <w:t> </w:t>
      </w:r>
      <w:r>
        <w:rPr>
          <w:spacing w:val="-64"/>
        </w:rPr>
      </w:r>
      <w:r>
        <w:rPr/>
        <w:t>机遇，实现公司业务的跨越式发展。</w:t>
      </w:r>
    </w:p>
    <w:p>
      <w:pPr>
        <w:pStyle w:val="BodyText"/>
        <w:spacing w:line="300" w:lineRule="auto" w:before="19"/>
        <w:ind w:left="657" w:right="0"/>
        <w:jc w:val="left"/>
      </w:pPr>
      <w:r>
        <w:rPr>
          <w:rFonts w:ascii="Times New Roman" w:hAnsi="Times New Roman" w:cs="Times New Roman" w:eastAsia="Times New Roman" w:hint="default"/>
        </w:rPr>
        <w:t>2</w:t>
      </w:r>
      <w:r>
        <w:rPr/>
        <w:t>、顺应自主创新发展趋势，加大研发投入，完善研发体系 </w:t>
      </w:r>
      <w:r>
        <w:rPr>
          <w:spacing w:val="-1"/>
        </w:rPr>
        <w:t>近年来，随着国际科技领域竞争形势的演变以及我国对国家安全以及自主创新的重视，我国把发展</w:t>
      </w:r>
      <w:r>
        <w:rPr>
          <w:rFonts w:ascii="Times New Roman" w:hAnsi="Times New Roman" w:cs="Times New Roman" w:eastAsia="Times New Roman" w:hint="default"/>
          <w:spacing w:val="-1"/>
        </w:rPr>
        <w:t>“</w:t>
      </w:r>
      <w:r>
        <w:rPr>
          <w:spacing w:val="-1"/>
        </w:rPr>
        <w:t>信创产业</w:t>
      </w:r>
      <w:r>
        <w:rPr>
          <w:rFonts w:ascii="Times New Roman" w:hAnsi="Times New Roman" w:cs="Times New Roman" w:eastAsia="Times New Roman" w:hint="default"/>
          <w:spacing w:val="-1"/>
        </w:rPr>
        <w:t>”</w:t>
      </w:r>
      <w:r>
        <w:rPr>
          <w:spacing w:val="-1"/>
        </w:rPr>
        <w:t>提升到</w:t>
      </w:r>
    </w:p>
    <w:p>
      <w:pPr>
        <w:pStyle w:val="BodyText"/>
        <w:spacing w:line="316" w:lineRule="auto" w:before="13"/>
        <w:ind w:right="1132"/>
        <w:jc w:val="both"/>
      </w:pPr>
      <w:r>
        <w:rPr>
          <w:spacing w:val="-2"/>
        </w:rPr>
        <w:t>国家战略的高度，以求实现芯片、硬件系统、基础软件、中间件、云计算等各关键技术的自主可控，未来这一国家战略的逐</w:t>
      </w:r>
      <w:r>
        <w:rPr>
          <w:spacing w:val="-70"/>
        </w:rPr>
        <w:t> </w:t>
      </w:r>
      <w:r>
        <w:rPr>
          <w:spacing w:val="-70"/>
        </w:rPr>
      </w:r>
      <w:r>
        <w:rPr>
          <w:spacing w:val="-2"/>
        </w:rPr>
        <w:t>步实施落地将给整个信息技术产业带来了巨大的市场空间。公司作为中国信息技术领域的领军企业之一，目前已经形成了集</w:t>
      </w:r>
      <w:r>
        <w:rPr>
          <w:spacing w:val="-64"/>
        </w:rPr>
        <w:t> </w:t>
      </w:r>
      <w:r>
        <w:rPr>
          <w:spacing w:val="-64"/>
        </w:rPr>
      </w:r>
      <w:r>
        <w:rPr>
          <w:spacing w:val="-2"/>
        </w:rPr>
        <w:t>芯片、操作系统、硬件设计、中间件、云计算平台、人工智能、大数据等软硬件关键技术的积累，未来公司将在充分发挥自</w:t>
      </w:r>
      <w:r>
        <w:rPr>
          <w:spacing w:val="-73"/>
        </w:rPr>
        <w:t> </w:t>
      </w:r>
      <w:r>
        <w:rPr>
          <w:spacing w:val="-73"/>
        </w:rPr>
      </w:r>
      <w:r>
        <w:rPr/>
        <w:t>身的技术和应用优势的基础上，进一步加大研发投入，力争在</w:t>
      </w:r>
      <w:r>
        <w:rPr>
          <w:rFonts w:ascii="Times New Roman" w:hAnsi="Times New Roman" w:cs="Times New Roman" w:eastAsia="Times New Roman" w:hint="default"/>
        </w:rPr>
        <w:t>“</w:t>
      </w:r>
      <w:r>
        <w:rPr/>
        <w:t>信创产业</w:t>
      </w:r>
      <w:r>
        <w:rPr>
          <w:rFonts w:ascii="Times New Roman" w:hAnsi="Times New Roman" w:cs="Times New Roman" w:eastAsia="Times New Roman" w:hint="default"/>
        </w:rPr>
        <w:t>”</w:t>
      </w:r>
      <w:r>
        <w:rPr/>
        <w:t>涉及的重点行业实现针对性的产品研发及落地。</w:t>
      </w:r>
    </w:p>
    <w:p>
      <w:pPr>
        <w:pStyle w:val="BodyText"/>
        <w:spacing w:line="302" w:lineRule="auto"/>
        <w:ind w:right="1023" w:firstLine="504"/>
        <w:jc w:val="left"/>
      </w:pPr>
      <w:r>
        <w:rPr>
          <w:spacing w:val="-4"/>
        </w:rPr>
        <w:t>基于上述目标，公司制定了《未来三年（</w:t>
      </w:r>
      <w:r>
        <w:rPr>
          <w:rFonts w:ascii="Times New Roman" w:hAnsi="Times New Roman" w:cs="Times New Roman" w:eastAsia="Times New Roman" w:hint="default"/>
          <w:spacing w:val="-4"/>
        </w:rPr>
        <w:t>2020-2022</w:t>
      </w:r>
      <w:r>
        <w:rPr>
          <w:spacing w:val="-4"/>
        </w:rPr>
        <w:t>）产品研发战略规划》，将公司未来的研发方向定义为</w:t>
      </w:r>
      <w:r>
        <w:rPr>
          <w:rFonts w:ascii="Times New Roman" w:hAnsi="Times New Roman" w:cs="Times New Roman" w:eastAsia="Times New Roman" w:hint="default"/>
          <w:spacing w:val="-4"/>
        </w:rPr>
        <w:t>“</w:t>
      </w:r>
      <w:r>
        <w:rPr>
          <w:spacing w:val="-4"/>
        </w:rPr>
        <w:t>一体两翼</w:t>
      </w:r>
      <w:r>
        <w:rPr>
          <w:rFonts w:ascii="Times New Roman" w:hAnsi="Times New Roman" w:cs="Times New Roman" w:eastAsia="Times New Roman" w:hint="default"/>
          <w:spacing w:val="-4"/>
        </w:rPr>
        <w:t>”</w:t>
      </w:r>
      <w:r>
        <w:rPr>
          <w:spacing w:val="-4"/>
        </w:rPr>
        <w:t>，</w:t>
      </w:r>
      <w:r>
        <w:rPr/>
        <w:t> </w:t>
      </w:r>
      <w:r>
        <w:rPr>
          <w:rFonts w:ascii="Times New Roman" w:hAnsi="Times New Roman" w:cs="Times New Roman" w:eastAsia="Times New Roman" w:hint="default"/>
        </w:rPr>
        <w:t>“</w:t>
      </w:r>
      <w:r>
        <w:rPr/>
        <w:t>一体</w:t>
      </w:r>
      <w:r>
        <w:rPr>
          <w:rFonts w:ascii="Times New Roman" w:hAnsi="Times New Roman" w:cs="Times New Roman" w:eastAsia="Times New Roman" w:hint="default"/>
        </w:rPr>
        <w:t>”</w:t>
      </w:r>
      <w:r>
        <w:rPr/>
        <w:t>就是抓住软硬件产品国产化这条技术主线，紧密跟随相关领军企业（如华为、阿里等）的平台与生态化战略，结合公 司自身在软件产品全生命周期管理方面的经验优势，形成基于类似平台的公司自主知识产权的产品和解决方案。</w:t>
      </w:r>
      <w:r>
        <w:rPr>
          <w:rFonts w:ascii="Times New Roman" w:hAnsi="Times New Roman" w:cs="Times New Roman" w:eastAsia="Times New Roman" w:hint="default"/>
        </w:rPr>
        <w:t>“</w:t>
      </w:r>
      <w:r>
        <w:rPr/>
        <w:t>两翼</w:t>
      </w:r>
      <w:r>
        <w:rPr>
          <w:rFonts w:ascii="Times New Roman" w:hAnsi="Times New Roman" w:cs="Times New Roman" w:eastAsia="Times New Roman" w:hint="default"/>
        </w:rPr>
        <w:t>”</w:t>
      </w:r>
      <w:r>
        <w:rPr/>
        <w:t>是指 将产品研发重点聚焦两个行业应用场景</w:t>
      </w:r>
      <w:r>
        <w:rPr>
          <w:rFonts w:ascii="Times New Roman" w:hAnsi="Times New Roman" w:cs="Times New Roman" w:eastAsia="Times New Roman" w:hint="default"/>
        </w:rPr>
        <w:t>——“</w:t>
      </w:r>
      <w:r>
        <w:rPr/>
        <w:t>金融</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电力</w:t>
      </w:r>
      <w:r>
        <w:rPr>
          <w:rFonts w:ascii="Times New Roman" w:hAnsi="Times New Roman" w:cs="Times New Roman" w:eastAsia="Times New Roman" w:hint="default"/>
        </w:rPr>
        <w:t>”</w:t>
      </w:r>
      <w:r>
        <w:rPr/>
        <w:t>，一方面上述两个行业是信创产业重点领域，拥有较大的市场空 </w:t>
      </w:r>
      <w:r>
        <w:rPr>
          <w:spacing w:val="-2"/>
        </w:rPr>
        <w:t>间，另一方面公司在两个行业中深耕多年，积累了较为丰富的应用场景，为产品研发的落地提供了有利条件。未来公司将以</w:t>
      </w:r>
      <w:r>
        <w:rPr>
          <w:spacing w:val="-65"/>
        </w:rPr>
        <w:t> </w:t>
      </w:r>
      <w:r>
        <w:rPr>
          <w:spacing w:val="-65"/>
        </w:rPr>
      </w:r>
      <w:r>
        <w:rPr/>
        <w:t>国产化软硬件技术平台为基础，开发适用于这两大行业的系列产品，并且将更多地发展</w:t>
      </w:r>
      <w:r>
        <w:rPr>
          <w:rFonts w:ascii="Times New Roman" w:hAnsi="Times New Roman" w:cs="Times New Roman" w:eastAsia="Times New Roman" w:hint="default"/>
        </w:rPr>
        <w:t>“</w:t>
      </w:r>
      <w:r>
        <w:rPr/>
        <w:t>软硬件一体化</w:t>
      </w:r>
      <w:r>
        <w:rPr>
          <w:rFonts w:ascii="Times New Roman" w:hAnsi="Times New Roman" w:cs="Times New Roman" w:eastAsia="Times New Roman" w:hint="default"/>
        </w:rPr>
        <w:t>”</w:t>
      </w:r>
      <w:r>
        <w:rPr/>
        <w:t>的智能硬件产品。具 体内容包括：</w:t>
      </w:r>
    </w:p>
    <w:p>
      <w:pPr>
        <w:pStyle w:val="BodyText"/>
        <w:spacing w:line="300" w:lineRule="auto" w:before="29"/>
        <w:ind w:left="657" w:right="5125" w:hanging="504"/>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w:t>
      </w:r>
      <w:r>
        <w:rPr/>
        <w:t>一体</w:t>
      </w:r>
      <w:r>
        <w:rPr>
          <w:rFonts w:ascii="Times New Roman" w:hAnsi="Times New Roman" w:cs="Times New Roman" w:eastAsia="Times New Roman" w:hint="default"/>
        </w:rPr>
        <w:t>”</w:t>
      </w:r>
      <w:r>
        <w:rPr/>
        <w:t>之基础软硬件产品： </w:t>
      </w:r>
      <w:r>
        <w:rPr>
          <w:rFonts w:ascii="Times New Roman" w:hAnsi="Times New Roman" w:cs="Times New Roman" w:eastAsia="Times New Roman" w:hint="default"/>
        </w:rPr>
        <w:t>DevOps</w:t>
      </w:r>
      <w:r>
        <w:rPr>
          <w:rFonts w:ascii="Times New Roman" w:hAnsi="Times New Roman" w:cs="Times New Roman" w:eastAsia="Times New Roman" w:hint="default"/>
        </w:rPr>
        <w:t>——</w:t>
      </w:r>
      <w:r>
        <w:rPr/>
        <w:t>数字化时代的，软件全生命周期管理</w:t>
      </w:r>
      <w:r>
        <w:rPr>
          <w:rFonts w:ascii="Times New Roman" w:hAnsi="Times New Roman" w:cs="Times New Roman" w:eastAsia="Times New Roman" w:hint="default"/>
        </w:rPr>
        <w:t>/</w:t>
      </w:r>
      <w:r>
        <w:rPr/>
        <w:t>自动化生产平台 信创金融测试中心（</w:t>
      </w:r>
      <w:r>
        <w:rPr>
          <w:rFonts w:ascii="Times New Roman" w:hAnsi="Times New Roman" w:cs="Times New Roman" w:eastAsia="Times New Roman" w:hint="default"/>
        </w:rPr>
        <w:t>FinTechTestingCenter-FTTC</w:t>
      </w:r>
      <w:r>
        <w:rPr/>
        <w:t>） 基于</w:t>
      </w:r>
      <w:r>
        <w:rPr>
          <w:rFonts w:ascii="Times New Roman" w:hAnsi="Times New Roman" w:cs="Times New Roman" w:eastAsia="Times New Roman" w:hint="default"/>
        </w:rPr>
        <w:t>OpenEuler</w:t>
      </w:r>
      <w:r>
        <w:rPr/>
        <w:t>的行业定制服务器</w:t>
      </w:r>
      <w:r>
        <w:rPr>
          <w:rFonts w:ascii="Times New Roman" w:hAnsi="Times New Roman" w:cs="Times New Roman" w:eastAsia="Times New Roman" w:hint="default"/>
        </w:rPr>
        <w:t>OS</w:t>
      </w:r>
      <w:r>
        <w:rPr/>
        <w:t>及容器管理平台</w:t>
      </w:r>
    </w:p>
    <w:p>
      <w:pPr>
        <w:pStyle w:val="BodyText"/>
        <w:spacing w:line="300" w:lineRule="auto" w:before="13"/>
        <w:ind w:left="657" w:right="4309" w:hanging="504"/>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两翼</w:t>
      </w:r>
      <w:r>
        <w:rPr>
          <w:rFonts w:ascii="Times New Roman" w:hAnsi="Times New Roman" w:cs="Times New Roman" w:eastAsia="Times New Roman" w:hint="default"/>
        </w:rPr>
        <w:t>”</w:t>
      </w:r>
      <w:r>
        <w:rPr/>
        <w:t>之金融行业应用产品： 基于蚂蚁金服平台的</w:t>
      </w:r>
      <w:r>
        <w:rPr>
          <w:rFonts w:ascii="Times New Roman" w:hAnsi="Times New Roman" w:cs="Times New Roman" w:eastAsia="Times New Roman" w:hint="default"/>
        </w:rPr>
        <w:t>“</w:t>
      </w:r>
      <w:r>
        <w:rPr/>
        <w:t>分布式核心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业务中台</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数据中台</w:t>
      </w:r>
      <w:r>
        <w:rPr>
          <w:rFonts w:ascii="Times New Roman" w:hAnsi="Times New Roman" w:cs="Times New Roman" w:eastAsia="Times New Roman" w:hint="default"/>
        </w:rPr>
        <w:t>”</w:t>
      </w:r>
      <w:r>
        <w:rPr/>
        <w:t>产品 业务价值场景应用产品：数字化营销、互联网金融、智能决策、供应链金融</w:t>
      </w:r>
    </w:p>
    <w:p>
      <w:pPr>
        <w:pStyle w:val="BodyText"/>
        <w:spacing w:line="309" w:lineRule="auto" w:before="31"/>
        <w:ind w:left="657" w:right="7983" w:hanging="504"/>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w:t>
      </w:r>
      <w:r>
        <w:rPr/>
        <w:t>两翼</w:t>
      </w:r>
      <w:r>
        <w:rPr>
          <w:rFonts w:ascii="Times New Roman" w:hAnsi="Times New Roman" w:cs="Times New Roman" w:eastAsia="Times New Roman" w:hint="default"/>
        </w:rPr>
        <w:t>”</w:t>
      </w:r>
      <w:r>
        <w:rPr/>
        <w:t>之电力行业应用产品： 电力行业专用边缘网关设备 各种专用机器人设备</w:t>
      </w:r>
    </w:p>
    <w:p>
      <w:pPr>
        <w:pStyle w:val="BodyText"/>
        <w:spacing w:line="240" w:lineRule="auto" w:before="24"/>
        <w:ind w:left="657" w:right="0"/>
        <w:jc w:val="left"/>
      </w:pPr>
      <w:r>
        <w:rPr/>
        <w:t>整合</w:t>
      </w:r>
      <w:r>
        <w:rPr>
          <w:rFonts w:ascii="Times New Roman" w:hAnsi="Times New Roman" w:cs="Times New Roman" w:eastAsia="Times New Roman" w:hint="default"/>
        </w:rPr>
        <w:t>AI</w:t>
      </w:r>
      <w:r>
        <w:rPr/>
        <w:t>算力算法的电力行业专用边缘服务器设备</w:t>
      </w:r>
    </w:p>
    <w:p>
      <w:pPr>
        <w:pStyle w:val="BodyText"/>
        <w:spacing w:line="300" w:lineRule="auto" w:before="63"/>
        <w:ind w:left="657" w:right="0"/>
        <w:jc w:val="left"/>
      </w:pPr>
      <w:r>
        <w:rPr>
          <w:rFonts w:ascii="Times New Roman" w:hAnsi="Times New Roman" w:cs="Times New Roman" w:eastAsia="Times New Roman" w:hint="default"/>
        </w:rPr>
        <w:t>3</w:t>
      </w:r>
      <w:r>
        <w:rPr/>
        <w:t>、持续优化服务模式 </w:t>
      </w:r>
      <w:r>
        <w:rPr>
          <w:spacing w:val="-1"/>
        </w:rPr>
        <w:t>公司目前已逐步实现了从过去基于人力的</w:t>
      </w:r>
      <w:r>
        <w:rPr>
          <w:rFonts w:ascii="Times New Roman" w:hAnsi="Times New Roman" w:cs="Times New Roman" w:eastAsia="Times New Roman" w:hint="default"/>
          <w:spacing w:val="-1"/>
        </w:rPr>
        <w:t>“</w:t>
      </w:r>
      <w:r>
        <w:rPr>
          <w:spacing w:val="-1"/>
        </w:rPr>
        <w:t>基础外包交付</w:t>
      </w:r>
      <w:r>
        <w:rPr>
          <w:rFonts w:ascii="Times New Roman" w:hAnsi="Times New Roman" w:cs="Times New Roman" w:eastAsia="Times New Roman" w:hint="default"/>
          <w:spacing w:val="-1"/>
        </w:rPr>
        <w:t>”</w:t>
      </w:r>
      <w:r>
        <w:rPr>
          <w:spacing w:val="-1"/>
        </w:rPr>
        <w:t>过渡到基于专业技术和服务能力的</w:t>
      </w:r>
      <w:r>
        <w:rPr>
          <w:rFonts w:ascii="Times New Roman" w:hAnsi="Times New Roman" w:cs="Times New Roman" w:eastAsia="Times New Roman" w:hint="default"/>
          <w:spacing w:val="-1"/>
        </w:rPr>
        <w:t>“</w:t>
      </w:r>
      <w:r>
        <w:rPr>
          <w:spacing w:val="-1"/>
        </w:rPr>
        <w:t>专业外包交付</w:t>
      </w:r>
      <w:r>
        <w:rPr>
          <w:rFonts w:ascii="Times New Roman" w:hAnsi="Times New Roman" w:cs="Times New Roman" w:eastAsia="Times New Roman" w:hint="default"/>
          <w:spacing w:val="-1"/>
        </w:rPr>
        <w:t>”</w:t>
      </w:r>
      <w:r>
        <w:rPr>
          <w:spacing w:val="-1"/>
        </w:rPr>
        <w:t>，并且在</w:t>
      </w:r>
    </w:p>
    <w:p>
      <w:pPr>
        <w:pStyle w:val="BodyText"/>
        <w:spacing w:line="316" w:lineRule="auto" w:before="13"/>
        <w:ind w:left="657" w:right="1069" w:hanging="504"/>
        <w:jc w:val="left"/>
      </w:pPr>
      <w:r>
        <w:rPr/>
        <w:t>部分项目上实现了完全的解决方案交付，公司的技术服务价值得到了很大的提升，业务规模也保持了持续的增长。 未来，公司还将围绕既定的产品发展战略，进一步加大产品研发投入力度，通过技术与场景结合、研发与市场结合，</w:t>
      </w:r>
    </w:p>
    <w:p>
      <w:pPr>
        <w:spacing w:after="0" w:line="316"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0"/>
        <w:jc w:val="left"/>
      </w:pPr>
      <w:r>
        <w:rPr>
          <w:spacing w:val="-3"/>
        </w:rPr>
        <w:t>充分打通公司各业务部门的能力和资源，产生协同效应，提高产品研发效率和效益，推动各业务部门从</w:t>
      </w:r>
      <w:r>
        <w:rPr>
          <w:rFonts w:ascii="Times New Roman" w:hAnsi="Times New Roman" w:cs="Times New Roman" w:eastAsia="Times New Roman" w:hint="default"/>
          <w:spacing w:val="-3"/>
        </w:rPr>
        <w:t>“</w:t>
      </w:r>
      <w:r>
        <w:rPr>
          <w:spacing w:val="-3"/>
        </w:rPr>
        <w:t>专业外包交付</w:t>
      </w:r>
      <w:r>
        <w:rPr>
          <w:rFonts w:ascii="Times New Roman" w:hAnsi="Times New Roman" w:cs="Times New Roman" w:eastAsia="Times New Roman" w:hint="default"/>
          <w:spacing w:val="-3"/>
        </w:rPr>
        <w:t>”</w:t>
      </w:r>
      <w:r>
        <w:rPr>
          <w:spacing w:val="-3"/>
        </w:rPr>
        <w:t>向</w:t>
      </w:r>
      <w:r>
        <w:rPr>
          <w:rFonts w:ascii="Times New Roman" w:hAnsi="Times New Roman" w:cs="Times New Roman" w:eastAsia="Times New Roman" w:hint="default"/>
          <w:spacing w:val="-3"/>
        </w:rPr>
        <w:t>“</w:t>
      </w:r>
      <w:r>
        <w:rPr>
          <w:spacing w:val="-3"/>
        </w:rPr>
        <w:t>行</w:t>
      </w:r>
      <w:r>
        <w:rPr>
          <w:spacing w:val="-67"/>
        </w:rPr>
        <w:t> </w:t>
      </w:r>
      <w:r>
        <w:rPr/>
        <w:t>业解决方案提供</w:t>
      </w:r>
      <w:r>
        <w:rPr>
          <w:rFonts w:ascii="Times New Roman" w:hAnsi="Times New Roman" w:cs="Times New Roman" w:eastAsia="Times New Roman" w:hint="default"/>
        </w:rPr>
        <w:t>”</w:t>
      </w:r>
      <w:r>
        <w:rPr/>
        <w:t>的服务模式转变，提升公司的盈利水平。</w:t>
      </w:r>
    </w:p>
    <w:p>
      <w:pPr>
        <w:pStyle w:val="BodyText"/>
        <w:spacing w:line="300" w:lineRule="auto" w:before="13"/>
        <w:ind w:left="657" w:right="1120"/>
        <w:jc w:val="left"/>
      </w:pPr>
      <w:r>
        <w:rPr>
          <w:rFonts w:ascii="Times New Roman" w:hAnsi="Times New Roman" w:cs="Times New Roman" w:eastAsia="Times New Roman" w:hint="default"/>
        </w:rPr>
        <w:t>4</w:t>
      </w:r>
      <w:r>
        <w:rPr/>
        <w:t>、发挥好自身合作伙伴优势，积极融入到产业生态 </w:t>
      </w:r>
      <w:r>
        <w:rPr>
          <w:spacing w:val="-1"/>
        </w:rPr>
        <w:t>公司在过去的发展过程中，凭借自身的业务能力和技术积累，获得了众多合作伙伴的高度认可，其中阿里（包括蚂蚁</w:t>
      </w:r>
    </w:p>
    <w:p>
      <w:pPr>
        <w:pStyle w:val="BodyText"/>
        <w:spacing w:line="314" w:lineRule="auto" w:before="31"/>
        <w:ind w:right="0"/>
        <w:jc w:val="left"/>
      </w:pPr>
      <w:r>
        <w:rPr>
          <w:spacing w:val="-2"/>
        </w:rPr>
        <w:t>金服）和华为（包括海思）是其中最核心的代表。融入到阿里和华为所构建的生态当中，借助合作伙伴的生态开展市场合作</w:t>
      </w:r>
      <w:r>
        <w:rPr>
          <w:spacing w:val="-65"/>
        </w:rPr>
        <w:t> </w:t>
      </w:r>
      <w:r>
        <w:rPr>
          <w:spacing w:val="-65"/>
        </w:rPr>
      </w:r>
      <w:r>
        <w:rPr/>
        <w:t>是公司未来重要的市场策略。在金融科技领域，公司与阿里和蚂蚁金服均展开了多项合作，从面向中小银行的</w:t>
      </w:r>
      <w:r>
        <w:rPr>
          <w:rFonts w:ascii="Times New Roman" w:hAnsi="Times New Roman" w:cs="Times New Roman" w:eastAsia="Times New Roman" w:hint="default"/>
        </w:rPr>
        <w:t>“</w:t>
      </w:r>
      <w:r>
        <w:rPr/>
        <w:t>业务中台</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4"/>
        </w:rPr>
        <w:t>系列产品销售到零售生态的金融产品销售及联合运营，形成了丰富的合作层次并取得了一定的成效；同时围绕华为鲲鹏生态，</w:t>
      </w:r>
      <w:r>
        <w:rPr>
          <w:spacing w:val="-44"/>
        </w:rPr>
        <w:t> </w:t>
      </w:r>
      <w:r>
        <w:rPr>
          <w:spacing w:val="-44"/>
        </w:rPr>
      </w:r>
      <w:r>
        <w:rPr>
          <w:spacing w:val="-2"/>
        </w:rPr>
        <w:t>公司已有两款银行的解决方案产品在华为鲲鹏平台上进行了适配，并获得了认证。在智能互联领域，公司和华为多部门开展</w:t>
      </w:r>
      <w:r>
        <w:rPr>
          <w:spacing w:val="-66"/>
        </w:rPr>
        <w:t> </w:t>
      </w:r>
      <w:r>
        <w:rPr>
          <w:spacing w:val="-66"/>
        </w:rPr>
      </w:r>
      <w:r>
        <w:rPr>
          <w:spacing w:val="-2"/>
        </w:rPr>
        <w:t>了长期业务合作，并在麒麟系列芯片平台上开发了多款行业终端解决方案，未来公司还将加快基于华为生态和华为系列芯片</w:t>
      </w:r>
      <w:r>
        <w:rPr>
          <w:spacing w:val="-63"/>
        </w:rPr>
        <w:t> </w:t>
      </w:r>
      <w:r>
        <w:rPr>
          <w:spacing w:val="-63"/>
        </w:rPr>
      </w:r>
      <w:r>
        <w:rPr/>
        <w:t>平台开发适合行业应用的边缘服务器等专用物联网终端设备的研发合作。</w:t>
      </w:r>
    </w:p>
    <w:p>
      <w:pPr>
        <w:pStyle w:val="BodyText"/>
        <w:spacing w:line="319" w:lineRule="auto" w:before="20"/>
        <w:ind w:right="1132" w:firstLine="504"/>
        <w:jc w:val="both"/>
      </w:pPr>
      <w:r>
        <w:rPr>
          <w:spacing w:val="-1"/>
        </w:rPr>
        <w:t>公司认为未来市场的竞争不再单纯是个体企业间的竞争，而更多是产业生态之间的竞争。融入强势生态并且在生态中</w:t>
      </w:r>
      <w:r>
        <w:rPr/>
        <w:t> </w:t>
      </w:r>
      <w:r>
        <w:rPr>
          <w:spacing w:val="-2"/>
        </w:rPr>
        <w:t>取得优势地位将对企业的持续发展产生至关重要的作用。未来公司将继续加强与合作伙伴的沟通，巩固自身在伙伴生态中的</w:t>
      </w:r>
      <w:r>
        <w:rPr>
          <w:spacing w:val="-64"/>
        </w:rPr>
        <w:t> </w:t>
      </w:r>
      <w:r>
        <w:rPr>
          <w:spacing w:val="-64"/>
        </w:rPr>
      </w:r>
      <w:r>
        <w:rPr/>
        <w:t>地位，把公司的市场战略与伙伴生态的合作进行深度绑定，在未来的市场竞争中占据有利的位置，获得更多的市场机会。</w:t>
      </w:r>
    </w:p>
    <w:p>
      <w:pPr>
        <w:pStyle w:val="BodyText"/>
        <w:spacing w:line="300" w:lineRule="auto" w:before="17"/>
        <w:ind w:left="657" w:right="1120"/>
        <w:jc w:val="left"/>
      </w:pPr>
      <w:r>
        <w:rPr>
          <w:rFonts w:ascii="Times New Roman" w:hAnsi="Times New Roman" w:cs="Times New Roman" w:eastAsia="Times New Roman" w:hint="default"/>
        </w:rPr>
        <w:t>5</w:t>
      </w:r>
      <w:r>
        <w:rPr/>
        <w:t>、通过资本拉动，加快新技术、新市场的孵化培育 </w:t>
      </w:r>
      <w:r>
        <w:rPr>
          <w:spacing w:val="-1"/>
        </w:rPr>
        <w:t>过去的几年，润和软件通过并购实现了业务方向的战略调整，形成了现在明确的战略方向。未来，润和软件投资的重</w:t>
      </w:r>
    </w:p>
    <w:p>
      <w:pPr>
        <w:pStyle w:val="BodyText"/>
        <w:spacing w:line="312" w:lineRule="auto" w:before="31"/>
        <w:ind w:right="0"/>
        <w:jc w:val="left"/>
      </w:pPr>
      <w:r>
        <w:rPr/>
        <w:t>点将在主战略方向不变基础上，围绕新技术、新市场进行孵化培育。这些新技术、新市场应当符合前面所阐述</w:t>
      </w:r>
      <w:r>
        <w:rPr>
          <w:rFonts w:ascii="Times New Roman" w:hAnsi="Times New Roman" w:cs="Times New Roman" w:eastAsia="Times New Roman" w:hint="default"/>
        </w:rPr>
        <w:t>“</w:t>
      </w:r>
      <w:r>
        <w:rPr/>
        <w:t>一体两翼</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的产品研发策略，能够有效地补充和完善润和软件的产品线，能够快速地实现润和既有产品和新产品的销售推广。这种通过</w:t>
      </w:r>
      <w:r>
        <w:rPr>
          <w:spacing w:val="-63"/>
        </w:rPr>
        <w:t> </w:t>
      </w:r>
      <w:r>
        <w:rPr>
          <w:spacing w:val="-63"/>
        </w:rPr>
      </w:r>
      <w:r>
        <w:rPr>
          <w:spacing w:val="-2"/>
        </w:rPr>
        <w:t>投资拉动的孵化培育，今后将成为润和软件发展的一项重要、持续的工作，将以战略业务部门和投资管理部门联合推动，形</w:t>
      </w:r>
      <w:r>
        <w:rPr>
          <w:spacing w:val="-66"/>
        </w:rPr>
        <w:t> </w:t>
      </w:r>
      <w:r>
        <w:rPr>
          <w:spacing w:val="-66"/>
        </w:rPr>
      </w:r>
      <w:r>
        <w:rPr/>
        <w:t>成润和软件持续发展的</w:t>
      </w:r>
      <w:r>
        <w:rPr>
          <w:rFonts w:ascii="Times New Roman" w:hAnsi="Times New Roman" w:cs="Times New Roman" w:eastAsia="Times New Roman" w:hint="default"/>
        </w:rPr>
        <w:t>“</w:t>
      </w:r>
      <w:r>
        <w:rPr/>
        <w:t>新动力</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4"/>
          <w:szCs w:val="24"/>
        </w:rPr>
      </w:pPr>
    </w:p>
    <w:p>
      <w:pPr>
        <w:pStyle w:val="BodyText"/>
        <w:spacing w:line="240" w:lineRule="auto"/>
        <w:ind w:left="657" w:right="0"/>
        <w:jc w:val="left"/>
      </w:pPr>
      <w:r>
        <w:rPr/>
        <w:t>（二）公司经营面临的风险因素</w:t>
      </w:r>
    </w:p>
    <w:p>
      <w:pPr>
        <w:pStyle w:val="BodyText"/>
        <w:spacing w:line="300" w:lineRule="auto" w:before="76"/>
        <w:ind w:left="657" w:right="1129"/>
        <w:jc w:val="left"/>
      </w:pPr>
      <w:r>
        <w:rPr>
          <w:rFonts w:ascii="Times New Roman" w:hAnsi="Times New Roman" w:cs="Times New Roman" w:eastAsia="Times New Roman" w:hint="default"/>
        </w:rPr>
        <w:t>1</w:t>
      </w:r>
      <w:r>
        <w:rPr/>
        <w:t>、国家产业政策变动风险 自</w:t>
      </w:r>
      <w:r>
        <w:rPr>
          <w:rFonts w:ascii="Times New Roman" w:hAnsi="Times New Roman" w:cs="Times New Roman" w:eastAsia="Times New Roman" w:hint="default"/>
        </w:rPr>
        <w:t>2000</w:t>
      </w:r>
      <w:r>
        <w:rPr/>
        <w:t>年国务院正式颁布《鼓励软件产业和集成电路产业发展的若干政策》（国发</w:t>
      </w:r>
      <w:r>
        <w:rPr>
          <w:rFonts w:ascii="Times New Roman" w:hAnsi="Times New Roman" w:cs="Times New Roman" w:eastAsia="Times New Roman" w:hint="default"/>
        </w:rPr>
        <w:t>[2000]18</w:t>
      </w:r>
      <w:r>
        <w:rPr/>
        <w:t>号）以来，软件和信息技</w:t>
      </w:r>
    </w:p>
    <w:p>
      <w:pPr>
        <w:pStyle w:val="BodyText"/>
        <w:spacing w:line="314" w:lineRule="auto" w:before="13"/>
        <w:ind w:right="1030"/>
        <w:jc w:val="left"/>
      </w:pPr>
      <w:r>
        <w:rPr>
          <w:spacing w:val="-2"/>
        </w:rPr>
        <w:t>术服务行业作为国家鼓励发展的战略性、基础性和先导性支柱产业的地位得以确立，软件企业长期以来受益于各级政府的一</w:t>
      </w:r>
      <w:r>
        <w:rPr>
          <w:spacing w:val="-64"/>
        </w:rPr>
        <w:t> </w:t>
      </w:r>
      <w:r>
        <w:rPr>
          <w:spacing w:val="-64"/>
        </w:rPr>
      </w:r>
      <w:r>
        <w:rPr>
          <w:spacing w:val="-2"/>
        </w:rPr>
        <w:t>系列优惠政策。这些政策从税收优惠、软件出口、人才吸引与培养、知识产权保护、行业组织与管理等多方面为软件产业发</w:t>
      </w:r>
      <w:r>
        <w:rPr>
          <w:spacing w:val="-67"/>
        </w:rPr>
        <w:t> </w:t>
      </w:r>
      <w:r>
        <w:rPr>
          <w:spacing w:val="-67"/>
        </w:rPr>
      </w:r>
      <w:r>
        <w:rPr>
          <w:spacing w:val="-3"/>
        </w:rPr>
        <w:t>展提供了政策保障和扶持。</w:t>
      </w:r>
      <w:r>
        <w:rPr>
          <w:rFonts w:ascii="Times New Roman" w:hAnsi="Times New Roman" w:cs="Times New Roman" w:eastAsia="Times New Roman" w:hint="default"/>
          <w:spacing w:val="-3"/>
        </w:rPr>
        <w:t>2011</w:t>
      </w:r>
      <w:r>
        <w:rPr>
          <w:spacing w:val="-3"/>
        </w:rPr>
        <w:t>年国务院颁布了《进一步鼓励软件产业和集成电路产业发展若干政策的通知》（国发〔</w:t>
      </w:r>
      <w:r>
        <w:rPr>
          <w:rFonts w:ascii="Times New Roman" w:hAnsi="Times New Roman" w:cs="Times New Roman" w:eastAsia="Times New Roman" w:hint="default"/>
          <w:spacing w:val="-3"/>
        </w:rPr>
        <w:t>2011</w:t>
      </w:r>
      <w:r>
        <w:rPr>
          <w:spacing w:val="-3"/>
        </w:rPr>
        <w:t>〕</w:t>
      </w:r>
      <w:r>
        <w:rPr/>
        <w:t> </w:t>
      </w:r>
      <w:r>
        <w:rPr>
          <w:rFonts w:ascii="Times New Roman" w:hAnsi="Times New Roman" w:cs="Times New Roman" w:eastAsia="Times New Roman" w:hint="default"/>
        </w:rPr>
        <w:t>4</w:t>
      </w:r>
      <w:r>
        <w:rPr/>
        <w:t>号），确立了软件产业作为国家战略性新兴产业的地位，并进一步细化了对软件产业在税收优惠、金融支持等方面的政策 </w:t>
      </w:r>
      <w:r>
        <w:rPr>
          <w:spacing w:val="-2"/>
        </w:rPr>
        <w:t>保障和扶持。可以说，我国软件和信息技术服务企业近年来的飞速发展与国家的产业政策扶持息息相关，一旦未来国家对软</w:t>
      </w:r>
      <w:r>
        <w:rPr>
          <w:spacing w:val="-66"/>
        </w:rPr>
        <w:t> </w:t>
      </w:r>
      <w:r>
        <w:rPr>
          <w:spacing w:val="-66"/>
        </w:rPr>
      </w:r>
      <w:r>
        <w:rPr>
          <w:spacing w:val="-2"/>
        </w:rPr>
        <w:t>件和信息技术服务行业的产业政策发生不利变化，将有可能对公司的生产经营造成不利影响。受益于税收政策及当地政府对</w:t>
      </w:r>
      <w:r>
        <w:rPr>
          <w:spacing w:val="-64"/>
        </w:rPr>
        <w:t> </w:t>
      </w:r>
      <w:r>
        <w:rPr>
          <w:spacing w:val="-64"/>
        </w:rPr>
      </w:r>
      <w:r>
        <w:rPr>
          <w:spacing w:val="-2"/>
        </w:rPr>
        <w:t>软件和信息技术服务业务给予的各种补贴政策，公司在业务规模的扩张和综合实力的增强方面得到了快速提升，同时，随着</w:t>
      </w:r>
      <w:r>
        <w:rPr>
          <w:spacing w:val="-65"/>
        </w:rPr>
        <w:t> </w:t>
      </w:r>
      <w:r>
        <w:rPr>
          <w:spacing w:val="-65"/>
        </w:rPr>
      </w:r>
      <w:r>
        <w:rPr>
          <w:spacing w:val="-2"/>
        </w:rPr>
        <w:t>业务的发展，公司对政策的依赖风险逐年下降，发展动力已转变为依靠公司自身的市场竞争力，随着公司的继续发展，对国</w:t>
      </w:r>
      <w:r>
        <w:rPr>
          <w:spacing w:val="-62"/>
        </w:rPr>
        <w:t> </w:t>
      </w:r>
      <w:r>
        <w:rPr>
          <w:spacing w:val="-62"/>
        </w:rPr>
      </w:r>
      <w:r>
        <w:rPr/>
        <w:t>家产业政策的依赖风险将得到适当的控制。</w:t>
      </w:r>
    </w:p>
    <w:p>
      <w:pPr>
        <w:pStyle w:val="BodyText"/>
        <w:spacing w:line="300" w:lineRule="auto" w:before="20"/>
        <w:ind w:left="657" w:right="1120"/>
        <w:jc w:val="left"/>
      </w:pPr>
      <w:r>
        <w:rPr>
          <w:rFonts w:ascii="Times New Roman" w:hAnsi="Times New Roman" w:cs="Times New Roman" w:eastAsia="Times New Roman" w:hint="default"/>
        </w:rPr>
        <w:t>2</w:t>
      </w:r>
      <w:r>
        <w:rPr/>
        <w:t>、人力成本上升的风险 </w:t>
      </w:r>
      <w:r>
        <w:rPr>
          <w:spacing w:val="-1"/>
        </w:rPr>
        <w:t>作为人才密集型企业，公司最主要的经营成本是人力成本。随着中国经济的快速发展，城市生活成本的上升，社会平</w:t>
      </w:r>
    </w:p>
    <w:p>
      <w:pPr>
        <w:pStyle w:val="BodyText"/>
        <w:spacing w:line="316" w:lineRule="auto" w:before="32"/>
        <w:ind w:right="1117"/>
        <w:jc w:val="left"/>
      </w:pPr>
      <w:r>
        <w:rPr>
          <w:spacing w:val="-2"/>
        </w:rPr>
        <w:t>均工资逐年递增，尤其是大中城市，具有丰富业务经验的中高端人才工资薪酬呈上升趋势。随着生活水平的提高以及社会工</w:t>
      </w:r>
      <w:r>
        <w:rPr>
          <w:spacing w:val="-63"/>
        </w:rPr>
        <w:t> </w:t>
      </w:r>
      <w:r>
        <w:rPr>
          <w:spacing w:val="-63"/>
        </w:rPr>
      </w:r>
      <w:r>
        <w:rPr>
          <w:spacing w:val="-2"/>
        </w:rPr>
        <w:t>资水平的上涨，公司面临人力成本上升导致利润水平下降的风险。公司提高效率，提高价值附加，优化成本与收入结构以及</w:t>
      </w:r>
      <w:r>
        <w:rPr>
          <w:spacing w:val="-64"/>
        </w:rPr>
        <w:t> </w:t>
      </w:r>
      <w:r>
        <w:rPr>
          <w:spacing w:val="-64"/>
        </w:rPr>
      </w:r>
      <w:r>
        <w:rPr/>
        <w:t>提高员工利用效率等方法来保障公司利润水平的增长，并以数字化升级战略推动公司从人才与技术密集型向科技密集型升</w:t>
      </w:r>
      <w:r>
        <w:rPr/>
        <w:t> 级。</w:t>
      </w:r>
    </w:p>
    <w:p>
      <w:pPr>
        <w:pStyle w:val="BodyText"/>
        <w:spacing w:line="300" w:lineRule="auto" w:before="19"/>
        <w:ind w:left="657" w:right="1069"/>
        <w:jc w:val="left"/>
      </w:pPr>
      <w:r>
        <w:rPr>
          <w:rFonts w:ascii="Times New Roman" w:hAnsi="Times New Roman" w:cs="Times New Roman" w:eastAsia="Times New Roman" w:hint="default"/>
        </w:rPr>
        <w:t>3</w:t>
      </w:r>
      <w:r>
        <w:rPr/>
        <w:t>、新产品开发风险 新产品开发对公司的市场竞争力和未来发展具有重要影响。软件和信息技术服务技术发展日新月异，更新换代很快，</w:t>
      </w:r>
    </w:p>
    <w:p>
      <w:pPr>
        <w:pStyle w:val="BodyText"/>
        <w:spacing w:line="316" w:lineRule="auto" w:before="31"/>
        <w:ind w:right="0"/>
        <w:jc w:val="left"/>
      </w:pPr>
      <w:r>
        <w:rPr>
          <w:spacing w:val="-2"/>
        </w:rPr>
        <w:t>公司和其他优秀的软件公司一样，始终利用成熟、先进的技术作为开发和应用平台，但如果公司错误预测软件技术的发展趋</w:t>
      </w:r>
      <w:r>
        <w:rPr>
          <w:spacing w:val="-66"/>
        </w:rPr>
        <w:t> </w:t>
      </w:r>
      <w:r>
        <w:rPr>
          <w:spacing w:val="-66"/>
        </w:rPr>
      </w:r>
      <w:r>
        <w:rPr>
          <w:spacing w:val="-4"/>
        </w:rPr>
        <w:t>势，使用落后的技术开发新产品，或新产品开发失败，则会给公司造成较大的影响。公司将进一步加强行业发展趋势的研究，</w:t>
      </w:r>
      <w:r>
        <w:rPr>
          <w:spacing w:val="-46"/>
        </w:rPr>
        <w:t> </w:t>
      </w:r>
      <w:r>
        <w:rPr>
          <w:spacing w:val="-46"/>
        </w:rPr>
      </w:r>
      <w:r>
        <w:rPr>
          <w:spacing w:val="-4"/>
        </w:rPr>
        <w:t>进一步加强对市场的调研，收集客户当前和未来的需求信息，做好新产品研发的可行性分析；其次，将进一步完善激励机制，</w:t>
      </w:r>
      <w:r>
        <w:rPr>
          <w:spacing w:val="-46"/>
        </w:rPr>
        <w:t> </w:t>
      </w:r>
      <w:r>
        <w:rPr>
          <w:spacing w:val="-46"/>
        </w:rPr>
      </w:r>
      <w:r>
        <w:rPr>
          <w:spacing w:val="-4"/>
        </w:rPr>
        <w:t>鼓励技术人员知识更新、技术进步和产品创新；同时，公司将继续保持研发投入，提前研究前瞻性软件技术和行业业务模式，</w:t>
      </w:r>
    </w:p>
    <w:p>
      <w:pPr>
        <w:spacing w:after="0" w:line="316"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保证公司的技术先进性。</w:t>
      </w:r>
    </w:p>
    <w:p>
      <w:pPr>
        <w:pStyle w:val="BodyText"/>
        <w:spacing w:line="300" w:lineRule="auto" w:before="76"/>
        <w:ind w:left="657" w:right="1120"/>
        <w:jc w:val="left"/>
      </w:pPr>
      <w:r>
        <w:rPr>
          <w:rFonts w:ascii="Times New Roman" w:hAnsi="Times New Roman" w:cs="Times New Roman" w:eastAsia="Times New Roman" w:hint="default"/>
        </w:rPr>
        <w:t>4</w:t>
      </w:r>
      <w:r>
        <w:rPr/>
        <w:t>、核心技术泄密或被侵权的风险 </w:t>
      </w:r>
      <w:r>
        <w:rPr>
          <w:spacing w:val="-1"/>
        </w:rPr>
        <w:t>技术优势是公司在行业中保持竞争优势的最主要因素之一，目前，公司拥有的计算机软件著作权、专利、产品、在研</w:t>
      </w:r>
    </w:p>
    <w:p>
      <w:pPr>
        <w:pStyle w:val="BodyText"/>
        <w:spacing w:line="316" w:lineRule="auto" w:before="31"/>
        <w:ind w:right="1130"/>
        <w:jc w:val="both"/>
      </w:pPr>
      <w:r>
        <w:rPr>
          <w:spacing w:val="-2"/>
        </w:rPr>
        <w:t>技术等均属于公司的核心技术，上述核心技术是公司平稳快速发展的基础，如果公司核心技术泄密或被侵权，则会对公司生</w:t>
      </w:r>
      <w:r>
        <w:rPr>
          <w:spacing w:val="-63"/>
        </w:rPr>
        <w:t> </w:t>
      </w:r>
      <w:r>
        <w:rPr>
          <w:spacing w:val="-63"/>
        </w:rPr>
      </w:r>
      <w:r>
        <w:rPr>
          <w:spacing w:val="-2"/>
        </w:rPr>
        <w:t>产经营造成较大负面影响。为控制核心技术泄密，公司在与员工签订劳动合同的同时签订保密协议书，要求员工严格遵守公</w:t>
      </w:r>
      <w:r>
        <w:rPr>
          <w:spacing w:val="-63"/>
        </w:rPr>
        <w:t> </w:t>
      </w:r>
      <w:r>
        <w:rPr>
          <w:spacing w:val="-63"/>
        </w:rPr>
      </w:r>
      <w:r>
        <w:rPr>
          <w:spacing w:val="-2"/>
        </w:rPr>
        <w:t>司制定的保密制度；为防范技术被侵权，公司及时将已开发的技术或产品在国家知识产权管理机构登记，通过法律手段保护</w:t>
      </w:r>
      <w:r>
        <w:rPr>
          <w:spacing w:val="-64"/>
        </w:rPr>
        <w:t> </w:t>
      </w:r>
      <w:r>
        <w:rPr>
          <w:spacing w:val="-64"/>
        </w:rPr>
      </w:r>
      <w:r>
        <w:rPr/>
        <w:t>公司的知识产权。</w:t>
      </w:r>
    </w:p>
    <w:p>
      <w:pPr>
        <w:pStyle w:val="BodyText"/>
        <w:spacing w:line="300" w:lineRule="auto" w:before="19"/>
        <w:ind w:left="657" w:right="1120"/>
        <w:jc w:val="left"/>
      </w:pPr>
      <w:r>
        <w:rPr>
          <w:rFonts w:ascii="Times New Roman" w:hAnsi="Times New Roman" w:cs="Times New Roman" w:eastAsia="Times New Roman" w:hint="default"/>
        </w:rPr>
        <w:t>5</w:t>
      </w:r>
      <w:r>
        <w:rPr/>
        <w:t>、公司规模扩大引致的管理风险 </w:t>
      </w:r>
      <w:r>
        <w:rPr>
          <w:spacing w:val="-1"/>
        </w:rPr>
        <w:t>随着公司的业务规模持续增长及并购等资本运作，公司的规模实现了高速扩张，公司子公司的数量正逐渐增加，从而</w:t>
      </w:r>
    </w:p>
    <w:p>
      <w:pPr>
        <w:pStyle w:val="BodyText"/>
        <w:spacing w:line="319" w:lineRule="auto" w:before="31"/>
        <w:ind w:right="1132"/>
        <w:jc w:val="both"/>
      </w:pPr>
      <w:r>
        <w:rPr>
          <w:spacing w:val="-2"/>
        </w:rPr>
        <w:t>对公司现有的管理架构及管理能力形成一定的挑战。公司管理层将面临着公司规模扩大而导致的管理风险。公司通过不断完</w:t>
      </w:r>
      <w:r>
        <w:rPr>
          <w:spacing w:val="-64"/>
        </w:rPr>
        <w:t> </w:t>
      </w:r>
      <w:r>
        <w:rPr>
          <w:spacing w:val="-64"/>
        </w:rPr>
      </w:r>
      <w:r>
        <w:rPr>
          <w:spacing w:val="-2"/>
        </w:rPr>
        <w:t>善细化各项管理制度，引进管理人才，推行科学的管理办法，降低管理风险产生的可能性。对于公司子公司，特别是并购吸</w:t>
      </w:r>
      <w:r>
        <w:rPr>
          <w:spacing w:val="-67"/>
        </w:rPr>
        <w:t> </w:t>
      </w:r>
      <w:r>
        <w:rPr>
          <w:spacing w:val="-67"/>
        </w:rPr>
      </w:r>
      <w:r>
        <w:rPr/>
        <w:t>收的子公司，公司通过不断加强子公司的管理治理，并加强对子公司的内部考核和财务管控，降低管理风险。</w:t>
      </w:r>
    </w:p>
    <w:p>
      <w:pPr>
        <w:pStyle w:val="BodyText"/>
        <w:spacing w:line="300" w:lineRule="auto" w:before="17"/>
        <w:ind w:left="657" w:right="0"/>
        <w:jc w:val="left"/>
      </w:pPr>
      <w:r>
        <w:rPr>
          <w:rFonts w:ascii="Times New Roman" w:hAnsi="Times New Roman" w:cs="Times New Roman" w:eastAsia="Times New Roman" w:hint="default"/>
        </w:rPr>
        <w:t>6</w:t>
      </w:r>
      <w:r>
        <w:rPr/>
        <w:t>、核心员工流失的管理风险 </w:t>
      </w:r>
      <w:r>
        <w:rPr>
          <w:spacing w:val="-3"/>
        </w:rPr>
        <w:t>公司的属于人才密集型行业，企业发展高度依赖人力资源，近些年来人力资源成本快速上涨，而行业竞争的日趋激烈，</w:t>
      </w:r>
    </w:p>
    <w:p>
      <w:pPr>
        <w:pStyle w:val="BodyText"/>
        <w:spacing w:line="316" w:lineRule="auto" w:before="31"/>
        <w:ind w:right="1033"/>
        <w:jc w:val="left"/>
      </w:pPr>
      <w:r>
        <w:rPr/>
        <w:t>对人才的争夺亦趋于白热化，企业间的高薪招聘等因素都为核心员工的流动提供了客观条件。公司为了避免核心人员流失， </w:t>
      </w:r>
      <w:r>
        <w:rPr>
          <w:spacing w:val="-2"/>
        </w:rPr>
        <w:t>稳定员工团队，公司一直重点关注人力资源体系的建设，通过多年的建设和实践已建成一个高效的人力资源体系，包括建立</w:t>
      </w:r>
      <w:r>
        <w:rPr>
          <w:spacing w:val="-63"/>
        </w:rPr>
        <w:t> </w:t>
      </w:r>
      <w:r>
        <w:rPr>
          <w:spacing w:val="-63"/>
        </w:rPr>
      </w:r>
      <w:r>
        <w:rPr/>
        <w:t>以人为本的企业文化、员工职业生涯发展规划、渐进式的培训体系、技术人员任职资格鉴定、科学合理的薪酬及绩效体系、 优秀人才特别奖励办法等。同时公司也将采用股权激励、员工持股计划等激励方式，与优秀员工共享公司发展成果。</w:t>
      </w:r>
    </w:p>
    <w:p>
      <w:pPr>
        <w:pStyle w:val="BodyText"/>
        <w:spacing w:line="300" w:lineRule="auto" w:before="19"/>
        <w:ind w:left="657" w:right="1120"/>
        <w:jc w:val="left"/>
      </w:pPr>
      <w:r>
        <w:rPr>
          <w:rFonts w:ascii="Times New Roman" w:hAnsi="Times New Roman" w:cs="Times New Roman" w:eastAsia="Times New Roman" w:hint="default"/>
        </w:rPr>
        <w:t>7</w:t>
      </w:r>
      <w:r>
        <w:rPr/>
        <w:t>、应收账款回收风险 </w:t>
      </w:r>
      <w:r>
        <w:rPr>
          <w:spacing w:val="-1"/>
        </w:rPr>
        <w:t>公司开发的软件业务从合同签订到验收需要经历设计、开发、测试和上线试运行阶段，周期较长，且大多项目依据合</w:t>
      </w:r>
    </w:p>
    <w:p>
      <w:pPr>
        <w:pStyle w:val="BodyText"/>
        <w:spacing w:line="319" w:lineRule="auto" w:before="31"/>
        <w:ind w:right="0"/>
        <w:jc w:val="left"/>
      </w:pPr>
      <w:r>
        <w:rPr>
          <w:spacing w:val="-2"/>
        </w:rPr>
        <w:t>同分阶段验收，项目验收与客户付款之间存在时间差，同时，随着新客户的开发和业务规模的扩大，在原有的回款政策不变</w:t>
      </w:r>
      <w:r>
        <w:rPr>
          <w:spacing w:val="-65"/>
        </w:rPr>
        <w:t> </w:t>
      </w:r>
      <w:r>
        <w:rPr>
          <w:spacing w:val="-65"/>
        </w:rPr>
      </w:r>
      <w:r>
        <w:rPr>
          <w:spacing w:val="-2"/>
        </w:rPr>
        <w:t>的情形下，应收账款余额会不断增加，虽然期末应收账款都在结算期内，公司也已按照坏账准备政策提取了坏账准备，但仍</w:t>
      </w:r>
      <w:r>
        <w:rPr>
          <w:spacing w:val="-63"/>
        </w:rPr>
        <w:t> </w:t>
      </w:r>
      <w:r>
        <w:rPr>
          <w:spacing w:val="-63"/>
        </w:rPr>
      </w:r>
      <w:r>
        <w:rPr/>
        <w:t>不排除因客户信用恶化导致坏账准备提取不足和应收款项发生坏账损失的风险。公司不断建立和完善信用审批前的信用调 </w:t>
      </w:r>
      <w:r>
        <w:rPr>
          <w:spacing w:val="-2"/>
        </w:rPr>
        <w:t>查、建立并有效执行了谨慎合理的坏账准备计提政策、严格的应收账款催收制度以及应收账款回收率与销售业绩挂钩的业务</w:t>
      </w:r>
      <w:r>
        <w:rPr>
          <w:spacing w:val="-64"/>
        </w:rPr>
        <w:t> </w:t>
      </w:r>
      <w:r>
        <w:rPr>
          <w:spacing w:val="-64"/>
        </w:rPr>
      </w:r>
      <w:r>
        <w:rPr/>
        <w:t>考核机制，将应收账款发生坏账的风险降低到可承受的水平。</w:t>
      </w:r>
    </w:p>
    <w:p>
      <w:pPr>
        <w:pStyle w:val="BodyText"/>
        <w:spacing w:line="300" w:lineRule="auto" w:before="17"/>
        <w:ind w:left="657" w:right="1120"/>
        <w:jc w:val="left"/>
      </w:pPr>
      <w:r>
        <w:rPr>
          <w:rFonts w:ascii="Times New Roman" w:hAnsi="Times New Roman" w:cs="Times New Roman" w:eastAsia="Times New Roman" w:hint="default"/>
        </w:rPr>
        <w:t>8</w:t>
      </w:r>
      <w:r>
        <w:rPr/>
        <w:t>、商誉减值风险 </w:t>
      </w:r>
      <w:r>
        <w:rPr>
          <w:spacing w:val="-1"/>
        </w:rPr>
        <w:t>报告期内，公司发生了商誉减值事项，但公司资产中仍存在商誉。根据企业会计准则要求，由于非同一控制下的企业</w:t>
      </w:r>
    </w:p>
    <w:p>
      <w:pPr>
        <w:pStyle w:val="BodyText"/>
        <w:spacing w:line="316" w:lineRule="auto" w:before="31"/>
        <w:ind w:right="1033"/>
        <w:jc w:val="left"/>
      </w:pPr>
      <w:r>
        <w:rPr>
          <w:spacing w:val="-2"/>
        </w:rPr>
        <w:t>合并形成的商誉，该商誉不作摊销处理，但需在未来年度每年进行减值测试。如果未来因国家政策变化、金融科技行业发展</w:t>
      </w:r>
      <w:r>
        <w:rPr>
          <w:spacing w:val="-63"/>
        </w:rPr>
        <w:t> </w:t>
      </w:r>
      <w:r>
        <w:rPr>
          <w:spacing w:val="-63"/>
        </w:rPr>
      </w:r>
      <w:r>
        <w:rPr>
          <w:spacing w:val="-2"/>
        </w:rPr>
        <w:t>不乐观、自身业务下降或者其他因素导致未来经营状况和盈利能力未达预期，则公司存在商誉减值的风险，从而对公司当期</w:t>
      </w:r>
      <w:r>
        <w:rPr>
          <w:spacing w:val="-63"/>
        </w:rPr>
        <w:t> </w:t>
      </w:r>
      <w:r>
        <w:rPr>
          <w:spacing w:val="-63"/>
        </w:rPr>
      </w:r>
      <w:r>
        <w:rPr>
          <w:spacing w:val="-2"/>
        </w:rPr>
        <w:t>损益造成不利影响，若一旦集中计提大额的商誉减值，将对公司盈利水平产生较大的不利影响。公司将建立相应的内控管理</w:t>
      </w:r>
      <w:r>
        <w:rPr>
          <w:spacing w:val="-63"/>
        </w:rPr>
        <w:t> </w:t>
      </w:r>
      <w:r>
        <w:rPr>
          <w:spacing w:val="-63"/>
        </w:rPr>
      </w:r>
      <w:r>
        <w:rPr/>
        <w:t>制度，每年对商誉进行减值测试。公司仍将以现有金融科技业务板块为基础，加强对并购标的资产在企业文化、业务战略、 市场开拓、人员发展、技术开发、经营管理等方面的整合，提高标的资产的盈利能力，从而降低商誉减值风险。</w:t>
      </w:r>
    </w:p>
    <w:p>
      <w:pPr>
        <w:pStyle w:val="BodyText"/>
        <w:spacing w:line="240" w:lineRule="auto" w:before="19"/>
        <w:ind w:left="657" w:right="0"/>
        <w:jc w:val="left"/>
      </w:pPr>
      <w:r>
        <w:rPr>
          <w:rFonts w:ascii="Times New Roman" w:hAnsi="Times New Roman" w:cs="Times New Roman" w:eastAsia="Times New Roman" w:hint="default"/>
        </w:rPr>
        <w:t>9</w:t>
      </w:r>
      <w:r>
        <w:rPr/>
        <w:t>、新冠肺炎疫情带来的不确定风险</w:t>
      </w:r>
    </w:p>
    <w:p>
      <w:pPr>
        <w:pStyle w:val="BodyText"/>
        <w:spacing w:line="307" w:lineRule="auto" w:before="63"/>
        <w:ind w:right="1130" w:firstLine="504"/>
        <w:jc w:val="both"/>
      </w:pPr>
      <w:r>
        <w:rPr>
          <w:rFonts w:ascii="Times New Roman" w:hAnsi="Times New Roman" w:cs="Times New Roman" w:eastAsia="Times New Roman" w:hint="default"/>
          <w:spacing w:val="-1"/>
        </w:rPr>
        <w:t>2020</w:t>
      </w:r>
      <w:r>
        <w:rPr>
          <w:spacing w:val="-1"/>
        </w:rPr>
        <w:t>年新冠肺炎疫情正在全球蔓延，将对我国乃至全球经济带来很大的下行压力。公司业务主要在国内，国际业务占</w:t>
      </w:r>
      <w:r>
        <w:rPr/>
        <w:t> 比约</w:t>
      </w:r>
      <w:r>
        <w:rPr>
          <w:rFonts w:ascii="Times New Roman" w:hAnsi="Times New Roman" w:cs="Times New Roman" w:eastAsia="Times New Roman" w:hint="default"/>
        </w:rPr>
        <w:t>4%</w:t>
      </w:r>
      <w:r>
        <w:rPr/>
        <w:t>。此次疫情对公司的影响主要表现为客户延期复工，目前公司已步入正常经营，正加班加点推进开发进度，努力将 </w:t>
      </w:r>
      <w:r>
        <w:rPr>
          <w:spacing w:val="-2"/>
        </w:rPr>
        <w:t>疫情的影响降到最低限度。当前疫情对公司整体经营的不利影响有限，但若国际疫情持续发酵不能有效控制，影响到国内疫</w:t>
      </w:r>
      <w:r>
        <w:rPr>
          <w:spacing w:val="-63"/>
        </w:rPr>
        <w:t> </w:t>
      </w:r>
      <w:r>
        <w:rPr>
          <w:spacing w:val="-63"/>
        </w:rPr>
      </w:r>
      <w:r>
        <w:rPr/>
        <w:t>情控制政策，将可能对公司产生重大不利影响。</w:t>
      </w:r>
    </w:p>
    <w:p>
      <w:pPr>
        <w:spacing w:line="240" w:lineRule="auto" w:before="7"/>
        <w:rPr>
          <w:rFonts w:ascii="宋体" w:hAnsi="宋体" w:cs="宋体" w:eastAsia="宋体" w:hint="default"/>
          <w:sz w:val="15"/>
          <w:szCs w:val="15"/>
        </w:rPr>
      </w:pPr>
    </w:p>
    <w:p>
      <w:pPr>
        <w:pStyle w:val="Heading2"/>
        <w:spacing w:line="240" w:lineRule="auto"/>
        <w:ind w:right="0"/>
        <w:jc w:val="left"/>
        <w:rPr>
          <w:b w:val="0"/>
          <w:bCs w:val="0"/>
        </w:rPr>
      </w:pPr>
      <w:r>
        <w:rPr/>
        <w:t>十、接待调研、沟通、采访等活动登记表</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44"/>
        <w:ind w:left="0" w:right="1148"/>
        <w:jc w:val="right"/>
      </w:pPr>
      <w:r>
        <w:rPr/>
        <w:pict>
          <v:shape style="position:absolute;margin-left:56.424pt;margin-top:-134.548309pt;width:479.3pt;height:268.150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0"/>
                    <w:gridCol w:w="2177"/>
                    <w:gridCol w:w="2177"/>
                    <w:gridCol w:w="3036"/>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65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
                          <w:jc w:val="both"/>
                          <w:rPr>
                            <w:rFonts w:ascii="宋体" w:hAnsi="宋体" w:cs="宋体" w:eastAsia="宋体" w:hint="default"/>
                            <w:sz w:val="18"/>
                            <w:szCs w:val="18"/>
                          </w:rPr>
                        </w:pPr>
                        <w:r>
                          <w:rPr>
                            <w:rFonts w:ascii="宋体" w:hAnsi="宋体" w:cs="宋体" w:eastAsia="宋体" w:hint="default"/>
                            <w:spacing w:val="-5"/>
                            <w:sz w:val="18"/>
                            <w:szCs w:val="18"/>
                          </w:rPr>
                          <w:t>公司在智能物联网、智能电网业务领域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的技术能力和客户情况，员工数量与人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员结构情况，整体经营情况和业务发展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规划，金融科技业务的行业情况、公司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的优势、客户情况等。</w:t>
                        </w:r>
                      </w:p>
                    </w:tc>
                  </w:tr>
                  <w:tr>
                    <w:trPr>
                      <w:trHeight w:val="164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公司新一代分布式金融业务核心平台 </w:t>
                        </w:r>
                        <w:r>
                          <w:rPr>
                            <w:rFonts w:ascii="宋体" w:hAnsi="宋体" w:cs="宋体" w:eastAsia="宋体" w:hint="default"/>
                            <w:spacing w:val="-5"/>
                            <w:sz w:val="18"/>
                            <w:szCs w:val="18"/>
                          </w:rPr>
                          <w:t>产品竞争优势、推广策略及意向客户情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况，客户存量以及客户拓展规划情况 </w:t>
                        </w:r>
                        <w:r>
                          <w:rPr>
                            <w:rFonts w:ascii="宋体" w:hAnsi="宋体" w:cs="宋体" w:eastAsia="宋体" w:hint="default"/>
                            <w:spacing w:val="-5"/>
                            <w:sz w:val="18"/>
                            <w:szCs w:val="18"/>
                          </w:rPr>
                          <w:t>业务开展模式及市场定价情况，与蚂蚁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金服战略合作情况等。</w:t>
                        </w:r>
                      </w:p>
                    </w:tc>
                  </w:tr>
                  <w:tr>
                    <w:trPr>
                      <w:trHeight w:val="165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both"/>
                          <w:rPr>
                            <w:rFonts w:ascii="宋体" w:hAnsi="宋体" w:cs="宋体" w:eastAsia="宋体" w:hint="default"/>
                            <w:sz w:val="18"/>
                            <w:szCs w:val="18"/>
                          </w:rPr>
                        </w:pPr>
                        <w:r>
                          <w:rPr>
                            <w:rFonts w:ascii="宋体" w:hAnsi="宋体" w:cs="宋体" w:eastAsia="宋体" w:hint="default"/>
                            <w:spacing w:val="-5"/>
                            <w:sz w:val="18"/>
                            <w:szCs w:val="18"/>
                          </w:rPr>
                          <w:t>公司业务基本情况介绍，金融科技业务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未来增长点和发展前景，并购子公司的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经营情况，人力成本情况及人力资源管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理体系，财务费用情况，战略方向和未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来发展规划等。</w:t>
                        </w:r>
                      </w:p>
                    </w:tc>
                  </w:tr>
                </w:tbl>
                <w:p>
                  <w:pPr/>
                </w:p>
              </w:txbxContent>
            </v:textbox>
            <w10:wrap type="none"/>
          </v:shape>
        </w:pict>
      </w:r>
      <w:r>
        <w:rPr/>
        <w:t>，</w:t>
      </w:r>
    </w:p>
    <w:p>
      <w:pPr>
        <w:spacing w:after="0" w:line="240" w:lineRule="auto"/>
        <w:jc w:val="righ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right="1117"/>
        <w:jc w:val="center"/>
        <w:rPr>
          <w:b w:val="0"/>
          <w:bCs w:val="0"/>
        </w:rPr>
      </w:pPr>
      <w:bookmarkStart w:name="_bookmark3" w:id="4"/>
      <w:bookmarkEnd w:id="4"/>
      <w:r>
        <w:rPr>
          <w:b w:val="0"/>
          <w:bCs w:val="0"/>
        </w:rPr>
      </w:r>
      <w:r>
        <w:rPr/>
        <w:t>第五节重要事项</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t>报告期内普通股利润分配政策，特别是现金分红政策的制定、执行或调整情况</w:t>
      </w:r>
    </w:p>
    <w:p>
      <w:pPr>
        <w:pStyle w:val="BodyText"/>
        <w:spacing w:line="319" w:lineRule="auto" w:before="117"/>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报告期内，公司严格按照《公司章程》中相关利润分配政策和审议程序执行利润分配方案，相关的决策程序和机制完备。在</w:t>
      </w:r>
      <w:r>
        <w:rPr>
          <w:spacing w:val="-67"/>
        </w:rPr>
        <w:t> </w:t>
      </w:r>
      <w:r>
        <w:rPr>
          <w:spacing w:val="-67"/>
        </w:rPr>
      </w:r>
      <w:r>
        <w:rPr>
          <w:spacing w:val="-2"/>
        </w:rPr>
        <w:t>分配预案拟定和决策时，独立董事尽职履责发表了独立意见。公司以详细公告形式向全体股东发出股东大会通知，并提供网</w:t>
      </w:r>
      <w:r>
        <w:rPr>
          <w:spacing w:val="-63"/>
        </w:rPr>
        <w:t> </w:t>
      </w:r>
      <w:r>
        <w:rPr>
          <w:spacing w:val="-63"/>
        </w:rPr>
      </w:r>
      <w:r>
        <w:rPr/>
        <w:t>络投票方式，中小股东有充分表达意见和诉求的机会，以充分维护中小股东的合法权益。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日，公司第五届董事会第四十六次会议审议通过了《</w:t>
      </w:r>
      <w:r>
        <w:rPr>
          <w:rFonts w:ascii="Times New Roman" w:hAnsi="Times New Roman" w:cs="Times New Roman" w:eastAsia="Times New Roman" w:hint="default"/>
        </w:rPr>
        <w:t>2018</w:t>
      </w:r>
      <w:r>
        <w:rPr/>
        <w:t>年度利润分配预案》：公司</w:t>
      </w:r>
      <w:r>
        <w:rPr>
          <w:rFonts w:ascii="Times New Roman" w:hAnsi="Times New Roman" w:cs="Times New Roman" w:eastAsia="Times New Roman" w:hint="default"/>
        </w:rPr>
        <w:t>2018</w:t>
      </w:r>
      <w:r>
        <w:rPr/>
        <w:t>年度拟不派发现金红 </w:t>
      </w:r>
      <w:r>
        <w:rPr>
          <w:spacing w:val="-2"/>
        </w:rPr>
        <w:t>利，不送红股，不以公积金转增股本，剩余未分配利润结转至下年度。</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6</w:t>
      </w:r>
      <w:r>
        <w:rPr>
          <w:spacing w:val="-2"/>
        </w:rPr>
        <w:t>日，公司召开</w:t>
      </w:r>
      <w:r>
        <w:rPr>
          <w:rFonts w:ascii="Times New Roman" w:hAnsi="Times New Roman" w:cs="Times New Roman" w:eastAsia="Times New Roman" w:hint="default"/>
          <w:spacing w:val="-2"/>
        </w:rPr>
        <w:t>2018</w:t>
      </w:r>
      <w:r>
        <w:rPr>
          <w:spacing w:val="-2"/>
        </w:rPr>
        <w:t>年年度股东大会审议通</w:t>
      </w:r>
    </w:p>
    <w:p>
      <w:pPr>
        <w:pStyle w:val="BodyText"/>
        <w:spacing w:line="304" w:lineRule="auto"/>
        <w:ind w:right="0"/>
        <w:jc w:val="left"/>
      </w:pPr>
      <w:r>
        <w:rPr>
          <w:spacing w:val="-2"/>
        </w:rPr>
        <w:t>过了《</w:t>
      </w:r>
      <w:r>
        <w:rPr>
          <w:rFonts w:ascii="Times New Roman" w:hAnsi="Times New Roman" w:cs="Times New Roman" w:eastAsia="Times New Roman" w:hint="default"/>
          <w:spacing w:val="-2"/>
        </w:rPr>
        <w:t>2018</w:t>
      </w:r>
      <w:r>
        <w:rPr>
          <w:spacing w:val="-2"/>
        </w:rPr>
        <w:t>年度利润分配预案》。根据中国证券监督管理委员会《关于支持上市公司回购股份的意见》、《深圳证券交易所</w:t>
      </w:r>
      <w:r>
        <w:rPr>
          <w:spacing w:val="-69"/>
        </w:rPr>
        <w:t> </w:t>
      </w:r>
      <w:r>
        <w:rPr>
          <w:spacing w:val="-69"/>
        </w:rPr>
      </w:r>
      <w:r>
        <w:rPr>
          <w:spacing w:val="-2"/>
        </w:rPr>
        <w:t>上市公司回购股份实施细则》的相关规定，上市公司以现金为对价，采用要约方式、集中竞价方式回购股份的，当年已实施</w:t>
      </w:r>
      <w:r>
        <w:rPr>
          <w:spacing w:val="-68"/>
        </w:rPr>
        <w:t> </w:t>
      </w:r>
      <w:r>
        <w:rPr>
          <w:spacing w:val="-68"/>
        </w:rPr>
      </w:r>
      <w:r>
        <w:rPr>
          <w:spacing w:val="-2"/>
        </w:rPr>
        <w:t>的回购股份金额视同现金分红金额，纳入该年度现金分红的相关比例计算。</w:t>
      </w:r>
      <w:r>
        <w:rPr>
          <w:rFonts w:ascii="Times New Roman" w:hAnsi="Times New Roman" w:cs="Times New Roman" w:eastAsia="Times New Roman" w:hint="default"/>
          <w:spacing w:val="-2"/>
        </w:rPr>
        <w:t>2018</w:t>
      </w:r>
      <w:r>
        <w:rPr>
          <w:spacing w:val="-2"/>
        </w:rPr>
        <w:t>年度，公司通过股份回购专用证券账户以集</w:t>
      </w:r>
      <w:r>
        <w:rPr>
          <w:spacing w:val="-63"/>
        </w:rPr>
        <w:t> </w:t>
      </w:r>
      <w:r>
        <w:rPr>
          <w:spacing w:val="-63"/>
        </w:rPr>
      </w:r>
      <w:r>
        <w:rPr/>
        <w:t>中竞价交易方式累计回购股份数量为</w:t>
      </w:r>
      <w:r>
        <w:rPr>
          <w:rFonts w:ascii="Times New Roman" w:hAnsi="Times New Roman" w:cs="Times New Roman" w:eastAsia="Times New Roman" w:hint="default"/>
        </w:rPr>
        <w:t>14,999,445</w:t>
      </w:r>
      <w:r>
        <w:rPr/>
        <w:t>股，累计成交总金额</w:t>
      </w:r>
      <w:r>
        <w:rPr>
          <w:rFonts w:ascii="Times New Roman" w:hAnsi="Times New Roman" w:cs="Times New Roman" w:eastAsia="Times New Roman" w:hint="default"/>
        </w:rPr>
        <w:t>148,753,014.66</w:t>
      </w:r>
      <w:r>
        <w:rPr>
          <w:rFonts w:ascii="Times New Roman" w:hAnsi="Times New Roman" w:cs="Times New Roman" w:eastAsia="Times New Roman" w:hint="default"/>
          <w:spacing w:val="26"/>
        </w:rPr>
        <w:t> </w:t>
      </w:r>
      <w:r>
        <w:rPr/>
        <w:t>元（不含交易费用），视同现金分红金 额为</w:t>
      </w:r>
      <w:r>
        <w:rPr>
          <w:rFonts w:ascii="Times New Roman" w:hAnsi="Times New Roman" w:cs="Times New Roman" w:eastAsia="Times New Roman" w:hint="default"/>
        </w:rPr>
        <w:t>148,753,014.66</w:t>
      </w:r>
      <w:r>
        <w:rPr/>
        <w:t>元。</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t>公司报告期利润分配预案及资本公积金转增股本预案与公司章程和分红管理办法等的相关规定一致</w:t>
      </w:r>
    </w:p>
    <w:p>
      <w:pPr>
        <w:pStyle w:val="BodyText"/>
        <w:spacing w:line="350" w:lineRule="auto" w:before="115"/>
        <w:ind w:right="4273"/>
        <w:jc w:val="left"/>
      </w:pPr>
      <w:r>
        <w:rPr/>
        <w:pict>
          <v:shape style="position:absolute;margin-left:218.673004pt;margin-top:98.97171pt;width:316.3pt;height:19.6pt;mso-position-horizontal-relative:page;mso-position-vertical-relative:paragraph;z-index:-1330096" type="#_x0000_t202" filled="false" stroked="false">
            <v:textbox inset="0,0,0,0">
              <w:txbxContent>
                <w:p>
                  <w:pPr>
                    <w:pStyle w:val="BodyText"/>
                    <w:spacing w:line="240" w:lineRule="auto" w:before="49"/>
                    <w:ind w:left="0" w:right="0"/>
                    <w:jc w:val="left"/>
                  </w:pPr>
                  <w:r>
                    <w:rPr/>
                    <w:t>（元）</w:t>
                  </w:r>
                </w:p>
              </w:txbxContent>
            </v:textbox>
            <w10:wrap type="none"/>
          </v:shape>
        </w:pic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本年度利润分配及资本公积金转增股本情况</w:t>
      </w:r>
    </w:p>
    <w:tbl>
      <w:tblPr>
        <w:tblW w:w="0" w:type="auto"/>
        <w:jc w:val="left"/>
        <w:tblInd w:w="148" w:type="dxa"/>
        <w:tblLayout w:type="fixed"/>
        <w:tblCellMar>
          <w:top w:w="0" w:type="dxa"/>
          <w:left w:w="0" w:type="dxa"/>
          <w:bottom w:w="0" w:type="dxa"/>
          <w:right w:w="0" w:type="dxa"/>
        </w:tblCellMar>
        <w:tblLook w:val="01E0"/>
      </w:tblPr>
      <w:tblGrid>
        <w:gridCol w:w="3718"/>
        <w:gridCol w:w="5853"/>
      </w:tblGrid>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796,410,841</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含税）</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18"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w:t>
            </w:r>
          </w:p>
        </w:tc>
        <w:tc>
          <w:tcPr>
            <w:tcW w:w="5853"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13,991,786.34</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13,991,786.34</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6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经容诚会计师事务所（特殊普通合伙）审计，公司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年度实现归属于上市公司股东的净利润为</w:t>
            </w:r>
            <w:r>
              <w:rPr>
                <w:rFonts w:ascii="Times New Roman" w:hAnsi="Times New Roman" w:cs="Times New Roman" w:eastAsia="Times New Roman" w:hint="default"/>
                <w:sz w:val="18"/>
                <w:szCs w:val="18"/>
              </w:rPr>
              <w:t>-1,794,232,923.06</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元，母</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1"/>
        <w:rPr>
          <w:rFonts w:ascii="宋体" w:hAnsi="宋体" w:cs="宋体" w:eastAsia="宋体" w:hint="default"/>
          <w:sz w:val="28"/>
          <w:szCs w:val="28"/>
        </w:rPr>
      </w:pPr>
    </w:p>
    <w:p>
      <w:pPr>
        <w:spacing w:line="2626" w:lineRule="exact"/>
        <w:ind w:left="533" w:right="0" w:firstLine="0"/>
        <w:rPr>
          <w:rFonts w:ascii="宋体" w:hAnsi="宋体" w:cs="宋体" w:eastAsia="宋体" w:hint="default"/>
          <w:sz w:val="20"/>
          <w:szCs w:val="20"/>
        </w:rPr>
      </w:pPr>
      <w:r>
        <w:rPr>
          <w:rFonts w:ascii="宋体" w:hAnsi="宋体" w:cs="宋体" w:eastAsia="宋体" w:hint="default"/>
          <w:position w:val="-52"/>
          <w:sz w:val="20"/>
          <w:szCs w:val="20"/>
        </w:rPr>
        <w:pict>
          <v:shape style="width:478.55pt;height:131.3pt;mso-position-horizontal-relative:char;mso-position-vertical-relative:line" type="#_x0000_t202" filled="false" stroked="true" strokeweight=".47998pt" strokecolor="#000000">
            <w10:anchorlock/>
            <v:textbox inset="0,0,0,0">
              <w:txbxContent>
                <w:p>
                  <w:pPr>
                    <w:pStyle w:val="BodyText"/>
                    <w:spacing w:line="300" w:lineRule="auto" w:before="8"/>
                    <w:ind w:left="24" w:right="51"/>
                    <w:jc w:val="left"/>
                  </w:pPr>
                  <w:r>
                    <w:rPr/>
                    <w:t>公司实现的净利润为</w:t>
                  </w:r>
                  <w:r>
                    <w:rPr>
                      <w:rFonts w:ascii="Times New Roman" w:hAnsi="Times New Roman" w:cs="Times New Roman" w:eastAsia="Times New Roman" w:hint="default"/>
                    </w:rPr>
                    <w:t>-1,396,504,091.73 </w:t>
                  </w:r>
                  <w:r>
                    <w:rPr/>
                    <w:t>元。</w:t>
                  </w:r>
                  <w:r>
                    <w:rPr>
                      <w:rFonts w:ascii="Times New Roman" w:hAnsi="Times New Roman" w:cs="Times New Roman" w:eastAsia="Times New Roman" w:hint="default"/>
                    </w:rPr>
                    <w:t>2019 </w:t>
                  </w:r>
                  <w:r>
                    <w:rPr/>
                    <w:t>年末公司累计未分配的利润为</w:t>
                  </w:r>
                  <w:r>
                    <w:rPr>
                      <w:rFonts w:ascii="Times New Roman" w:hAnsi="Times New Roman" w:cs="Times New Roman" w:eastAsia="Times New Roman" w:hint="default"/>
                    </w:rPr>
                    <w:t>-771,624,550.68</w:t>
                  </w:r>
                  <w:r>
                    <w:rPr>
                      <w:rFonts w:ascii="Times New Roman" w:hAnsi="Times New Roman" w:cs="Times New Roman" w:eastAsia="Times New Roman" w:hint="default"/>
                      <w:spacing w:val="-8"/>
                    </w:rPr>
                    <w:t> </w:t>
                  </w:r>
                  <w:r>
                    <w:rPr/>
                    <w:t>元，母公司累计未分配的利 润为</w:t>
                  </w:r>
                  <w:r>
                    <w:rPr>
                      <w:rFonts w:ascii="Times New Roman" w:hAnsi="Times New Roman" w:cs="Times New Roman" w:eastAsia="Times New Roman" w:hint="default"/>
                    </w:rPr>
                    <w:t>-1,024,457,218.03</w:t>
                  </w:r>
                  <w:r>
                    <w:rPr>
                      <w:rFonts w:ascii="Times New Roman" w:hAnsi="Times New Roman" w:cs="Times New Roman" w:eastAsia="Times New Roman" w:hint="default"/>
                      <w:spacing w:val="-2"/>
                    </w:rPr>
                    <w:t> </w:t>
                  </w:r>
                  <w:r>
                    <w:rPr/>
                    <w:t>元。</w:t>
                  </w:r>
                </w:p>
                <w:p>
                  <w:pPr>
                    <w:pStyle w:val="BodyText"/>
                    <w:spacing w:line="240" w:lineRule="auto" w:before="53"/>
                    <w:ind w:left="24" w:right="0"/>
                    <w:jc w:val="left"/>
                  </w:pPr>
                  <w:r>
                    <w:rPr/>
                    <w:t>根</w:t>
                  </w:r>
                  <w:r>
                    <w:rPr>
                      <w:spacing w:val="-5"/>
                    </w:rPr>
                    <w:t>据</w:t>
                  </w:r>
                  <w:r>
                    <w:rPr/>
                    <w:t>《公司法</w:t>
                  </w:r>
                  <w:r>
                    <w:rPr>
                      <w:spacing w:val="-92"/>
                    </w:rPr>
                    <w:t>》</w:t>
                  </w:r>
                  <w:r>
                    <w:rPr>
                      <w:spacing w:val="-96"/>
                    </w:rPr>
                    <w:t>、</w:t>
                  </w:r>
                  <w:r>
                    <w:rPr/>
                    <w:t>《上市公司</w:t>
                  </w:r>
                  <w:r>
                    <w:rPr>
                      <w:spacing w:val="2"/>
                    </w:rPr>
                    <w:t>监</w:t>
                  </w:r>
                  <w:r>
                    <w:rPr/>
                    <w:t>管指引第</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w:t>
                  </w:r>
                  <w:r>
                    <w:rPr>
                      <w:spacing w:val="-3"/>
                    </w:rPr>
                    <w:t>现</w:t>
                  </w:r>
                  <w:r>
                    <w:rPr/>
                    <w:t>金分红</w:t>
                  </w:r>
                  <w:r>
                    <w:rPr>
                      <w:spacing w:val="-5"/>
                    </w:rPr>
                    <w:t>》及</w:t>
                  </w:r>
                  <w:r>
                    <w:rPr/>
                    <w:t>《公司章程</w:t>
                  </w:r>
                  <w:r>
                    <w:rPr>
                      <w:spacing w:val="-5"/>
                    </w:rPr>
                    <w:t>》</w:t>
                  </w:r>
                  <w:r>
                    <w:rPr/>
                    <w:t>等的相关规定</w:t>
                  </w:r>
                  <w:r>
                    <w:rPr>
                      <w:spacing w:val="-5"/>
                    </w:rPr>
                    <w:t>，</w:t>
                  </w:r>
                  <w:r>
                    <w:rPr/>
                    <w:t>结合公司实际经营情</w:t>
                  </w:r>
                </w:p>
                <w:p>
                  <w:pPr>
                    <w:pStyle w:val="BodyText"/>
                    <w:spacing w:line="319" w:lineRule="auto" w:before="63"/>
                    <w:ind w:left="24" w:right="20"/>
                    <w:jc w:val="left"/>
                  </w:pPr>
                  <w:r>
                    <w:rPr/>
                    <w:t>况和现金流情况，公司拟定</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年度利润分配预案为：不派发现金红利，不送红股，不以公积金转增股本。 </w:t>
                  </w:r>
                  <w:r>
                    <w:rPr>
                      <w:spacing w:val="-4"/>
                    </w:rPr>
                    <w:t>根据中国证券监督管理委员会《关于支持上市公司回购股份的意见》、《深圳证券交易所上市公司回购股份实施细则》的相</w:t>
                  </w:r>
                  <w:r>
                    <w:rPr>
                      <w:spacing w:val="-85"/>
                    </w:rPr>
                    <w:t> </w:t>
                  </w:r>
                  <w:r>
                    <w:rPr>
                      <w:spacing w:val="-85"/>
                    </w:rPr>
                  </w:r>
                  <w:r>
                    <w:rPr>
                      <w:spacing w:val="-1"/>
                    </w:rPr>
                    <w:t>关规定，上市公司以现金为对价，采用要约方式、集中竞价方式回购股份的，当年已实施的回购股份金额视同现金分红金</w:t>
                  </w:r>
                  <w:r>
                    <w:rPr>
                      <w:spacing w:val="-69"/>
                    </w:rPr>
                    <w:t> </w:t>
                  </w:r>
                  <w:r>
                    <w:rPr>
                      <w:spacing w:val="-69"/>
                    </w:rPr>
                  </w:r>
                  <w:r>
                    <w:rPr>
                      <w:spacing w:val="-3"/>
                    </w:rPr>
                    <w:t>额，纳入该年度现金分红的相关比例计算。</w:t>
                  </w:r>
                  <w:r>
                    <w:rPr>
                      <w:rFonts w:ascii="Times New Roman" w:hAnsi="Times New Roman" w:cs="Times New Roman" w:eastAsia="Times New Roman" w:hint="default"/>
                      <w:spacing w:val="-3"/>
                    </w:rPr>
                    <w:t>2019 </w:t>
                  </w:r>
                  <w:r>
                    <w:rPr/>
                    <w:t>年度，公司通过股份回购专用证券账户以集中竞价交易方式累计回购股份 数量为</w:t>
                  </w:r>
                  <w:r>
                    <w:rPr>
                      <w:spacing w:val="-48"/>
                    </w:rPr>
                    <w:t> </w:t>
                  </w:r>
                  <w:r>
                    <w:rPr>
                      <w:rFonts w:ascii="Times New Roman" w:hAnsi="Times New Roman" w:cs="Times New Roman" w:eastAsia="Times New Roman" w:hint="default"/>
                    </w:rPr>
                    <w:t>1,486,844</w:t>
                  </w:r>
                  <w:r>
                    <w:rPr>
                      <w:rFonts w:ascii="Times New Roman" w:hAnsi="Times New Roman" w:cs="Times New Roman" w:eastAsia="Times New Roman" w:hint="default"/>
                      <w:spacing w:val="-1"/>
                    </w:rPr>
                    <w:t> </w:t>
                  </w:r>
                  <w:r>
                    <w:rPr/>
                    <w:t>股，累计成交总金额</w:t>
                  </w:r>
                  <w:r>
                    <w:rPr>
                      <w:spacing w:val="-47"/>
                    </w:rPr>
                    <w:t> </w:t>
                  </w:r>
                  <w:r>
                    <w:rPr>
                      <w:rFonts w:ascii="Times New Roman" w:hAnsi="Times New Roman" w:cs="Times New Roman" w:eastAsia="Times New Roman" w:hint="default"/>
                    </w:rPr>
                    <w:t>13,991,786.34</w:t>
                  </w:r>
                  <w:r>
                    <w:rPr>
                      <w:rFonts w:ascii="Times New Roman" w:hAnsi="Times New Roman" w:cs="Times New Roman" w:eastAsia="Times New Roman" w:hint="default"/>
                      <w:spacing w:val="-1"/>
                    </w:rPr>
                    <w:t> </w:t>
                  </w:r>
                  <w:r>
                    <w:rPr>
                      <w:spacing w:val="-5"/>
                    </w:rPr>
                    <w:t>元（不含交易费用），视同现金分红金额为</w:t>
                  </w:r>
                  <w:r>
                    <w:rPr>
                      <w:spacing w:val="-47"/>
                    </w:rPr>
                    <w:t> </w:t>
                  </w:r>
                  <w:r>
                    <w:rPr>
                      <w:rFonts w:ascii="Times New Roman" w:hAnsi="Times New Roman" w:cs="Times New Roman" w:eastAsia="Times New Roman" w:hint="default"/>
                    </w:rPr>
                    <w:t>13,991,786.34 </w:t>
                  </w:r>
                  <w:r>
                    <w:rPr/>
                    <w:t>元。</w:t>
                  </w:r>
                </w:p>
              </w:txbxContent>
            </v:textbox>
          </v:shape>
        </w:pict>
      </w:r>
      <w:r>
        <w:rPr>
          <w:rFonts w:ascii="宋体" w:hAnsi="宋体" w:cs="宋体" w:eastAsia="宋体" w:hint="default"/>
          <w:position w:val="-52"/>
          <w:sz w:val="20"/>
          <w:szCs w:val="20"/>
        </w:rPr>
      </w:r>
    </w:p>
    <w:p>
      <w:pPr>
        <w:pStyle w:val="BodyText"/>
        <w:spacing w:line="319" w:lineRule="auto" w:before="53"/>
        <w:ind w:left="533" w:right="1123"/>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61"/>
        </w:rPr>
        <w:t> </w:t>
      </w:r>
      <w:r>
        <w:rPr>
          <w:spacing w:val="-61"/>
        </w:rPr>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日，公司</w:t>
      </w:r>
      <w:r>
        <w:rPr>
          <w:rFonts w:ascii="Times New Roman" w:hAnsi="Times New Roman" w:cs="Times New Roman" w:eastAsia="Times New Roman" w:hint="default"/>
          <w:spacing w:val="-2"/>
        </w:rPr>
        <w:t>2017</w:t>
      </w:r>
      <w:r>
        <w:rPr>
          <w:spacing w:val="-2"/>
        </w:rPr>
        <w:t>年年度股东大会审议通过了公司</w:t>
      </w:r>
      <w:r>
        <w:rPr>
          <w:rFonts w:ascii="Times New Roman" w:hAnsi="Times New Roman" w:cs="Times New Roman" w:eastAsia="Times New Roman" w:hint="default"/>
          <w:spacing w:val="-2"/>
        </w:rPr>
        <w:t>2017</w:t>
      </w:r>
      <w:r>
        <w:rPr>
          <w:spacing w:val="-2"/>
        </w:rPr>
        <w:t>年度利润分配预案：以公司现有总股本</w:t>
      </w:r>
      <w:r>
        <w:rPr>
          <w:rFonts w:ascii="Times New Roman" w:hAnsi="Times New Roman" w:cs="Times New Roman" w:eastAsia="Times New Roman" w:hint="default"/>
          <w:spacing w:val="-2"/>
        </w:rPr>
        <w:t>796,410,841</w:t>
      </w:r>
      <w:r>
        <w:rPr>
          <w:spacing w:val="-2"/>
        </w:rPr>
        <w:t>股为基</w:t>
      </w:r>
      <w:r>
        <w:rPr>
          <w:spacing w:val="-49"/>
        </w:rPr>
        <w:t> </w:t>
      </w:r>
      <w:r>
        <w:rPr>
          <w:spacing w:val="-49"/>
        </w:rPr>
      </w:r>
      <w:r>
        <w:rPr/>
        <w:t>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1.00</w:t>
      </w:r>
      <w:r>
        <w:rPr/>
        <w:t>元人民币（含税），共计派送现金红利</w:t>
      </w:r>
      <w:r>
        <w:rPr>
          <w:rFonts w:ascii="Times New Roman" w:hAnsi="Times New Roman" w:cs="Times New Roman" w:eastAsia="Times New Roman" w:hint="default"/>
        </w:rPr>
        <w:t>79,641,084.10</w:t>
      </w:r>
      <w:r>
        <w:rPr/>
        <w:t>元（含税），累计剩余未分配</w:t>
      </w:r>
    </w:p>
    <w:p>
      <w:pPr>
        <w:pStyle w:val="BodyText"/>
        <w:spacing w:line="307" w:lineRule="auto"/>
        <w:ind w:left="533" w:right="308"/>
        <w:jc w:val="left"/>
      </w:pPr>
      <w:r>
        <w:rPr/>
        <w:t>利润</w:t>
      </w:r>
      <w:r>
        <w:rPr>
          <w:rFonts w:ascii="Times New Roman" w:hAnsi="Times New Roman" w:cs="Times New Roman" w:eastAsia="Times New Roman" w:hint="default"/>
        </w:rPr>
        <w:t>223,751,772.72</w:t>
      </w:r>
      <w:r>
        <w:rPr/>
        <w:t>元，结转至下年度。本次分配不实施资本公积转增股本、不分红股。上述利润分配方案于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 实施完毕。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日，公司</w:t>
      </w:r>
      <w:r>
        <w:rPr>
          <w:rFonts w:ascii="Times New Roman" w:hAnsi="Times New Roman" w:cs="Times New Roman" w:eastAsia="Times New Roman" w:hint="default"/>
        </w:rPr>
        <w:t>2018</w:t>
      </w:r>
      <w:r>
        <w:rPr/>
        <w:t>年年度股东大会议审议通过了公司</w:t>
      </w:r>
      <w:r>
        <w:rPr>
          <w:rFonts w:ascii="Times New Roman" w:hAnsi="Times New Roman" w:cs="Times New Roman" w:eastAsia="Times New Roman" w:hint="default"/>
        </w:rPr>
        <w:t>2018</w:t>
      </w:r>
      <w:r>
        <w:rPr/>
        <w:t>年度利润分配预案：公司</w:t>
      </w:r>
      <w:r>
        <w:rPr>
          <w:rFonts w:ascii="Times New Roman" w:hAnsi="Times New Roman" w:cs="Times New Roman" w:eastAsia="Times New Roman" w:hint="default"/>
        </w:rPr>
        <w:t>2018</w:t>
      </w:r>
      <w:r>
        <w:rPr/>
        <w:t>年度拟不派发现金红利， 不送红股，不以公积金转增股本，剩余未分配利润结转至下年度。 </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27</w:t>
      </w:r>
      <w:r>
        <w:rPr>
          <w:spacing w:val="-3"/>
        </w:rPr>
        <w:t>日，公司第六届董事会第五次会议审议通过了公司</w:t>
      </w:r>
      <w:r>
        <w:rPr>
          <w:rFonts w:ascii="Times New Roman" w:hAnsi="Times New Roman" w:cs="Times New Roman" w:eastAsia="Times New Roman" w:hint="default"/>
          <w:spacing w:val="-3"/>
        </w:rPr>
        <w:t>2019</w:t>
      </w:r>
      <w:r>
        <w:rPr>
          <w:spacing w:val="-3"/>
        </w:rPr>
        <w:t>年度利润分配预案：公司</w:t>
      </w:r>
      <w:r>
        <w:rPr>
          <w:rFonts w:ascii="Times New Roman" w:hAnsi="Times New Roman" w:cs="Times New Roman" w:eastAsia="Times New Roman" w:hint="default"/>
          <w:spacing w:val="-3"/>
        </w:rPr>
        <w:t>2019</w:t>
      </w:r>
      <w:r>
        <w:rPr>
          <w:spacing w:val="-3"/>
        </w:rPr>
        <w:t>年度拟不派发现金红利，</w:t>
      </w:r>
      <w:r>
        <w:rPr>
          <w:spacing w:val="-83"/>
        </w:rPr>
        <w:t> </w:t>
      </w:r>
      <w:r>
        <w:rPr>
          <w:spacing w:val="-83"/>
        </w:rPr>
      </w:r>
      <w:r>
        <w:rPr/>
        <w:t>不送红股，不以公积金转增股本。本次利润分配预案尚需经公司</w:t>
      </w:r>
      <w:r>
        <w:rPr>
          <w:rFonts w:ascii="Times New Roman" w:hAnsi="Times New Roman" w:cs="Times New Roman" w:eastAsia="Times New Roman" w:hint="default"/>
        </w:rPr>
        <w:t>2019</w:t>
      </w:r>
      <w:r>
        <w:rPr/>
        <w:t>年年度股东大会审议批准。</w:t>
      </w:r>
    </w:p>
    <w:p>
      <w:pPr>
        <w:pStyle w:val="BodyText"/>
        <w:spacing w:line="240" w:lineRule="auto" w:before="48"/>
        <w:ind w:left="533" w:right="1123"/>
        <w:jc w:val="left"/>
      </w:pPr>
      <w:r>
        <w:rPr/>
        <w:t>公司近三年（包括本报告期）普通股现金分红情况表</w:t>
      </w:r>
    </w:p>
    <w:p>
      <w:pPr>
        <w:pStyle w:val="BodyText"/>
        <w:spacing w:line="240" w:lineRule="auto" w:before="115"/>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134"/>
        <w:gridCol w:w="1277"/>
        <w:gridCol w:w="1419"/>
        <w:gridCol w:w="1380"/>
        <w:gridCol w:w="1198"/>
        <w:gridCol w:w="1196"/>
        <w:gridCol w:w="1195"/>
        <w:gridCol w:w="1198"/>
      </w:tblGrid>
      <w:tr>
        <w:trPr>
          <w:trHeight w:val="227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4"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left="4"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75" w:right="72"/>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7" w:right="51"/>
              <w:jc w:val="center"/>
              <w:rPr>
                <w:rFonts w:ascii="宋体" w:hAnsi="宋体" w:cs="宋体" w:eastAsia="宋体" w:hint="default"/>
                <w:sz w:val="18"/>
                <w:szCs w:val="18"/>
              </w:rPr>
            </w:pPr>
            <w:r>
              <w:rPr>
                <w:rFonts w:ascii="宋体" w:hAnsi="宋体" w:cs="宋体" w:eastAsia="宋体" w:hint="default"/>
                <w:sz w:val="18"/>
                <w:szCs w:val="18"/>
              </w:rPr>
              <w:t>现金分红金额占 合并报表中归属 于上市公司普通 股股东的净利润 的比率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4"/>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 w:right="5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412" w:right="139"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-1,794,232,923.06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13,991,786.34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13,991,786.34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-0.78%</w:t>
            </w:r>
          </w:p>
        </w:tc>
      </w:tr>
      <w:tr>
        <w:trPr>
          <w:trHeight w:val="401"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314,377,918.28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148,753,014.66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148,753,014.66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47.32%</w:t>
            </w: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79,641,084.10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249,411,156.16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31.93%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79,641,084.10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31.93%</w:t>
            </w:r>
          </w:p>
        </w:tc>
      </w:tr>
    </w:tbl>
    <w:p>
      <w:pPr>
        <w:pStyle w:val="BodyText"/>
        <w:spacing w:line="240" w:lineRule="auto" w:before="49"/>
        <w:ind w:left="533" w:right="1123"/>
        <w:jc w:val="left"/>
      </w:pPr>
      <w:r>
        <w:rPr/>
        <w:t>公司报告期内盈利且母公司可供普通股股东分配利润为正但未提出普通股现金红利分配预案</w:t>
      </w:r>
    </w:p>
    <w:p>
      <w:pPr>
        <w:pStyle w:val="BodyText"/>
        <w:spacing w:line="240" w:lineRule="auto" w:before="115"/>
        <w:ind w:left="533"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left="533" w:right="1123"/>
        <w:jc w:val="left"/>
        <w:rPr>
          <w:b w:val="0"/>
          <w:bCs w:val="0"/>
        </w:rPr>
      </w:pPr>
      <w:r>
        <w:rPr/>
        <w:t>二、承诺事项履行情况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Heading3"/>
        <w:spacing w:line="312" w:lineRule="exact"/>
        <w:ind w:left="533" w:right="1123"/>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26"/>
        </w:rPr>
        <w:t> </w:t>
      </w:r>
      <w:r>
        <w:rPr>
          <w:spacing w:val="26"/>
        </w:rPr>
      </w:r>
      <w:r>
        <w:rPr/>
        <w:t>尚未履行完毕的承诺事项</w:t>
      </w:r>
      <w:r>
        <w:rPr>
          <w:b w:val="0"/>
          <w:bCs w:val="0"/>
        </w:rPr>
      </w:r>
    </w:p>
    <w:p>
      <w:pPr>
        <w:spacing w:line="240" w:lineRule="auto" w:before="14"/>
        <w:rPr>
          <w:rFonts w:ascii="Microsoft JhengHei" w:hAnsi="Microsoft JhengHei" w:cs="Microsoft JhengHei" w:eastAsia="Microsoft JhengHei" w:hint="default"/>
          <w:b/>
          <w:bCs/>
          <w:sz w:val="18"/>
          <w:szCs w:val="18"/>
        </w:rPr>
      </w:pPr>
    </w:p>
    <w:p>
      <w:pPr>
        <w:pStyle w:val="BodyText"/>
        <w:spacing w:line="240" w:lineRule="auto"/>
        <w:ind w:left="533"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562"/>
        <w:gridCol w:w="1417"/>
        <w:gridCol w:w="1277"/>
        <w:gridCol w:w="2977"/>
        <w:gridCol w:w="994"/>
        <w:gridCol w:w="1416"/>
        <w:gridCol w:w="852"/>
      </w:tblGrid>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6"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674" w:hRule="exact"/>
        </w:trPr>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 w:right="84"/>
              <w:jc w:val="left"/>
              <w:rPr>
                <w:rFonts w:ascii="宋体" w:hAnsi="宋体" w:cs="宋体" w:eastAsia="宋体" w:hint="default"/>
                <w:sz w:val="18"/>
                <w:szCs w:val="18"/>
              </w:rPr>
            </w:pPr>
            <w:r>
              <w:rPr>
                <w:rFonts w:ascii="宋体" w:hAnsi="宋体" w:cs="宋体" w:eastAsia="宋体" w:hint="default"/>
                <w:sz w:val="18"/>
                <w:szCs w:val="18"/>
              </w:rPr>
              <w:t>收购报告书或权益 变动报告书中所作</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600" w:right="0"/>
        </w:sectPr>
      </w:pPr>
    </w:p>
    <w:p>
      <w:pPr>
        <w:spacing w:line="240" w:lineRule="auto" w:before="0"/>
        <w:rPr>
          <w:rFonts w:ascii="Times New Roman" w:hAnsi="Times New Roman" w:cs="Times New Roman" w:eastAsia="Times New Roman" w:hint="default"/>
          <w:sz w:val="20"/>
          <w:szCs w:val="20"/>
        </w:rPr>
      </w:pPr>
      <w:r>
        <w:rPr/>
        <w:pict>
          <v:shape style="position:absolute;margin-left:364.007019pt;margin-top:90.61998pt;width:82.4pt;height:128.8pt;mso-position-horizontal-relative:page;mso-position-vertical-relative:page;z-index:-1330048" type="#_x0000_t202" filled="false" stroked="false">
            <v:textbox inset="0,0,0,0">
              <w:txbxContent>
                <w:p>
                  <w:pPr>
                    <w:spacing w:line="240" w:lineRule="auto" w:before="9"/>
                    <w:rPr>
                      <w:rFonts w:ascii="Times New Roman" w:hAnsi="Times New Roman" w:cs="Times New Roman" w:eastAsia="Times New Roman" w:hint="default"/>
                      <w:sz w:val="17"/>
                      <w:szCs w:val="17"/>
                    </w:rPr>
                  </w:pPr>
                </w:p>
                <w:p>
                  <w:pPr>
                    <w:pStyle w:val="BodyText"/>
                    <w:spacing w:line="240" w:lineRule="auto"/>
                    <w:ind w:left="0" w:right="0"/>
                    <w:jc w:val="left"/>
                  </w:pPr>
                  <w:r>
                    <w:rPr/>
                    <w:t>在业务、</w:t>
                  </w:r>
                </w:p>
              </w:txbxContent>
            </v:textbox>
            <w10:wrap type="none"/>
          </v:shape>
        </w:pict>
      </w:r>
      <w:r>
        <w:rPr/>
        <w:pict>
          <v:shape style="position:absolute;margin-left:274.010010pt;margin-top:219.86998pt;width:172.4pt;height:503.35pt;mso-position-horizontal-relative:page;mso-position-vertical-relative:page;z-index:-13300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4"/>
                      <w:szCs w:val="14"/>
                    </w:rPr>
                  </w:pPr>
                </w:p>
                <w:p>
                  <w:pPr>
                    <w:pStyle w:val="BodyText"/>
                    <w:spacing w:line="240" w:lineRule="auto"/>
                    <w:ind w:left="0" w:right="0" w:firstLine="1260"/>
                    <w:jc w:val="left"/>
                  </w:pPr>
                  <w:r>
                    <w:rPr/>
                    <w:t>履行股东义务，</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7"/>
                      <w:szCs w:val="17"/>
                    </w:rPr>
                  </w:pPr>
                </w:p>
                <w:p>
                  <w:pPr>
                    <w:pStyle w:val="BodyText"/>
                    <w:spacing w:line="240" w:lineRule="auto"/>
                    <w:ind w:left="0" w:right="0"/>
                    <w:jc w:val="left"/>
                  </w:pPr>
                  <w:r>
                    <w:rPr/>
                    <w:t>保证交易条件和价格公正公允，</w:t>
                  </w:r>
                </w:p>
              </w:txbxContent>
            </v:textbox>
            <w10:wrap type="none"/>
          </v:shape>
        </w:pict>
      </w:r>
      <w:r>
        <w:rPr/>
        <w:pict>
          <v:group style="position:absolute;margin-left:397.299988pt;margin-top:90.61998pt;width:49.1pt;height:632.6pt;mso-position-horizontal-relative:page;mso-position-vertical-relative:page;z-index:-1330000" coordorigin="7946,1812" coordsize="982,12652">
            <v:group style="position:absolute;left:7946;top:1812;width:982;height:2576" coordorigin="7946,1812" coordsize="982,2576">
              <v:shape style="position:absolute;left:7946;top:1812;width:982;height:2576" coordorigin="7946,1812" coordsize="982,2576" path="m7946,4388l8928,4388,8928,1812,7946,1812,7946,4388xe" filled="true" fillcolor="#ffffff" stroked="false">
                <v:path arrowok="t"/>
                <v:fill type="solid"/>
              </v:shape>
            </v:group>
            <v:group style="position:absolute;left:7968;top:2748;width:939;height:353" coordorigin="7968,2748" coordsize="939,353">
              <v:shape style="position:absolute;left:7968;top:2748;width:939;height:353" coordorigin="7968,2748" coordsize="939,353" path="m7968,3101l8906,3101,8906,2748,7968,2748,7968,3101xe" filled="true" fillcolor="#ffffff" stroked="false">
                <v:path arrowok="t"/>
                <v:fill type="solid"/>
              </v:shape>
            </v:group>
            <v:group style="position:absolute;left:7968;top:3101;width:939;height:351" coordorigin="7968,3101" coordsize="939,351">
              <v:shape style="position:absolute;left:7968;top:3101;width:939;height:351" coordorigin="7968,3101" coordsize="939,351" path="m7968,3452l8906,3452,8906,3101,7968,3101,7968,3452xe" filled="true" fillcolor="#ffffff" stroked="false">
                <v:path arrowok="t"/>
                <v:fill type="solid"/>
              </v:shape>
            </v:group>
            <v:group style="position:absolute;left:7946;top:4397;width:982;height:10067" coordorigin="7946,4397" coordsize="982,10067">
              <v:shape style="position:absolute;left:7946;top:4397;width:982;height:10067" coordorigin="7946,4397" coordsize="982,10067" path="m7946,14464l8928,14464,8928,4397,7946,4397,7946,14464xe" filled="true" fillcolor="#ffffff" stroked="false">
                <v:path arrowok="t"/>
                <v:fill type="solid"/>
              </v:shape>
            </v:group>
            <v:group style="position:absolute;left:7968;top:9078;width:939;height:353" coordorigin="7968,9078" coordsize="939,353">
              <v:shape style="position:absolute;left:7968;top:9078;width:939;height:353" coordorigin="7968,9078" coordsize="939,353" path="m7968,9431l8906,9431,8906,9078,7968,9078,7968,9431xe" filled="true" fillcolor="#ffffff" stroked="false">
                <v:path arrowok="t"/>
                <v:fill type="solid"/>
              </v:shape>
            </v:group>
            <v:group style="position:absolute;left:7968;top:9431;width:939;height:353" coordorigin="7968,9431" coordsize="939,353">
              <v:shape style="position:absolute;left:7968;top:9431;width:939;height:353" coordorigin="7968,9431" coordsize="939,353" path="m7968,9784l8906,9784,8906,9431,7968,9431,7968,978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562"/>
        <w:gridCol w:w="1417"/>
        <w:gridCol w:w="1277"/>
        <w:gridCol w:w="2977"/>
        <w:gridCol w:w="994"/>
        <w:gridCol w:w="1416"/>
        <w:gridCol w:w="852"/>
      </w:tblGrid>
      <w:tr>
        <w:trPr>
          <w:trHeight w:val="363" w:hRule="exact"/>
        </w:trPr>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1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9" w:lineRule="auto"/>
              <w:ind w:left="25" w:right="84"/>
              <w:jc w:val="left"/>
              <w:rPr>
                <w:rFonts w:ascii="宋体" w:hAnsi="宋体" w:cs="宋体" w:eastAsia="宋体" w:hint="default"/>
                <w:sz w:val="18"/>
                <w:szCs w:val="18"/>
              </w:rPr>
            </w:pPr>
            <w:r>
              <w:rPr>
                <w:rFonts w:ascii="宋体" w:hAnsi="宋体" w:cs="宋体" w:eastAsia="宋体" w:hint="default"/>
                <w:sz w:val="18"/>
                <w:szCs w:val="18"/>
              </w:rPr>
              <w:t>资产重组时所作承 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润和软件</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2" w:lineRule="auto"/>
              <w:ind w:left="24" w:right="2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、本次交易完成后，公司承诺</w:t>
            </w:r>
            <w:r>
              <w:rPr>
                <w:rFonts w:ascii="宋体" w:hAnsi="宋体" w:cs="宋体" w:eastAsia="宋体" w:hint="default"/>
                <w:sz w:val="18"/>
                <w:szCs w:val="18"/>
              </w:rPr>
              <w:t> 资产、财务、人员、机构等方面与实 际控制人及其关联方将继续保持独 </w:t>
            </w:r>
            <w:r>
              <w:rPr>
                <w:rFonts w:ascii="宋体" w:hAnsi="宋体" w:cs="宋体" w:eastAsia="宋体" w:hint="default"/>
                <w:spacing w:val="-3"/>
                <w:sz w:val="18"/>
                <w:szCs w:val="18"/>
              </w:rPr>
              <w:t>立。</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、本次交易完成后，公司与控股</w:t>
            </w:r>
            <w:r>
              <w:rPr>
                <w:rFonts w:ascii="宋体" w:hAnsi="宋体" w:cs="宋体" w:eastAsia="宋体" w:hint="default"/>
                <w:sz w:val="18"/>
                <w:szCs w:val="18"/>
              </w:rPr>
              <w:t> 股东润和投资、实际控制人周红卫、 姚宁之间也不会形成同业竞争或增加 新的关联交易。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截至本报 告期末， 承诺人严 格履行承 诺，未出 现违反上 述承诺的 情况。</w:t>
            </w:r>
          </w:p>
        </w:tc>
      </w:tr>
      <w:tr>
        <w:trPr>
          <w:trHeight w:val="10077" w:hRule="exact"/>
        </w:trPr>
        <w:tc>
          <w:tcPr>
            <w:tcW w:w="1562"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23" w:right="122"/>
              <w:jc w:val="left"/>
              <w:rPr>
                <w:rFonts w:ascii="宋体" w:hAnsi="宋体" w:cs="宋体" w:eastAsia="宋体" w:hint="default"/>
                <w:sz w:val="18"/>
                <w:szCs w:val="18"/>
              </w:rPr>
            </w:pPr>
            <w:r>
              <w:rPr>
                <w:rFonts w:ascii="宋体" w:hAnsi="宋体" w:cs="宋体" w:eastAsia="宋体" w:hint="default"/>
                <w:sz w:val="18"/>
                <w:szCs w:val="18"/>
              </w:rPr>
              <w:t>润和投资、周红 卫、姚宁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23" w:right="22"/>
              <w:jc w:val="left"/>
              <w:rPr>
                <w:rFonts w:ascii="宋体" w:hAnsi="宋体" w:cs="宋体" w:eastAsia="宋体" w:hint="default"/>
                <w:sz w:val="18"/>
                <w:szCs w:val="18"/>
              </w:rPr>
            </w:pPr>
            <w:r>
              <w:rPr>
                <w:rFonts w:ascii="宋体" w:hAnsi="宋体" w:cs="宋体" w:eastAsia="宋体" w:hint="default"/>
                <w:sz w:val="18"/>
                <w:szCs w:val="18"/>
              </w:rPr>
              <w:t>关于避免同业 </w:t>
            </w:r>
            <w:r>
              <w:rPr>
                <w:rFonts w:ascii="宋体" w:hAnsi="宋体" w:cs="宋体" w:eastAsia="宋体" w:hint="default"/>
                <w:spacing w:val="-6"/>
                <w:sz w:val="18"/>
                <w:szCs w:val="18"/>
              </w:rPr>
              <w:t>竞争、减少和规</w:t>
            </w:r>
            <w:r>
              <w:rPr>
                <w:rFonts w:ascii="宋体" w:hAnsi="宋体" w:cs="宋体" w:eastAsia="宋体" w:hint="default"/>
                <w:sz w:val="18"/>
                <w:szCs w:val="18"/>
              </w:rPr>
              <w:t> </w:t>
            </w:r>
            <w:r>
              <w:rPr>
                <w:rFonts w:ascii="宋体" w:hAnsi="宋体" w:cs="宋体" w:eastAsia="宋体" w:hint="default"/>
                <w:spacing w:val="-6"/>
                <w:sz w:val="18"/>
                <w:szCs w:val="18"/>
              </w:rPr>
              <w:t>范关联交易、规</w:t>
            </w:r>
            <w:r>
              <w:rPr>
                <w:rFonts w:ascii="宋体" w:hAnsi="宋体" w:cs="宋体" w:eastAsia="宋体" w:hint="default"/>
                <w:sz w:val="18"/>
                <w:szCs w:val="18"/>
              </w:rPr>
              <w:t> 范资金占用行 为方面的承诺</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（一）避免同业竞争：</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 人及本公司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本人控股和实际控制的 其他企业目前均未从事与润和软件及 其子公司相竞争的业务。</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本人保证本公司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 控股和实际控制的其他企业未来不会 以任何形式直接或间接地从事与润和 软件及其子公司相同或相似的业务。 </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本人保证严格遵守中国证 监会、证券交易所有关规章及润和软 件公司章程的规定，与其他股东一样 平等的行使股东权利、 不利用控股股东</w:t>
            </w: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实际控制人的地位 谋取不当利益，不损害润和软件和其 他股东的合法权益。</w:t>
            </w:r>
            <w:r>
              <w:rPr>
                <w:rFonts w:ascii="Times New Roman" w:hAnsi="Times New Roman" w:cs="Times New Roman" w:eastAsia="Times New Roman" w:hint="default"/>
                <w:sz w:val="18"/>
                <w:szCs w:val="18"/>
              </w:rPr>
              <w:t>4</w:t>
            </w:r>
            <w:r>
              <w:rPr>
                <w:rFonts w:ascii="宋体" w:hAnsi="宋体" w:cs="宋体" w:eastAsia="宋体" w:hint="default"/>
                <w:sz w:val="18"/>
                <w:szCs w:val="18"/>
              </w:rPr>
              <w:t>、如果本公司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本人违反上述声明、保证与承诺造成 润和软件经济损失的，承诺人同意赔 </w:t>
            </w:r>
            <w:r>
              <w:rPr>
                <w:rFonts w:ascii="宋体" w:hAnsi="宋体" w:cs="宋体" w:eastAsia="宋体" w:hint="default"/>
                <w:spacing w:val="-9"/>
                <w:sz w:val="18"/>
                <w:szCs w:val="18"/>
              </w:rPr>
              <w:t>偿相应损失。（二）减少和规范关联交</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易：</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本人关 联方将不会通过借款、代偿债务、代 垫款项或者其他方式占用润和软件及 其子公司之资金。</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 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本人关联方将采取措施尽量 减少与润和软件及其子公司发生关联 交易；若发生必要且不可避免的关联 </w:t>
            </w:r>
            <w:r>
              <w:rPr>
                <w:rFonts w:ascii="宋体" w:hAnsi="宋体" w:cs="宋体" w:eastAsia="宋体" w:hint="default"/>
                <w:spacing w:val="-4"/>
                <w:sz w:val="18"/>
                <w:szCs w:val="18"/>
              </w:rPr>
              <w:t>交易，本公司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本人及本公司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本人关联</w:t>
            </w:r>
            <w:r>
              <w:rPr>
                <w:rFonts w:ascii="宋体" w:hAnsi="宋体" w:cs="宋体" w:eastAsia="宋体" w:hint="default"/>
                <w:spacing w:val="-78"/>
                <w:sz w:val="18"/>
                <w:szCs w:val="18"/>
              </w:rPr>
              <w:t> </w:t>
            </w:r>
            <w:r>
              <w:rPr>
                <w:rFonts w:ascii="宋体" w:hAnsi="宋体" w:cs="宋体" w:eastAsia="宋体" w:hint="default"/>
                <w:sz w:val="18"/>
                <w:szCs w:val="18"/>
              </w:rPr>
              <w:t>方将严格按照法律法规、规范性文件 及润和软件公司制度的规定履行信息 披露义务及相关内部决策程序和回避 制度， 确保不损害润和软件及其他股东的合 法权益。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4" w:right="96"/>
              <w:jc w:val="both"/>
              <w:rPr>
                <w:rFonts w:ascii="宋体" w:hAnsi="宋体" w:cs="宋体" w:eastAsia="宋体" w:hint="default"/>
                <w:sz w:val="18"/>
                <w:szCs w:val="18"/>
              </w:rPr>
            </w:pPr>
            <w:r>
              <w:rPr>
                <w:rFonts w:ascii="宋体" w:hAnsi="宋体" w:cs="宋体" w:eastAsia="宋体" w:hint="default"/>
                <w:sz w:val="18"/>
                <w:szCs w:val="18"/>
              </w:rPr>
              <w:t>截至本报 告期末， 承诺人严 格履行承 诺，未出 现违反上 述承诺的 情况。</w:t>
            </w:r>
          </w:p>
        </w:tc>
      </w:tr>
      <w:tr>
        <w:trPr>
          <w:trHeight w:val="713" w:hRule="exact"/>
        </w:trPr>
        <w:tc>
          <w:tcPr>
            <w:tcW w:w="1562"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7"/>
              <w:jc w:val="left"/>
              <w:rPr>
                <w:rFonts w:ascii="宋体" w:hAnsi="宋体" w:cs="宋体" w:eastAsia="宋体" w:hint="default"/>
                <w:sz w:val="18"/>
                <w:szCs w:val="18"/>
              </w:rPr>
            </w:pPr>
            <w:r>
              <w:rPr>
                <w:rFonts w:ascii="宋体" w:hAnsi="宋体" w:cs="宋体" w:eastAsia="宋体" w:hint="default"/>
                <w:spacing w:val="-10"/>
                <w:sz w:val="18"/>
                <w:szCs w:val="18"/>
              </w:rPr>
              <w:t>王杰、王拥军、吴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向东、郭小宇、吴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22"/>
              <w:jc w:val="left"/>
              <w:rPr>
                <w:rFonts w:ascii="宋体" w:hAnsi="宋体" w:cs="宋体" w:eastAsia="宋体" w:hint="default"/>
                <w:sz w:val="18"/>
                <w:szCs w:val="18"/>
              </w:rPr>
            </w:pPr>
            <w:r>
              <w:rPr>
                <w:rFonts w:ascii="宋体" w:hAnsi="宋体" w:cs="宋体" w:eastAsia="宋体" w:hint="default"/>
                <w:sz w:val="18"/>
                <w:szCs w:val="18"/>
              </w:rPr>
              <w:t>关于规范资金 </w:t>
            </w:r>
            <w:r>
              <w:rPr>
                <w:rFonts w:ascii="宋体" w:hAnsi="宋体" w:cs="宋体" w:eastAsia="宋体" w:hint="default"/>
                <w:spacing w:val="-6"/>
                <w:sz w:val="18"/>
                <w:szCs w:val="18"/>
              </w:rPr>
              <w:t>占用行为、减少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8"/>
              <w:ind w:left="24" w:right="19"/>
              <w:jc w:val="left"/>
              <w:rPr>
                <w:rFonts w:ascii="宋体" w:hAnsi="宋体" w:cs="宋体" w:eastAsia="宋体" w:hint="default"/>
                <w:sz w:val="18"/>
                <w:szCs w:val="18"/>
              </w:rPr>
            </w:pPr>
            <w:r>
              <w:rPr>
                <w:rFonts w:ascii="宋体" w:hAnsi="宋体" w:cs="宋体" w:eastAsia="宋体" w:hint="default"/>
                <w:spacing w:val="-3"/>
                <w:sz w:val="18"/>
                <w:szCs w:val="18"/>
              </w:rPr>
              <w:t>一、规范资金占用行为：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、截至本承</w:t>
            </w:r>
            <w:r>
              <w:rPr>
                <w:rFonts w:ascii="宋体" w:hAnsi="宋体" w:cs="宋体" w:eastAsia="宋体" w:hint="default"/>
                <w:sz w:val="18"/>
                <w:szCs w:val="18"/>
              </w:rPr>
              <w:t> </w:t>
            </w:r>
            <w:r>
              <w:rPr>
                <w:rFonts w:ascii="宋体" w:hAnsi="宋体" w:cs="宋体" w:eastAsia="宋体" w:hint="default"/>
                <w:spacing w:val="-9"/>
                <w:sz w:val="18"/>
                <w:szCs w:val="18"/>
              </w:rPr>
              <w:t>诺出具之日，本人及本人对外投资（包</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96"/>
              <w:jc w:val="left"/>
              <w:rPr>
                <w:rFonts w:ascii="宋体" w:hAnsi="宋体" w:cs="宋体" w:eastAsia="宋体" w:hint="default"/>
                <w:sz w:val="18"/>
                <w:szCs w:val="18"/>
              </w:rPr>
            </w:pPr>
            <w:r>
              <w:rPr>
                <w:rFonts w:ascii="宋体" w:hAnsi="宋体" w:cs="宋体" w:eastAsia="宋体" w:hint="default"/>
                <w:sz w:val="18"/>
                <w:szCs w:val="18"/>
              </w:rPr>
              <w:t>截至本报 告期末，</w:t>
            </w:r>
          </w:p>
        </w:tc>
      </w:tr>
    </w:tbl>
    <w:p>
      <w:pPr>
        <w:spacing w:after="0" w:line="316" w:lineRule="auto"/>
        <w:jc w:val="left"/>
        <w:rPr>
          <w:rFonts w:ascii="宋体" w:hAnsi="宋体" w:cs="宋体" w:eastAsia="宋体" w:hint="default"/>
          <w:sz w:val="18"/>
          <w:szCs w:val="18"/>
        </w:rPr>
        <w:sectPr>
          <w:pgSz w:w="11910" w:h="16840"/>
          <w:pgMar w:header="745" w:footer="979" w:top="1060" w:bottom="1160" w:left="600" w:right="0"/>
        </w:sectPr>
      </w:pPr>
    </w:p>
    <w:p>
      <w:pPr>
        <w:spacing w:line="240" w:lineRule="auto" w:before="0"/>
        <w:rPr>
          <w:rFonts w:ascii="Times New Roman" w:hAnsi="Times New Roman" w:cs="Times New Roman" w:eastAsia="Times New Roman" w:hint="default"/>
          <w:sz w:val="20"/>
          <w:szCs w:val="20"/>
        </w:rPr>
      </w:pPr>
      <w:r>
        <w:rPr/>
        <w:pict>
          <v:shape style="position:absolute;margin-left:292.010010pt;margin-top:72.475983pt;width:154.4pt;height:686.5pt;mso-position-horizontal-relative:page;mso-position-vertical-relative:page;z-index:-13299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2"/>
                    <w:ind w:left="1983"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04"/>
                    <w:ind w:left="0" w:right="0"/>
                    <w:jc w:val="left"/>
                  </w:pPr>
                  <w:r>
                    <w:rPr/>
                    <w:t>（包括但不限于捷科智诚）</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562"/>
        <w:gridCol w:w="1417"/>
        <w:gridCol w:w="1277"/>
        <w:gridCol w:w="2977"/>
        <w:gridCol w:w="994"/>
        <w:gridCol w:w="1416"/>
        <w:gridCol w:w="852"/>
      </w:tblGrid>
      <w:tr>
        <w:trPr>
          <w:trHeight w:val="315" w:hRule="exact"/>
        </w:trPr>
        <w:tc>
          <w:tcPr>
            <w:tcW w:w="1562"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天波、许峰</w:t>
            </w: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和规范关联交</w:t>
            </w:r>
          </w:p>
        </w:tc>
        <w:tc>
          <w:tcPr>
            <w:tcW w:w="29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26"/>
              <w:jc w:val="left"/>
              <w:rPr>
                <w:rFonts w:ascii="宋体" w:hAnsi="宋体" w:cs="宋体" w:eastAsia="宋体" w:hint="default"/>
                <w:sz w:val="18"/>
                <w:szCs w:val="18"/>
              </w:rPr>
            </w:pPr>
            <w:r>
              <w:rPr>
                <w:rFonts w:ascii="宋体" w:hAnsi="宋体" w:cs="宋体" w:eastAsia="宋体" w:hint="default"/>
                <w:sz w:val="18"/>
                <w:szCs w:val="18"/>
              </w:rPr>
              <w:t>括直接持股、间接持股或委托持股</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94" w:type="dxa"/>
            <w:vMerge w:val="restart"/>
            <w:tcBorders>
              <w:top w:val="single" w:sz="4" w:space="0" w:color="000000"/>
              <w:left w:val="single" w:sz="4" w:space="0" w:color="000000"/>
              <w:right w:val="single" w:sz="4" w:space="0" w:color="000000"/>
            </w:tcBorders>
          </w:tcPr>
          <w:p>
            <w:pPr>
              <w:pStyle w:val="TableParagraph"/>
              <w:spacing w:line="13730"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49.1pt;height:686.5pt;mso-position-horizontal-relative:char;mso-position-vertical-relative:line" coordorigin="0,0" coordsize="982,13730">
                  <v:group style="position:absolute;left:0;top:0;width:982;height:13730" coordorigin="0,0" coordsize="982,13730">
                    <v:shape style="position:absolute;left:0;top:0;width:982;height:13730" coordorigin="0,0" coordsize="982,13730" path="m0,13730l982,13730,982,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416" w:type="dxa"/>
            <w:vMerge w:val="restart"/>
            <w:tcBorders>
              <w:top w:val="single" w:sz="4" w:space="0" w:color="000000"/>
              <w:left w:val="single" w:sz="4" w:space="0" w:color="000000"/>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承诺人严</w:t>
            </w: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易的承诺</w:t>
            </w: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实际控制的企业与捷科智诚及其子公</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格履行承</w:t>
            </w: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司之间的非经营性资金往来已全部清</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诺，未出</w:t>
            </w: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理完毕，不存在纠纷。</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、本承诺出具</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现违反上</w:t>
            </w: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日后，本人及本人对外投资、实际控</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述承诺的</w:t>
            </w: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制的企业不会利用本人的股东身份或</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职务便利以借款、代偿债务、代垫款</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项或者其他方式占用捷科智诚及其子</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公司之资金。</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、本人保证本人关系密</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切的家庭成员（包括配偶、父母及配</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偶的父母、兄弟姐妹及其配偶、年满</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周岁的子女及其配偶、配偶的兄弟</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姐妹和子女配偶的父母等）也遵守以</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上承诺。二、减少和规范关联交易：</w:t>
            </w:r>
            <w:r>
              <w:rPr>
                <w:rFonts w:ascii="Times New Roman" w:hAnsi="Times New Roman" w:cs="Times New Roman" w:eastAsia="Times New Roman" w:hint="default"/>
                <w:spacing w:val="-9"/>
                <w:sz w:val="18"/>
                <w:szCs w:val="18"/>
              </w:rPr>
              <w:t>1</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本次交易完成后，本人及本人对外投</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资的企业（包括但不限于直接持股、</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间接持股或委托持股</w:t>
            </w:r>
            <w:r>
              <w:rPr>
                <w:rFonts w:ascii="宋体" w:hAnsi="宋体" w:cs="宋体" w:eastAsia="宋体" w:hint="default"/>
                <w:spacing w:val="-92"/>
                <w:sz w:val="18"/>
                <w:szCs w:val="18"/>
              </w:rPr>
              <w:t>）</w:t>
            </w:r>
            <w:r>
              <w:rPr>
                <w:rFonts w:ascii="宋体" w:hAnsi="宋体" w:cs="宋体" w:eastAsia="宋体" w:hint="default"/>
                <w:spacing w:val="-51"/>
                <w:sz w:val="18"/>
                <w:szCs w:val="18"/>
              </w:rPr>
              <w:t>、</w:t>
            </w:r>
            <w:r>
              <w:rPr>
                <w:rFonts w:ascii="宋体" w:hAnsi="宋体" w:cs="宋体" w:eastAsia="宋体" w:hint="default"/>
                <w:sz w:val="18"/>
                <w:szCs w:val="18"/>
              </w:rPr>
              <w:t>实际</w:t>
            </w:r>
            <w:r>
              <w:rPr>
                <w:rFonts w:ascii="宋体" w:hAnsi="宋体" w:cs="宋体" w:eastAsia="宋体" w:hint="default"/>
                <w:spacing w:val="2"/>
                <w:sz w:val="18"/>
                <w:szCs w:val="18"/>
              </w:rPr>
              <w:t>控</w:t>
            </w:r>
            <w:r>
              <w:rPr>
                <w:rFonts w:ascii="宋体" w:hAnsi="宋体" w:cs="宋体" w:eastAsia="宋体" w:hint="default"/>
                <w:sz w:val="18"/>
                <w:szCs w:val="18"/>
              </w:rPr>
              <w:t>制或担</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任董事、高级管理人员的企业将尽可</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能减少与润和软件及其下属公司（包</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括但不限于捷科智诚）的关联交易，</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不会利用自身作为润和软件股东之地</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位谋求与润和软件及其下属公司（包</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括但不限于捷科智诚）在业务合作等</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方面给予优于市场第三方的权利；不</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会利用自身作为润和软件股东之地位</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谋求与润和软件及其下属公司（包括</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但不限于捷科智诚）达成交易的优先</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权利。</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、若发生必要且不可避免的关</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联交易，本人及本人对外投资的企业</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（包括但不限于直接持股、间接持股</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28"/>
              <w:jc w:val="left"/>
              <w:rPr>
                <w:rFonts w:ascii="宋体" w:hAnsi="宋体" w:cs="宋体" w:eastAsia="宋体" w:hint="default"/>
                <w:sz w:val="18"/>
                <w:szCs w:val="18"/>
              </w:rPr>
            </w:pPr>
            <w:r>
              <w:rPr>
                <w:rFonts w:ascii="宋体" w:hAnsi="宋体" w:cs="宋体" w:eastAsia="宋体" w:hint="default"/>
                <w:sz w:val="18"/>
                <w:szCs w:val="18"/>
              </w:rPr>
              <w:t>或委托持股</w:t>
            </w:r>
            <w:r>
              <w:rPr>
                <w:rFonts w:ascii="宋体" w:hAnsi="宋体" w:cs="宋体" w:eastAsia="宋体" w:hint="default"/>
                <w:spacing w:val="-92"/>
                <w:sz w:val="18"/>
                <w:szCs w:val="18"/>
              </w:rPr>
              <w:t>）</w:t>
            </w:r>
            <w:r>
              <w:rPr>
                <w:rFonts w:ascii="宋体" w:hAnsi="宋体" w:cs="宋体" w:eastAsia="宋体" w:hint="default"/>
                <w:sz w:val="18"/>
                <w:szCs w:val="18"/>
              </w:rPr>
              <w:t>、实际控制或担</w:t>
            </w:r>
            <w:r>
              <w:rPr>
                <w:rFonts w:ascii="宋体" w:hAnsi="宋体" w:cs="宋体" w:eastAsia="宋体" w:hint="default"/>
                <w:spacing w:val="2"/>
                <w:sz w:val="18"/>
                <w:szCs w:val="18"/>
              </w:rPr>
              <w:t>任</w:t>
            </w:r>
            <w:r>
              <w:rPr>
                <w:rFonts w:ascii="宋体" w:hAnsi="宋体" w:cs="宋体" w:eastAsia="宋体" w:hint="default"/>
                <w:sz w:val="18"/>
                <w:szCs w:val="18"/>
              </w:rPr>
              <w:t>董事、</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高级管理人员的企业将与润和软件及</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其下属公司</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按照公平、公允、等价有偿等原则依</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法签订协议，履行合法程序，并将按</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照有关法律法规和《江苏润和软件股</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份有限公司章程》的规定履行信息披</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露义务及相关内部决策程序和回避制</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度，关联交易价格依照与无关联关系</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的独立第三方进行相同或相似交易时</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的价格确定，保证关联交易价格具有</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公允性，亦不利用该等交易从事任何</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损害润和软件及润和软件股东的合法</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562"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9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权益的行为。</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、本人保证将依照《江</w:t>
            </w:r>
          </w:p>
        </w:tc>
        <w:tc>
          <w:tcPr>
            <w:tcW w:w="994"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600" w:right="0"/>
        </w:sectPr>
      </w:pPr>
    </w:p>
    <w:p>
      <w:pPr>
        <w:spacing w:line="240" w:lineRule="auto" w:before="0"/>
        <w:rPr>
          <w:rFonts w:ascii="Times New Roman" w:hAnsi="Times New Roman" w:cs="Times New Roman" w:eastAsia="Times New Roman" w:hint="default"/>
          <w:sz w:val="20"/>
          <w:szCs w:val="20"/>
        </w:rPr>
      </w:pPr>
      <w:r>
        <w:rPr/>
        <w:pict>
          <v:shape style="position:absolute;margin-left:373.136017pt;margin-top:72.47998pt;width:73.25pt;height:158.1pt;mso-position-horizontal-relative:page;mso-position-vertical-relative:page;z-index:-13299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9"/>
                    <w:ind w:left="0" w:right="0"/>
                    <w:jc w:val="left"/>
                  </w:pPr>
                  <w:r>
                    <w:rPr/>
                    <w:t>利润，</w:t>
                  </w:r>
                </w:p>
              </w:txbxContent>
            </v:textbox>
            <w10:wrap type="none"/>
          </v:shape>
        </w:pict>
      </w:r>
      <w:r>
        <w:rPr/>
        <w:pict>
          <v:shape style="position:absolute;margin-left:364.019012pt;margin-top:231.025986pt;width:82.4pt;height:534.450pt;mso-position-horizontal-relative:page;mso-position-vertical-relative:page;z-index:-13299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4"/>
                      <w:szCs w:val="14"/>
                    </w:rPr>
                  </w:pPr>
                </w:p>
                <w:p>
                  <w:pPr>
                    <w:pStyle w:val="BodyText"/>
                    <w:spacing w:line="319" w:lineRule="auto"/>
                    <w:ind w:left="0" w:right="924" w:hanging="1"/>
                    <w:jc w:val="left"/>
                  </w:pPr>
                  <w:r>
                    <w:rPr/>
                    <w:t>之日起， 偿协议》</w:t>
                  </w:r>
                </w:p>
              </w:txbxContent>
            </v:textbox>
            <w10:wrap type="none"/>
          </v:shape>
        </w:pict>
      </w:r>
      <w:r>
        <w:rPr/>
        <w:pict>
          <v:group style="position:absolute;margin-left:397.299988pt;margin-top:72.47998pt;width:49.1pt;height:693pt;mso-position-horizontal-relative:page;mso-position-vertical-relative:page;z-index:-1329880" coordorigin="7946,1450" coordsize="982,13860">
            <v:group style="position:absolute;left:7946;top:1450;width:982;height:3162" coordorigin="7946,1450" coordsize="982,3162">
              <v:shape style="position:absolute;left:7946;top:1450;width:982;height:3162" coordorigin="7946,1450" coordsize="982,3162" path="m7946,4611l8928,4611,8928,1450,7946,1450,7946,4611xe" filled="true" fillcolor="#ffffff" stroked="false">
                <v:path arrowok="t"/>
                <v:fill type="solid"/>
              </v:shape>
            </v:group>
            <v:group style="position:absolute;left:7946;top:4621;width:982;height:10689" coordorigin="7946,4621" coordsize="982,10689">
              <v:shape style="position:absolute;left:7946;top:4621;width:982;height:10689" coordorigin="7946,4621" coordsize="982,10689" path="m7946,15309l8928,15309,8928,4621,7946,4621,7946,15309xe" filled="true" fillcolor="#ffffff" stroked="false">
                <v:path arrowok="t"/>
                <v:fill type="solid"/>
              </v:shape>
            </v:group>
            <v:group style="position:absolute;left:7968;top:9613;width:939;height:353" coordorigin="7968,9613" coordsize="939,353">
              <v:shape style="position:absolute;left:7968;top:9613;width:939;height:353" coordorigin="7968,9613" coordsize="939,353" path="m7968,9966l8906,9966,8906,9613,7968,9613,7968,9966xe" filled="true" fillcolor="#ffffff" stroked="false">
                <v:path arrowok="t"/>
                <v:fill type="solid"/>
              </v:shape>
            </v:group>
            <v:group style="position:absolute;left:7968;top:9966;width:939;height:351" coordorigin="7968,9966" coordsize="939,351">
              <v:shape style="position:absolute;left:7968;top:9966;width:939;height:351" coordorigin="7968,9966" coordsize="939,351" path="m7968,10317l8906,10317,8906,9966,7968,9966,7968,10317xe" filled="true" fillcolor="#ffffff" stroked="false">
                <v:path arrowok="t"/>
                <v:fill type="solid"/>
              </v:shape>
            </v:group>
            <w10:wrap type="none"/>
          </v:group>
        </w:pict>
      </w:r>
      <w:r>
        <w:rPr/>
        <w:pict>
          <v:group style="position:absolute;margin-left:517.799988pt;margin-top:231.025986pt;width:42pt;height:534.450pt;mso-position-horizontal-relative:page;mso-position-vertical-relative:page;z-index:-1329856" coordorigin="10356,4621" coordsize="840,10689">
            <v:group style="position:absolute;left:10356;top:4621;width:840;height:10689" coordorigin="10356,4621" coordsize="840,10689">
              <v:shape style="position:absolute;left:10356;top:4621;width:840;height:10689" coordorigin="10356,4621" coordsize="840,10689" path="m10356,15309l11196,15309,11196,4621,10356,4621,10356,15309xe" filled="true" fillcolor="#ffffff" stroked="false">
                <v:path arrowok="t"/>
                <v:fill type="solid"/>
              </v:shape>
            </v:group>
            <v:group style="position:absolute;left:10378;top:8521;width:797;height:354" coordorigin="10378,8521" coordsize="797,354">
              <v:shape style="position:absolute;left:10378;top:8521;width:797;height:354" coordorigin="10378,8521" coordsize="797,354" path="m10378,8874l11174,8874,11174,8521,10378,8521,10378,8874xe" filled="true" fillcolor="#ffffff" stroked="false">
                <v:path arrowok="t"/>
                <v:fill type="solid"/>
              </v:shape>
            </v:group>
            <v:group style="position:absolute;left:10378;top:8874;width:797;height:312" coordorigin="10378,8874" coordsize="797,312">
              <v:shape style="position:absolute;left:10378;top:8874;width:797;height:312" coordorigin="10378,8874" coordsize="797,312" path="m10378,9186l11174,9186,11174,8874,10378,8874,10378,9186xe" filled="true" fillcolor="#ffffff" stroked="false">
                <v:path arrowok="t"/>
                <v:fill type="solid"/>
              </v:shape>
            </v:group>
            <v:group style="position:absolute;left:10378;top:9186;width:797;height:312" coordorigin="10378,9186" coordsize="797,312">
              <v:shape style="position:absolute;left:10378;top:9186;width:797;height:312" coordorigin="10378,9186" coordsize="797,312" path="m10378,9498l11174,9498,11174,9186,10378,9186,10378,9498xe" filled="true" fillcolor="#ffffff" stroked="false">
                <v:path arrowok="t"/>
                <v:fill type="solid"/>
              </v:shape>
            </v:group>
            <v:group style="position:absolute;left:10378;top:9498;width:797;height:312" coordorigin="10378,9498" coordsize="797,312">
              <v:shape style="position:absolute;left:10378;top:9498;width:797;height:312" coordorigin="10378,9498" coordsize="797,312" path="m10378,9810l11174,9810,11174,9498,10378,9498,10378,9810xe" filled="true" fillcolor="#ffffff" stroked="false">
                <v:path arrowok="t"/>
                <v:fill type="solid"/>
              </v:shape>
            </v:group>
            <v:group style="position:absolute;left:10378;top:9810;width:797;height:312" coordorigin="10378,9810" coordsize="797,312">
              <v:shape style="position:absolute;left:10378;top:9810;width:797;height:312" coordorigin="10378,9810" coordsize="797,312" path="m10378,10122l11174,10122,11174,9810,10378,9810,10378,10122xe" filled="true" fillcolor="#ffffff" stroked="false">
                <v:path arrowok="t"/>
                <v:fill type="solid"/>
              </v:shape>
            </v:group>
            <v:group style="position:absolute;left:10378;top:10122;width:797;height:312" coordorigin="10378,10122" coordsize="797,312">
              <v:shape style="position:absolute;left:10378;top:10122;width:797;height:312" coordorigin="10378,10122" coordsize="797,312" path="m10378,10434l11174,10434,11174,10122,10378,10122,10378,10434xe" filled="true" fillcolor="#ffffff" stroked="false">
                <v:path arrowok="t"/>
                <v:fill type="solid"/>
              </v:shape>
            </v:group>
            <v:group style="position:absolute;left:10378;top:10434;width:797;height:312" coordorigin="10378,10434" coordsize="797,312">
              <v:shape style="position:absolute;left:10378;top:10434;width:797;height:312" coordorigin="10378,10434" coordsize="797,312" path="m10378,10746l11174,10746,11174,10434,10378,10434,10378,10746xe" filled="true" fillcolor="#ffffff" stroked="false">
                <v:path arrowok="t"/>
                <v:fill type="solid"/>
              </v:shape>
            </v:group>
            <v:group style="position:absolute;left:10378;top:10746;width:797;height:312" coordorigin="10378,10746" coordsize="797,312">
              <v:shape style="position:absolute;left:10378;top:10746;width:797;height:312" coordorigin="10378,10746" coordsize="797,312" path="m10378,11058l11174,11058,11174,10746,10378,10746,10378,11058xe" filled="true" fillcolor="#ffffff" stroked="false">
                <v:path arrowok="t"/>
                <v:fill type="solid"/>
              </v:shape>
            </v:group>
            <v:group style="position:absolute;left:10378;top:11058;width:797;height:351" coordorigin="10378,11058" coordsize="797,351">
              <v:shape style="position:absolute;left:10378;top:11058;width:797;height:351" coordorigin="10378,11058" coordsize="797,351" path="m10378,11409l11174,11409,11174,11058,10378,11058,10378,1140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562"/>
        <w:gridCol w:w="1417"/>
        <w:gridCol w:w="1277"/>
        <w:gridCol w:w="2977"/>
        <w:gridCol w:w="994"/>
        <w:gridCol w:w="1416"/>
        <w:gridCol w:w="852"/>
      </w:tblGrid>
      <w:tr>
        <w:trPr>
          <w:trHeight w:val="315" w:hRule="exact"/>
        </w:trPr>
        <w:tc>
          <w:tcPr>
            <w:tcW w:w="1562"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29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苏润和软件股份有限公司章程》的规</w:t>
            </w:r>
          </w:p>
        </w:tc>
        <w:tc>
          <w:tcPr>
            <w:tcW w:w="994"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定参加股东大会，平等地行使相应权</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利，承担相应义务，不利用股东地位</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谋取不正当利益，不利用关联交易非</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法转移润和软件及其下属子公司（包</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括但不限于捷科智诚）的资金、</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保证不损害润和软件及股东的合法权</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益。</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、若违反上述声明和保证，本人</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将对前述行为给润和软件造成的损失</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60"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29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向润和软件进行赔偿。</w:t>
            </w:r>
          </w:p>
        </w:tc>
        <w:tc>
          <w:tcPr>
            <w:tcW w:w="994"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r>
      <w:tr>
        <w:trPr>
          <w:trHeight w:val="356" w:hRule="exact"/>
        </w:trPr>
        <w:tc>
          <w:tcPr>
            <w:tcW w:w="1562"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29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在本次交易中取得的润和软件股份，</w:t>
            </w:r>
          </w:p>
        </w:tc>
        <w:tc>
          <w:tcPr>
            <w:tcW w:w="994"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9985"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宁波宏创股权投 </w:t>
            </w:r>
            <w:r>
              <w:rPr>
                <w:rFonts w:ascii="宋体" w:hAnsi="宋体" w:cs="宋体" w:eastAsia="宋体" w:hint="default"/>
                <w:spacing w:val="-10"/>
                <w:sz w:val="18"/>
                <w:szCs w:val="18"/>
              </w:rPr>
              <w:t>资合伙企业（有限</w:t>
            </w:r>
            <w:r>
              <w:rPr>
                <w:rFonts w:ascii="宋体" w:hAnsi="宋体" w:cs="宋体" w:eastAsia="宋体" w:hint="default"/>
                <w:sz w:val="18"/>
                <w:szCs w:val="18"/>
              </w:rPr>
              <w:t> 合伙）</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4" w:right="20"/>
              <w:jc w:val="left"/>
              <w:rPr>
                <w:rFonts w:ascii="宋体" w:hAnsi="宋体" w:cs="宋体" w:eastAsia="宋体" w:hint="default"/>
                <w:sz w:val="18"/>
                <w:szCs w:val="18"/>
              </w:rPr>
            </w:pPr>
            <w:r>
              <w:rPr>
                <w:rFonts w:ascii="宋体" w:hAnsi="宋体" w:cs="宋体" w:eastAsia="宋体" w:hint="default"/>
                <w:sz w:val="18"/>
                <w:szCs w:val="18"/>
              </w:rPr>
              <w:t>自该股份上市之日起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个月内将不 以任何方式转让，包括但不限于通过 证券市场公开转让或通过协议方式转 让。自本次交易发行的股份上市之日 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个月起，本企业可以转让在本次</w:t>
            </w:r>
          </w:p>
          <w:p>
            <w:pPr>
              <w:pStyle w:val="TableParagraph"/>
              <w:spacing w:line="240" w:lineRule="auto" w:before="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交易中认购的润和软件股份的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70%</w:t>
            </w:r>
          </w:p>
          <w:p>
            <w:pPr>
              <w:pStyle w:val="TableParagraph"/>
              <w:spacing w:line="309" w:lineRule="auto" w:before="63"/>
              <w:ind w:left="24" w:right="20"/>
              <w:jc w:val="both"/>
              <w:rPr>
                <w:rFonts w:ascii="宋体" w:hAnsi="宋体" w:cs="宋体" w:eastAsia="宋体" w:hint="default"/>
                <w:sz w:val="18"/>
                <w:szCs w:val="18"/>
              </w:rPr>
            </w:pPr>
            <w:r>
              <w:rPr>
                <w:rFonts w:ascii="宋体" w:hAnsi="宋体" w:cs="宋体" w:eastAsia="宋体" w:hint="default"/>
                <w:sz w:val="18"/>
                <w:szCs w:val="18"/>
              </w:rPr>
              <w:t>（包括因未完成考核期内业绩承诺而 </w:t>
            </w:r>
            <w:r>
              <w:rPr>
                <w:rFonts w:ascii="宋体" w:hAnsi="宋体" w:cs="宋体" w:eastAsia="宋体" w:hint="default"/>
                <w:spacing w:val="-9"/>
                <w:sz w:val="18"/>
                <w:szCs w:val="18"/>
              </w:rPr>
              <w:t>被润和软件回购的股份），本企业在本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次交易中认购的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的公司股份继续 </w:t>
            </w:r>
            <w:r>
              <w:rPr>
                <w:rFonts w:ascii="宋体" w:hAnsi="宋体" w:cs="宋体" w:eastAsia="宋体" w:hint="default"/>
                <w:spacing w:val="-7"/>
                <w:sz w:val="18"/>
                <w:szCs w:val="18"/>
              </w:rPr>
              <w:t>锁定。自联创智融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年度专项审核 </w:t>
            </w:r>
            <w:r>
              <w:rPr>
                <w:rFonts w:ascii="宋体" w:hAnsi="宋体" w:cs="宋体" w:eastAsia="宋体" w:hint="default"/>
                <w:spacing w:val="-4"/>
                <w:sz w:val="18"/>
                <w:szCs w:val="18"/>
              </w:rPr>
              <w:t>意见或《减值测试报告》披露</w:t>
            </w:r>
          </w:p>
          <w:p>
            <w:pPr>
              <w:pStyle w:val="TableParagraph"/>
              <w:spacing w:line="314" w:lineRule="auto" w:before="24"/>
              <w:ind w:left="24" w:right="62"/>
              <w:jc w:val="left"/>
              <w:rPr>
                <w:rFonts w:ascii="宋体" w:hAnsi="宋体" w:cs="宋体" w:eastAsia="宋体" w:hint="default"/>
                <w:sz w:val="18"/>
                <w:szCs w:val="18"/>
              </w:rPr>
            </w:pPr>
            <w:r>
              <w:rPr>
                <w:rFonts w:ascii="宋体" w:hAnsi="宋体" w:cs="宋体" w:eastAsia="宋体" w:hint="default"/>
                <w:spacing w:val="-10"/>
                <w:sz w:val="18"/>
                <w:szCs w:val="18"/>
              </w:rPr>
              <w:t>若（</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）联创智融完成《盈利补</w:t>
            </w:r>
            <w:r>
              <w:rPr>
                <w:rFonts w:ascii="宋体" w:hAnsi="宋体" w:cs="宋体" w:eastAsia="宋体" w:hint="default"/>
                <w:sz w:val="18"/>
                <w:szCs w:val="18"/>
              </w:rPr>
              <w:t> 约定的利润承诺及减值测试承诺，则 自联创智融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年度专项审核意见 及《减值测试报告》披露之日起本企 业可以转让持有的润和软件剩余全部 </w:t>
            </w:r>
            <w:r>
              <w:rPr>
                <w:rFonts w:ascii="宋体" w:hAnsi="宋体" w:cs="宋体" w:eastAsia="宋体" w:hint="default"/>
                <w:spacing w:val="-6"/>
                <w:sz w:val="18"/>
                <w:szCs w:val="18"/>
              </w:rPr>
              <w:t>股份；（</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）联创智融未能完成《盈利</w:t>
            </w:r>
            <w:r>
              <w:rPr>
                <w:rFonts w:ascii="宋体" w:hAnsi="宋体" w:cs="宋体" w:eastAsia="宋体" w:hint="default"/>
                <w:spacing w:val="-79"/>
                <w:sz w:val="18"/>
                <w:szCs w:val="18"/>
              </w:rPr>
              <w:t> </w:t>
            </w:r>
            <w:r>
              <w:rPr>
                <w:rFonts w:ascii="宋体" w:hAnsi="宋体" w:cs="宋体" w:eastAsia="宋体" w:hint="default"/>
                <w:sz w:val="18"/>
                <w:szCs w:val="18"/>
              </w:rPr>
              <w:t>补偿协议》约定的利润承诺或减值测 试承诺，则自按照《盈利补偿协议》 完成补偿之日起本企业可以转让持有 的润和软件剩余全部股份。本次发行 的股份上市后还应当遵守证券监管部 门其他关于股份锁定的要求，包括但 不限于若本企业实际控制人周帮建未 来成为润和软件的董事、监事或高级 管理人员，则本企业在本次交易中认 购的润和软件股份还应当按照法律法 规及证券监管部门关于上市公司董 事、监事及高级管理人员股份限售的 要求进行锁定。本次发行结束后，本 企业因润和软件送股、转增股本而取 得的新增股份，亦遵守上述锁定日期</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4" w:lineRule="auto"/>
              <w:ind w:left="23" w:right="17"/>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日起，可以转让所</w:t>
            </w:r>
            <w:r>
              <w:rPr>
                <w:rFonts w:ascii="宋体" w:hAnsi="宋体" w:cs="宋体" w:eastAsia="宋体" w:hint="default"/>
                <w:sz w:val="18"/>
                <w:szCs w:val="18"/>
              </w:rPr>
              <w:t> 持公司股份的 </w:t>
            </w:r>
            <w:r>
              <w:rPr>
                <w:rFonts w:ascii="Times New Roman" w:hAnsi="Times New Roman" w:cs="Times New Roman" w:eastAsia="Times New Roman" w:hint="default"/>
                <w:spacing w:val="-6"/>
                <w:sz w:val="18"/>
                <w:szCs w:val="18"/>
              </w:rPr>
              <w:t>70%</w:t>
            </w:r>
            <w:r>
              <w:rPr>
                <w:rFonts w:ascii="宋体" w:hAnsi="宋体" w:cs="宋体" w:eastAsia="宋体" w:hint="default"/>
                <w:spacing w:val="-6"/>
                <w:sz w:val="18"/>
                <w:szCs w:val="18"/>
              </w:rPr>
              <w:t>（包括因未完</w:t>
            </w:r>
            <w:r>
              <w:rPr>
                <w:rFonts w:ascii="宋体" w:hAnsi="宋体" w:cs="宋体" w:eastAsia="宋体" w:hint="default"/>
                <w:spacing w:val="-84"/>
                <w:sz w:val="18"/>
                <w:szCs w:val="18"/>
              </w:rPr>
              <w:t> </w:t>
            </w:r>
            <w:r>
              <w:rPr>
                <w:rFonts w:ascii="宋体" w:hAnsi="宋体" w:cs="宋体" w:eastAsia="宋体" w:hint="default"/>
                <w:sz w:val="18"/>
                <w:szCs w:val="18"/>
              </w:rPr>
              <w:t>成考核期内业绩 承诺而被润和软 </w:t>
            </w:r>
            <w:r>
              <w:rPr>
                <w:rFonts w:ascii="宋体" w:hAnsi="宋体" w:cs="宋体" w:eastAsia="宋体" w:hint="default"/>
                <w:spacing w:val="-12"/>
                <w:sz w:val="18"/>
                <w:szCs w:val="18"/>
              </w:rPr>
              <w:t>件回购的股份）；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自联创智融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年度专项审核意 </w:t>
            </w:r>
            <w:r>
              <w:rPr>
                <w:rFonts w:ascii="宋体" w:hAnsi="宋体" w:cs="宋体" w:eastAsia="宋体" w:hint="default"/>
                <w:spacing w:val="-10"/>
                <w:sz w:val="18"/>
                <w:szCs w:val="18"/>
              </w:rPr>
              <w:t>见或《减值测试报</w:t>
            </w:r>
            <w:r>
              <w:rPr>
                <w:rFonts w:ascii="宋体" w:hAnsi="宋体" w:cs="宋体" w:eastAsia="宋体" w:hint="default"/>
                <w:sz w:val="18"/>
                <w:szCs w:val="18"/>
              </w:rPr>
              <w:t> 告》披露之日起 若（</w:t>
            </w:r>
            <w:r>
              <w:rPr>
                <w:rFonts w:ascii="Times New Roman" w:hAnsi="Times New Roman" w:cs="Times New Roman" w:eastAsia="Times New Roman" w:hint="default"/>
                <w:sz w:val="18"/>
                <w:szCs w:val="18"/>
              </w:rPr>
              <w:t>1</w:t>
            </w:r>
            <w:r>
              <w:rPr>
                <w:rFonts w:ascii="宋体" w:hAnsi="宋体" w:cs="宋体" w:eastAsia="宋体" w:hint="default"/>
                <w:sz w:val="18"/>
                <w:szCs w:val="18"/>
              </w:rPr>
              <w:t>）联创智融 </w:t>
            </w:r>
            <w:r>
              <w:rPr>
                <w:rFonts w:ascii="宋体" w:hAnsi="宋体" w:cs="宋体" w:eastAsia="宋体" w:hint="default"/>
                <w:spacing w:val="-10"/>
                <w:sz w:val="18"/>
                <w:szCs w:val="18"/>
              </w:rPr>
              <w:t>完成《盈利补偿协</w:t>
            </w:r>
            <w:r>
              <w:rPr>
                <w:rFonts w:ascii="宋体" w:hAnsi="宋体" w:cs="宋体" w:eastAsia="宋体" w:hint="default"/>
                <w:sz w:val="18"/>
                <w:szCs w:val="18"/>
              </w:rPr>
              <w:t> </w:t>
            </w:r>
            <w:r>
              <w:rPr>
                <w:rFonts w:ascii="宋体" w:hAnsi="宋体" w:cs="宋体" w:eastAsia="宋体" w:hint="default"/>
                <w:spacing w:val="-10"/>
                <w:sz w:val="18"/>
                <w:szCs w:val="18"/>
              </w:rPr>
              <w:t>议》约定的利润承</w:t>
            </w:r>
            <w:r>
              <w:rPr>
                <w:rFonts w:ascii="宋体" w:hAnsi="宋体" w:cs="宋体" w:eastAsia="宋体" w:hint="default"/>
                <w:sz w:val="18"/>
                <w:szCs w:val="18"/>
              </w:rPr>
              <w:t> 诺及减值测试承 </w:t>
            </w:r>
            <w:r>
              <w:rPr>
                <w:rFonts w:ascii="宋体" w:hAnsi="宋体" w:cs="宋体" w:eastAsia="宋体" w:hint="default"/>
                <w:spacing w:val="-10"/>
                <w:sz w:val="18"/>
                <w:szCs w:val="18"/>
              </w:rPr>
              <w:t>诺，则自联创智融</w:t>
            </w:r>
            <w:r>
              <w:rPr>
                <w:rFonts w:ascii="宋体" w:hAnsi="宋体" w:cs="宋体" w:eastAsia="宋体" w:hint="default"/>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年度专项审 </w:t>
            </w:r>
            <w:r>
              <w:rPr>
                <w:rFonts w:ascii="宋体" w:hAnsi="宋体" w:cs="宋体" w:eastAsia="宋体" w:hint="default"/>
                <w:spacing w:val="-10"/>
                <w:sz w:val="18"/>
                <w:szCs w:val="18"/>
              </w:rPr>
              <w:t>核意见及《减值测</w:t>
            </w:r>
            <w:r>
              <w:rPr>
                <w:rFonts w:ascii="宋体" w:hAnsi="宋体" w:cs="宋体" w:eastAsia="宋体" w:hint="default"/>
                <w:sz w:val="18"/>
                <w:szCs w:val="18"/>
              </w:rPr>
              <w:t> </w:t>
            </w:r>
            <w:r>
              <w:rPr>
                <w:rFonts w:ascii="宋体" w:hAnsi="宋体" w:cs="宋体" w:eastAsia="宋体" w:hint="default"/>
                <w:spacing w:val="-10"/>
                <w:sz w:val="18"/>
                <w:szCs w:val="18"/>
              </w:rPr>
              <w:t>试报告》披露之日</w:t>
            </w:r>
            <w:r>
              <w:rPr>
                <w:rFonts w:ascii="宋体" w:hAnsi="宋体" w:cs="宋体" w:eastAsia="宋体" w:hint="default"/>
                <w:sz w:val="18"/>
                <w:szCs w:val="18"/>
              </w:rPr>
              <w:t> 起可以转让持有 的公司剩余全部 </w:t>
            </w:r>
            <w:r>
              <w:rPr>
                <w:rFonts w:ascii="宋体" w:hAnsi="宋体" w:cs="宋体" w:eastAsia="宋体" w:hint="default"/>
                <w:spacing w:val="-19"/>
                <w:sz w:val="18"/>
                <w:szCs w:val="18"/>
              </w:rPr>
              <w:t>股份；（</w:t>
            </w:r>
            <w:r>
              <w:rPr>
                <w:rFonts w:ascii="Times New Roman" w:hAnsi="Times New Roman" w:cs="Times New Roman" w:eastAsia="Times New Roman" w:hint="default"/>
                <w:spacing w:val="-19"/>
                <w:sz w:val="18"/>
                <w:szCs w:val="18"/>
              </w:rPr>
              <w:t>2</w:t>
            </w:r>
            <w:r>
              <w:rPr>
                <w:rFonts w:ascii="宋体" w:hAnsi="宋体" w:cs="宋体" w:eastAsia="宋体" w:hint="default"/>
                <w:spacing w:val="-19"/>
                <w:sz w:val="18"/>
                <w:szCs w:val="18"/>
              </w:rPr>
              <w:t>）联创智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融未能完成《盈利</w:t>
            </w:r>
            <w:r>
              <w:rPr>
                <w:rFonts w:ascii="宋体" w:hAnsi="宋体" w:cs="宋体" w:eastAsia="宋体" w:hint="default"/>
                <w:sz w:val="18"/>
                <w:szCs w:val="18"/>
              </w:rPr>
              <w:t> </w:t>
            </w:r>
            <w:r>
              <w:rPr>
                <w:rFonts w:ascii="宋体" w:hAnsi="宋体" w:cs="宋体" w:eastAsia="宋体" w:hint="default"/>
                <w:spacing w:val="-10"/>
                <w:sz w:val="18"/>
                <w:szCs w:val="18"/>
              </w:rPr>
              <w:t>补偿协议》约定的</w:t>
            </w:r>
            <w:r>
              <w:rPr>
                <w:rFonts w:ascii="宋体" w:hAnsi="宋体" w:cs="宋体" w:eastAsia="宋体" w:hint="default"/>
                <w:sz w:val="18"/>
                <w:szCs w:val="18"/>
              </w:rPr>
              <w:t> 利润承诺或减值 </w:t>
            </w:r>
            <w:r>
              <w:rPr>
                <w:rFonts w:ascii="宋体" w:hAnsi="宋体" w:cs="宋体" w:eastAsia="宋体" w:hint="default"/>
                <w:spacing w:val="-10"/>
                <w:sz w:val="18"/>
                <w:szCs w:val="18"/>
              </w:rPr>
              <w:t>测试承诺，则自按</w:t>
            </w:r>
            <w:r>
              <w:rPr>
                <w:rFonts w:ascii="宋体" w:hAnsi="宋体" w:cs="宋体" w:eastAsia="宋体" w:hint="default"/>
                <w:sz w:val="18"/>
                <w:szCs w:val="18"/>
              </w:rPr>
              <w:t> 照《盈利补偿协 </w:t>
            </w:r>
            <w:r>
              <w:rPr>
                <w:rFonts w:ascii="宋体" w:hAnsi="宋体" w:cs="宋体" w:eastAsia="宋体" w:hint="default"/>
                <w:spacing w:val="-10"/>
                <w:sz w:val="18"/>
                <w:szCs w:val="18"/>
              </w:rPr>
              <w:t>议》完成补偿之日</w:t>
            </w:r>
            <w:r>
              <w:rPr>
                <w:rFonts w:ascii="宋体" w:hAnsi="宋体" w:cs="宋体" w:eastAsia="宋体" w:hint="default"/>
                <w:sz w:val="18"/>
                <w:szCs w:val="18"/>
              </w:rPr>
              <w:t> 起可以转让持有 的公司剩余全部 股份。</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316" w:lineRule="auto" w:before="77"/>
              <w:ind w:left="24" w:right="96"/>
              <w:jc w:val="left"/>
              <w:rPr>
                <w:rFonts w:ascii="宋体" w:hAnsi="宋体" w:cs="宋体" w:eastAsia="宋体" w:hint="default"/>
                <w:sz w:val="18"/>
                <w:szCs w:val="18"/>
              </w:rPr>
            </w:pPr>
            <w:r>
              <w:rPr>
                <w:rFonts w:ascii="宋体" w:hAnsi="宋体" w:cs="宋体" w:eastAsia="宋体" w:hint="default"/>
                <w:sz w:val="18"/>
                <w:szCs w:val="18"/>
              </w:rPr>
              <w:t>该承诺已 履行完 毕，承诺 人严格履 行承诺， 未出现违 反上述承 诺的情 况。</w:t>
            </w:r>
          </w:p>
        </w:tc>
      </w:tr>
      <w:tr>
        <w:trPr>
          <w:trHeight w:val="357" w:hRule="exact"/>
        </w:trPr>
        <w:tc>
          <w:tcPr>
            <w:tcW w:w="1562"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9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安排。</w:t>
            </w:r>
          </w:p>
        </w:tc>
        <w:tc>
          <w:tcPr>
            <w:tcW w:w="994"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600" w:right="0"/>
        </w:sectPr>
      </w:pPr>
    </w:p>
    <w:p>
      <w:pPr>
        <w:spacing w:line="240" w:lineRule="auto" w:before="0"/>
        <w:rPr>
          <w:rFonts w:ascii="Times New Roman" w:hAnsi="Times New Roman" w:cs="Times New Roman" w:eastAsia="Times New Roman" w:hint="default"/>
          <w:sz w:val="20"/>
          <w:szCs w:val="20"/>
        </w:rPr>
      </w:pPr>
      <w:r>
        <w:rPr/>
        <w:pict>
          <v:shape style="position:absolute;margin-left:364.029999pt;margin-top:72.47998pt;width:82.35pt;height:612.5pt;mso-position-horizontal-relative:page;mso-position-vertical-relative:page;z-index:-13298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5"/>
                      <w:szCs w:val="25"/>
                    </w:rPr>
                  </w:pPr>
                </w:p>
                <w:p>
                  <w:pPr>
                    <w:pStyle w:val="BodyText"/>
                    <w:spacing w:line="240" w:lineRule="auto"/>
                    <w:ind w:left="0" w:right="0"/>
                    <w:jc w:val="left"/>
                  </w:pPr>
                  <w:r>
                    <w:rPr/>
                    <w:t>及补偿：</w:t>
                  </w:r>
                </w:p>
              </w:txbxContent>
            </v:textbox>
            <w10:wrap type="none"/>
          </v:shape>
        </w:pict>
      </w:r>
      <w:r>
        <w:rPr/>
        <w:pict>
          <v:group style="position:absolute;margin-left:397.299988pt;margin-top:72.47998pt;width:49.1pt;height:612.5pt;mso-position-horizontal-relative:page;mso-position-vertical-relative:page;z-index:-1329808" coordorigin="7946,1450" coordsize="982,12250">
            <v:group style="position:absolute;left:7946;top:1450;width:982;height:12250" coordorigin="7946,1450" coordsize="982,12250">
              <v:shape style="position:absolute;left:7946;top:1450;width:982;height:12250" coordorigin="7946,1450" coordsize="982,12250" path="m7946,13699l8928,13699,8928,1450,7946,1450,7946,13699xe" filled="true" fillcolor="#ffffff" stroked="false">
                <v:path arrowok="t"/>
                <v:fill type="solid"/>
              </v:shape>
            </v:group>
            <v:group style="position:absolute;left:7968;top:7223;width:939;height:353" coordorigin="7968,7223" coordsize="939,353">
              <v:shape style="position:absolute;left:7968;top:7223;width:939;height:353" coordorigin="7968,7223" coordsize="939,353" path="m7968,7575l8906,7575,8906,7223,7968,7223,7968,7575xe" filled="true" fillcolor="#ffffff" stroked="false">
                <v:path arrowok="t"/>
                <v:fill type="solid"/>
              </v:shape>
            </v:group>
            <v:group style="position:absolute;left:7968;top:7575;width:939;height:351" coordorigin="7968,7575" coordsize="939,351">
              <v:shape style="position:absolute;left:7968;top:7575;width:939;height:351" coordorigin="7968,7575" coordsize="939,351" path="m7968,7926l8906,7926,8906,7575,7968,7575,7968,792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562"/>
        <w:gridCol w:w="1417"/>
        <w:gridCol w:w="1277"/>
        <w:gridCol w:w="2977"/>
        <w:gridCol w:w="994"/>
        <w:gridCol w:w="1416"/>
        <w:gridCol w:w="852"/>
      </w:tblGrid>
      <w:tr>
        <w:trPr>
          <w:trHeight w:val="361" w:hRule="exact"/>
        </w:trPr>
        <w:tc>
          <w:tcPr>
            <w:tcW w:w="1562"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29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、关于利润承诺及补偿：标的公司</w:t>
            </w:r>
          </w:p>
        </w:tc>
        <w:tc>
          <w:tcPr>
            <w:tcW w:w="994"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年和</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2015-2018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年度简称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考核期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）实现</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的经上市公司指定具有证券从业资格</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会计师事务所审计的扣除非经常性损</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益后归属于母公司所有者的净利润分</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别不低于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16,600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万元和</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万元，考核期实</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现的净利润之和不低于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在考核期内每个会计年度结束后，如</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标的公司截至当年度实现的实际净利</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润之和未达到截至当年度的承诺净利</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润之和，则宁波宏创将以交易中取得</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的上市公司股份优先补偿，不足部分</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以现金形式补偿。</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、关于应收账款承</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诺及补偿：标的公司截至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日经审计的应收账款余额，在</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年应收回不低于</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。应收账款</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承诺人未</w:t>
            </w:r>
          </w:p>
        </w:tc>
      </w:tr>
      <w:tr>
        <w:trPr>
          <w:trHeight w:val="936"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0"/>
              <w:jc w:val="left"/>
              <w:rPr>
                <w:rFonts w:ascii="宋体" w:hAnsi="宋体" w:cs="宋体" w:eastAsia="宋体" w:hint="default"/>
                <w:sz w:val="18"/>
                <w:szCs w:val="18"/>
              </w:rPr>
            </w:pPr>
            <w:r>
              <w:rPr>
                <w:rFonts w:ascii="宋体" w:hAnsi="宋体" w:cs="宋体" w:eastAsia="宋体" w:hint="default"/>
                <w:sz w:val="18"/>
                <w:szCs w:val="18"/>
              </w:rPr>
              <w:t>宁波宏创股权投 </w:t>
            </w:r>
            <w:r>
              <w:rPr>
                <w:rFonts w:ascii="宋体" w:hAnsi="宋体" w:cs="宋体" w:eastAsia="宋体" w:hint="default"/>
                <w:spacing w:val="-10"/>
                <w:sz w:val="18"/>
                <w:szCs w:val="18"/>
              </w:rPr>
              <w:t>资合伙企业（有限</w:t>
            </w:r>
            <w:r>
              <w:rPr>
                <w:rFonts w:ascii="宋体" w:hAnsi="宋体" w:cs="宋体" w:eastAsia="宋体" w:hint="default"/>
                <w:sz w:val="18"/>
                <w:szCs w:val="18"/>
              </w:rPr>
              <w:t> </w:t>
            </w:r>
            <w:r>
              <w:rPr>
                <w:rFonts w:ascii="宋体" w:hAnsi="宋体" w:cs="宋体" w:eastAsia="宋体" w:hint="default"/>
                <w:spacing w:val="-14"/>
                <w:sz w:val="18"/>
                <w:szCs w:val="18"/>
              </w:rPr>
              <w:t>合伙）、周帮建</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3" w:right="161"/>
              <w:jc w:val="left"/>
              <w:rPr>
                <w:rFonts w:ascii="宋体" w:hAnsi="宋体" w:cs="宋体" w:eastAsia="宋体" w:hint="default"/>
                <w:sz w:val="18"/>
                <w:szCs w:val="18"/>
              </w:rPr>
            </w:pPr>
            <w:r>
              <w:rPr>
                <w:rFonts w:ascii="宋体" w:hAnsi="宋体" w:cs="宋体" w:eastAsia="宋体" w:hint="default"/>
                <w:sz w:val="18"/>
                <w:szCs w:val="18"/>
              </w:rPr>
              <w:t>业绩承诺及补 偿安排</w:t>
            </w: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20"/>
              <w:jc w:val="both"/>
              <w:rPr>
                <w:rFonts w:ascii="宋体" w:hAnsi="宋体" w:cs="宋体" w:eastAsia="宋体" w:hint="default"/>
                <w:sz w:val="18"/>
                <w:szCs w:val="18"/>
              </w:rPr>
            </w:pPr>
            <w:r>
              <w:rPr>
                <w:rFonts w:ascii="宋体" w:hAnsi="宋体" w:cs="宋体" w:eastAsia="宋体" w:hint="default"/>
                <w:sz w:val="18"/>
                <w:szCs w:val="18"/>
              </w:rPr>
              <w:t>收回情况以有证券从业资格的会计师 事务所的专项审核报告为准。如截至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日，标的公司未完成</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96"/>
              <w:jc w:val="both"/>
              <w:rPr>
                <w:rFonts w:ascii="宋体" w:hAnsi="宋体" w:cs="宋体" w:eastAsia="宋体" w:hint="default"/>
                <w:sz w:val="18"/>
                <w:szCs w:val="18"/>
              </w:rPr>
            </w:pPr>
            <w:r>
              <w:rPr>
                <w:rFonts w:ascii="宋体" w:hAnsi="宋体" w:cs="宋体" w:eastAsia="宋体" w:hint="default"/>
                <w:sz w:val="18"/>
                <w:szCs w:val="18"/>
              </w:rPr>
              <w:t>能履行应 收账款回 款的补偿</w:t>
            </w: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上述应收账款回收指标，则宁波宏创</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承诺。</w:t>
            </w: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应将差额部分以现金形式补偿给标的</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日之前一次</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10"/>
                <w:sz w:val="18"/>
                <w:szCs w:val="18"/>
              </w:rPr>
              <w:t>性支付完毕。</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、关于减值测试</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年度届满后，由上市公司指定</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的具有证券业务资格的会计师事务所</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对标的公司依照中国证监会的规则及</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要求进行减值测试，如标的资产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年末减值额 </w:t>
            </w:r>
            <w:r>
              <w:rPr>
                <w:rFonts w:ascii="Times New Roman" w:hAnsi="Times New Roman" w:cs="Times New Roman" w:eastAsia="Times New Roman" w:hint="default"/>
                <w:sz w:val="18"/>
                <w:szCs w:val="18"/>
              </w:rPr>
              <w:t>&gt;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已回购股份总数</w:t>
            </w:r>
            <w:r>
              <w:rPr>
                <w:rFonts w:ascii="Times New Roman" w:hAnsi="Times New Roman" w:cs="Times New Roman" w:eastAsia="Times New Roman" w:hint="default"/>
                <w:sz w:val="18"/>
                <w:szCs w:val="18"/>
              </w:rPr>
              <w:t>*</w:t>
            </w:r>
            <w:r>
              <w:rPr>
                <w:rFonts w:ascii="宋体" w:hAnsi="宋体" w:cs="宋体" w:eastAsia="宋体" w:hint="default"/>
                <w:sz w:val="18"/>
                <w:szCs w:val="18"/>
              </w:rPr>
              <w:t>本次</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4"/>
                <w:sz w:val="18"/>
                <w:szCs w:val="18"/>
              </w:rPr>
              <w:t>股票发行价格</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已补偿现金额，则宁波</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5"/>
                <w:sz w:val="18"/>
                <w:szCs w:val="18"/>
              </w:rPr>
              <w:t>宏创应当对上市公司另行补偿。</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、关</w:t>
            </w:r>
            <w:r>
              <w:rPr>
                <w:rFonts w:ascii="宋体" w:hAnsi="宋体" w:cs="宋体" w:eastAsia="宋体" w:hint="default"/>
                <w:sz w:val="18"/>
                <w:szCs w:val="18"/>
              </w:rPr>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于联创智融实际控制人承担连带保证</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责任</w:t>
            </w:r>
            <w:r>
              <w:rPr>
                <w:rFonts w:ascii="Times New Roman" w:hAnsi="Times New Roman" w:cs="Times New Roman" w:eastAsia="Times New Roman" w:hint="default"/>
                <w:sz w:val="18"/>
                <w:szCs w:val="18"/>
              </w:rPr>
              <w:t>:</w:t>
            </w:r>
            <w:r>
              <w:rPr>
                <w:rFonts w:ascii="宋体" w:hAnsi="宋体" w:cs="宋体" w:eastAsia="宋体" w:hint="default"/>
                <w:sz w:val="18"/>
                <w:szCs w:val="18"/>
              </w:rPr>
              <w:t>联创智融实际控制人周帮建承</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诺，周帮建将督促宁波宏创按照《盈</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利补偿协议》的约定进行股份及现金</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补偿，并对宁波宏创在《盈利补偿协</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议》下的所有补偿责任承担连带保证</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9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994"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r>
        <w:trPr>
          <w:trHeight w:val="352" w:hRule="exact"/>
        </w:trPr>
        <w:tc>
          <w:tcPr>
            <w:tcW w:w="1562"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29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、自本承诺出具之日至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该承诺已</w:t>
            </w:r>
          </w:p>
        </w:tc>
      </w:tr>
      <w:tr>
        <w:trPr>
          <w:trHeight w:val="939"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宁波宏创股权投 </w:t>
            </w:r>
            <w:r>
              <w:rPr>
                <w:rFonts w:ascii="宋体" w:hAnsi="宋体" w:cs="宋体" w:eastAsia="宋体" w:hint="default"/>
                <w:spacing w:val="-10"/>
                <w:sz w:val="18"/>
                <w:szCs w:val="18"/>
              </w:rPr>
              <w:t>资合伙企业（有限</w:t>
            </w:r>
            <w:r>
              <w:rPr>
                <w:rFonts w:ascii="宋体" w:hAnsi="宋体" w:cs="宋体" w:eastAsia="宋体" w:hint="default"/>
                <w:sz w:val="18"/>
                <w:szCs w:val="18"/>
              </w:rPr>
              <w:t> 合伙）</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150"/>
              <w:ind w:left="23" w:right="161"/>
              <w:jc w:val="left"/>
              <w:rPr>
                <w:rFonts w:ascii="宋体" w:hAnsi="宋体" w:cs="宋体" w:eastAsia="宋体" w:hint="default"/>
                <w:sz w:val="18"/>
                <w:szCs w:val="18"/>
              </w:rPr>
            </w:pPr>
            <w:r>
              <w:rPr>
                <w:rFonts w:ascii="宋体" w:hAnsi="宋体" w:cs="宋体" w:eastAsia="宋体" w:hint="default"/>
                <w:sz w:val="18"/>
                <w:szCs w:val="18"/>
              </w:rPr>
              <w:t>关于避免同业 竞争的承诺</w:t>
            </w: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309" w:lineRule="auto" w:before="14"/>
              <w:ind w:left="24"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日期间，本企业及本企业直接或间 接控制的企业、或直接或间接参与经 营管理的企业不会在中华人民共和国</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6" w:lineRule="auto" w:before="14"/>
              <w:ind w:left="24" w:right="96"/>
              <w:jc w:val="left"/>
              <w:rPr>
                <w:rFonts w:ascii="宋体" w:hAnsi="宋体" w:cs="宋体" w:eastAsia="宋体" w:hint="default"/>
                <w:sz w:val="18"/>
                <w:szCs w:val="18"/>
              </w:rPr>
            </w:pPr>
            <w:r>
              <w:rPr>
                <w:rFonts w:ascii="宋体" w:hAnsi="宋体" w:cs="宋体" w:eastAsia="宋体" w:hint="default"/>
                <w:sz w:val="18"/>
                <w:szCs w:val="18"/>
              </w:rPr>
              <w:t>履行完 毕，承诺 人严格履</w:t>
            </w:r>
          </w:p>
        </w:tc>
      </w:tr>
      <w:tr>
        <w:trPr>
          <w:trHeight w:val="319" w:hRule="exact"/>
        </w:trPr>
        <w:tc>
          <w:tcPr>
            <w:tcW w:w="1562"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9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（包括香港、澳门及台湾地区）从事</w:t>
            </w:r>
          </w:p>
        </w:tc>
        <w:tc>
          <w:tcPr>
            <w:tcW w:w="994"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行承诺，</w:t>
            </w:r>
          </w:p>
        </w:tc>
      </w:tr>
    </w:tbl>
    <w:p>
      <w:pPr>
        <w:spacing w:after="0" w:line="240" w:lineRule="auto"/>
        <w:jc w:val="left"/>
        <w:rPr>
          <w:rFonts w:ascii="宋体" w:hAnsi="宋体" w:cs="宋体" w:eastAsia="宋体" w:hint="default"/>
          <w:sz w:val="18"/>
          <w:szCs w:val="18"/>
        </w:rPr>
        <w:sectPr>
          <w:pgSz w:w="11910" w:h="16840"/>
          <w:pgMar w:header="745" w:footer="979" w:top="1060" w:bottom="1160" w:left="600" w:right="0"/>
        </w:sectPr>
      </w:pPr>
    </w:p>
    <w:p>
      <w:pPr>
        <w:spacing w:line="240" w:lineRule="auto" w:before="0"/>
        <w:rPr>
          <w:rFonts w:ascii="Times New Roman" w:hAnsi="Times New Roman" w:cs="Times New Roman" w:eastAsia="Times New Roman" w:hint="default"/>
          <w:sz w:val="20"/>
          <w:szCs w:val="20"/>
        </w:rPr>
      </w:pPr>
      <w:r>
        <w:rPr/>
        <w:pict>
          <v:shape style="position:absolute;margin-left:391.179993pt;margin-top:72.47998pt;width:55.2pt;height:251.7pt;mso-position-horizontal-relative:page;mso-position-vertical-relative:page;z-index:-13297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3"/>
                    <w:ind w:left="0" w:right="0"/>
                    <w:jc w:val="left"/>
                  </w:pPr>
                  <w:r>
                    <w:rPr/>
                    <w:t>、</w:t>
                  </w:r>
                </w:p>
              </w:txbxContent>
            </v:textbox>
            <w10:wrap type="none"/>
          </v:shape>
        </w:pict>
      </w:r>
      <w:r>
        <w:rPr/>
        <w:pict>
          <v:shape style="position:absolute;margin-left:265.010010pt;margin-top:324.645996pt;width:181.4pt;height:438.9pt;mso-position-horizontal-relative:page;mso-position-vertical-relative:page;z-index:-1329760" type="#_x0000_t202" filled="false" stroked="false">
            <v:textbox inset="0,0,0,0">
              <w:txbxContent>
                <w:p>
                  <w:pPr>
                    <w:pStyle w:val="BodyText"/>
                    <w:spacing w:line="240" w:lineRule="auto" w:before="49"/>
                    <w:ind w:left="0" w:right="0"/>
                    <w:jc w:val="left"/>
                  </w:pPr>
                  <w:r>
                    <w:rPr/>
                    <w:t>关于减少和规范关联交易的承诺：</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pStyle w:val="BodyText"/>
                    <w:spacing w:line="240" w:lineRule="auto"/>
                    <w:ind w:left="540" w:right="0"/>
                    <w:jc w:val="left"/>
                  </w:pPr>
                  <w:r>
                    <w:rPr/>
                    <w:t>（包括但不限于联创智融）</w:t>
                  </w:r>
                </w:p>
              </w:txbxContent>
            </v:textbox>
            <w10:wrap type="none"/>
          </v:shape>
        </w:pict>
      </w:r>
      <w:r>
        <w:rPr/>
        <w:pict>
          <v:group style="position:absolute;margin-left:397.299988pt;margin-top:72.47998pt;width:49.1pt;height:691.1pt;mso-position-horizontal-relative:page;mso-position-vertical-relative:page;z-index:-1329736" coordorigin="7946,1450" coordsize="982,13822">
            <v:group style="position:absolute;left:7946;top:1450;width:982;height:5034" coordorigin="7946,1450" coordsize="982,5034">
              <v:shape style="position:absolute;left:7946;top:1450;width:982;height:5034" coordorigin="7946,1450" coordsize="982,5034" path="m7946,6483l8928,6483,8928,1450,7946,1450,7946,6483xe" filled="true" fillcolor="#ffffff" stroked="false">
                <v:path arrowok="t"/>
                <v:fill type="solid"/>
              </v:shape>
            </v:group>
            <v:group style="position:absolute;left:7946;top:6493;width:982;height:8778" coordorigin="7946,6493" coordsize="982,8778">
              <v:shape style="position:absolute;left:7946;top:6493;width:982;height:8778" coordorigin="7946,6493" coordsize="982,8778" path="m7946,15271l8928,15271,8928,6493,7946,6493,7946,15271xe" filled="true" fillcolor="#ffffff" stroked="false">
                <v:path arrowok="t"/>
                <v:fill type="solid"/>
              </v:shape>
            </v:group>
            <v:group style="position:absolute;left:7968;top:10530;width:939;height:351" coordorigin="7968,10530" coordsize="939,351">
              <v:shape style="position:absolute;left:7968;top:10530;width:939;height:351" coordorigin="7968,10530" coordsize="939,351" path="m7968,10881l8906,10881,8906,10530,7968,10530,7968,10881xe" filled="true" fillcolor="#ffffff" stroked="false">
                <v:path arrowok="t"/>
                <v:fill type="solid"/>
              </v:shape>
            </v:group>
            <v:group style="position:absolute;left:7968;top:10881;width:939;height:353" coordorigin="7968,10881" coordsize="939,353">
              <v:shape style="position:absolute;left:7968;top:10881;width:939;height:353" coordorigin="7968,10881" coordsize="939,353" path="m7968,11233l8906,11233,8906,10881,7968,10881,7968,1123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562"/>
        <w:gridCol w:w="1417"/>
        <w:gridCol w:w="1277"/>
        <w:gridCol w:w="2977"/>
        <w:gridCol w:w="994"/>
        <w:gridCol w:w="1416"/>
        <w:gridCol w:w="852"/>
      </w:tblGrid>
      <w:tr>
        <w:trPr>
          <w:trHeight w:val="315" w:hRule="exact"/>
        </w:trPr>
        <w:tc>
          <w:tcPr>
            <w:tcW w:w="1562"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29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与润和软件及其下属公司（包括但不</w:t>
            </w:r>
          </w:p>
        </w:tc>
        <w:tc>
          <w:tcPr>
            <w:tcW w:w="994"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未出现违</w:t>
            </w: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限于联创智融）相同或相似的业务。</w:t>
            </w:r>
            <w:r>
              <w:rPr>
                <w:rFonts w:ascii="Times New Roman" w:hAnsi="Times New Roman" w:cs="Times New Roman" w:eastAsia="Times New Roman" w:hint="default"/>
                <w:spacing w:val="-9"/>
                <w:sz w:val="18"/>
                <w:szCs w:val="18"/>
              </w:rPr>
              <w:t>2</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反上述承</w:t>
            </w: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若本企业及本企业直接或间接控制的</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诺的情</w:t>
            </w: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企业、或直接或间接参与经营管理的</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企业违反上述承诺，本企业及相关企</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业将采取包括但不限于停止经营产生</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竞争的业务、将产生竞争的业务纳入</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润和软件或者转让给无关联关系第三</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29"/>
              <w:jc w:val="left"/>
              <w:rPr>
                <w:rFonts w:ascii="宋体" w:hAnsi="宋体" w:cs="宋体" w:eastAsia="宋体" w:hint="default"/>
                <w:sz w:val="18"/>
                <w:szCs w:val="18"/>
              </w:rPr>
            </w:pPr>
            <w:r>
              <w:rPr>
                <w:rFonts w:ascii="宋体" w:hAnsi="宋体" w:cs="宋体" w:eastAsia="宋体" w:hint="default"/>
                <w:sz w:val="18"/>
                <w:szCs w:val="18"/>
              </w:rPr>
              <w:t>方等合法方式，以避免同业竞争。</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如违反上述承诺，本企业将在违反竞</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业禁止承诺当年向润和软件或联创智</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融支付违约金，违约金数额</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本次交易</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中本企业获得的对价</w:t>
            </w:r>
            <w:r>
              <w:rPr>
                <w:rFonts w:ascii="Times New Roman" w:hAnsi="Times New Roman" w:cs="Times New Roman" w:eastAsia="Times New Roman" w:hint="default"/>
                <w:sz w:val="18"/>
                <w:szCs w:val="18"/>
              </w:rPr>
              <w:t>*</w:t>
            </w:r>
            <w:r>
              <w:rPr>
                <w:rFonts w:ascii="宋体" w:hAnsi="宋体" w:cs="宋体" w:eastAsia="宋体" w:hint="default"/>
                <w:sz w:val="18"/>
                <w:szCs w:val="18"/>
              </w:rPr>
              <w:t>竞业禁止义务</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未履行年数</w:t>
            </w:r>
            <w:r>
              <w:rPr>
                <w:rFonts w:ascii="Times New Roman" w:hAnsi="Times New Roman" w:cs="Times New Roman" w:eastAsia="Times New Roman" w:hint="default"/>
                <w:sz w:val="18"/>
                <w:szCs w:val="18"/>
              </w:rPr>
              <w:t>*20%</w:t>
            </w:r>
            <w:r>
              <w:rPr>
                <w:rFonts w:ascii="宋体" w:hAnsi="宋体" w:cs="宋体" w:eastAsia="宋体" w:hint="default"/>
                <w:sz w:val="18"/>
                <w:szCs w:val="18"/>
              </w:rPr>
              <w:t>，其中竞业禁止义务</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未履行年数指违反竞业禁止义务当年</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29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年的年数。</w:t>
            </w:r>
          </w:p>
        </w:tc>
        <w:tc>
          <w:tcPr>
            <w:tcW w:w="994"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562"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29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w:t>
            </w:r>
          </w:p>
        </w:tc>
        <w:tc>
          <w:tcPr>
            <w:tcW w:w="994"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、本次交易完成后，本企业及本企业</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对外投资的企业（包括但不限于直接</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4"/>
                <w:sz w:val="18"/>
                <w:szCs w:val="18"/>
              </w:rPr>
              <w:t>、</w:t>
            </w:r>
            <w:r>
              <w:rPr>
                <w:rFonts w:ascii="宋体" w:hAnsi="宋体" w:cs="宋体" w:eastAsia="宋体" w:hint="default"/>
                <w:sz w:val="18"/>
                <w:szCs w:val="18"/>
              </w:rPr>
              <w:t>间接持股或委托持股</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实际控</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制的企业将尽可能减少与润和软件及</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其下属公司</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的关联交易，不会利用自身作为润和</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软件股东之地位谋求与润和软件及其</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下属公司（包括但不限于联创智融）</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在业务合作等方面给予优于市场第三</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29"/>
              <w:jc w:val="left"/>
              <w:rPr>
                <w:rFonts w:ascii="宋体" w:hAnsi="宋体" w:cs="宋体" w:eastAsia="宋体" w:hint="default"/>
                <w:sz w:val="18"/>
                <w:szCs w:val="18"/>
              </w:rPr>
            </w:pPr>
            <w:r>
              <w:rPr>
                <w:rFonts w:ascii="宋体" w:hAnsi="宋体" w:cs="宋体" w:eastAsia="宋体" w:hint="default"/>
                <w:sz w:val="18"/>
                <w:szCs w:val="18"/>
              </w:rPr>
              <w:t>方的权利或达成交易的优先权利。</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截至本报</w:t>
            </w: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若发生必要且不可避免的关联交易，</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4" w:right="0"/>
              <w:jc w:val="left"/>
              <w:rPr>
                <w:rFonts w:ascii="宋体" w:hAnsi="宋体" w:cs="宋体" w:eastAsia="宋体" w:hint="default"/>
                <w:sz w:val="18"/>
                <w:szCs w:val="18"/>
              </w:rPr>
            </w:pPr>
            <w:r>
              <w:rPr>
                <w:rFonts w:ascii="宋体" w:hAnsi="宋体" w:cs="宋体" w:eastAsia="宋体" w:hint="default"/>
                <w:sz w:val="18"/>
                <w:szCs w:val="18"/>
              </w:rPr>
              <w:t>告期末，</w:t>
            </w:r>
          </w:p>
        </w:tc>
      </w:tr>
      <w:tr>
        <w:trPr>
          <w:trHeight w:val="1248"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6" w:lineRule="auto" w:before="158"/>
              <w:ind w:left="23" w:right="20"/>
              <w:jc w:val="left"/>
              <w:rPr>
                <w:rFonts w:ascii="宋体" w:hAnsi="宋体" w:cs="宋体" w:eastAsia="宋体" w:hint="default"/>
                <w:sz w:val="18"/>
                <w:szCs w:val="18"/>
              </w:rPr>
            </w:pPr>
            <w:r>
              <w:rPr>
                <w:rFonts w:ascii="宋体" w:hAnsi="宋体" w:cs="宋体" w:eastAsia="宋体" w:hint="default"/>
                <w:sz w:val="18"/>
                <w:szCs w:val="18"/>
              </w:rPr>
              <w:t>宁波宏创股权投 </w:t>
            </w:r>
            <w:r>
              <w:rPr>
                <w:rFonts w:ascii="宋体" w:hAnsi="宋体" w:cs="宋体" w:eastAsia="宋体" w:hint="default"/>
                <w:spacing w:val="-10"/>
                <w:sz w:val="18"/>
                <w:szCs w:val="18"/>
              </w:rPr>
              <w:t>资合伙企业（有限</w:t>
            </w:r>
            <w:r>
              <w:rPr>
                <w:rFonts w:ascii="宋体" w:hAnsi="宋体" w:cs="宋体" w:eastAsia="宋体" w:hint="default"/>
                <w:sz w:val="18"/>
                <w:szCs w:val="18"/>
              </w:rPr>
              <w:t> 合伙）</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3" w:right="22"/>
              <w:jc w:val="left"/>
              <w:rPr>
                <w:rFonts w:ascii="宋体" w:hAnsi="宋体" w:cs="宋体" w:eastAsia="宋体" w:hint="default"/>
                <w:sz w:val="18"/>
                <w:szCs w:val="18"/>
              </w:rPr>
            </w:pPr>
            <w:r>
              <w:rPr>
                <w:rFonts w:ascii="宋体" w:hAnsi="宋体" w:cs="宋体" w:eastAsia="宋体" w:hint="default"/>
                <w:sz w:val="18"/>
                <w:szCs w:val="18"/>
              </w:rPr>
              <w:t>关于减少和规 </w:t>
            </w:r>
            <w:r>
              <w:rPr>
                <w:rFonts w:ascii="宋体" w:hAnsi="宋体" w:cs="宋体" w:eastAsia="宋体" w:hint="default"/>
                <w:spacing w:val="-6"/>
                <w:sz w:val="18"/>
                <w:szCs w:val="18"/>
              </w:rPr>
              <w:t>范关联交易、规</w:t>
            </w:r>
            <w:r>
              <w:rPr>
                <w:rFonts w:ascii="宋体" w:hAnsi="宋体" w:cs="宋体" w:eastAsia="宋体" w:hint="default"/>
                <w:sz w:val="18"/>
                <w:szCs w:val="18"/>
              </w:rPr>
              <w:t> 范资金占用行 为的承诺</w:t>
            </w: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24" w:right="20"/>
              <w:jc w:val="both"/>
              <w:rPr>
                <w:rFonts w:ascii="宋体" w:hAnsi="宋体" w:cs="宋体" w:eastAsia="宋体" w:hint="default"/>
                <w:sz w:val="18"/>
                <w:szCs w:val="18"/>
              </w:rPr>
            </w:pPr>
            <w:r>
              <w:rPr>
                <w:rFonts w:ascii="宋体" w:hAnsi="宋体" w:cs="宋体" w:eastAsia="宋体" w:hint="default"/>
                <w:sz w:val="18"/>
                <w:szCs w:val="18"/>
              </w:rPr>
              <w:t>本企业及本企业对外投资的企业（包 括但不限于直接持股、间接持股或委 </w:t>
            </w:r>
            <w:r>
              <w:rPr>
                <w:rFonts w:ascii="宋体" w:hAnsi="宋体" w:cs="宋体" w:eastAsia="宋体" w:hint="default"/>
                <w:spacing w:val="-9"/>
                <w:sz w:val="18"/>
                <w:szCs w:val="18"/>
              </w:rPr>
              <w:t>托持股）、实际控制的企业将与润和软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件及其下属公司（包括但不限于联创</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96"/>
              <w:jc w:val="both"/>
              <w:rPr>
                <w:rFonts w:ascii="宋体" w:hAnsi="宋体" w:cs="宋体" w:eastAsia="宋体" w:hint="default"/>
                <w:sz w:val="18"/>
                <w:szCs w:val="18"/>
              </w:rPr>
            </w:pPr>
            <w:r>
              <w:rPr>
                <w:rFonts w:ascii="宋体" w:hAnsi="宋体" w:cs="宋体" w:eastAsia="宋体" w:hint="default"/>
                <w:sz w:val="18"/>
                <w:szCs w:val="18"/>
              </w:rPr>
              <w:t>承诺人严 格履行承 诺，未出 现违反上</w:t>
            </w: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智融）按照公平、公允、等价有偿等</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述承诺的</w:t>
            </w:r>
          </w:p>
        </w:tc>
      </w:tr>
      <w:tr>
        <w:trPr>
          <w:trHeight w:val="323"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原则依法签订协议，履行合法程序，</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并将按照有关法律法规和《江苏润和</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软件股份有限公司章程》的规定履行</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信息披露义务及相关内部决策程序和</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回避制度，关联交易价格依照与无关</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联关系的独立第三方进行相同或相似</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交易时的价格确定，保证关联交易价</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格具有公允性，亦不利用该等交易从</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事任何损害润和软件及润和软件股东</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的合法权益的行为。</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、本企业保证将</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562"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9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依照《江苏润和软件股份有限公司章</w:t>
            </w:r>
          </w:p>
        </w:tc>
        <w:tc>
          <w:tcPr>
            <w:tcW w:w="994"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600" w:right="0"/>
        </w:sectPr>
      </w:pPr>
    </w:p>
    <w:p>
      <w:pPr>
        <w:spacing w:line="240" w:lineRule="auto" w:before="0"/>
        <w:rPr>
          <w:rFonts w:ascii="Times New Roman" w:hAnsi="Times New Roman" w:cs="Times New Roman" w:eastAsia="Times New Roman" w:hint="default"/>
          <w:sz w:val="20"/>
          <w:szCs w:val="20"/>
        </w:rPr>
      </w:pPr>
      <w:r>
        <w:rPr/>
        <w:pict>
          <v:shape style="position:absolute;margin-left:346.01001pt;margin-top:72.47998pt;width:100.4pt;height:392.15pt;mso-position-horizontal-relative:page;mso-position-vertical-relative:page;z-index:-13296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5"/>
                    <w:ind w:left="0" w:right="0" w:firstLine="903"/>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5"/>
                      <w:szCs w:val="25"/>
                    </w:rPr>
                  </w:pPr>
                </w:p>
                <w:p>
                  <w:pPr>
                    <w:pStyle w:val="BodyText"/>
                    <w:spacing w:line="240" w:lineRule="auto"/>
                    <w:ind w:left="0" w:right="0"/>
                    <w:jc w:val="left"/>
                  </w:pPr>
                  <w:r>
                    <w:rPr/>
                    <w:t>不存在纠纷。</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562"/>
        <w:gridCol w:w="1417"/>
        <w:gridCol w:w="1277"/>
        <w:gridCol w:w="2977"/>
        <w:gridCol w:w="994"/>
        <w:gridCol w:w="1416"/>
        <w:gridCol w:w="852"/>
      </w:tblGrid>
      <w:tr>
        <w:trPr>
          <w:trHeight w:val="315" w:hRule="exact"/>
        </w:trPr>
        <w:tc>
          <w:tcPr>
            <w:tcW w:w="1562"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29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程》的规定参加股东大会，平等地行</w:t>
            </w:r>
          </w:p>
        </w:tc>
        <w:tc>
          <w:tcPr>
            <w:tcW w:w="994" w:type="dxa"/>
            <w:vMerge w:val="restart"/>
            <w:tcBorders>
              <w:top w:val="single" w:sz="4" w:space="0" w:color="000000"/>
              <w:left w:val="single" w:sz="4" w:space="0" w:color="000000"/>
              <w:right w:val="single" w:sz="4" w:space="0" w:color="000000"/>
            </w:tcBorders>
          </w:tcPr>
          <w:p>
            <w:pPr>
              <w:pStyle w:val="TableParagraph"/>
              <w:spacing w:line="7842"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6"/>
                <w:sz w:val="20"/>
                <w:szCs w:val="20"/>
              </w:rPr>
              <w:pict>
                <v:group style="width:49.1pt;height:392.15pt;mso-position-horizontal-relative:char;mso-position-vertical-relative:line" coordorigin="0,0" coordsize="982,7843">
                  <v:group style="position:absolute;left:0;top:0;width:982;height:7843" coordorigin="0,0" coordsize="982,7843">
                    <v:shape style="position:absolute;left:0;top:0;width:982;height:7843" coordorigin="0,0" coordsize="982,7843" path="m0,7842l982,7842,982,0,0,0,0,7842xe" filled="true" fillcolor="#ffffff" stroked="false">
                      <v:path arrowok="t"/>
                      <v:fill type="solid"/>
                    </v:shape>
                  </v:group>
                </v:group>
              </w:pict>
            </w:r>
            <w:r>
              <w:rPr>
                <w:rFonts w:ascii="Times New Roman" w:hAnsi="Times New Roman" w:cs="Times New Roman" w:eastAsia="Times New Roman" w:hint="default"/>
                <w:position w:val="-156"/>
                <w:sz w:val="20"/>
                <w:szCs w:val="20"/>
              </w:rPr>
            </w:r>
          </w:p>
        </w:tc>
        <w:tc>
          <w:tcPr>
            <w:tcW w:w="1416"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使相应权利，承担相应义务，不利用</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股东地位谋取不正当利益，不利用关</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联交易非法转移润和软件及其下属子</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公司（包括但不限于联创智融）的资</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金、利润，保证不损害润和软件及股</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东的合法权益。</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、若违反上述声明和</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保证，本企业将对前述行为给润和软</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件造成的损失向润和软件进行赔偿。</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二、关于规范资金占用行为的承诺：</w:t>
            </w:r>
            <w:r>
              <w:rPr>
                <w:rFonts w:ascii="Times New Roman" w:hAnsi="Times New Roman" w:cs="Times New Roman" w:eastAsia="Times New Roman" w:hint="default"/>
                <w:spacing w:val="-9"/>
                <w:sz w:val="18"/>
                <w:szCs w:val="18"/>
              </w:rPr>
              <w:t>1</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截至本承诺出具之日，本企业及本企</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业对外投资（包括直接持股、间接持</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股或委托持股</w:t>
            </w:r>
            <w:r>
              <w:rPr>
                <w:rFonts w:ascii="宋体" w:hAnsi="宋体" w:cs="宋体" w:eastAsia="宋体" w:hint="default"/>
                <w:spacing w:val="-92"/>
                <w:sz w:val="18"/>
                <w:szCs w:val="18"/>
              </w:rPr>
              <w:t>）</w:t>
            </w:r>
            <w:r>
              <w:rPr>
                <w:rFonts w:ascii="宋体" w:hAnsi="宋体" w:cs="宋体" w:eastAsia="宋体" w:hint="default"/>
                <w:spacing w:val="-51"/>
                <w:sz w:val="18"/>
                <w:szCs w:val="18"/>
              </w:rPr>
              <w:t>、</w:t>
            </w:r>
            <w:r>
              <w:rPr>
                <w:rFonts w:ascii="宋体" w:hAnsi="宋体" w:cs="宋体" w:eastAsia="宋体" w:hint="default"/>
                <w:sz w:val="18"/>
                <w:szCs w:val="18"/>
              </w:rPr>
              <w:t>实际控制的</w:t>
            </w:r>
            <w:r>
              <w:rPr>
                <w:rFonts w:ascii="宋体" w:hAnsi="宋体" w:cs="宋体" w:eastAsia="宋体" w:hint="default"/>
                <w:spacing w:val="2"/>
                <w:sz w:val="18"/>
                <w:szCs w:val="18"/>
              </w:rPr>
              <w:t>企</w:t>
            </w:r>
            <w:r>
              <w:rPr>
                <w:rFonts w:ascii="宋体" w:hAnsi="宋体" w:cs="宋体" w:eastAsia="宋体" w:hint="default"/>
                <w:sz w:val="18"/>
                <w:szCs w:val="18"/>
              </w:rPr>
              <w:t>业与联</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创智融及其子公司之间的非经营性资</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金往来已全部清理完毕，</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、本承诺出具日后，本企业及本企业</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对外投资、实际控制的企业不会利用</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本企业的股东身份或职务便利以借</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款、代偿债务、代垫款项或者其他方</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式占用联创智融及其子公司之资金。</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、若未来联创智融因本次交易完成前</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的资金占用情形或本企业违反上述承</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诺而受到有关主管部门处罚的，本企</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业将对联创智融遭受的全部损失予以</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60"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29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赔偿。</w:t>
            </w:r>
          </w:p>
        </w:tc>
        <w:tc>
          <w:tcPr>
            <w:tcW w:w="994"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r>
      <w:tr>
        <w:trPr>
          <w:trHeight w:val="360" w:hRule="exact"/>
        </w:trPr>
        <w:tc>
          <w:tcPr>
            <w:tcW w:w="1562"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29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、自本承诺出具之日至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日期间，本人及本人直接或间接控</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制的企业、或直接或间接参与经营管</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理的企业不会在中华人民共和国（包</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括香港、澳门及台湾地区）从事与润</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和软件及其下属公司（包括但不限于</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该承诺已</w:t>
            </w: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pacing w:val="-4"/>
                <w:sz w:val="18"/>
                <w:szCs w:val="18"/>
              </w:rPr>
              <w:t>联创智融）相同或相似的业务。</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、若</w:t>
            </w:r>
            <w:r>
              <w:rPr>
                <w:rFonts w:ascii="宋体" w:hAnsi="宋体" w:cs="宋体" w:eastAsia="宋体" w:hint="default"/>
                <w:sz w:val="18"/>
                <w:szCs w:val="18"/>
              </w:rPr>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履行完</w:t>
            </w: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本人及本人直接或间接控制的企业、</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4" w:right="0"/>
              <w:jc w:val="left"/>
              <w:rPr>
                <w:rFonts w:ascii="宋体" w:hAnsi="宋体" w:cs="宋体" w:eastAsia="宋体" w:hint="default"/>
                <w:sz w:val="18"/>
                <w:szCs w:val="18"/>
              </w:rPr>
            </w:pPr>
            <w:r>
              <w:rPr>
                <w:rFonts w:ascii="宋体" w:hAnsi="宋体" w:cs="宋体" w:eastAsia="宋体" w:hint="default"/>
                <w:sz w:val="18"/>
                <w:szCs w:val="18"/>
              </w:rPr>
              <w:t>毕，承诺</w:t>
            </w:r>
          </w:p>
        </w:tc>
      </w:tr>
      <w:tr>
        <w:trPr>
          <w:trHeight w:val="936"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3" w:right="0"/>
              <w:jc w:val="left"/>
              <w:rPr>
                <w:rFonts w:ascii="宋体" w:hAnsi="宋体" w:cs="宋体" w:eastAsia="宋体" w:hint="default"/>
                <w:sz w:val="18"/>
                <w:szCs w:val="18"/>
              </w:rPr>
            </w:pPr>
            <w:r>
              <w:rPr>
                <w:rFonts w:ascii="宋体" w:hAnsi="宋体" w:cs="宋体" w:eastAsia="宋体" w:hint="default"/>
                <w:sz w:val="18"/>
                <w:szCs w:val="18"/>
              </w:rPr>
              <w:t>周帮建</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4" w:lineRule="auto" w:before="158"/>
              <w:ind w:left="23" w:right="161"/>
              <w:jc w:val="left"/>
              <w:rPr>
                <w:rFonts w:ascii="宋体" w:hAnsi="宋体" w:cs="宋体" w:eastAsia="宋体" w:hint="default"/>
                <w:sz w:val="18"/>
                <w:szCs w:val="18"/>
              </w:rPr>
            </w:pPr>
            <w:r>
              <w:rPr>
                <w:rFonts w:ascii="宋体" w:hAnsi="宋体" w:cs="宋体" w:eastAsia="宋体" w:hint="default"/>
                <w:sz w:val="18"/>
                <w:szCs w:val="18"/>
              </w:rPr>
              <w:t>关于避免同业 竞争的承诺</w:t>
            </w: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24" w:right="61"/>
              <w:jc w:val="both"/>
              <w:rPr>
                <w:rFonts w:ascii="宋体" w:hAnsi="宋体" w:cs="宋体" w:eastAsia="宋体" w:hint="default"/>
                <w:sz w:val="18"/>
                <w:szCs w:val="18"/>
              </w:rPr>
            </w:pPr>
            <w:r>
              <w:rPr>
                <w:rFonts w:ascii="宋体" w:hAnsi="宋体" w:cs="宋体" w:eastAsia="宋体" w:hint="default"/>
                <w:sz w:val="18"/>
                <w:szCs w:val="18"/>
              </w:rPr>
              <w:t>或直接或间接参与经营管理的企业违 反上述承诺，本人及其相关企业将采 取包括但不限于停止经营产生竞争的</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96"/>
              <w:jc w:val="both"/>
              <w:rPr>
                <w:rFonts w:ascii="宋体" w:hAnsi="宋体" w:cs="宋体" w:eastAsia="宋体" w:hint="default"/>
                <w:sz w:val="18"/>
                <w:szCs w:val="18"/>
              </w:rPr>
            </w:pPr>
            <w:r>
              <w:rPr>
                <w:rFonts w:ascii="宋体" w:hAnsi="宋体" w:cs="宋体" w:eastAsia="宋体" w:hint="default"/>
                <w:sz w:val="18"/>
                <w:szCs w:val="18"/>
              </w:rPr>
              <w:t>人严格履 行承诺， 未出现违</w:t>
            </w: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业务、将产生竞争的业务纳入润和软</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反上述承</w:t>
            </w: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件或者转让给无关联关系第三方等合</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诺的情</w:t>
            </w:r>
          </w:p>
        </w:tc>
      </w:tr>
      <w:tr>
        <w:trPr>
          <w:trHeight w:val="328"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pacing w:val="-3"/>
                <w:sz w:val="18"/>
                <w:szCs w:val="18"/>
              </w:rPr>
              <w:t>法方式，以避免同业竞争。</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、本人关</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系密切的家庭成员（包括配偶、父母</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及配偶的父母、兄弟姐妹及其配偶、</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年满</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周岁的子女及其配偶、配偶的</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兄弟姐妹和子女配偶的父母等）也遵</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562"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9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守以上承诺。</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、上述关于避免同业竞</w:t>
            </w:r>
          </w:p>
        </w:tc>
        <w:tc>
          <w:tcPr>
            <w:tcW w:w="994"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600" w:right="0"/>
        </w:sectPr>
      </w:pPr>
    </w:p>
    <w:p>
      <w:pPr>
        <w:spacing w:line="240" w:lineRule="auto" w:before="0"/>
        <w:rPr>
          <w:rFonts w:ascii="Times New Roman" w:hAnsi="Times New Roman" w:cs="Times New Roman" w:eastAsia="Times New Roman" w:hint="default"/>
          <w:sz w:val="20"/>
          <w:szCs w:val="20"/>
        </w:rPr>
      </w:pPr>
      <w:r>
        <w:rPr/>
        <w:pict>
          <v:shape style="position:absolute;margin-left:265.010010pt;margin-top:309.04599pt;width:181.4pt;height:454.5pt;mso-position-horizontal-relative:page;mso-position-vertical-relative:page;z-index:-1329640" type="#_x0000_t202" filled="false" stroked="false">
            <v:textbox inset="0,0,0,0">
              <w:txbxContent>
                <w:p>
                  <w:pPr>
                    <w:pStyle w:val="BodyText"/>
                    <w:spacing w:line="240" w:lineRule="auto" w:before="49"/>
                    <w:ind w:left="0" w:right="0"/>
                    <w:jc w:val="left"/>
                  </w:pPr>
                  <w:r>
                    <w:rPr/>
                    <w:t>关于减少和规范关联交易的承诺：</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pStyle w:val="BodyText"/>
                    <w:spacing w:line="240" w:lineRule="auto"/>
                    <w:ind w:left="540" w:right="0"/>
                    <w:jc w:val="left"/>
                  </w:pPr>
                  <w:r>
                    <w:rPr/>
                    <w:t>（包括但不限于直接持股、</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562"/>
        <w:gridCol w:w="1417"/>
        <w:gridCol w:w="1277"/>
        <w:gridCol w:w="2977"/>
        <w:gridCol w:w="994"/>
        <w:gridCol w:w="1416"/>
        <w:gridCol w:w="852"/>
      </w:tblGrid>
      <w:tr>
        <w:trPr>
          <w:trHeight w:val="4731" w:hRule="exact"/>
        </w:trPr>
        <w:tc>
          <w:tcPr>
            <w:tcW w:w="1562"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4" w:right="20"/>
              <w:jc w:val="left"/>
              <w:rPr>
                <w:rFonts w:ascii="宋体" w:hAnsi="宋体" w:cs="宋体" w:eastAsia="宋体" w:hint="default"/>
                <w:sz w:val="18"/>
                <w:szCs w:val="18"/>
              </w:rPr>
            </w:pPr>
            <w:r>
              <w:rPr>
                <w:rFonts w:ascii="宋体" w:hAnsi="宋体" w:cs="宋体" w:eastAsia="宋体" w:hint="default"/>
                <w:sz w:val="18"/>
                <w:szCs w:val="18"/>
              </w:rPr>
              <w:t>争承诺的约定，是基于本次交易而作 出的，而不是基于本人和联创智融的 劳动合同关系而作出的。本人不会以 本款约定与《中华人民共和国劳动合 同法》规定不一致、相冲突、未收取 离职补偿金等为由，而主张本承诺无 </w:t>
            </w:r>
            <w:r>
              <w:rPr>
                <w:rFonts w:ascii="宋体" w:hAnsi="宋体" w:cs="宋体" w:eastAsia="宋体" w:hint="default"/>
                <w:spacing w:val="-3"/>
                <w:sz w:val="18"/>
                <w:szCs w:val="18"/>
              </w:rPr>
              <w:t>效、可撤销或者变更。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、如违反上述</w:t>
            </w:r>
            <w:r>
              <w:rPr>
                <w:rFonts w:ascii="宋体" w:hAnsi="宋体" w:cs="宋体" w:eastAsia="宋体" w:hint="default"/>
                <w:sz w:val="18"/>
                <w:szCs w:val="18"/>
              </w:rPr>
              <w:t> 承诺，本人将在违反竞业禁止承诺当 年向润和软件或联创智融支付违约 </w:t>
            </w:r>
            <w:r>
              <w:rPr>
                <w:rFonts w:ascii="宋体" w:hAnsi="宋体" w:cs="宋体" w:eastAsia="宋体" w:hint="default"/>
                <w:spacing w:val="-4"/>
                <w:sz w:val="18"/>
                <w:szCs w:val="18"/>
              </w:rPr>
              <w:t>金，违约金数额</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本次交易中宁波宏创</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股权投资合伙企业（有限合伙）获得 的对价</w:t>
            </w:r>
            <w:r>
              <w:rPr>
                <w:rFonts w:ascii="Times New Roman" w:hAnsi="Times New Roman" w:cs="Times New Roman" w:eastAsia="Times New Roman" w:hint="default"/>
                <w:sz w:val="18"/>
                <w:szCs w:val="18"/>
              </w:rPr>
              <w:t>*</w:t>
            </w:r>
            <w:r>
              <w:rPr>
                <w:rFonts w:ascii="宋体" w:hAnsi="宋体" w:cs="宋体" w:eastAsia="宋体" w:hint="default"/>
                <w:sz w:val="18"/>
                <w:szCs w:val="18"/>
              </w:rPr>
              <w:t>竞业禁止义务未履行年数</w:t>
            </w:r>
          </w:p>
          <w:p>
            <w:pPr>
              <w:pStyle w:val="TableParagraph"/>
              <w:spacing w:line="300" w:lineRule="auto" w:before="1"/>
              <w:ind w:left="24"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，其中竞业禁止义务未履行年数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指违反竞业禁止义务当年至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的年数。</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9099" w:hRule="exact"/>
        </w:trPr>
        <w:tc>
          <w:tcPr>
            <w:tcW w:w="1562"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周帮建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关于减少和规 </w:t>
            </w:r>
            <w:r>
              <w:rPr>
                <w:rFonts w:ascii="宋体" w:hAnsi="宋体" w:cs="宋体" w:eastAsia="宋体" w:hint="default"/>
                <w:spacing w:val="-6"/>
                <w:sz w:val="18"/>
                <w:szCs w:val="18"/>
              </w:rPr>
              <w:t>范关联交易、规</w:t>
            </w:r>
            <w:r>
              <w:rPr>
                <w:rFonts w:ascii="宋体" w:hAnsi="宋体" w:cs="宋体" w:eastAsia="宋体" w:hint="default"/>
                <w:sz w:val="18"/>
                <w:szCs w:val="18"/>
              </w:rPr>
              <w:t> 范资金占用行 为的承诺</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一、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、本次交易完成后，本人及本人对外</w:t>
            </w:r>
            <w:r>
              <w:rPr>
                <w:rFonts w:ascii="宋体" w:hAnsi="宋体" w:cs="宋体" w:eastAsia="宋体" w:hint="default"/>
                <w:sz w:val="18"/>
                <w:szCs w:val="18"/>
              </w:rPr>
              <w:t> 投资的企业 </w:t>
            </w:r>
            <w:r>
              <w:rPr>
                <w:rFonts w:ascii="宋体" w:hAnsi="宋体" w:cs="宋体" w:eastAsia="宋体" w:hint="default"/>
                <w:spacing w:val="-9"/>
                <w:sz w:val="18"/>
                <w:szCs w:val="18"/>
              </w:rPr>
              <w:t>间接持股或委托持股）、实际控制或担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任董事、高级管理人员的企业将尽可 能减少与润和软件及其下属公司（包 括但不限于联创智融）的关联交易， 不会利用本人作为润和软件董事之地 位或宁波宏创作为润和软件股东之地 位谋求与润和软件及其下属公司（包 括但不限于联创智融）在业务合作等 方面给予优于市场第三方的权利或达 </w:t>
            </w:r>
            <w:r>
              <w:rPr>
                <w:rFonts w:ascii="宋体" w:hAnsi="宋体" w:cs="宋体" w:eastAsia="宋体" w:hint="default"/>
                <w:spacing w:val="-3"/>
                <w:sz w:val="18"/>
                <w:szCs w:val="18"/>
              </w:rPr>
              <w:t>成交易的优先权利。</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、若发生必要且</w:t>
            </w:r>
            <w:r>
              <w:rPr>
                <w:rFonts w:ascii="宋体" w:hAnsi="宋体" w:cs="宋体" w:eastAsia="宋体" w:hint="default"/>
                <w:sz w:val="18"/>
                <w:szCs w:val="18"/>
              </w:rPr>
              <w:t> 不可避免的关联交易，本人及本人对 外投资的企业（包括但不限于直接持 </w:t>
            </w:r>
            <w:r>
              <w:rPr>
                <w:rFonts w:ascii="宋体" w:hAnsi="宋体" w:cs="宋体" w:eastAsia="宋体" w:hint="default"/>
                <w:spacing w:val="-9"/>
                <w:sz w:val="18"/>
                <w:szCs w:val="18"/>
              </w:rPr>
              <w:t>股、间接持股或委托持股）、实际控制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或担任董事、高级管理人员的企业将 与润和软件及其下属公司（包括但不 限于联创智融）按照公平、公允、等 价有偿等原则依法签订协议，履行合 </w:t>
            </w:r>
            <w:r>
              <w:rPr>
                <w:rFonts w:ascii="宋体" w:hAnsi="宋体" w:cs="宋体" w:eastAsia="宋体" w:hint="default"/>
                <w:spacing w:val="-9"/>
                <w:sz w:val="18"/>
                <w:szCs w:val="18"/>
              </w:rPr>
              <w:t>法程序，并将按照有关法律法规和《江</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苏润和软件股份有限公司章程》的规 定履行信息披露义务及相关内部决策 程序和回避制度，关联交易价格依照 与无关联关系的独立第三方进行相同 或相似交易时的价格确定，保证关联 交易价格具有公允性，亦不利用该等 交易从事任何损害润和软件及润和软 </w:t>
            </w:r>
            <w:r>
              <w:rPr>
                <w:rFonts w:ascii="宋体" w:hAnsi="宋体" w:cs="宋体" w:eastAsia="宋体" w:hint="default"/>
                <w:spacing w:val="-3"/>
                <w:sz w:val="18"/>
                <w:szCs w:val="18"/>
              </w:rPr>
              <w:t>件股东的合法权益的行为。</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9089"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1"/>
                <w:sz w:val="20"/>
                <w:szCs w:val="20"/>
              </w:rPr>
              <w:pict>
                <v:group style="width:49.1pt;height:454.5pt;mso-position-horizontal-relative:char;mso-position-vertical-relative:line" coordorigin="0,0" coordsize="982,9090">
                  <v:group style="position:absolute;left:0;top:0;width:982;height:9090" coordorigin="0,0" coordsize="982,9090">
                    <v:shape style="position:absolute;left:0;top:0;width:982;height:9090" coordorigin="0,0" coordsize="982,9090" path="m0,9090l982,9090,982,0,0,0,0,9090xe" filled="true" fillcolor="#ffffff" stroked="false">
                      <v:path arrowok="t"/>
                      <v:fill type="solid"/>
                    </v:shape>
                  </v:group>
                  <v:group style="position:absolute;left:22;top:4193;width:939;height:351" coordorigin="22,4193" coordsize="939,351">
                    <v:shape style="position:absolute;left:22;top:4193;width:939;height:351" coordorigin="22,4193" coordsize="939,351" path="m22,4544l960,4544,960,4193,22,4193,22,4544xe" filled="true" fillcolor="#ffffff" stroked="false">
                      <v:path arrowok="t"/>
                      <v:fill type="solid"/>
                    </v:shape>
                  </v:group>
                  <v:group style="position:absolute;left:22;top:4544;width:939;height:353" coordorigin="22,4544" coordsize="939,353">
                    <v:shape style="position:absolute;left:22;top:4544;width:939;height:353" coordorigin="22,4544" coordsize="939,353" path="m22,4896l960,4896,960,4544,22,4544,22,4896xe" filled="true" fillcolor="#ffffff" stroked="false">
                      <v:path arrowok="t"/>
                      <v:fill type="solid"/>
                    </v:shape>
                  </v:group>
                </v:group>
              </w:pict>
            </w:r>
            <w:r>
              <w:rPr>
                <w:rFonts w:ascii="Times New Roman" w:hAnsi="Times New Roman" w:cs="Times New Roman" w:eastAsia="Times New Roman" w:hint="default"/>
                <w:position w:val="-181"/>
                <w:sz w:val="20"/>
                <w:szCs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24" w:right="96"/>
              <w:jc w:val="both"/>
              <w:rPr>
                <w:rFonts w:ascii="宋体" w:hAnsi="宋体" w:cs="宋体" w:eastAsia="宋体" w:hint="default"/>
                <w:sz w:val="18"/>
                <w:szCs w:val="18"/>
              </w:rPr>
            </w:pPr>
            <w:r>
              <w:rPr>
                <w:rFonts w:ascii="宋体" w:hAnsi="宋体" w:cs="宋体" w:eastAsia="宋体" w:hint="default"/>
                <w:sz w:val="18"/>
                <w:szCs w:val="18"/>
              </w:rPr>
              <w:t>截至本报 告期末， 承诺人严 格履行承 诺，未出 现违反上 述承诺的 情况。</w:t>
            </w:r>
          </w:p>
        </w:tc>
      </w:tr>
    </w:tbl>
    <w:p>
      <w:pPr>
        <w:spacing w:after="0" w:line="316" w:lineRule="auto"/>
        <w:jc w:val="both"/>
        <w:rPr>
          <w:rFonts w:ascii="宋体" w:hAnsi="宋体" w:cs="宋体" w:eastAsia="宋体" w:hint="default"/>
          <w:sz w:val="18"/>
          <w:szCs w:val="18"/>
        </w:rPr>
        <w:sectPr>
          <w:pgSz w:w="11910" w:h="16840"/>
          <w:pgMar w:header="745" w:footer="979" w:top="1060" w:bottom="1160" w:left="600" w:right="0"/>
        </w:sectPr>
      </w:pPr>
    </w:p>
    <w:p>
      <w:pPr>
        <w:spacing w:line="240" w:lineRule="auto" w:before="0"/>
        <w:rPr>
          <w:rFonts w:ascii="Times New Roman" w:hAnsi="Times New Roman" w:cs="Times New Roman" w:eastAsia="Times New Roman" w:hint="default"/>
          <w:sz w:val="20"/>
          <w:szCs w:val="20"/>
        </w:rPr>
      </w:pPr>
      <w:r>
        <w:rPr/>
        <w:pict>
          <v:shape style="position:absolute;margin-left:364.036011pt;margin-top:72.47998pt;width:82.35pt;height:407.75pt;mso-position-horizontal-relative:page;mso-position-vertical-relative:page;z-index:-13295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0"/>
                      <w:szCs w:val="20"/>
                    </w:rPr>
                  </w:pPr>
                </w:p>
                <w:p>
                  <w:pPr>
                    <w:pStyle w:val="BodyText"/>
                    <w:spacing w:line="240" w:lineRule="auto"/>
                    <w:ind w:left="0" w:right="0"/>
                    <w:jc w:val="left"/>
                  </w:pPr>
                  <w:r>
                    <w:rPr/>
                    <w:t>具日后，</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562"/>
        <w:gridCol w:w="1417"/>
        <w:gridCol w:w="1277"/>
        <w:gridCol w:w="2977"/>
        <w:gridCol w:w="994"/>
        <w:gridCol w:w="1416"/>
        <w:gridCol w:w="854"/>
      </w:tblGrid>
      <w:tr>
        <w:trPr>
          <w:trHeight w:val="8164" w:hRule="exact"/>
        </w:trPr>
        <w:tc>
          <w:tcPr>
            <w:tcW w:w="1562"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4" w:right="20"/>
              <w:jc w:val="left"/>
              <w:rPr>
                <w:rFonts w:ascii="宋体" w:hAnsi="宋体" w:cs="宋体" w:eastAsia="宋体" w:hint="default"/>
                <w:sz w:val="18"/>
                <w:szCs w:val="18"/>
              </w:rPr>
            </w:pPr>
            <w:r>
              <w:rPr>
                <w:rFonts w:ascii="宋体" w:hAnsi="宋体" w:cs="宋体" w:eastAsia="宋体" w:hint="default"/>
                <w:sz w:val="18"/>
                <w:szCs w:val="18"/>
              </w:rPr>
              <w:t>证将依照《江苏润和软件股份有限公 司章程》的规定参加董事会、股东大 会，平等地行使相应权利，承担相应 义务，不利用董事或股东地位谋取不 正当利益，不利用关联交易非法转移 润和软件及其下属子公司（包括但不 限于联创智融）的资金、利润，保证 不损害润和软件及股东的合法权益。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、若违反上述声明和保证，本人将对</w:t>
            </w:r>
            <w:r>
              <w:rPr>
                <w:rFonts w:ascii="宋体" w:hAnsi="宋体" w:cs="宋体" w:eastAsia="宋体" w:hint="default"/>
                <w:sz w:val="18"/>
                <w:szCs w:val="18"/>
              </w:rPr>
              <w:t> 前述行为给润和软件造成的损失向润 和软件进行赔偿。二、关于规范资金 </w:t>
            </w:r>
            <w:r>
              <w:rPr>
                <w:rFonts w:ascii="宋体" w:hAnsi="宋体" w:cs="宋体" w:eastAsia="宋体" w:hint="default"/>
                <w:spacing w:val="-3"/>
                <w:sz w:val="18"/>
                <w:szCs w:val="18"/>
              </w:rPr>
              <w:t>占用行为的承诺：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、截至本承诺出具</w:t>
            </w:r>
            <w:r>
              <w:rPr>
                <w:rFonts w:ascii="宋体" w:hAnsi="宋体" w:cs="宋体" w:eastAsia="宋体" w:hint="default"/>
                <w:sz w:val="18"/>
                <w:szCs w:val="18"/>
              </w:rPr>
              <w:t> 之日，本人及本人对外投资（包括直 </w:t>
            </w:r>
            <w:r>
              <w:rPr>
                <w:rFonts w:ascii="宋体" w:hAnsi="宋体" w:cs="宋体" w:eastAsia="宋体" w:hint="default"/>
                <w:spacing w:val="-9"/>
                <w:sz w:val="18"/>
                <w:szCs w:val="18"/>
              </w:rPr>
              <w:t>接持股、间接持股或委托持股）、实际</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控制的企业与联创智融及其子公司之 间的非经营性资金往来已全部清理完 </w:t>
            </w:r>
            <w:r>
              <w:rPr>
                <w:rFonts w:ascii="宋体" w:hAnsi="宋体" w:cs="宋体" w:eastAsia="宋体" w:hint="default"/>
                <w:spacing w:val="-10"/>
                <w:sz w:val="18"/>
                <w:szCs w:val="18"/>
              </w:rPr>
              <w:t>毕，不存在纠纷。</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、本承诺出</w:t>
            </w:r>
            <w:r>
              <w:rPr>
                <w:rFonts w:ascii="宋体" w:hAnsi="宋体" w:cs="宋体" w:eastAsia="宋体" w:hint="default"/>
                <w:sz w:val="18"/>
                <w:szCs w:val="18"/>
              </w:rPr>
              <w:t> 本人及本人对外投资、实际控制的企 业不会利用本人的股东身份或职务便 利以借款、代偿债务、代垫款项或者 其他方式占用联创智融及其子公司之 </w:t>
            </w:r>
            <w:r>
              <w:rPr>
                <w:rFonts w:ascii="宋体" w:hAnsi="宋体" w:cs="宋体" w:eastAsia="宋体" w:hint="default"/>
                <w:spacing w:val="-3"/>
                <w:sz w:val="18"/>
                <w:szCs w:val="18"/>
              </w:rPr>
              <w:t>资金。</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、若未来联创智融因本次交易</w:t>
            </w:r>
            <w:r>
              <w:rPr>
                <w:rFonts w:ascii="宋体" w:hAnsi="宋体" w:cs="宋体" w:eastAsia="宋体" w:hint="default"/>
                <w:sz w:val="18"/>
                <w:szCs w:val="18"/>
              </w:rPr>
              <w:t> 完成前的资金占用情形或本人违反上 述承诺而受到有关主管部门处罚的， 本人将对联创智融遭受的全部损失予 以赔偿。</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8154"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2"/>
                <w:sz w:val="20"/>
                <w:szCs w:val="20"/>
              </w:rPr>
              <w:pict>
                <v:group style="width:49.1pt;height:407.75pt;mso-position-horizontal-relative:char;mso-position-vertical-relative:line" coordorigin="0,0" coordsize="982,8155">
                  <v:group style="position:absolute;left:0;top:0;width:982;height:8155" coordorigin="0,0" coordsize="982,8155">
                    <v:shape style="position:absolute;left:0;top:0;width:982;height:8155" coordorigin="0,0" coordsize="982,8155" path="m0,8154l982,8154,982,0,0,0,0,8154xe" filled="true" fillcolor="#ffffff" stroked="false">
                      <v:path arrowok="t"/>
                      <v:fill type="solid"/>
                    </v:shape>
                  </v:group>
                </v:group>
              </w:pict>
            </w:r>
            <w:r>
              <w:rPr>
                <w:rFonts w:ascii="Times New Roman" w:hAnsi="Times New Roman" w:cs="Times New Roman" w:eastAsia="Times New Roman" w:hint="default"/>
                <w:position w:val="-162"/>
                <w:sz w:val="20"/>
                <w:szCs w:val="20"/>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5667" w:hRule="exact"/>
        </w:trPr>
        <w:tc>
          <w:tcPr>
            <w:tcW w:w="1562"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宁波宏创股权投 </w:t>
            </w:r>
            <w:r>
              <w:rPr>
                <w:rFonts w:ascii="宋体" w:hAnsi="宋体" w:cs="宋体" w:eastAsia="宋体" w:hint="default"/>
                <w:spacing w:val="-10"/>
                <w:sz w:val="18"/>
                <w:szCs w:val="18"/>
              </w:rPr>
              <w:t>资合伙企业（有限</w:t>
            </w:r>
            <w:r>
              <w:rPr>
                <w:rFonts w:ascii="宋体" w:hAnsi="宋体" w:cs="宋体" w:eastAsia="宋体" w:hint="default"/>
                <w:sz w:val="18"/>
                <w:szCs w:val="18"/>
              </w:rPr>
              <w:t> 合伙）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一、保证润和软件及其下属公司、联 创智融及其下属公司的人员独立：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．保证本次交易完成后润和软件及其</w:t>
            </w:r>
            <w:r>
              <w:rPr>
                <w:rFonts w:ascii="宋体" w:hAnsi="宋体" w:cs="宋体" w:eastAsia="宋体" w:hint="default"/>
                <w:sz w:val="18"/>
                <w:szCs w:val="18"/>
              </w:rPr>
              <w:t> 下属公司、联创智融及其下属公司的 劳动、人事及薪酬管理与本企业及本 企业控制的其他公司或者其他经济组 </w:t>
            </w:r>
            <w:r>
              <w:rPr>
                <w:rFonts w:ascii="宋体" w:hAnsi="宋体" w:cs="宋体" w:eastAsia="宋体" w:hint="default"/>
                <w:spacing w:val="-3"/>
                <w:sz w:val="18"/>
                <w:szCs w:val="18"/>
              </w:rPr>
              <w:t>织等关联方之间完全独立。</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．保证本</w:t>
            </w:r>
            <w:r>
              <w:rPr>
                <w:rFonts w:ascii="宋体" w:hAnsi="宋体" w:cs="宋体" w:eastAsia="宋体" w:hint="default"/>
                <w:sz w:val="18"/>
                <w:szCs w:val="18"/>
              </w:rPr>
              <w:t> 次交易完成后润和软件及其下属公 司、联创智融及其下属公司的高级管 理人员均专职在润和软件及其下属公 司、联创智融及其下属公司任职并领 取薪酬，不在本企业及本企业控制的 其他公司、企业或者其他经济组织等 </w:t>
            </w:r>
            <w:r>
              <w:rPr>
                <w:rFonts w:ascii="宋体" w:hAnsi="宋体" w:cs="宋体" w:eastAsia="宋体" w:hint="default"/>
                <w:spacing w:val="-3"/>
                <w:sz w:val="18"/>
                <w:szCs w:val="18"/>
              </w:rPr>
              <w:t>关联方担任董事以外的职务。</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．保证</w:t>
            </w:r>
            <w:r>
              <w:rPr>
                <w:rFonts w:ascii="宋体" w:hAnsi="宋体" w:cs="宋体" w:eastAsia="宋体" w:hint="default"/>
                <w:sz w:val="18"/>
                <w:szCs w:val="18"/>
              </w:rPr>
              <w:t> 本次交易完成后不干预润和软件及其 下属公司、联创智融及其下属公司股 东（大）会、董事会行使职权进行人 事任免。二、保证润和软件及其下属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4" w:right="98"/>
              <w:jc w:val="both"/>
              <w:rPr>
                <w:rFonts w:ascii="宋体" w:hAnsi="宋体" w:cs="宋体" w:eastAsia="宋体" w:hint="default"/>
                <w:sz w:val="18"/>
                <w:szCs w:val="18"/>
              </w:rPr>
            </w:pPr>
            <w:r>
              <w:rPr>
                <w:rFonts w:ascii="宋体" w:hAnsi="宋体" w:cs="宋体" w:eastAsia="宋体" w:hint="default"/>
                <w:sz w:val="18"/>
                <w:szCs w:val="18"/>
              </w:rPr>
              <w:t>截至本报 告期末， 承诺人严 格履行承 诺，未出 现违反上 述承诺的 情况。</w:t>
            </w:r>
          </w:p>
        </w:tc>
      </w:tr>
    </w:tbl>
    <w:p>
      <w:pPr>
        <w:spacing w:after="0" w:line="316" w:lineRule="auto"/>
        <w:jc w:val="both"/>
        <w:rPr>
          <w:rFonts w:ascii="宋体" w:hAnsi="宋体" w:cs="宋体" w:eastAsia="宋体" w:hint="default"/>
          <w:sz w:val="18"/>
          <w:szCs w:val="18"/>
        </w:rPr>
        <w:sectPr>
          <w:pgSz w:w="11910" w:h="16840"/>
          <w:pgMar w:header="745" w:footer="979" w:top="1060" w:bottom="1160" w:left="60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562"/>
        <w:gridCol w:w="1417"/>
        <w:gridCol w:w="1277"/>
        <w:gridCol w:w="2977"/>
        <w:gridCol w:w="994"/>
        <w:gridCol w:w="1416"/>
        <w:gridCol w:w="852"/>
      </w:tblGrid>
      <w:tr>
        <w:trPr>
          <w:trHeight w:val="315" w:hRule="exact"/>
        </w:trPr>
        <w:tc>
          <w:tcPr>
            <w:tcW w:w="1562"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29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公司、联创智融及其下属公司的机构</w:t>
            </w:r>
          </w:p>
        </w:tc>
        <w:tc>
          <w:tcPr>
            <w:tcW w:w="994"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独立：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．保证本次交易完成后润和软</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件及其下属公司、联创智融及其下属</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公司构建健全的公司法人治理结构，</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拥有独立、完整的组织机构。</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．保证</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本次交易完成后润和软件及其下属公</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司、联创智融及其下属公司的股东</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（大）会、董事会、监事会等依照法</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律、法规及润和软件及其下属公司、</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联创智融及其下属公司公司章程的规</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定独立行使职权。三、保证润和软件</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及其下属公司、联创智融及其下属公</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司的资产独立、完整：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．保证本次交</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易完成后润和软件及其下属公司、联</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创智融及其下属公司拥有与生产经营</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有关的独立、完整的资产。</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．保证本</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次交易完成后润和软件及其下属公</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司、联创智融及其下属公司的经营场</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所独立于本企业及本企业控制的其他</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公司、企业或者其他经济组织等关联</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方。</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．除正常经营性往来外，保证本</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次交易完成后润和软件及其下属公</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司、联创智融及其下属公司不存在资</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金、资产被本企业及本企业控制的其</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他公司、企业或者其他经济组织等关</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联方占用的情形。四、保证润和软件</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及其下属公司、联创智融及其下属公</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司的业务独立：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．保证本次交易完成</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后润和软件及其下属公司、联创智融</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及其下属公司拥有独立开展经营活动</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的相关资质，具有面向市场的独立、</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自主、持续的经营能力。</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．保证本次</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交易完成后本企业及本企业控制的其</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他公司、企业或者其他经济组织等关</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联方避免从事与润和软件及其下属公</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司、联创智融及其下属公司及其控制</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的其他公司、企业或者其他经济组织</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具有竞争关系的业务。</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．保证本次交</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易完成后本企业及本企业控制的其他</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公司、企业或者其他经济组织等关联</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方减少与润和软件及其下属公司、联</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创智融及其下属公司及其控制的其他</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公司、企业或者其他经济组织的关联</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9" w:hRule="exact"/>
        </w:trPr>
        <w:tc>
          <w:tcPr>
            <w:tcW w:w="1562"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29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交易；对于确有必要且无法避免的关</w:t>
            </w:r>
          </w:p>
        </w:tc>
        <w:tc>
          <w:tcPr>
            <w:tcW w:w="994"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60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562"/>
        <w:gridCol w:w="1417"/>
        <w:gridCol w:w="1277"/>
        <w:gridCol w:w="2977"/>
        <w:gridCol w:w="994"/>
        <w:gridCol w:w="1416"/>
        <w:gridCol w:w="852"/>
      </w:tblGrid>
      <w:tr>
        <w:trPr>
          <w:trHeight w:val="8476" w:hRule="exact"/>
        </w:trPr>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4" w:right="20"/>
              <w:jc w:val="left"/>
              <w:rPr>
                <w:rFonts w:ascii="宋体" w:hAnsi="宋体" w:cs="宋体" w:eastAsia="宋体" w:hint="default"/>
                <w:sz w:val="18"/>
                <w:szCs w:val="18"/>
              </w:rPr>
            </w:pPr>
            <w:r>
              <w:rPr>
                <w:rFonts w:ascii="宋体" w:hAnsi="宋体" w:cs="宋体" w:eastAsia="宋体" w:hint="default"/>
                <w:sz w:val="18"/>
                <w:szCs w:val="18"/>
              </w:rPr>
              <w:t>联交易，保证按市场原则和公允价格 进行公平操作，并按相关法律、法规 及规范性文件的规定履行相关审批程 序及信息披露义务。五、保证润和软 件及其下属公司、联创智融及其下属 </w:t>
            </w:r>
            <w:r>
              <w:rPr>
                <w:rFonts w:ascii="宋体" w:hAnsi="宋体" w:cs="宋体" w:eastAsia="宋体" w:hint="default"/>
                <w:spacing w:val="-3"/>
                <w:sz w:val="18"/>
                <w:szCs w:val="18"/>
              </w:rPr>
              <w:t>公司的财务独立：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．保证润和软件及</w:t>
            </w:r>
            <w:r>
              <w:rPr>
                <w:rFonts w:ascii="宋体" w:hAnsi="宋体" w:cs="宋体" w:eastAsia="宋体" w:hint="default"/>
                <w:sz w:val="18"/>
                <w:szCs w:val="18"/>
              </w:rPr>
              <w:t> 其下属公司、联创智融及其下属公司 本次交易完成后分别具备独立的财务 部门以及独立的财务核算体系，具有 </w:t>
            </w:r>
            <w:r>
              <w:rPr>
                <w:rFonts w:ascii="宋体" w:hAnsi="宋体" w:cs="宋体" w:eastAsia="宋体" w:hint="default"/>
                <w:spacing w:val="-3"/>
                <w:sz w:val="18"/>
                <w:szCs w:val="18"/>
              </w:rPr>
              <w:t>规范、独立的财务会计制度。</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．保证</w:t>
            </w:r>
            <w:r>
              <w:rPr>
                <w:rFonts w:ascii="宋体" w:hAnsi="宋体" w:cs="宋体" w:eastAsia="宋体" w:hint="default"/>
                <w:sz w:val="18"/>
                <w:szCs w:val="18"/>
              </w:rPr>
              <w:t> 润和软件及其下属公司、联创智融及 其下属公司本次交易完成后独立在银 行开户，不与本企业及本企业控制的 其他公司、企业或者其他经济组织等 </w:t>
            </w:r>
            <w:r>
              <w:rPr>
                <w:rFonts w:ascii="宋体" w:hAnsi="宋体" w:cs="宋体" w:eastAsia="宋体" w:hint="default"/>
                <w:spacing w:val="-3"/>
                <w:sz w:val="18"/>
                <w:szCs w:val="18"/>
              </w:rPr>
              <w:t>关联方共用银行账户。</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．保证本次交</w:t>
            </w:r>
            <w:r>
              <w:rPr>
                <w:rFonts w:ascii="宋体" w:hAnsi="宋体" w:cs="宋体" w:eastAsia="宋体" w:hint="default"/>
                <w:sz w:val="18"/>
                <w:szCs w:val="18"/>
              </w:rPr>
              <w:t> 易完成后润和软件及其下属公司、联 创智融及其下属公司的财务人员不在 本企业及本企业控制的其他公司、企 业或者其他经济组织等关联方兼职。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．保证本次交易完成后润和软件及其</w:t>
            </w:r>
            <w:r>
              <w:rPr>
                <w:rFonts w:ascii="宋体" w:hAnsi="宋体" w:cs="宋体" w:eastAsia="宋体" w:hint="default"/>
                <w:sz w:val="18"/>
                <w:szCs w:val="18"/>
              </w:rPr>
              <w:t> 下属公司、联创智融及其下属公司能 够独立做出财务决策，本企业不干预 润和软件及其下属公司、联创智融及 </w:t>
            </w:r>
            <w:r>
              <w:rPr>
                <w:rFonts w:ascii="宋体" w:hAnsi="宋体" w:cs="宋体" w:eastAsia="宋体" w:hint="default"/>
                <w:spacing w:val="-3"/>
                <w:sz w:val="18"/>
                <w:szCs w:val="18"/>
              </w:rPr>
              <w:t>其下属公司的资金使用。</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．保证本次</w:t>
            </w:r>
            <w:r>
              <w:rPr>
                <w:rFonts w:ascii="宋体" w:hAnsi="宋体" w:cs="宋体" w:eastAsia="宋体" w:hint="default"/>
                <w:sz w:val="18"/>
                <w:szCs w:val="18"/>
              </w:rPr>
              <w:t> 交易完成后润和软件及其下属公司、 联创智融及其下属公司依法独立纳 税。</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5355" w:hRule="exact"/>
        </w:trPr>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4" w:lineRule="auto"/>
              <w:ind w:left="25" w:right="84"/>
              <w:jc w:val="left"/>
              <w:rPr>
                <w:rFonts w:ascii="宋体" w:hAnsi="宋体" w:cs="宋体" w:eastAsia="宋体" w:hint="default"/>
                <w:sz w:val="18"/>
                <w:szCs w:val="18"/>
              </w:rPr>
            </w:pPr>
            <w:r>
              <w:rPr>
                <w:rFonts w:ascii="宋体" w:hAnsi="宋体" w:cs="宋体" w:eastAsia="宋体" w:hint="default"/>
                <w:sz w:val="18"/>
                <w:szCs w:val="18"/>
              </w:rPr>
              <w:t>首次公开发行或再 融资时所作承诺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周红卫、姚宁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关于避免同业 </w:t>
            </w:r>
            <w:r>
              <w:rPr>
                <w:rFonts w:ascii="宋体" w:hAnsi="宋体" w:cs="宋体" w:eastAsia="宋体" w:hint="default"/>
                <w:spacing w:val="-6"/>
                <w:sz w:val="18"/>
                <w:szCs w:val="18"/>
              </w:rPr>
              <w:t>竞争、避免和减</w:t>
            </w:r>
            <w:r>
              <w:rPr>
                <w:rFonts w:ascii="宋体" w:hAnsi="宋体" w:cs="宋体" w:eastAsia="宋体" w:hint="default"/>
                <w:sz w:val="18"/>
                <w:szCs w:val="18"/>
              </w:rPr>
              <w:t> 少关联交易的 承诺</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避免同业竞争：</w:t>
            </w:r>
            <w:r>
              <w:rPr>
                <w:rFonts w:ascii="Times New Roman" w:hAnsi="Times New Roman" w:cs="Times New Roman" w:eastAsia="Times New Roman" w:hint="default"/>
                <w:sz w:val="18"/>
                <w:szCs w:val="18"/>
              </w:rPr>
              <w:t>1</w:t>
            </w:r>
            <w:r>
              <w:rPr>
                <w:rFonts w:ascii="宋体" w:hAnsi="宋体" w:cs="宋体" w:eastAsia="宋体" w:hint="default"/>
                <w:sz w:val="18"/>
                <w:szCs w:val="18"/>
              </w:rPr>
              <w:t>、作为公司的实</w:t>
            </w:r>
            <w:r>
              <w:rPr>
                <w:rFonts w:ascii="宋体" w:hAnsi="宋体" w:cs="宋体" w:eastAsia="宋体" w:hint="default"/>
                <w:w w:val="99"/>
                <w:sz w:val="18"/>
                <w:szCs w:val="18"/>
              </w:rPr>
              <w:t> </w:t>
            </w:r>
            <w:r>
              <w:rPr>
                <w:rFonts w:ascii="宋体" w:hAnsi="宋体" w:cs="宋体" w:eastAsia="宋体" w:hint="default"/>
                <w:sz w:val="18"/>
                <w:szCs w:val="18"/>
              </w:rPr>
              <w:t>际控制人，周红卫和姚宁及周红卫和</w:t>
            </w:r>
            <w:r>
              <w:rPr>
                <w:rFonts w:ascii="宋体" w:hAnsi="宋体" w:cs="宋体" w:eastAsia="宋体" w:hint="default"/>
                <w:w w:val="99"/>
                <w:sz w:val="18"/>
                <w:szCs w:val="18"/>
              </w:rPr>
              <w:t> </w:t>
            </w:r>
            <w:r>
              <w:rPr>
                <w:rFonts w:ascii="宋体" w:hAnsi="宋体" w:cs="宋体" w:eastAsia="宋体" w:hint="default"/>
                <w:sz w:val="18"/>
                <w:szCs w:val="18"/>
              </w:rPr>
              <w:t>姚宁控股和实际控制下的其他企业目</w:t>
            </w:r>
            <w:r>
              <w:rPr>
                <w:rFonts w:ascii="宋体" w:hAnsi="宋体" w:cs="宋体" w:eastAsia="宋体" w:hint="default"/>
                <w:w w:val="99"/>
                <w:sz w:val="18"/>
                <w:szCs w:val="18"/>
              </w:rPr>
              <w:t> </w:t>
            </w:r>
            <w:r>
              <w:rPr>
                <w:rFonts w:ascii="宋体" w:hAnsi="宋体" w:cs="宋体" w:eastAsia="宋体" w:hint="default"/>
                <w:sz w:val="18"/>
                <w:szCs w:val="18"/>
              </w:rPr>
              <w:t>前未从事与公司相竞争的业务。周红</w:t>
            </w:r>
            <w:r>
              <w:rPr>
                <w:rFonts w:ascii="宋体" w:hAnsi="宋体" w:cs="宋体" w:eastAsia="宋体" w:hint="default"/>
                <w:w w:val="99"/>
                <w:sz w:val="18"/>
                <w:szCs w:val="18"/>
              </w:rPr>
              <w:t> </w:t>
            </w:r>
            <w:r>
              <w:rPr>
                <w:rFonts w:ascii="宋体" w:hAnsi="宋体" w:cs="宋体" w:eastAsia="宋体" w:hint="default"/>
                <w:sz w:val="18"/>
                <w:szCs w:val="18"/>
              </w:rPr>
              <w:t>卫和姚宁将对其他控股、实际控制的</w:t>
            </w:r>
            <w:r>
              <w:rPr>
                <w:rFonts w:ascii="宋体" w:hAnsi="宋体" w:cs="宋体" w:eastAsia="宋体" w:hint="default"/>
                <w:w w:val="99"/>
                <w:sz w:val="18"/>
                <w:szCs w:val="18"/>
              </w:rPr>
              <w:t> </w:t>
            </w:r>
            <w:r>
              <w:rPr>
                <w:rFonts w:ascii="宋体" w:hAnsi="宋体" w:cs="宋体" w:eastAsia="宋体" w:hint="default"/>
                <w:sz w:val="18"/>
                <w:szCs w:val="18"/>
              </w:rPr>
              <w:t>企业按本协议进行监督，并行使必要</w:t>
            </w:r>
            <w:r>
              <w:rPr>
                <w:rFonts w:ascii="宋体" w:hAnsi="宋体" w:cs="宋体" w:eastAsia="宋体" w:hint="default"/>
                <w:w w:val="99"/>
                <w:sz w:val="18"/>
                <w:szCs w:val="18"/>
              </w:rPr>
              <w:t> </w:t>
            </w:r>
            <w:r>
              <w:rPr>
                <w:rFonts w:ascii="宋体" w:hAnsi="宋体" w:cs="宋体" w:eastAsia="宋体" w:hint="default"/>
                <w:sz w:val="18"/>
                <w:szCs w:val="18"/>
              </w:rPr>
              <w:t>的权力，促使其遵守本协议。周红卫</w:t>
            </w:r>
            <w:r>
              <w:rPr>
                <w:rFonts w:ascii="宋体" w:hAnsi="宋体" w:cs="宋体" w:eastAsia="宋体" w:hint="default"/>
                <w:w w:val="99"/>
                <w:sz w:val="18"/>
                <w:szCs w:val="18"/>
              </w:rPr>
              <w:t> </w:t>
            </w:r>
            <w:r>
              <w:rPr>
                <w:rFonts w:ascii="宋体" w:hAnsi="宋体" w:cs="宋体" w:eastAsia="宋体" w:hint="default"/>
                <w:sz w:val="18"/>
                <w:szCs w:val="18"/>
              </w:rPr>
              <w:t>和姚宁保证周红卫和姚宁及其控股和</w:t>
            </w:r>
            <w:r>
              <w:rPr>
                <w:rFonts w:ascii="宋体" w:hAnsi="宋体" w:cs="宋体" w:eastAsia="宋体" w:hint="default"/>
                <w:w w:val="99"/>
                <w:sz w:val="18"/>
                <w:szCs w:val="18"/>
              </w:rPr>
              <w:t> </w:t>
            </w:r>
            <w:r>
              <w:rPr>
                <w:rFonts w:ascii="宋体" w:hAnsi="宋体" w:cs="宋体" w:eastAsia="宋体" w:hint="default"/>
                <w:sz w:val="18"/>
                <w:szCs w:val="18"/>
              </w:rPr>
              <w:t>实际控制的其他企业不会以任何形式</w:t>
            </w:r>
            <w:r>
              <w:rPr>
                <w:rFonts w:ascii="宋体" w:hAnsi="宋体" w:cs="宋体" w:eastAsia="宋体" w:hint="default"/>
                <w:w w:val="99"/>
                <w:sz w:val="18"/>
                <w:szCs w:val="18"/>
              </w:rPr>
              <w:t> </w:t>
            </w:r>
            <w:r>
              <w:rPr>
                <w:rFonts w:ascii="宋体" w:hAnsi="宋体" w:cs="宋体" w:eastAsia="宋体" w:hint="default"/>
                <w:sz w:val="18"/>
                <w:szCs w:val="18"/>
              </w:rPr>
              <w:t>直接或间接地从事与公司相同或相似</w:t>
            </w:r>
            <w:r>
              <w:rPr>
                <w:rFonts w:ascii="宋体" w:hAnsi="宋体" w:cs="宋体" w:eastAsia="宋体" w:hint="default"/>
                <w:w w:val="99"/>
                <w:sz w:val="18"/>
                <w:szCs w:val="18"/>
              </w:rPr>
              <w:t> </w:t>
            </w:r>
            <w:r>
              <w:rPr>
                <w:rFonts w:ascii="宋体" w:hAnsi="宋体" w:cs="宋体" w:eastAsia="宋体" w:hint="default"/>
                <w:spacing w:val="-3"/>
                <w:sz w:val="18"/>
                <w:szCs w:val="18"/>
              </w:rPr>
              <w:t>的业务。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、在公司审议是否与周红卫</w:t>
            </w:r>
            <w:r>
              <w:rPr>
                <w:rFonts w:ascii="宋体" w:hAnsi="宋体" w:cs="宋体" w:eastAsia="宋体" w:hint="default"/>
                <w:w w:val="99"/>
                <w:sz w:val="18"/>
                <w:szCs w:val="18"/>
              </w:rPr>
              <w:t> </w:t>
            </w:r>
            <w:r>
              <w:rPr>
                <w:rFonts w:ascii="宋体" w:hAnsi="宋体" w:cs="宋体" w:eastAsia="宋体" w:hint="default"/>
                <w:sz w:val="18"/>
                <w:szCs w:val="18"/>
              </w:rPr>
              <w:t>和姚宁存在同业竞争的董事会或股东</w:t>
            </w:r>
            <w:r>
              <w:rPr>
                <w:rFonts w:ascii="宋体" w:hAnsi="宋体" w:cs="宋体" w:eastAsia="宋体" w:hint="default"/>
                <w:w w:val="99"/>
                <w:sz w:val="18"/>
                <w:szCs w:val="18"/>
              </w:rPr>
              <w:t> </w:t>
            </w:r>
            <w:r>
              <w:rPr>
                <w:rFonts w:ascii="宋体" w:hAnsi="宋体" w:cs="宋体" w:eastAsia="宋体" w:hint="default"/>
                <w:sz w:val="18"/>
                <w:szCs w:val="18"/>
              </w:rPr>
              <w:t>大会上，周红卫和姚宁将按规定进行</w:t>
            </w:r>
            <w:r>
              <w:rPr>
                <w:rFonts w:ascii="宋体" w:hAnsi="宋体" w:cs="宋体" w:eastAsia="宋体" w:hint="default"/>
                <w:w w:val="99"/>
                <w:sz w:val="18"/>
                <w:szCs w:val="18"/>
              </w:rPr>
              <w:t> </w:t>
            </w:r>
            <w:r>
              <w:rPr>
                <w:rFonts w:ascii="宋体" w:hAnsi="宋体" w:cs="宋体" w:eastAsia="宋体" w:hint="default"/>
                <w:sz w:val="18"/>
                <w:szCs w:val="18"/>
              </w:rPr>
              <w:t>回避，不参与表决。如公司认定周红</w:t>
            </w:r>
            <w:r>
              <w:rPr>
                <w:rFonts w:ascii="宋体" w:hAnsi="宋体" w:cs="宋体" w:eastAsia="宋体" w:hint="default"/>
                <w:w w:val="99"/>
                <w:sz w:val="18"/>
                <w:szCs w:val="18"/>
              </w:rPr>
              <w:t> </w:t>
            </w:r>
            <w:r>
              <w:rPr>
                <w:rFonts w:ascii="宋体" w:hAnsi="宋体" w:cs="宋体" w:eastAsia="宋体" w:hint="default"/>
                <w:sz w:val="18"/>
                <w:szCs w:val="18"/>
              </w:rPr>
              <w:t>卫和姚宁或其控股、实际控制的其他</w:t>
            </w:r>
            <w:r>
              <w:rPr>
                <w:rFonts w:ascii="宋体" w:hAnsi="宋体" w:cs="宋体" w:eastAsia="宋体" w:hint="default"/>
                <w:w w:val="99"/>
                <w:sz w:val="18"/>
                <w:szCs w:val="18"/>
              </w:rPr>
              <w:t> </w:t>
            </w:r>
            <w:r>
              <w:rPr>
                <w:rFonts w:ascii="宋体" w:hAnsi="宋体" w:cs="宋体" w:eastAsia="宋体" w:hint="default"/>
                <w:sz w:val="18"/>
                <w:szCs w:val="18"/>
              </w:rPr>
              <w:t>企业正在或将要从事的业务与公司存</w:t>
            </w:r>
            <w:r>
              <w:rPr>
                <w:rFonts w:ascii="宋体" w:hAnsi="宋体" w:cs="宋体" w:eastAsia="宋体" w:hint="default"/>
                <w:w w:val="99"/>
                <w:sz w:val="18"/>
                <w:szCs w:val="18"/>
              </w:rPr>
              <w:t> </w:t>
            </w:r>
            <w:r>
              <w:rPr>
                <w:rFonts w:ascii="宋体" w:hAnsi="宋体" w:cs="宋体" w:eastAsia="宋体" w:hint="default"/>
                <w:sz w:val="18"/>
                <w:szCs w:val="18"/>
              </w:rPr>
              <w:t>在同业竞争，则周红卫和姚宁将在公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4" w:right="96"/>
              <w:jc w:val="both"/>
              <w:rPr>
                <w:rFonts w:ascii="宋体" w:hAnsi="宋体" w:cs="宋体" w:eastAsia="宋体" w:hint="default"/>
                <w:sz w:val="18"/>
                <w:szCs w:val="18"/>
              </w:rPr>
            </w:pPr>
            <w:r>
              <w:rPr>
                <w:rFonts w:ascii="宋体" w:hAnsi="宋体" w:cs="宋体" w:eastAsia="宋体" w:hint="default"/>
                <w:sz w:val="18"/>
                <w:szCs w:val="18"/>
              </w:rPr>
              <w:t>截至本报 告期末， 承诺人严 格履行承 诺，未出 现违反上 述承诺的 情况。</w:t>
            </w:r>
          </w:p>
        </w:tc>
      </w:tr>
    </w:tbl>
    <w:p>
      <w:pPr>
        <w:spacing w:after="0" w:line="316" w:lineRule="auto"/>
        <w:jc w:val="both"/>
        <w:rPr>
          <w:rFonts w:ascii="宋体" w:hAnsi="宋体" w:cs="宋体" w:eastAsia="宋体" w:hint="default"/>
          <w:sz w:val="18"/>
          <w:szCs w:val="18"/>
        </w:rPr>
        <w:sectPr>
          <w:pgSz w:w="11910" w:h="16840"/>
          <w:pgMar w:header="745" w:footer="979" w:top="1060" w:bottom="1160" w:left="60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562"/>
        <w:gridCol w:w="1417"/>
        <w:gridCol w:w="1277"/>
        <w:gridCol w:w="2977"/>
        <w:gridCol w:w="994"/>
        <w:gridCol w:w="1416"/>
        <w:gridCol w:w="854"/>
      </w:tblGrid>
      <w:tr>
        <w:trPr>
          <w:trHeight w:val="6915" w:hRule="exact"/>
        </w:trPr>
        <w:tc>
          <w:tcPr>
            <w:tcW w:w="1562"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1"/>
              <w:jc w:val="left"/>
              <w:rPr>
                <w:rFonts w:ascii="宋体" w:hAnsi="宋体" w:cs="宋体" w:eastAsia="宋体" w:hint="default"/>
                <w:sz w:val="18"/>
                <w:szCs w:val="18"/>
              </w:rPr>
            </w:pPr>
            <w:r>
              <w:rPr>
                <w:rFonts w:ascii="宋体" w:hAnsi="宋体" w:cs="宋体" w:eastAsia="宋体" w:hint="default"/>
                <w:sz w:val="18"/>
                <w:szCs w:val="18"/>
              </w:rPr>
              <w:t>司提出异议后自行或要求相关企业及 时转让或终止上述业务或以获得周红 卫和姚宁及证券监管部门共同认可的 其他方式对上述业务进行处理；如公 司进一步提出受让请求，则周红卫和 姚宁应无条件按有证券从业资格的中 介机构审计或评估后的公允价格将上 </w:t>
            </w:r>
            <w:r>
              <w:rPr>
                <w:rFonts w:ascii="宋体" w:hAnsi="宋体" w:cs="宋体" w:eastAsia="宋体" w:hint="default"/>
                <w:spacing w:val="-5"/>
                <w:sz w:val="18"/>
                <w:szCs w:val="18"/>
              </w:rPr>
              <w:t>述业务和资产优先转让给公司。</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、周</w:t>
            </w:r>
            <w:r>
              <w:rPr>
                <w:rFonts w:ascii="宋体" w:hAnsi="宋体" w:cs="宋体" w:eastAsia="宋体" w:hint="default"/>
                <w:spacing w:val="-76"/>
                <w:sz w:val="18"/>
                <w:szCs w:val="18"/>
              </w:rPr>
              <w:t> </w:t>
            </w:r>
            <w:r>
              <w:rPr>
                <w:rFonts w:ascii="宋体" w:hAnsi="宋体" w:cs="宋体" w:eastAsia="宋体" w:hint="default"/>
                <w:sz w:val="18"/>
                <w:szCs w:val="18"/>
              </w:rPr>
              <w:t>红卫和姚宁保证严格遵守中国证监</w:t>
            </w:r>
            <w:r>
              <w:rPr>
                <w:rFonts w:ascii="宋体" w:hAnsi="宋体" w:cs="宋体" w:eastAsia="宋体" w:hint="default"/>
                <w:sz w:val="18"/>
                <w:szCs w:val="18"/>
              </w:rPr>
              <w:t> 会、证券交易所有关规章及公司《公 司章程》的规定，与其他股东一样平 等的行使股东权利、履行股东义务， 不利用大股东的地位谋取不当利益， 不损害公司和其他股东的合法权益。</w:t>
            </w:r>
          </w:p>
          <w:p>
            <w:pPr>
              <w:pStyle w:val="TableParagraph"/>
              <w:spacing w:line="316" w:lineRule="auto" w:before="19"/>
              <w:ind w:left="24" w:right="20"/>
              <w:jc w:val="both"/>
              <w:rPr>
                <w:rFonts w:ascii="宋体" w:hAnsi="宋体" w:cs="宋体" w:eastAsia="宋体" w:hint="default"/>
                <w:sz w:val="18"/>
                <w:szCs w:val="18"/>
              </w:rPr>
            </w:pPr>
            <w:r>
              <w:rPr>
                <w:rFonts w:ascii="宋体" w:hAnsi="宋体" w:cs="宋体" w:eastAsia="宋体" w:hint="default"/>
                <w:sz w:val="18"/>
                <w:szCs w:val="18"/>
              </w:rPr>
              <w:t>（二）避免和减少关联交易：公司实 际控制人周红卫和姚宁出具了《关于 </w:t>
            </w:r>
            <w:r>
              <w:rPr>
                <w:rFonts w:ascii="宋体" w:hAnsi="宋体" w:cs="宋体" w:eastAsia="宋体" w:hint="default"/>
                <w:spacing w:val="-9"/>
                <w:sz w:val="18"/>
                <w:szCs w:val="18"/>
              </w:rPr>
              <w:t>避免和减少关联交易的承诺书》，承诺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将尽可能避免和减少与公司之间的关 联交易。若有关的关联交易为公司日 常经营所必须或者无法避免，承诺方 保证该等关联交易所列之交易条件公 允，不损害公司及股东利益。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6915" w:hRule="exact"/>
        </w:trPr>
        <w:tc>
          <w:tcPr>
            <w:tcW w:w="1562"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润和投资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23" w:right="22"/>
              <w:jc w:val="left"/>
              <w:rPr>
                <w:rFonts w:ascii="宋体" w:hAnsi="宋体" w:cs="宋体" w:eastAsia="宋体" w:hint="default"/>
                <w:sz w:val="18"/>
                <w:szCs w:val="18"/>
              </w:rPr>
            </w:pPr>
            <w:r>
              <w:rPr>
                <w:rFonts w:ascii="宋体" w:hAnsi="宋体" w:cs="宋体" w:eastAsia="宋体" w:hint="default"/>
                <w:sz w:val="18"/>
                <w:szCs w:val="18"/>
              </w:rPr>
              <w:t>关于避免同业 </w:t>
            </w:r>
            <w:r>
              <w:rPr>
                <w:rFonts w:ascii="宋体" w:hAnsi="宋体" w:cs="宋体" w:eastAsia="宋体" w:hint="default"/>
                <w:spacing w:val="-6"/>
                <w:sz w:val="18"/>
                <w:szCs w:val="18"/>
              </w:rPr>
              <w:t>竞争、避免和减</w:t>
            </w:r>
            <w:r>
              <w:rPr>
                <w:rFonts w:ascii="宋体" w:hAnsi="宋体" w:cs="宋体" w:eastAsia="宋体" w:hint="default"/>
                <w:sz w:val="18"/>
                <w:szCs w:val="18"/>
              </w:rPr>
              <w:t> 少关联交易的 承诺</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3"/>
                <w:sz w:val="18"/>
                <w:szCs w:val="18"/>
              </w:rPr>
              <w:t>（一）避免同业竞争：</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、作为公司的</w:t>
            </w:r>
            <w:r>
              <w:rPr>
                <w:rFonts w:ascii="宋体" w:hAnsi="宋体" w:cs="宋体" w:eastAsia="宋体" w:hint="default"/>
                <w:sz w:val="18"/>
                <w:szCs w:val="18"/>
              </w:rPr>
              <w:t> </w:t>
            </w:r>
            <w:r>
              <w:rPr>
                <w:rFonts w:ascii="宋体" w:hAnsi="宋体" w:cs="宋体" w:eastAsia="宋体" w:hint="default"/>
                <w:spacing w:val="-4"/>
                <w:sz w:val="18"/>
                <w:szCs w:val="18"/>
              </w:rPr>
              <w:t>控股股东，润和投资及控股实</w:t>
            </w:r>
            <w:r>
              <w:rPr>
                <w:rFonts w:ascii="宋体" w:hAnsi="宋体" w:cs="宋体" w:eastAsia="宋体" w:hint="default"/>
                <w:spacing w:val="1"/>
                <w:sz w:val="18"/>
                <w:szCs w:val="18"/>
              </w:rPr>
              <w:t> </w:t>
            </w:r>
            <w:r>
              <w:rPr>
                <w:rFonts w:ascii="宋体" w:hAnsi="宋体" w:cs="宋体" w:eastAsia="宋体" w:hint="default"/>
                <w:sz w:val="18"/>
                <w:szCs w:val="18"/>
              </w:rPr>
              <w:t>际控制</w:t>
            </w:r>
            <w:r>
              <w:rPr>
                <w:rFonts w:ascii="宋体" w:hAnsi="宋体" w:cs="宋体" w:eastAsia="宋体" w:hint="default"/>
                <w:sz w:val="18"/>
                <w:szCs w:val="18"/>
              </w:rPr>
              <w:t> 下的其他企业目前未从事与公司相竞 争的业务。润和投资将对其他控股、 实际控制的企业按本协议进行监督， 并行使必要的权力促使其遵守本协 议。润和投资保证润和投资及其控股 和实际控制的其他企业不会以任何形 式直接或间接地从事与公司相同或相 </w:t>
            </w:r>
            <w:r>
              <w:rPr>
                <w:rFonts w:ascii="宋体" w:hAnsi="宋体" w:cs="宋体" w:eastAsia="宋体" w:hint="default"/>
                <w:spacing w:val="-3"/>
                <w:sz w:val="18"/>
                <w:szCs w:val="18"/>
              </w:rPr>
              <w:t>似的业务。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、在公司审议是否与润和</w:t>
            </w:r>
            <w:r>
              <w:rPr>
                <w:rFonts w:ascii="宋体" w:hAnsi="宋体" w:cs="宋体" w:eastAsia="宋体" w:hint="default"/>
                <w:sz w:val="18"/>
                <w:szCs w:val="18"/>
              </w:rPr>
              <w:t> 投资存在同业竞争的董事会或股东大 会上，润和投资将按规定进行回避， 不参与表决。如公司认定润和投资或 其控股、实际控制的其他企业正在或 将要从事的业务与公司存在同业竞 争，则润和投资将在公司提出异议后 自行或要求相关企业及时转让或终止 上述业务或以获得润和投资及证券监 管部门共同认可的其他方式对上述业 务进行处理；如公司进一步提出受让 请求，则润和投资应无条件按有证券 从业资格的中介机构审计或评估后的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24" w:right="98"/>
              <w:jc w:val="both"/>
              <w:rPr>
                <w:rFonts w:ascii="宋体" w:hAnsi="宋体" w:cs="宋体" w:eastAsia="宋体" w:hint="default"/>
                <w:sz w:val="18"/>
                <w:szCs w:val="18"/>
              </w:rPr>
            </w:pPr>
            <w:r>
              <w:rPr>
                <w:rFonts w:ascii="宋体" w:hAnsi="宋体" w:cs="宋体" w:eastAsia="宋体" w:hint="default"/>
                <w:sz w:val="18"/>
                <w:szCs w:val="18"/>
              </w:rPr>
              <w:t>截至本报 告期末， 承诺人严 格履行承 诺，未出 现违反上 述承诺的 情况。</w:t>
            </w:r>
          </w:p>
        </w:tc>
      </w:tr>
    </w:tbl>
    <w:p>
      <w:pPr>
        <w:spacing w:after="0" w:line="316" w:lineRule="auto"/>
        <w:jc w:val="both"/>
        <w:rPr>
          <w:rFonts w:ascii="宋体" w:hAnsi="宋体" w:cs="宋体" w:eastAsia="宋体" w:hint="default"/>
          <w:sz w:val="18"/>
          <w:szCs w:val="18"/>
        </w:rPr>
        <w:sectPr>
          <w:pgSz w:w="11910" w:h="16840"/>
          <w:pgMar w:header="745" w:footer="979" w:top="1060" w:bottom="1160" w:left="600" w:right="0"/>
        </w:sectPr>
      </w:pPr>
    </w:p>
    <w:p>
      <w:pPr>
        <w:spacing w:line="240" w:lineRule="auto" w:before="0"/>
        <w:rPr>
          <w:rFonts w:ascii="Times New Roman" w:hAnsi="Times New Roman" w:cs="Times New Roman" w:eastAsia="Times New Roman" w:hint="default"/>
          <w:sz w:val="20"/>
          <w:szCs w:val="20"/>
        </w:rPr>
      </w:pPr>
      <w:r>
        <w:rPr/>
        <w:pict>
          <v:shape style="position:absolute;margin-left:274.010010pt;margin-top:469.509979pt;width:172.4pt;height:128.9pt;mso-position-horizontal-relative:page;mso-position-vertical-relative:page;z-index:-13295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2"/>
                      <w:szCs w:val="22"/>
                    </w:rPr>
                  </w:pPr>
                </w:p>
                <w:p>
                  <w:pPr>
                    <w:pStyle w:val="BodyText"/>
                    <w:spacing w:line="240" w:lineRule="auto"/>
                    <w:ind w:left="0" w:right="0"/>
                    <w:jc w:val="left"/>
                  </w:pPr>
                  <w:r>
                    <w:rPr/>
                    <w:t>不越权干预公司经营管理活动，</w:t>
                  </w:r>
                </w:p>
              </w:txbxContent>
            </v:textbox>
            <w10:wrap type="none"/>
          </v:shape>
        </w:pict>
      </w:r>
      <w:r>
        <w:rPr/>
        <w:pict>
          <v:group style="position:absolute;margin-left:397.299988pt;margin-top:469.509979pt;width:49.1pt;height:128.9pt;mso-position-horizontal-relative:page;mso-position-vertical-relative:page;z-index:-1329544" coordorigin="7946,9390" coordsize="982,2578">
            <v:group style="position:absolute;left:7946;top:9390;width:982;height:2578" coordorigin="7946,9390" coordsize="982,2578">
              <v:shape style="position:absolute;left:7946;top:9390;width:982;height:2578" coordorigin="7946,9390" coordsize="982,2578" path="m7946,11968l8928,11968,8928,9390,7946,9390,7946,11968xe" filled="true" fillcolor="#ffffff" stroked="false">
                <v:path arrowok="t"/>
                <v:fill type="solid"/>
              </v:shape>
            </v:group>
            <v:group style="position:absolute;left:7968;top:10326;width:939;height:353" coordorigin="7968,10326" coordsize="939,353">
              <v:shape style="position:absolute;left:7968;top:10326;width:939;height:353" coordorigin="7968,10326" coordsize="939,353" path="m7968,10679l8906,10679,8906,10326,7968,10326,7968,10679xe" filled="true" fillcolor="#ffffff" stroked="false">
                <v:path arrowok="t"/>
                <v:fill type="solid"/>
              </v:shape>
            </v:group>
            <v:group style="position:absolute;left:7968;top:10679;width:939;height:353" coordorigin="7968,10679" coordsize="939,353">
              <v:shape style="position:absolute;left:7968;top:10679;width:939;height:353" coordorigin="7968,10679" coordsize="939,353" path="m7968,11032l8906,11032,8906,10679,7968,10679,7968,1103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562"/>
        <w:gridCol w:w="1417"/>
        <w:gridCol w:w="1277"/>
        <w:gridCol w:w="2977"/>
        <w:gridCol w:w="994"/>
        <w:gridCol w:w="1416"/>
        <w:gridCol w:w="852"/>
      </w:tblGrid>
      <w:tr>
        <w:trPr>
          <w:trHeight w:val="315" w:hRule="exact"/>
        </w:trPr>
        <w:tc>
          <w:tcPr>
            <w:tcW w:w="1562"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29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公允价格将上述业务和资产优先转让</w:t>
            </w:r>
          </w:p>
        </w:tc>
        <w:tc>
          <w:tcPr>
            <w:tcW w:w="994"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给公司。</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、润和投资保证严格遵守中</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9"/>
                <w:sz w:val="18"/>
                <w:szCs w:val="18"/>
              </w:rPr>
              <w:t>国证监会、证券交易所有关规章及《公</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司章程》的规定，与其他股东一样平</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等的行使股东权利、履行股东义务，</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不利用大股东的地位谋取不当利益，</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不损害公司和其他股东的合法权益。</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（二）避免和减少关联交易：润和投</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资出具了《关于避免和减少关联交易</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的承诺书</w:t>
            </w:r>
            <w:r>
              <w:rPr>
                <w:rFonts w:ascii="宋体" w:hAnsi="宋体" w:cs="宋体" w:eastAsia="宋体" w:hint="default"/>
                <w:spacing w:val="-92"/>
                <w:sz w:val="18"/>
                <w:szCs w:val="18"/>
              </w:rPr>
              <w:t>》</w:t>
            </w:r>
            <w:r>
              <w:rPr>
                <w:rFonts w:ascii="宋体" w:hAnsi="宋体" w:cs="宋体" w:eastAsia="宋体" w:hint="default"/>
                <w:spacing w:val="-51"/>
                <w:sz w:val="18"/>
                <w:szCs w:val="18"/>
              </w:rPr>
              <w:t>，</w:t>
            </w:r>
            <w:r>
              <w:rPr>
                <w:rFonts w:ascii="宋体" w:hAnsi="宋体" w:cs="宋体" w:eastAsia="宋体" w:hint="default"/>
                <w:sz w:val="18"/>
                <w:szCs w:val="18"/>
              </w:rPr>
              <w:t>承诺将尽可能避</w:t>
            </w:r>
            <w:r>
              <w:rPr>
                <w:rFonts w:ascii="宋体" w:hAnsi="宋体" w:cs="宋体" w:eastAsia="宋体" w:hint="default"/>
                <w:spacing w:val="2"/>
                <w:sz w:val="18"/>
                <w:szCs w:val="18"/>
              </w:rPr>
              <w:t>免</w:t>
            </w:r>
            <w:r>
              <w:rPr>
                <w:rFonts w:ascii="宋体" w:hAnsi="宋体" w:cs="宋体" w:eastAsia="宋体" w:hint="default"/>
                <w:sz w:val="18"/>
                <w:szCs w:val="18"/>
              </w:rPr>
              <w:t>和减少</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与公司之间的关联交易。若有关的关</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联交易为公司日常经营所必须或者无</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法避免，承诺方保证该等关联交易所</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列之交易条件公允，不损害公司及股</w:t>
            </w: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60"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29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东利益。</w:t>
            </w:r>
          </w:p>
        </w:tc>
        <w:tc>
          <w:tcPr>
            <w:tcW w:w="994"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r>
      <w:tr>
        <w:trPr>
          <w:trHeight w:val="355" w:hRule="exact"/>
        </w:trPr>
        <w:tc>
          <w:tcPr>
            <w:tcW w:w="1562"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29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若公司在执行社会保障法律法规及缴</w:t>
            </w:r>
          </w:p>
        </w:tc>
        <w:tc>
          <w:tcPr>
            <w:tcW w:w="994"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纳住房公积金方面，经有关主管部门</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截至本报</w:t>
            </w: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认定需为员工补缴保险金或住房公积</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告期末，</w:t>
            </w: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金，或受到主管部门处罚，或任何利</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承诺人严</w:t>
            </w:r>
          </w:p>
        </w:tc>
      </w:tr>
      <w:tr>
        <w:trPr>
          <w:trHeight w:val="629"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润和投资</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61"/>
              <w:jc w:val="left"/>
              <w:rPr>
                <w:rFonts w:ascii="宋体" w:hAnsi="宋体" w:cs="宋体" w:eastAsia="宋体" w:hint="default"/>
                <w:sz w:val="18"/>
                <w:szCs w:val="18"/>
              </w:rPr>
            </w:pPr>
            <w:r>
              <w:rPr>
                <w:rFonts w:ascii="宋体" w:hAnsi="宋体" w:cs="宋体" w:eastAsia="宋体" w:hint="default"/>
                <w:sz w:val="18"/>
                <w:szCs w:val="18"/>
              </w:rPr>
              <w:t>益相关方以任何方式提出权利要求且 该等要求获有关主管部门支持，润和</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96"/>
              <w:jc w:val="left"/>
              <w:rPr>
                <w:rFonts w:ascii="宋体" w:hAnsi="宋体" w:cs="宋体" w:eastAsia="宋体" w:hint="default"/>
                <w:sz w:val="18"/>
                <w:szCs w:val="18"/>
              </w:rPr>
            </w:pPr>
            <w:r>
              <w:rPr>
                <w:rFonts w:ascii="宋体" w:hAnsi="宋体" w:cs="宋体" w:eastAsia="宋体" w:hint="default"/>
                <w:sz w:val="18"/>
                <w:szCs w:val="18"/>
              </w:rPr>
              <w:t>格履行承 诺，未出</w:t>
            </w: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投资将无条件全额承担相关补缴、处</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现违反上</w:t>
            </w: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罚款项、利益相关方提出的赔偿或补</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述承诺的</w:t>
            </w: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偿，以及发行人因此所支付的相关费</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35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9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用。</w:t>
            </w:r>
          </w:p>
        </w:tc>
        <w:tc>
          <w:tcPr>
            <w:tcW w:w="994"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562"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2977"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截至本报</w:t>
            </w: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告期末，</w:t>
            </w: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为保障公司填补回报措施能够得到切</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承诺人严</w:t>
            </w:r>
          </w:p>
        </w:tc>
      </w:tr>
      <w:tr>
        <w:trPr>
          <w:trHeight w:val="629"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22"/>
              <w:jc w:val="left"/>
              <w:rPr>
                <w:rFonts w:ascii="宋体" w:hAnsi="宋体" w:cs="宋体" w:eastAsia="宋体" w:hint="default"/>
                <w:sz w:val="18"/>
                <w:szCs w:val="18"/>
              </w:rPr>
            </w:pPr>
            <w:r>
              <w:rPr>
                <w:rFonts w:ascii="宋体" w:hAnsi="宋体" w:cs="宋体" w:eastAsia="宋体" w:hint="default"/>
                <w:sz w:val="18"/>
                <w:szCs w:val="18"/>
              </w:rPr>
              <w:t>润和投资、周红 卫、姚宁</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61"/>
              <w:jc w:val="left"/>
              <w:rPr>
                <w:rFonts w:ascii="宋体" w:hAnsi="宋体" w:cs="宋体" w:eastAsia="宋体" w:hint="default"/>
                <w:sz w:val="18"/>
                <w:szCs w:val="18"/>
              </w:rPr>
            </w:pPr>
            <w:r>
              <w:rPr>
                <w:rFonts w:ascii="宋体" w:hAnsi="宋体" w:cs="宋体" w:eastAsia="宋体" w:hint="default"/>
                <w:sz w:val="18"/>
                <w:szCs w:val="18"/>
              </w:rPr>
              <w:t>实履行，公司实际控制人及控股股东 承诺：</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96"/>
              <w:jc w:val="left"/>
              <w:rPr>
                <w:rFonts w:ascii="宋体" w:hAnsi="宋体" w:cs="宋体" w:eastAsia="宋体" w:hint="default"/>
                <w:sz w:val="18"/>
                <w:szCs w:val="18"/>
              </w:rPr>
            </w:pPr>
            <w:r>
              <w:rPr>
                <w:rFonts w:ascii="宋体" w:hAnsi="宋体" w:cs="宋体" w:eastAsia="宋体" w:hint="default"/>
                <w:sz w:val="18"/>
                <w:szCs w:val="18"/>
              </w:rPr>
              <w:t>格履行承 诺，未出</w:t>
            </w: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不侵占公司利益。</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现违反上</w:t>
            </w: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述承诺的</w:t>
            </w:r>
          </w:p>
        </w:tc>
      </w:tr>
      <w:tr>
        <w:trPr>
          <w:trHeight w:val="360"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977"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346" w:hRule="exact"/>
        </w:trPr>
        <w:tc>
          <w:tcPr>
            <w:tcW w:w="1562"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29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本次非公开发行募集资金拟投资项目</w:t>
            </w:r>
          </w:p>
        </w:tc>
        <w:tc>
          <w:tcPr>
            <w:tcW w:w="994"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不涉及向金融行业客户提供硬件设施</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截至本报</w:t>
            </w: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租赁服务或机房托管业务，公司同时</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告期末，</w:t>
            </w: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pacing w:val="-92"/>
                <w:sz w:val="18"/>
                <w:szCs w:val="18"/>
              </w:rPr>
              <w:t>：</w:t>
            </w:r>
            <w:r>
              <w:rPr>
                <w:rFonts w:ascii="宋体" w:hAnsi="宋体" w:cs="宋体" w:eastAsia="宋体" w:hint="default"/>
                <w:sz w:val="18"/>
                <w:szCs w:val="18"/>
              </w:rPr>
              <w:t>（一）公司承诺</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金融</w:t>
            </w:r>
            <w:r>
              <w:rPr>
                <w:rFonts w:ascii="宋体" w:hAnsi="宋体" w:cs="宋体" w:eastAsia="宋体" w:hint="default"/>
                <w:spacing w:val="2"/>
                <w:sz w:val="18"/>
                <w:szCs w:val="18"/>
              </w:rPr>
              <w:t>云</w:t>
            </w:r>
            <w:r>
              <w:rPr>
                <w:rFonts w:ascii="宋体" w:hAnsi="宋体" w:cs="宋体" w:eastAsia="宋体" w:hint="default"/>
                <w:sz w:val="18"/>
                <w:szCs w:val="18"/>
              </w:rPr>
              <w:t>服务平</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承诺人严</w:t>
            </w:r>
          </w:p>
        </w:tc>
      </w:tr>
      <w:tr>
        <w:trPr>
          <w:trHeight w:val="619"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left="23" w:right="0"/>
              <w:jc w:val="left"/>
              <w:rPr>
                <w:rFonts w:ascii="宋体" w:hAnsi="宋体" w:cs="宋体" w:eastAsia="宋体" w:hint="default"/>
                <w:sz w:val="18"/>
                <w:szCs w:val="18"/>
              </w:rPr>
            </w:pPr>
            <w:r>
              <w:rPr>
                <w:rFonts w:ascii="宋体" w:hAnsi="宋体" w:cs="宋体" w:eastAsia="宋体" w:hint="default"/>
                <w:sz w:val="18"/>
                <w:szCs w:val="18"/>
              </w:rPr>
              <w:t>润和软件</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4" w:lineRule="auto"/>
              <w:ind w:left="23" w:right="161"/>
              <w:jc w:val="left"/>
              <w:rPr>
                <w:rFonts w:ascii="宋体" w:hAnsi="宋体" w:cs="宋体" w:eastAsia="宋体" w:hint="default"/>
                <w:sz w:val="18"/>
                <w:szCs w:val="18"/>
              </w:rPr>
            </w:pPr>
            <w:r>
              <w:rPr>
                <w:rFonts w:ascii="宋体" w:hAnsi="宋体" w:cs="宋体" w:eastAsia="宋体" w:hint="default"/>
                <w:sz w:val="18"/>
                <w:szCs w:val="18"/>
              </w:rPr>
              <w:t>募集资金使用 承诺</w:t>
            </w: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300" w:lineRule="auto" w:before="16"/>
              <w:ind w:left="24" w:right="61"/>
              <w:jc w:val="left"/>
              <w:rPr>
                <w:rFonts w:ascii="宋体" w:hAnsi="宋体" w:cs="宋体" w:eastAsia="宋体" w:hint="default"/>
                <w:sz w:val="18"/>
                <w:szCs w:val="18"/>
              </w:rPr>
            </w:pPr>
            <w:r>
              <w:rPr>
                <w:rFonts w:ascii="宋体" w:hAnsi="宋体" w:cs="宋体" w:eastAsia="宋体" w:hint="default"/>
                <w:sz w:val="18"/>
                <w:szCs w:val="18"/>
              </w:rPr>
              <w:t>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仅以软件产品销售或租 赁的形式交付给金融机构使用，软件</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格履行承 诺，未出</w:t>
            </w: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产品的使用权、运营权，以及运营过</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现违反上</w:t>
            </w: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程中产生的数据完全归属于使用机</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述承诺的</w:t>
            </w:r>
          </w:p>
        </w:tc>
      </w:tr>
      <w:tr>
        <w:trPr>
          <w:trHeight w:val="323" w:hRule="exact"/>
        </w:trPr>
        <w:tc>
          <w:tcPr>
            <w:tcW w:w="1562"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构，公司不参与金融机构后续软件系</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319" w:hRule="exact"/>
        </w:trPr>
        <w:tc>
          <w:tcPr>
            <w:tcW w:w="1562"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9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统的运营，并将严格采取安全措施避</w:t>
            </w:r>
          </w:p>
        </w:tc>
        <w:tc>
          <w:tcPr>
            <w:tcW w:w="994"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60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562"/>
        <w:gridCol w:w="1417"/>
        <w:gridCol w:w="1277"/>
        <w:gridCol w:w="2977"/>
        <w:gridCol w:w="994"/>
        <w:gridCol w:w="1416"/>
        <w:gridCol w:w="852"/>
      </w:tblGrid>
      <w:tr>
        <w:trPr>
          <w:trHeight w:val="3483" w:hRule="exact"/>
        </w:trPr>
        <w:tc>
          <w:tcPr>
            <w:tcW w:w="1562"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4" w:right="-28"/>
              <w:jc w:val="left"/>
              <w:rPr>
                <w:rFonts w:ascii="宋体" w:hAnsi="宋体" w:cs="宋体" w:eastAsia="宋体" w:hint="default"/>
                <w:sz w:val="18"/>
                <w:szCs w:val="18"/>
              </w:rPr>
            </w:pPr>
            <w:r>
              <w:rPr>
                <w:rFonts w:ascii="宋体" w:hAnsi="宋体" w:cs="宋体" w:eastAsia="宋体" w:hint="default"/>
                <w:sz w:val="18"/>
                <w:szCs w:val="18"/>
              </w:rPr>
              <w:t>免利用便利条件获取客户数据情形； 公司将严格遵守有关法律法规和金融 行业监管规则，严格遵循只为持牌金 融机构开展持牌金融业务提供</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服务 的基本原则，并严格遵循润和软件只 </w:t>
            </w:r>
            <w:r>
              <w:rPr>
                <w:rFonts w:ascii="宋体" w:hAnsi="宋体" w:cs="宋体" w:eastAsia="宋体" w:hint="default"/>
                <w:spacing w:val="-6"/>
                <w:sz w:val="18"/>
                <w:szCs w:val="18"/>
              </w:rPr>
              <w:t>参与自身持牌业务的基本原则。（二）</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自本次募集资金到账之日起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内，公司不向金融行业客户提供硬件 </w:t>
            </w:r>
            <w:r>
              <w:rPr>
                <w:rFonts w:ascii="宋体" w:hAnsi="宋体" w:cs="宋体" w:eastAsia="宋体" w:hint="default"/>
                <w:spacing w:val="-6"/>
                <w:sz w:val="18"/>
                <w:szCs w:val="18"/>
              </w:rPr>
              <w:t>设施租赁服务或机房托管业务。（三）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上述承诺一经作出即不可变更或撤 销。</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1562"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20"/>
              <w:jc w:val="left"/>
              <w:rPr>
                <w:rFonts w:ascii="宋体" w:hAnsi="宋体" w:cs="宋体" w:eastAsia="宋体" w:hint="default"/>
                <w:sz w:val="18"/>
                <w:szCs w:val="18"/>
              </w:rPr>
            </w:pPr>
            <w:r>
              <w:rPr>
                <w:rFonts w:ascii="宋体" w:hAnsi="宋体" w:cs="宋体" w:eastAsia="宋体" w:hint="default"/>
                <w:sz w:val="18"/>
                <w:szCs w:val="18"/>
              </w:rPr>
              <w:t>泰达宏利基金管 </w:t>
            </w:r>
            <w:r>
              <w:rPr>
                <w:rFonts w:ascii="宋体" w:hAnsi="宋体" w:cs="宋体" w:eastAsia="宋体" w:hint="default"/>
                <w:spacing w:val="-10"/>
                <w:sz w:val="18"/>
                <w:szCs w:val="18"/>
              </w:rPr>
              <w:t>理有限公司、浙江</w:t>
            </w:r>
            <w:r>
              <w:rPr>
                <w:rFonts w:ascii="宋体" w:hAnsi="宋体" w:cs="宋体" w:eastAsia="宋体" w:hint="default"/>
                <w:sz w:val="18"/>
                <w:szCs w:val="18"/>
              </w:rPr>
              <w:t> 浙商产融控股有 </w:t>
            </w:r>
            <w:r>
              <w:rPr>
                <w:rFonts w:ascii="宋体" w:hAnsi="宋体" w:cs="宋体" w:eastAsia="宋体" w:hint="default"/>
                <w:spacing w:val="-10"/>
                <w:sz w:val="18"/>
                <w:szCs w:val="18"/>
              </w:rPr>
              <w:t>限公司、财通基金</w:t>
            </w:r>
            <w:r>
              <w:rPr>
                <w:rFonts w:ascii="宋体" w:hAnsi="宋体" w:cs="宋体" w:eastAsia="宋体" w:hint="default"/>
                <w:sz w:val="18"/>
                <w:szCs w:val="18"/>
              </w:rPr>
              <w:t> </w:t>
            </w:r>
            <w:r>
              <w:rPr>
                <w:rFonts w:ascii="宋体" w:hAnsi="宋体" w:cs="宋体" w:eastAsia="宋体" w:hint="default"/>
                <w:spacing w:val="-10"/>
                <w:sz w:val="18"/>
                <w:szCs w:val="18"/>
              </w:rPr>
              <w:t>管理有限公司、申</w:t>
            </w:r>
            <w:r>
              <w:rPr>
                <w:rFonts w:ascii="宋体" w:hAnsi="宋体" w:cs="宋体" w:eastAsia="宋体" w:hint="default"/>
                <w:sz w:val="18"/>
                <w:szCs w:val="18"/>
              </w:rPr>
              <w:t> 万宏源证券有限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
              <w:jc w:val="both"/>
              <w:rPr>
                <w:rFonts w:ascii="Times New Roman" w:hAnsi="Times New Roman" w:cs="Times New Roman" w:eastAsia="Times New Roman" w:hint="default"/>
                <w:sz w:val="18"/>
                <w:szCs w:val="18"/>
              </w:rPr>
            </w:pPr>
            <w:r>
              <w:rPr>
                <w:rFonts w:ascii="宋体" w:hAnsi="宋体" w:cs="宋体" w:eastAsia="宋体" w:hint="default"/>
                <w:sz w:val="18"/>
                <w:szCs w:val="18"/>
              </w:rPr>
              <w:t>发行对象本次发行认购的股份，自上 市之日起十二个月内不得转让，限售 时间为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314" w:lineRule="auto"/>
              <w:ind w:left="24" w:right="2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日。上述股份锁定期届满后减持</w:t>
            </w:r>
            <w:r>
              <w:rPr>
                <w:rFonts w:ascii="宋体" w:hAnsi="宋体" w:cs="宋体" w:eastAsia="宋体" w:hint="default"/>
                <w:sz w:val="18"/>
                <w:szCs w:val="18"/>
              </w:rPr>
              <w:t> </w:t>
            </w:r>
            <w:r>
              <w:rPr>
                <w:rFonts w:ascii="宋体" w:hAnsi="宋体" w:cs="宋体" w:eastAsia="宋体" w:hint="default"/>
                <w:spacing w:val="-21"/>
                <w:sz w:val="18"/>
                <w:szCs w:val="18"/>
              </w:rPr>
              <w:t>还需遵守《公司法》、《证券法》、《上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市公司股东、董监高减持股份的若干 </w:t>
            </w:r>
            <w:r>
              <w:rPr>
                <w:rFonts w:ascii="宋体" w:hAnsi="宋体" w:cs="宋体" w:eastAsia="宋体" w:hint="default"/>
                <w:spacing w:val="-6"/>
                <w:sz w:val="18"/>
                <w:szCs w:val="18"/>
              </w:rPr>
              <w:t>规定》（证监会公告</w:t>
            </w:r>
            <w:r>
              <w:rPr>
                <w:rFonts w:ascii="Times New Roman" w:hAnsi="Times New Roman" w:cs="Times New Roman" w:eastAsia="Times New Roman" w:hint="default"/>
                <w:spacing w:val="-6"/>
                <w:sz w:val="18"/>
                <w:szCs w:val="18"/>
              </w:rPr>
              <w:t>[2017]9</w:t>
            </w:r>
            <w:r>
              <w:rPr>
                <w:rFonts w:ascii="Times New Roman" w:hAnsi="Times New Roman" w:cs="Times New Roman" w:eastAsia="Times New Roman" w:hint="default"/>
                <w:sz w:val="18"/>
                <w:szCs w:val="18"/>
              </w:rPr>
              <w:t> </w:t>
            </w:r>
            <w:r>
              <w:rPr>
                <w:rFonts w:ascii="宋体" w:hAnsi="宋体" w:cs="宋体" w:eastAsia="宋体" w:hint="default"/>
                <w:spacing w:val="-38"/>
                <w:sz w:val="18"/>
                <w:szCs w:val="18"/>
              </w:rPr>
              <w:t>号）、《深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圳证券交易所创业板股票上市规则》 及《深圳证券交易所上市公司股东及 董事、监事、高级管理人员减持股份 实施细则》等法律、法规、规章、规 范性文件以及《公司章程》的相关规 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该承诺已 履行完 毕，承诺 人严格履 行承诺， 未出现违 反上述承 诺的情 况。</w:t>
            </w:r>
          </w:p>
        </w:tc>
      </w:tr>
      <w:tr>
        <w:trPr>
          <w:trHeight w:val="403" w:hRule="exact"/>
        </w:trPr>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5393" w:hRule="exact"/>
        </w:trPr>
        <w:tc>
          <w:tcPr>
            <w:tcW w:w="1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7"/>
              <w:ind w:left="25" w:right="84"/>
              <w:jc w:val="left"/>
              <w:rPr>
                <w:rFonts w:ascii="宋体" w:hAnsi="宋体" w:cs="宋体" w:eastAsia="宋体" w:hint="default"/>
                <w:sz w:val="18"/>
                <w:szCs w:val="18"/>
              </w:rPr>
            </w:pPr>
            <w:r>
              <w:rPr>
                <w:rFonts w:ascii="宋体" w:hAnsi="宋体" w:cs="宋体" w:eastAsia="宋体" w:hint="default"/>
                <w:sz w:val="18"/>
                <w:szCs w:val="18"/>
              </w:rPr>
              <w:t>其他对公司中小股 东所作承诺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润和软件</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both"/>
              <w:rPr>
                <w:rFonts w:ascii="宋体" w:hAnsi="宋体" w:cs="宋体" w:eastAsia="宋体" w:hint="default"/>
                <w:sz w:val="18"/>
                <w:szCs w:val="18"/>
              </w:rPr>
            </w:pPr>
            <w:r>
              <w:rPr>
                <w:rFonts w:ascii="宋体" w:hAnsi="宋体" w:cs="宋体" w:eastAsia="宋体" w:hint="default"/>
                <w:sz w:val="18"/>
                <w:szCs w:val="18"/>
              </w:rPr>
              <w:t>利润分配承诺：公司每年以现金方式 分配的利润不少于当年实现的可分配 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；对于公司当年的利润分 配计划，公司董事会应当在定期报告 中披露当年未分配利润的使用计划、 安排或原则。公司董事会未做出年度 现金利润分配预案或年度现金利润分 配比例不足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的，应当在定期报告 中披露原因、公司留存资金的使用计 划和安排，该等年度现金利润分配方 案须经董事会审议、监事会审核后提 交股东大会审议；股东大会审议该等 年度现金利润分配方案时，公司应当 提供网络投票表决方式为社会公众股 东参加股东大会提供便利；对于该等 年度现金利润分配方案，独立董事应 当发表独立意见。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4" w:right="96"/>
              <w:jc w:val="both"/>
              <w:rPr>
                <w:rFonts w:ascii="宋体" w:hAnsi="宋体" w:cs="宋体" w:eastAsia="宋体" w:hint="default"/>
                <w:sz w:val="18"/>
                <w:szCs w:val="18"/>
              </w:rPr>
            </w:pPr>
            <w:r>
              <w:rPr>
                <w:rFonts w:ascii="宋体" w:hAnsi="宋体" w:cs="宋体" w:eastAsia="宋体" w:hint="default"/>
                <w:sz w:val="18"/>
                <w:szCs w:val="18"/>
              </w:rPr>
              <w:t>截至本报 告期末， 承诺人严 格履行承 诺，未出 现违反上 述承诺的 情况。</w:t>
            </w:r>
          </w:p>
        </w:tc>
      </w:tr>
      <w:tr>
        <w:trPr>
          <w:trHeight w:val="403" w:hRule="exact"/>
        </w:trPr>
        <w:tc>
          <w:tcPr>
            <w:tcW w:w="1562"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周红卫、姚宁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股东一致行动</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日，周红卫先生、姚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截至本报</w:t>
            </w:r>
          </w:p>
        </w:tc>
      </w:tr>
    </w:tbl>
    <w:p>
      <w:pPr>
        <w:spacing w:after="0" w:line="240" w:lineRule="auto"/>
        <w:jc w:val="left"/>
        <w:rPr>
          <w:rFonts w:ascii="宋体" w:hAnsi="宋体" w:cs="宋体" w:eastAsia="宋体" w:hint="default"/>
          <w:sz w:val="18"/>
          <w:szCs w:val="18"/>
        </w:rPr>
        <w:sectPr>
          <w:pgSz w:w="11910" w:h="16840"/>
          <w:pgMar w:header="745" w:footer="979" w:top="1060" w:bottom="1160" w:left="600" w:right="0"/>
        </w:sectPr>
      </w:pPr>
    </w:p>
    <w:p>
      <w:pPr>
        <w:spacing w:line="240" w:lineRule="auto" w:before="0"/>
        <w:rPr>
          <w:rFonts w:ascii="Times New Roman" w:hAnsi="Times New Roman" w:cs="Times New Roman" w:eastAsia="Times New Roman" w:hint="default"/>
          <w:sz w:val="20"/>
          <w:szCs w:val="20"/>
        </w:rPr>
      </w:pPr>
      <w:r>
        <w:rPr/>
        <w:pict>
          <v:shape style="position:absolute;margin-left:292.010010pt;margin-top:72.475983pt;width:154.4pt;height:686.5pt;mso-position-horizontal-relative:page;mso-position-vertical-relative:page;z-index:-13295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5"/>
                      <w:szCs w:val="15"/>
                    </w:rPr>
                  </w:pPr>
                </w:p>
                <w:p>
                  <w:pPr>
                    <w:pStyle w:val="BodyText"/>
                    <w:spacing w:line="240" w:lineRule="auto"/>
                    <w:ind w:left="0" w:right="0"/>
                    <w:jc w:val="left"/>
                  </w:pPr>
                  <w:r>
                    <w:rPr/>
                    <w:t>各方应积极履行有关义务，</w:t>
                  </w:r>
                </w:p>
              </w:txbxContent>
            </v:textbox>
            <w10:wrap type="none"/>
          </v:shape>
        </w:pict>
      </w:r>
      <w:r>
        <w:rPr/>
        <w:pict>
          <v:group style="position:absolute;margin-left:397.299988pt;margin-top:72.475983pt;width:49.1pt;height:686.5pt;mso-position-horizontal-relative:page;mso-position-vertical-relative:page;z-index:-1329496" coordorigin="7946,1450" coordsize="982,13730">
            <v:group style="position:absolute;left:7946;top:1450;width:982;height:13730" coordorigin="7946,1450" coordsize="982,13730">
              <v:shape style="position:absolute;left:7946;top:1450;width:982;height:13730" coordorigin="7946,1450" coordsize="982,13730" path="m7946,15180l8928,15180,8928,1450,7946,1450,7946,15180xe" filled="true" fillcolor="#ffffff" stroked="false">
                <v:path arrowok="t"/>
                <v:fill type="solid"/>
              </v:shape>
            </v:group>
            <v:group style="position:absolute;left:7968;top:1450;width:939;height:354" coordorigin="7968,1450" coordsize="939,354">
              <v:shape style="position:absolute;left:7968;top:1450;width:939;height:354" coordorigin="7968,1450" coordsize="939,354" path="m7968,1803l8906,1803,8906,1450,7968,1450,7968,180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562"/>
        <w:gridCol w:w="1417"/>
        <w:gridCol w:w="1277"/>
        <w:gridCol w:w="2977"/>
        <w:gridCol w:w="994"/>
        <w:gridCol w:w="1416"/>
        <w:gridCol w:w="852"/>
      </w:tblGrid>
      <w:tr>
        <w:trPr>
          <w:trHeight w:val="320" w:hRule="exact"/>
        </w:trPr>
        <w:tc>
          <w:tcPr>
            <w:tcW w:w="1562"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29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宁先生续签</w:t>
            </w:r>
            <w:r>
              <w:rPr>
                <w:rFonts w:ascii="宋体" w:hAnsi="宋体" w:cs="宋体" w:eastAsia="宋体" w:hint="default"/>
                <w:spacing w:val="-24"/>
                <w:sz w:val="18"/>
                <w:szCs w:val="18"/>
              </w:rPr>
              <w:t>了</w:t>
            </w:r>
            <w:r>
              <w:rPr>
                <w:rFonts w:ascii="宋体" w:hAnsi="宋体" w:cs="宋体" w:eastAsia="宋体" w:hint="default"/>
                <w:sz w:val="18"/>
                <w:szCs w:val="18"/>
              </w:rPr>
              <w:t>《一致行动人协议</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就</w:t>
            </w:r>
          </w:p>
        </w:tc>
        <w:tc>
          <w:tcPr>
            <w:tcW w:w="9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告期末，</w:t>
            </w: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今后在润和投资股东会及润和软件股</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承诺人严</w:t>
            </w: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东大会、董事会的一致表决及维持对</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格履行承</w:t>
            </w: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润和投资及润和软件的共同控制达成</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诺，未出</w:t>
            </w: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一致，协议主要内容如下：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、本协议</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现违反上</w:t>
            </w: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一方拟向润和投资股东会和</w:t>
            </w:r>
            <w:r>
              <w:rPr>
                <w:rFonts w:ascii="Times New Roman" w:hAnsi="Times New Roman" w:cs="Times New Roman" w:eastAsia="Times New Roman" w:hint="default"/>
                <w:sz w:val="18"/>
                <w:szCs w:val="18"/>
              </w:rPr>
              <w:t>/</w:t>
            </w:r>
            <w:r>
              <w:rPr>
                <w:rFonts w:ascii="宋体" w:hAnsi="宋体" w:cs="宋体" w:eastAsia="宋体" w:hint="default"/>
                <w:sz w:val="18"/>
                <w:szCs w:val="18"/>
              </w:rPr>
              <w:t>或润和</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述承诺的</w:t>
            </w: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软件董事会、股东大会提出应由股东</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会和</w:t>
            </w:r>
            <w:r>
              <w:rPr>
                <w:rFonts w:ascii="Times New Roman" w:hAnsi="Times New Roman" w:cs="Times New Roman" w:eastAsia="Times New Roman" w:hint="default"/>
                <w:sz w:val="18"/>
                <w:szCs w:val="18"/>
              </w:rPr>
              <w:t>/</w:t>
            </w:r>
            <w:r>
              <w:rPr>
                <w:rFonts w:ascii="宋体" w:hAnsi="宋体" w:cs="宋体" w:eastAsia="宋体" w:hint="default"/>
                <w:sz w:val="18"/>
                <w:szCs w:val="18"/>
              </w:rPr>
              <w:t>或董事会和</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或股东大会审议的</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议案时，应当事先就该议案内容与另</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一方进行充分的沟通和交流，如果另</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一方对议案内容有异议，在不违反法</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律法规、监管机构的规定和润和投资</w:t>
            </w:r>
            <w:r>
              <w:rPr>
                <w:rFonts w:ascii="Times New Roman" w:hAnsi="Times New Roman" w:cs="Times New Roman" w:eastAsia="Times New Roman" w:hint="default"/>
                <w:sz w:val="18"/>
                <w:szCs w:val="18"/>
              </w:rPr>
              <w:t>/</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润和软件公司章程规定的前提下，双</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方均应当做出适当让步，对议案内容</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进行修改，直至双方共同认可议案的</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内容后，以其中一方的名义或双方的</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名义向润和投资股东会和</w:t>
            </w:r>
            <w:r>
              <w:rPr>
                <w:rFonts w:ascii="Times New Roman" w:hAnsi="Times New Roman" w:cs="Times New Roman" w:eastAsia="Times New Roman" w:hint="default"/>
                <w:sz w:val="18"/>
                <w:szCs w:val="18"/>
              </w:rPr>
              <w:t>/</w:t>
            </w:r>
            <w:r>
              <w:rPr>
                <w:rFonts w:ascii="宋体" w:hAnsi="宋体" w:cs="宋体" w:eastAsia="宋体" w:hint="default"/>
                <w:sz w:val="18"/>
                <w:szCs w:val="18"/>
              </w:rPr>
              <w:t>或润和软</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件董事会、股东大会提出相关议案，</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5"/>
                <w:sz w:val="18"/>
                <w:szCs w:val="18"/>
              </w:rPr>
              <w:t>并对议案做出相同的表决意见。</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、对</w:t>
            </w:r>
            <w:r>
              <w:rPr>
                <w:rFonts w:ascii="宋体" w:hAnsi="宋体" w:cs="宋体" w:eastAsia="宋体" w:hint="default"/>
                <w:sz w:val="18"/>
                <w:szCs w:val="18"/>
              </w:rPr>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于非由本协议的一方或双方提出的议</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案，在润和投资股东会和</w:t>
            </w:r>
            <w:r>
              <w:rPr>
                <w:rFonts w:ascii="Times New Roman" w:hAnsi="Times New Roman" w:cs="Times New Roman" w:eastAsia="Times New Roman" w:hint="default"/>
                <w:sz w:val="18"/>
                <w:szCs w:val="18"/>
              </w:rPr>
              <w:t>/</w:t>
            </w:r>
            <w:r>
              <w:rPr>
                <w:rFonts w:ascii="宋体" w:hAnsi="宋体" w:cs="宋体" w:eastAsia="宋体" w:hint="default"/>
                <w:sz w:val="18"/>
                <w:szCs w:val="18"/>
              </w:rPr>
              <w:t>或润和软件</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董事会和</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或股东大会召开前，双方应</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当就待审议的议案进行充分的沟通和</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交流，尽快达成一致意见，并以自身</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的名义或一方授权另一方按照形成的</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一致意见在润和投资和</w:t>
            </w:r>
            <w:r>
              <w:rPr>
                <w:rFonts w:ascii="Times New Roman" w:hAnsi="Times New Roman" w:cs="Times New Roman" w:eastAsia="Times New Roman" w:hint="default"/>
                <w:sz w:val="18"/>
                <w:szCs w:val="18"/>
              </w:rPr>
              <w:t>/</w:t>
            </w:r>
            <w:r>
              <w:rPr>
                <w:rFonts w:ascii="宋体" w:hAnsi="宋体" w:cs="宋体" w:eastAsia="宋体" w:hint="default"/>
                <w:sz w:val="18"/>
                <w:szCs w:val="18"/>
              </w:rPr>
              <w:t>或润和软件</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董事会和</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或股东大会会议上做出相</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同的表决意见。如果难以达成一致意</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见，以多数持股原则处理，即如对某</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一议案出现一方拟投同意票，一方拟</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投反对或弃权票的情况，在议案内容</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符合法律法规、监管机构的规定和润</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和投资</w:t>
            </w:r>
            <w:r>
              <w:rPr>
                <w:rFonts w:ascii="Times New Roman" w:hAnsi="Times New Roman" w:cs="Times New Roman" w:eastAsia="Times New Roman" w:hint="default"/>
                <w:sz w:val="18"/>
                <w:szCs w:val="18"/>
              </w:rPr>
              <w:t>/</w:t>
            </w:r>
            <w:r>
              <w:rPr>
                <w:rFonts w:ascii="宋体" w:hAnsi="宋体" w:cs="宋体" w:eastAsia="宋体" w:hint="default"/>
                <w:sz w:val="18"/>
                <w:szCs w:val="18"/>
              </w:rPr>
              <w:t>润和软件公司章程规定的前</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提下，则双方均应按在公司持股多的</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一方的意见投票。</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、若一方（以下简</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出让方</w:t>
            </w:r>
            <w:r>
              <w:rPr>
                <w:rFonts w:ascii="Times New Roman" w:hAnsi="Times New Roman" w:cs="Times New Roman" w:eastAsia="Times New Roman" w:hint="default"/>
                <w:sz w:val="18"/>
                <w:szCs w:val="18"/>
              </w:rPr>
              <w:t>"</w:t>
            </w:r>
            <w:r>
              <w:rPr>
                <w:rFonts w:ascii="宋体" w:hAnsi="宋体" w:cs="宋体" w:eastAsia="宋体" w:hint="default"/>
                <w:sz w:val="18"/>
                <w:szCs w:val="18"/>
              </w:rPr>
              <w:t>）欲转让其持有润和投资</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或润和软件的全部或部分股权（以</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标的股权</w:t>
            </w:r>
            <w:r>
              <w:rPr>
                <w:rFonts w:ascii="Times New Roman" w:hAnsi="Times New Roman" w:cs="Times New Roman" w:eastAsia="Times New Roman" w:hint="default"/>
                <w:w w:val="99"/>
                <w:sz w:val="18"/>
                <w:szCs w:val="18"/>
              </w:rPr>
              <w:t>"</w:t>
            </w:r>
            <w:r>
              <w:rPr>
                <w:rFonts w:ascii="宋体" w:hAnsi="宋体" w:cs="宋体" w:eastAsia="宋体" w:hint="default"/>
                <w:spacing w:val="-92"/>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除非另</w:t>
            </w:r>
            <w:r>
              <w:rPr>
                <w:rFonts w:ascii="宋体" w:hAnsi="宋体" w:cs="宋体" w:eastAsia="宋体" w:hint="default"/>
                <w:spacing w:val="2"/>
                <w:sz w:val="18"/>
                <w:szCs w:val="18"/>
              </w:rPr>
              <w:t>一</w:t>
            </w:r>
            <w:r>
              <w:rPr>
                <w:rFonts w:ascii="宋体" w:hAnsi="宋体" w:cs="宋体" w:eastAsia="宋体" w:hint="default"/>
                <w:sz w:val="18"/>
                <w:szCs w:val="18"/>
              </w:rPr>
              <w:t>方也将</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同时转让其全部或部分股权，则另一</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方拥有优先受让权，即在符合法律法</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规、监管机构的规定和公司章程规定</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和价格同等的前提下，出让方应将标</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的股权转让给本协议另一方。</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、本协</w:t>
            </w: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562"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9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议签订后，</w:t>
            </w:r>
          </w:p>
        </w:tc>
        <w:tc>
          <w:tcPr>
            <w:tcW w:w="994"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600" w:right="0"/>
        </w:sectPr>
      </w:pPr>
    </w:p>
    <w:p>
      <w:pPr>
        <w:spacing w:line="240" w:lineRule="auto" w:before="0"/>
        <w:rPr>
          <w:rFonts w:ascii="Times New Roman" w:hAnsi="Times New Roman" w:cs="Times New Roman" w:eastAsia="Times New Roman" w:hint="default"/>
          <w:sz w:val="20"/>
          <w:szCs w:val="20"/>
        </w:rPr>
      </w:pPr>
      <w:r>
        <w:rPr/>
        <w:pict>
          <v:shape style="position:absolute;margin-left:310.010010pt;margin-top:72.47998pt;width:136.4pt;height:204.9pt;mso-position-horizontal-relative:page;mso-position-vertical-relative:page;z-index:-13294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9"/>
                    <w:ind w:left="0" w:right="0"/>
                    <w:jc w:val="left"/>
                  </w:pPr>
                  <w:r>
                    <w:rPr/>
                    <w:t>乙方签字之日起生效，</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562"/>
        <w:gridCol w:w="1417"/>
        <w:gridCol w:w="1277"/>
        <w:gridCol w:w="2977"/>
        <w:gridCol w:w="994"/>
        <w:gridCol w:w="1416"/>
        <w:gridCol w:w="854"/>
      </w:tblGrid>
      <w:tr>
        <w:trPr>
          <w:trHeight w:val="4107" w:hRule="exact"/>
        </w:trPr>
        <w:tc>
          <w:tcPr>
            <w:tcW w:w="1562"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4" w:right="-29"/>
              <w:jc w:val="left"/>
              <w:rPr>
                <w:rFonts w:ascii="宋体" w:hAnsi="宋体" w:cs="宋体" w:eastAsia="宋体" w:hint="default"/>
                <w:sz w:val="18"/>
                <w:szCs w:val="18"/>
              </w:rPr>
            </w:pPr>
            <w:r>
              <w:rPr>
                <w:rFonts w:ascii="宋体" w:hAnsi="宋体" w:cs="宋体" w:eastAsia="宋体" w:hint="default"/>
                <w:sz w:val="18"/>
                <w:szCs w:val="18"/>
              </w:rPr>
              <w:t>任何违反本协议规定及保证条款的行 为均构成违约，违约方应赔偿守约方 因之造成的全部损失。损失的赔偿不 影响违约方按照本规定的约定继续履 行本协议。</w:t>
            </w:r>
            <w:r>
              <w:rPr>
                <w:rFonts w:ascii="Times New Roman" w:hAnsi="Times New Roman" w:cs="Times New Roman" w:eastAsia="Times New Roman" w:hint="default"/>
                <w:sz w:val="18"/>
                <w:szCs w:val="18"/>
              </w:rPr>
              <w:t>5</w:t>
            </w:r>
            <w:r>
              <w:rPr>
                <w:rFonts w:ascii="宋体" w:hAnsi="宋体" w:cs="宋体" w:eastAsia="宋体" w:hint="default"/>
                <w:sz w:val="18"/>
                <w:szCs w:val="18"/>
              </w:rPr>
              <w:t>、甲方、乙方共同承诺： 甲方、乙方作为润和投资股东及或润 和软件股东或董事行使表决权时将严 </w:t>
            </w:r>
            <w:r>
              <w:rPr>
                <w:rFonts w:ascii="宋体" w:hAnsi="宋体" w:cs="宋体" w:eastAsia="宋体" w:hint="default"/>
                <w:spacing w:val="-11"/>
                <w:sz w:val="18"/>
                <w:szCs w:val="18"/>
              </w:rPr>
              <w:t>格遵守《公司法》、《证券法》等相关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法律法规及公司章程的规定，不损害 润和投资及或润和软件中小股东和润 和投资及或润和软件的合法利益。</w:t>
            </w:r>
            <w:r>
              <w:rPr>
                <w:rFonts w:ascii="Times New Roman" w:hAnsi="Times New Roman" w:cs="Times New Roman" w:eastAsia="Times New Roman" w:hint="default"/>
                <w:sz w:val="18"/>
                <w:szCs w:val="18"/>
              </w:rPr>
              <w:t>6</w:t>
            </w:r>
            <w:r>
              <w:rPr>
                <w:rFonts w:ascii="宋体" w:hAnsi="宋体" w:cs="宋体" w:eastAsia="宋体" w:hint="default"/>
                <w:sz w:val="18"/>
                <w:szCs w:val="18"/>
              </w:rPr>
              <w:t>、 本协议自甲方、 有效期为自本协议签订之日起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4097"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1"/>
                <w:sz w:val="20"/>
                <w:szCs w:val="20"/>
              </w:rPr>
              <w:pict>
                <v:group style="width:49.1pt;height:204.9pt;mso-position-horizontal-relative:char;mso-position-vertical-relative:line" coordorigin="0,0" coordsize="982,4098">
                  <v:group style="position:absolute;left:0;top:0;width:982;height:4098" coordorigin="0,0" coordsize="982,4098">
                    <v:shape style="position:absolute;left:0;top:0;width:982;height:4098" coordorigin="0,0" coordsize="982,4098" path="m0,4098l982,4098,982,0,0,0,0,4098xe" filled="true" fillcolor="#ffffff" stroked="false">
                      <v:path arrowok="t"/>
                      <v:fill type="solid"/>
                    </v:shape>
                  </v:group>
                </v:group>
              </w:pict>
            </w:r>
            <w:r>
              <w:rPr>
                <w:rFonts w:ascii="Times New Roman" w:hAnsi="Times New Roman" w:cs="Times New Roman" w:eastAsia="Times New Roman" w:hint="default"/>
                <w:position w:val="-81"/>
                <w:sz w:val="20"/>
                <w:szCs w:val="20"/>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1562"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20"/>
              <w:jc w:val="left"/>
              <w:rPr>
                <w:rFonts w:ascii="宋体" w:hAnsi="宋体" w:cs="宋体" w:eastAsia="宋体" w:hint="default"/>
                <w:sz w:val="18"/>
                <w:szCs w:val="18"/>
              </w:rPr>
            </w:pPr>
            <w:r>
              <w:rPr>
                <w:rFonts w:ascii="宋体" w:hAnsi="宋体" w:cs="宋体" w:eastAsia="宋体" w:hint="default"/>
                <w:sz w:val="18"/>
                <w:szCs w:val="18"/>
              </w:rPr>
              <w:t>宁波宏创股权投 </w:t>
            </w:r>
            <w:r>
              <w:rPr>
                <w:rFonts w:ascii="宋体" w:hAnsi="宋体" w:cs="宋体" w:eastAsia="宋体" w:hint="default"/>
                <w:spacing w:val="-10"/>
                <w:sz w:val="18"/>
                <w:szCs w:val="18"/>
              </w:rPr>
              <w:t>资合伙企业（有限</w:t>
            </w:r>
            <w:r>
              <w:rPr>
                <w:rFonts w:ascii="宋体" w:hAnsi="宋体" w:cs="宋体" w:eastAsia="宋体" w:hint="default"/>
                <w:sz w:val="18"/>
                <w:szCs w:val="18"/>
              </w:rPr>
              <w:t> 合伙）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其它承诺</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2"/>
              <w:jc w:val="both"/>
              <w:rPr>
                <w:rFonts w:ascii="Times New Roman" w:hAnsi="Times New Roman" w:cs="Times New Roman" w:eastAsia="Times New Roman" w:hint="default"/>
                <w:sz w:val="18"/>
                <w:szCs w:val="18"/>
              </w:rPr>
            </w:pPr>
            <w:r>
              <w:rPr>
                <w:rFonts w:ascii="宋体" w:hAnsi="宋体" w:cs="宋体" w:eastAsia="宋体" w:hint="default"/>
                <w:sz w:val="18"/>
                <w:szCs w:val="18"/>
              </w:rPr>
              <w:t>自宁波宏创持有的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96,249,396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股润和 软件首发后限售股首次上市流通之日 起十二个月内（即自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p>
          <w:p>
            <w:pPr>
              <w:pStyle w:val="TableParagraph"/>
              <w:spacing w:line="314" w:lineRule="auto" w:before="5"/>
              <w:ind w:left="24" w:right="20"/>
              <w:jc w:val="both"/>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18"/>
                <w:sz w:val="18"/>
                <w:szCs w:val="18"/>
              </w:rPr>
              <w:t>日），宁波宏创不</w:t>
            </w:r>
            <w:r>
              <w:rPr>
                <w:rFonts w:ascii="宋体" w:hAnsi="宋体" w:cs="宋体" w:eastAsia="宋体" w:hint="default"/>
                <w:sz w:val="18"/>
                <w:szCs w:val="18"/>
              </w:rPr>
              <w:t> 通过集中竞价交易方式在二级市场减 持该部分股份，包括承诺期间如因送 股、公积金转增股本等权益分派产生 的新增股份。在承诺期内，若宁波宏 创违反上述承诺，则自愿将其减持股 份的全部所得上缴润和软件。</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该承诺已 履行完 毕，承诺 人严格履 行承诺， 未出现违 反上述承 诺的情 况。</w:t>
            </w:r>
          </w:p>
        </w:tc>
      </w:tr>
      <w:tr>
        <w:trPr>
          <w:trHeight w:val="6603" w:hRule="exact"/>
        </w:trPr>
        <w:tc>
          <w:tcPr>
            <w:tcW w:w="1562"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9" w:lineRule="auto"/>
              <w:ind w:left="23" w:right="120"/>
              <w:jc w:val="left"/>
              <w:rPr>
                <w:rFonts w:ascii="宋体" w:hAnsi="宋体" w:cs="宋体" w:eastAsia="宋体" w:hint="default"/>
                <w:sz w:val="18"/>
                <w:szCs w:val="18"/>
              </w:rPr>
            </w:pPr>
            <w:r>
              <w:rPr>
                <w:rFonts w:ascii="宋体" w:hAnsi="宋体" w:cs="宋体" w:eastAsia="宋体" w:hint="default"/>
                <w:sz w:val="18"/>
                <w:szCs w:val="18"/>
              </w:rPr>
              <w:t>润和投资、周红 卫、姚宁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其它承诺</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周红卫、姚宁申请豁免履行其在公司</w:t>
            </w:r>
          </w:p>
          <w:p>
            <w:pPr>
              <w:pStyle w:val="TableParagraph"/>
              <w:spacing w:line="312" w:lineRule="auto" w:before="76"/>
              <w:ind w:left="24" w:right="20"/>
              <w:jc w:val="left"/>
              <w:rPr>
                <w:rFonts w:ascii="宋体" w:hAnsi="宋体" w:cs="宋体" w:eastAsia="宋体" w:hint="default"/>
                <w:sz w:val="18"/>
                <w:szCs w:val="18"/>
              </w:rPr>
            </w:pPr>
            <w:r>
              <w:rPr>
                <w:rFonts w:ascii="宋体" w:hAnsi="宋体" w:cs="宋体" w:eastAsia="宋体" w:hint="default"/>
                <w:sz w:val="18"/>
                <w:szCs w:val="18"/>
              </w:rPr>
              <w:t>《首次公开发行股票并在创业板上市 </w:t>
            </w:r>
            <w:r>
              <w:rPr>
                <w:rFonts w:ascii="宋体" w:hAnsi="宋体" w:cs="宋体" w:eastAsia="宋体" w:hint="default"/>
                <w:spacing w:val="-3"/>
                <w:sz w:val="18"/>
                <w:szCs w:val="18"/>
              </w:rPr>
              <w:t>招股说明书》中作出的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在担任公司的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董事、监事或高级管理人员期间，每 年转让的股份不超过其间接持有公司 股份总数的百分之二十五</w:t>
            </w:r>
            <w:r>
              <w:rPr>
                <w:rFonts w:ascii="Times New Roman" w:hAnsi="Times New Roman" w:cs="Times New Roman" w:eastAsia="Times New Roman" w:hint="default"/>
                <w:sz w:val="18"/>
                <w:szCs w:val="18"/>
              </w:rPr>
              <w:t>”</w:t>
            </w:r>
            <w:r>
              <w:rPr>
                <w:rFonts w:ascii="宋体" w:hAnsi="宋体" w:cs="宋体" w:eastAsia="宋体" w:hint="default"/>
                <w:sz w:val="18"/>
                <w:szCs w:val="18"/>
              </w:rPr>
              <w:t>的自愿性 </w:t>
            </w:r>
            <w:r>
              <w:rPr>
                <w:rFonts w:ascii="宋体" w:hAnsi="宋体" w:cs="宋体" w:eastAsia="宋体" w:hint="default"/>
                <w:spacing w:val="-3"/>
                <w:sz w:val="18"/>
                <w:szCs w:val="18"/>
              </w:rPr>
              <w:t>股份锁定承诺。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、公司控股股东润和</w:t>
            </w:r>
            <w:r>
              <w:rPr>
                <w:rFonts w:ascii="宋体" w:hAnsi="宋体" w:cs="宋体" w:eastAsia="宋体" w:hint="default"/>
                <w:sz w:val="18"/>
                <w:szCs w:val="18"/>
              </w:rPr>
              <w:t> </w:t>
            </w:r>
            <w:r>
              <w:rPr>
                <w:rFonts w:ascii="宋体" w:hAnsi="宋体" w:cs="宋体" w:eastAsia="宋体" w:hint="default"/>
                <w:spacing w:val="-3"/>
                <w:sz w:val="18"/>
                <w:szCs w:val="18"/>
              </w:rPr>
              <w:t>投资自愿做出如下承诺：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自润和软件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股东大会审议通过豁免上述自愿性股 份锁定承诺之日起至润和投资可交换 公司债券换股期限届满或润和投资可 交换公司债券全部完成换股之日止</w:t>
            </w:r>
          </w:p>
          <w:p>
            <w:pPr>
              <w:pStyle w:val="TableParagraph"/>
              <w:spacing w:line="314" w:lineRule="auto" w:before="22"/>
              <w:ind w:left="24" w:right="20"/>
              <w:jc w:val="both"/>
              <w:rPr>
                <w:rFonts w:ascii="宋体" w:hAnsi="宋体" w:cs="宋体" w:eastAsia="宋体" w:hint="default"/>
                <w:sz w:val="18"/>
                <w:szCs w:val="18"/>
              </w:rPr>
            </w:pPr>
            <w:r>
              <w:rPr>
                <w:rFonts w:ascii="宋体" w:hAnsi="宋体" w:cs="宋体" w:eastAsia="宋体" w:hint="default"/>
                <w:spacing w:val="-9"/>
                <w:sz w:val="18"/>
                <w:szCs w:val="18"/>
              </w:rPr>
              <w:t>（以先发生者为准），除可交换公司债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券换股外，不通过其他方式转让本公 司直接持有的润和软件股份。</w:t>
            </w:r>
            <w:r>
              <w:rPr>
                <w:rFonts w:ascii="Times New Roman" w:hAnsi="Times New Roman" w:cs="Times New Roman" w:eastAsia="Times New Roman" w:hint="default"/>
                <w:sz w:val="18"/>
                <w:szCs w:val="18"/>
              </w:rPr>
              <w:t>”2</w:t>
            </w:r>
            <w:r>
              <w:rPr>
                <w:rFonts w:ascii="宋体" w:hAnsi="宋体" w:cs="宋体" w:eastAsia="宋体" w:hint="default"/>
                <w:sz w:val="18"/>
                <w:szCs w:val="18"/>
              </w:rPr>
              <w:t>、公 司实际控制人周红卫和姚宁分别自愿 </w:t>
            </w:r>
            <w:r>
              <w:rPr>
                <w:rFonts w:ascii="宋体" w:hAnsi="宋体" w:cs="宋体" w:eastAsia="宋体" w:hint="default"/>
                <w:spacing w:val="-3"/>
                <w:sz w:val="18"/>
                <w:szCs w:val="18"/>
              </w:rPr>
              <w:t>做出如下承诺：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自润和软件股东大会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审议通过豁免上述自愿性股份锁定承 诺之日起至润和投资可交换公司债券 换股期限届满或润和投资可交换公司 债券全部完成换股之日止（以先发生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24" w:right="98"/>
              <w:jc w:val="both"/>
              <w:rPr>
                <w:rFonts w:ascii="宋体" w:hAnsi="宋体" w:cs="宋体" w:eastAsia="宋体" w:hint="default"/>
                <w:sz w:val="18"/>
                <w:szCs w:val="18"/>
              </w:rPr>
            </w:pPr>
            <w:r>
              <w:rPr>
                <w:rFonts w:ascii="宋体" w:hAnsi="宋体" w:cs="宋体" w:eastAsia="宋体" w:hint="default"/>
                <w:sz w:val="18"/>
                <w:szCs w:val="18"/>
              </w:rPr>
              <w:t>截至本报 告期末， 承诺人严 格履行承 诺，未出 现违反上 述承诺的 情况。</w:t>
            </w:r>
          </w:p>
        </w:tc>
      </w:tr>
    </w:tbl>
    <w:p>
      <w:pPr>
        <w:spacing w:after="0" w:line="316" w:lineRule="auto"/>
        <w:jc w:val="both"/>
        <w:rPr>
          <w:rFonts w:ascii="宋体" w:hAnsi="宋体" w:cs="宋体" w:eastAsia="宋体" w:hint="default"/>
          <w:sz w:val="18"/>
          <w:szCs w:val="18"/>
        </w:rPr>
        <w:sectPr>
          <w:pgSz w:w="11910" w:h="16840"/>
          <w:pgMar w:header="745" w:footer="979" w:top="1060" w:bottom="1160" w:left="60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562"/>
        <w:gridCol w:w="1417"/>
        <w:gridCol w:w="1277"/>
        <w:gridCol w:w="2977"/>
        <w:gridCol w:w="994"/>
        <w:gridCol w:w="1416"/>
        <w:gridCol w:w="852"/>
      </w:tblGrid>
      <w:tr>
        <w:trPr>
          <w:trHeight w:val="675" w:hRule="exact"/>
        </w:trPr>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者为准），不转让本人直接持有的润和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软件股份。</w:t>
            </w:r>
            <w:r>
              <w:rPr>
                <w:rFonts w:ascii="Times New Roman" w:hAnsi="Times New Roman" w:cs="Times New Roman" w:eastAsia="Times New Roman"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893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48" w:hRule="exact"/>
        </w:trPr>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5" w:right="84"/>
              <w:jc w:val="both"/>
              <w:rPr>
                <w:rFonts w:ascii="宋体" w:hAnsi="宋体" w:cs="宋体" w:eastAsia="宋体" w:hint="default"/>
                <w:sz w:val="18"/>
                <w:szCs w:val="18"/>
              </w:rPr>
            </w:pPr>
            <w:r>
              <w:rPr>
                <w:rFonts w:ascii="宋体" w:hAnsi="宋体" w:cs="宋体" w:eastAsia="宋体" w:hint="default"/>
                <w:sz w:val="18"/>
                <w:szCs w:val="18"/>
              </w:rPr>
              <w:t>如承诺超期未履行 完毕的，应当详细 说明未完成履行的 具体原因及下一步 的工作计划</w:t>
            </w:r>
          </w:p>
        </w:tc>
        <w:tc>
          <w:tcPr>
            <w:tcW w:w="8932" w:type="dxa"/>
            <w:gridSpan w:val="6"/>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8"/>
              <w:jc w:val="both"/>
              <w:rPr>
                <w:rFonts w:ascii="宋体" w:hAnsi="宋体" w:cs="宋体" w:eastAsia="宋体" w:hint="default"/>
                <w:sz w:val="18"/>
                <w:szCs w:val="18"/>
              </w:rPr>
            </w:pPr>
            <w:r>
              <w:rPr>
                <w:rFonts w:ascii="宋体" w:hAnsi="宋体" w:cs="宋体" w:eastAsia="宋体" w:hint="default"/>
                <w:sz w:val="18"/>
                <w:szCs w:val="18"/>
              </w:rPr>
              <w:t>宁波宏创、周帮建未能履行应收账款回款的补偿承诺，公司第五届董事会第五十三次会议及第五届监事会第三十 </w:t>
            </w:r>
            <w:r>
              <w:rPr>
                <w:rFonts w:ascii="宋体" w:hAnsi="宋体" w:cs="宋体" w:eastAsia="宋体" w:hint="default"/>
                <w:spacing w:val="-3"/>
                <w:sz w:val="18"/>
                <w:szCs w:val="18"/>
              </w:rPr>
              <w:t>一次会议，审议通过了《关于北京联创智融信息技术有限公司应收账款收回及补偿情况的议案》。在上述议案审议</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通过后，公司即以书面方式通知宁波宏创及周帮建本次补偿的事宜及补偿的具体数额、方式，要求宁波宏创在收 到该书面通知后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日内完成相应补偿，要求周帮建督促宁波宏创进行现金补偿、并对宁波宏创的所有补偿责任承 担连带保证责任。鉴于宁波宏创未能按时完成应收账款承诺补偿、周帮建未承担相应连带保证责任，为保障公司 和股东的利益，公司于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日向江苏省南京市中级人民法院递交了《起诉状》、《财产保全申请书》及</w:t>
            </w:r>
          </w:p>
          <w:p>
            <w:pPr>
              <w:pStyle w:val="TableParagraph"/>
              <w:spacing w:line="319" w:lineRule="auto" w:before="1"/>
              <w:ind w:left="23" w:right="30"/>
              <w:jc w:val="both"/>
              <w:rPr>
                <w:rFonts w:ascii="宋体" w:hAnsi="宋体" w:cs="宋体" w:eastAsia="宋体" w:hint="default"/>
                <w:sz w:val="18"/>
                <w:szCs w:val="18"/>
              </w:rPr>
            </w:pPr>
            <w:r>
              <w:rPr>
                <w:rFonts w:ascii="宋体" w:hAnsi="宋体" w:cs="宋体" w:eastAsia="宋体" w:hint="default"/>
                <w:sz w:val="18"/>
                <w:szCs w:val="18"/>
              </w:rPr>
              <w:t>《网络执行查控申请书》等资料，就履行应收账款回款承诺的补偿事宜起诉宁波宏创及周帮建，同时请求江苏省 南京市中级人民法院依法通过网络执行查控系统查询宁波宏创及周帮建名下的银行存款、不动产、车辆、股票等 信息，并请求对宁波宏创及周帮建上述名下价值人民币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万元的财产采取保全措施，江苏省南京市中级人民</w:t>
            </w:r>
          </w:p>
          <w:p>
            <w:pPr>
              <w:pStyle w:val="TableParagraph"/>
              <w:spacing w:line="246" w:lineRule="exact"/>
              <w:ind w:left="23" w:right="0"/>
              <w:jc w:val="both"/>
              <w:rPr>
                <w:rFonts w:ascii="宋体" w:hAnsi="宋体" w:cs="宋体" w:eastAsia="宋体" w:hint="default"/>
                <w:sz w:val="18"/>
                <w:szCs w:val="18"/>
              </w:rPr>
            </w:pPr>
            <w:r>
              <w:rPr>
                <w:rFonts w:ascii="宋体" w:hAnsi="宋体" w:cs="宋体" w:eastAsia="宋体" w:hint="default"/>
                <w:sz w:val="18"/>
                <w:szCs w:val="18"/>
              </w:rPr>
              <w:t>法院已立案并向公司送达了《受理案件通知书》及《民事裁定书》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2020</w:t>
            </w:r>
            <w:r>
              <w:rPr>
                <w:rFonts w:ascii="宋体" w:hAnsi="宋体" w:cs="宋体" w:eastAsia="宋体" w:hint="default"/>
                <w:sz w:val="18"/>
                <w:szCs w:val="18"/>
              </w:rPr>
              <w:t>）苏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民初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，裁定冻结被申请</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人宁波宏创、周帮建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亿元的银行存款或查封、扣押、冻结其相应价值的财产。上述案件尚未开庭审理。以上具</w:t>
            </w:r>
          </w:p>
          <w:p>
            <w:pPr>
              <w:pStyle w:val="TableParagraph"/>
              <w:spacing w:line="300" w:lineRule="auto" w:before="63"/>
              <w:ind w:left="23" w:right="29"/>
              <w:jc w:val="both"/>
              <w:rPr>
                <w:rFonts w:ascii="宋体" w:hAnsi="宋体" w:cs="宋体" w:eastAsia="宋体" w:hint="default"/>
                <w:sz w:val="18"/>
                <w:szCs w:val="18"/>
              </w:rPr>
            </w:pPr>
            <w:r>
              <w:rPr>
                <w:rFonts w:ascii="宋体" w:hAnsi="宋体" w:cs="宋体" w:eastAsia="宋体" w:hint="default"/>
                <w:sz w:val="18"/>
                <w:szCs w:val="18"/>
              </w:rPr>
              <w:t>体内容请详见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日在中国证监会指定的创业板信息披露网站 公告。</w:t>
            </w:r>
          </w:p>
        </w:tc>
      </w:tr>
    </w:tbl>
    <w:p>
      <w:pPr>
        <w:spacing w:line="240" w:lineRule="auto" w:before="10"/>
        <w:rPr>
          <w:rFonts w:ascii="Times New Roman" w:hAnsi="Times New Roman" w:cs="Times New Roman" w:eastAsia="Times New Roman" w:hint="default"/>
          <w:sz w:val="21"/>
          <w:szCs w:val="21"/>
        </w:rPr>
      </w:pPr>
    </w:p>
    <w:p>
      <w:pPr>
        <w:pStyle w:val="Heading3"/>
        <w:spacing w:line="314" w:lineRule="exact" w:before="30"/>
        <w:ind w:left="533" w:right="112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26"/>
        </w:rPr>
        <w:t> </w:t>
      </w:r>
      <w:r>
        <w:rPr>
          <w:spacing w:val="26"/>
        </w:rPr>
      </w:r>
      <w:r>
        <w:rPr/>
        <w:t>其原因做出说明</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ind w:left="533"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left="533" w:right="1123"/>
        <w:jc w:val="left"/>
        <w:rPr>
          <w:b w:val="0"/>
          <w:bCs w:val="0"/>
        </w:rPr>
      </w:pPr>
      <w:r>
        <w:rPr/>
        <w:t>三、控股股东及其关联方对上市公司的非经营性占用资金情况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left="533"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10"/>
        <w:rPr>
          <w:rFonts w:ascii="宋体" w:hAnsi="宋体" w:cs="宋体" w:eastAsia="宋体" w:hint="default"/>
          <w:sz w:val="13"/>
          <w:szCs w:val="13"/>
        </w:rPr>
      </w:pPr>
    </w:p>
    <w:p>
      <w:pPr>
        <w:pStyle w:val="Heading2"/>
        <w:spacing w:line="240" w:lineRule="auto"/>
        <w:ind w:left="533" w:right="1123"/>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left="533"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left="533" w:right="1123"/>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left="533"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left="533" w:right="1123"/>
        <w:jc w:val="left"/>
        <w:rPr>
          <w:b w:val="0"/>
          <w:bCs w:val="0"/>
        </w:rPr>
      </w:pPr>
      <w:r>
        <w:rPr/>
        <w:t>六、董事会关于报告期会计政策、会计估计变更或重大会计差错更正的说明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left="533"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1037" w:right="308"/>
        <w:jc w:val="left"/>
      </w:pPr>
      <w:r>
        <w:rPr/>
        <w:t>（</w:t>
      </w:r>
      <w:r>
        <w:rPr>
          <w:rFonts w:ascii="Times New Roman" w:hAnsi="Times New Roman" w:cs="Times New Roman" w:eastAsia="Times New Roman" w:hint="default"/>
        </w:rPr>
        <w:t>1</w:t>
      </w:r>
      <w:r>
        <w:rPr/>
        <w:t>）财政部分别于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w:t>
      </w:r>
      <w:r>
        <w:rPr>
          <w:spacing w:val="-26"/>
        </w:rPr>
        <w:t> </w:t>
      </w:r>
      <w:r>
        <w:rPr/>
        <w:t>发布了《关于修订印发</w:t>
      </w:r>
      <w:r>
        <w:rPr>
          <w:rFonts w:ascii="Times New Roman" w:hAnsi="Times New Roman" w:cs="Times New Roman" w:eastAsia="Times New Roman" w:hint="default"/>
        </w:rPr>
        <w:t>2019</w:t>
      </w:r>
      <w:r>
        <w:rPr/>
        <w:t>年度一般企业财务报表格式的通知》</w:t>
      </w:r>
    </w:p>
    <w:p>
      <w:pPr>
        <w:pStyle w:val="BodyText"/>
        <w:spacing w:line="300" w:lineRule="auto" w:before="63"/>
        <w:ind w:left="533" w:right="1127"/>
        <w:jc w:val="left"/>
      </w:pPr>
      <w:r>
        <w:rPr>
          <w:spacing w:val="-1"/>
        </w:rPr>
        <w:t>（财会</w:t>
      </w:r>
      <w:r>
        <w:rPr>
          <w:rFonts w:ascii="Times New Roman" w:hAnsi="Times New Roman" w:cs="Times New Roman" w:eastAsia="Times New Roman" w:hint="default"/>
          <w:spacing w:val="-1"/>
        </w:rPr>
        <w:t>[2019]6</w:t>
      </w:r>
      <w:r>
        <w:rPr>
          <w:spacing w:val="-1"/>
        </w:rPr>
        <w:t>号）和《关于修订印发合并财务报表格式（</w:t>
      </w:r>
      <w:r>
        <w:rPr>
          <w:rFonts w:ascii="Times New Roman" w:hAnsi="Times New Roman" w:cs="Times New Roman" w:eastAsia="Times New Roman" w:hint="default"/>
          <w:spacing w:val="-1"/>
        </w:rPr>
        <w:t>2019</w:t>
      </w:r>
      <w:r>
        <w:rPr>
          <w:spacing w:val="-1"/>
        </w:rPr>
        <w:t>版）的通知》（财会</w:t>
      </w:r>
      <w:r>
        <w:rPr>
          <w:rFonts w:ascii="Times New Roman" w:hAnsi="Times New Roman" w:cs="Times New Roman" w:eastAsia="Times New Roman" w:hint="default"/>
          <w:spacing w:val="-1"/>
        </w:rPr>
        <w:t>[2019]16</w:t>
      </w:r>
      <w:r>
        <w:rPr>
          <w:spacing w:val="-1"/>
        </w:rPr>
        <w:t>号），对一般企业财务报表格式</w:t>
      </w:r>
      <w:r>
        <w:rPr/>
        <w:t> 进行了修订。本公司已于</w:t>
      </w:r>
      <w:r>
        <w:rPr>
          <w:rFonts w:ascii="Times New Roman" w:hAnsi="Times New Roman" w:cs="Times New Roman" w:eastAsia="Times New Roman" w:hint="default"/>
        </w:rPr>
        <w:t>2019</w:t>
      </w:r>
      <w:r>
        <w:rPr/>
        <w:t>年按财政部的要求对财务报表格式及部分科目列报进行相应调整。</w:t>
      </w:r>
    </w:p>
    <w:p>
      <w:pPr>
        <w:pStyle w:val="BodyText"/>
        <w:spacing w:line="300" w:lineRule="auto" w:before="13"/>
        <w:ind w:left="533" w:right="1129" w:firstLine="504"/>
        <w:jc w:val="both"/>
      </w:pPr>
      <w:r>
        <w:rPr/>
        <w:t>（</w:t>
      </w:r>
      <w:r>
        <w:rPr>
          <w:rFonts w:ascii="Times New Roman" w:hAnsi="Times New Roman" w:cs="Times New Roman" w:eastAsia="Times New Roman" w:hint="default"/>
        </w:rPr>
        <w:t>2</w:t>
      </w:r>
      <w:r>
        <w:rPr/>
        <w:t>）执行新金融工具准则。本公司自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日起执行财政部</w:t>
      </w:r>
      <w:r>
        <w:rPr>
          <w:rFonts w:ascii="Times New Roman" w:hAnsi="Times New Roman" w:cs="Times New Roman" w:eastAsia="Times New Roman" w:hint="default"/>
        </w:rPr>
        <w:t>2017</w:t>
      </w:r>
      <w:r>
        <w:rPr/>
        <w:t>年修订的《企业会计准则第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 认和计量》、《企业会计准则第</w:t>
      </w:r>
      <w:r>
        <w:rPr>
          <w:rFonts w:ascii="Times New Roman" w:hAnsi="Times New Roman" w:cs="Times New Roman" w:eastAsia="Times New Roman" w:hint="default"/>
        </w:rPr>
        <w:t>23 </w:t>
      </w:r>
      <w:r>
        <w:rPr/>
        <w:t>号</w:t>
      </w:r>
      <w:r>
        <w:rPr>
          <w:rFonts w:ascii="Times New Roman" w:hAnsi="Times New Roman" w:cs="Times New Roman" w:eastAsia="Times New Roman" w:hint="default"/>
        </w:rPr>
        <w:t>—</w:t>
      </w:r>
      <w:r>
        <w:rPr/>
        <w:t>金融资产转移》、</w:t>
      </w:r>
      <w:r>
        <w:rPr>
          <w:spacing w:val="-38"/>
        </w:rPr>
        <w:t> </w:t>
      </w:r>
      <w:r>
        <w:rPr/>
        <w:t>《企业会计准则第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套期会计》和《企业会计准则第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 </w:t>
      </w:r>
      <w:r>
        <w:rPr>
          <w:spacing w:val="-2"/>
        </w:rPr>
        <w:t>金融工具列报》（以下简称</w:t>
      </w:r>
      <w:r>
        <w:rPr>
          <w:rFonts w:ascii="Times New Roman" w:hAnsi="Times New Roman" w:cs="Times New Roman" w:eastAsia="Times New Roman" w:hint="default"/>
          <w:spacing w:val="-2"/>
        </w:rPr>
        <w:t>“</w:t>
      </w:r>
      <w:r>
        <w:rPr>
          <w:spacing w:val="-2"/>
        </w:rPr>
        <w:t>新金融工具相关准则</w:t>
      </w:r>
      <w:r>
        <w:rPr>
          <w:rFonts w:ascii="Times New Roman" w:hAnsi="Times New Roman" w:cs="Times New Roman" w:eastAsia="Times New Roman" w:hint="default"/>
          <w:spacing w:val="-2"/>
        </w:rPr>
        <w:t>”</w:t>
      </w:r>
      <w:r>
        <w:rPr>
          <w:spacing w:val="-2"/>
        </w:rPr>
        <w:t>）。修订后的准则规定，对于首次执行日尚未终止确认的金融工具，之前</w:t>
      </w:r>
    </w:p>
    <w:p>
      <w:pPr>
        <w:spacing w:after="0" w:line="300" w:lineRule="auto"/>
        <w:jc w:val="both"/>
        <w:sectPr>
          <w:pgSz w:w="11910" w:h="16840"/>
          <w:pgMar w:header="745" w:footer="979" w:top="1060" w:bottom="1160" w:left="600" w:right="0"/>
        </w:sectPr>
      </w:pPr>
    </w:p>
    <w:p>
      <w:pPr>
        <w:spacing w:line="240" w:lineRule="auto" w:before="10"/>
        <w:rPr>
          <w:rFonts w:ascii="宋体" w:hAnsi="宋体" w:cs="宋体" w:eastAsia="宋体" w:hint="default"/>
          <w:sz w:val="25"/>
          <w:szCs w:val="25"/>
        </w:rPr>
      </w:pPr>
    </w:p>
    <w:p>
      <w:pPr>
        <w:pStyle w:val="BodyText"/>
        <w:spacing w:line="316" w:lineRule="auto" w:before="44"/>
        <w:ind w:right="0"/>
        <w:jc w:val="left"/>
      </w:pPr>
      <w:r>
        <w:rPr>
          <w:spacing w:val="-2"/>
        </w:rPr>
        <w:t>的确认和计量与修订后的准则要求不一致的，应当追溯调整。涉及前期比较财务报表数据与修订后的准则要求不一致的，无</w:t>
      </w:r>
      <w:r>
        <w:rPr>
          <w:spacing w:val="-63"/>
        </w:rPr>
        <w:t> </w:t>
      </w:r>
      <w:r>
        <w:rPr>
          <w:spacing w:val="-63"/>
        </w:rPr>
      </w:r>
      <w:r>
        <w:rPr/>
        <w:t>需调整。本公司不存在追溯调整事项。</w:t>
      </w:r>
    </w:p>
    <w:p>
      <w:pPr>
        <w:pStyle w:val="BodyText"/>
        <w:spacing w:line="300" w:lineRule="auto" w:before="19"/>
        <w:ind w:right="1132" w:firstLine="504"/>
        <w:jc w:val="both"/>
      </w:pPr>
      <w:r>
        <w:rPr/>
        <w:t>（</w:t>
      </w:r>
      <w:r>
        <w:rPr>
          <w:rFonts w:ascii="Times New Roman" w:hAnsi="Times New Roman" w:cs="Times New Roman" w:eastAsia="Times New Roman" w:hint="default"/>
        </w:rPr>
        <w:t>3</w:t>
      </w:r>
      <w:r>
        <w:rPr/>
        <w:t>）执行新债务重组及非货币性资产交换准则。本公司自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日起执行经修订的《企业会计准则第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 货币性资产交换》，自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日起执行经修订的《企业会计准则第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债务重组》。该项会计政策变更采用未来适 </w:t>
      </w:r>
      <w:r>
        <w:rPr>
          <w:spacing w:val="-2"/>
        </w:rPr>
        <w:t>用法处理，并根据准则的规定对于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日至准则实施日之间发生的非货币性资产交换和债务重组进行调整。本公司首</w:t>
      </w:r>
      <w:r>
        <w:rPr>
          <w:spacing w:val="-61"/>
        </w:rPr>
        <w:t> </w:t>
      </w:r>
      <w:r>
        <w:rPr>
          <w:spacing w:val="-61"/>
        </w:rPr>
      </w:r>
      <w:r>
        <w:rPr/>
        <w:t>次执行该准则对财务报表无影响。</w:t>
      </w:r>
    </w:p>
    <w:p>
      <w:pPr>
        <w:pStyle w:val="BodyText"/>
        <w:spacing w:line="240" w:lineRule="auto" w:before="31"/>
        <w:ind w:left="657" w:right="0"/>
        <w:jc w:val="left"/>
      </w:pPr>
      <w:r>
        <w:rPr/>
        <w:t>上述会计政策变更具体详见第十二节、五</w:t>
      </w:r>
      <w:r>
        <w:rPr>
          <w:rFonts w:ascii="Times New Roman" w:hAnsi="Times New Roman" w:cs="Times New Roman" w:eastAsia="Times New Roman" w:hint="default"/>
        </w:rPr>
        <w:t>“</w:t>
      </w:r>
      <w:r>
        <w:rPr/>
        <w:t>重要会计政策及会计估计</w:t>
      </w:r>
      <w:r>
        <w:rPr>
          <w:rFonts w:ascii="Times New Roman" w:hAnsi="Times New Roman" w:cs="Times New Roman" w:eastAsia="Times New Roman" w:hint="default"/>
        </w:rPr>
        <w:t>”</w:t>
      </w:r>
      <w:r>
        <w:rPr/>
        <w:t>之第</w:t>
      </w:r>
      <w:r>
        <w:rPr>
          <w:rFonts w:ascii="Times New Roman" w:hAnsi="Times New Roman" w:cs="Times New Roman" w:eastAsia="Times New Roman" w:hint="default"/>
        </w:rPr>
        <w:t>44</w:t>
      </w:r>
      <w:r>
        <w:rPr/>
        <w:t>项</w:t>
      </w:r>
      <w:r>
        <w:rPr>
          <w:rFonts w:ascii="Times New Roman" w:hAnsi="Times New Roman" w:cs="Times New Roman" w:eastAsia="Times New Roman" w:hint="default"/>
        </w:rPr>
        <w:t>“</w:t>
      </w:r>
      <w:r>
        <w:rPr/>
        <w:t>重要会计政策和会计估计变更</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七、与上年度财务报告相比，合并报表范围发生变化的情况说明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2"/>
        <w:ind w:left="657" w:right="0"/>
        <w:jc w:val="left"/>
      </w:pPr>
      <w:r>
        <w:rPr/>
        <w:t>详情见第十二节、八、合并范围的变更。</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八、聘任、解聘会计师事务所情况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容诚会计师事务所（特殊普通合伙）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汪玉寿、孔令莉、李丹</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汪玉寿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年、孔令莉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年、李丹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r>
    </w:tbl>
    <w:p>
      <w:pPr>
        <w:pStyle w:val="BodyText"/>
        <w:spacing w:line="240" w:lineRule="auto" w:before="49"/>
        <w:ind w:right="0"/>
        <w:jc w:val="left"/>
      </w:pPr>
      <w:r>
        <w:rPr/>
        <w:t>是否改聘会计师事务所</w:t>
      </w:r>
    </w:p>
    <w:p>
      <w:pPr>
        <w:pStyle w:val="BodyText"/>
        <w:spacing w:line="340" w:lineRule="auto" w:before="115"/>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九、年度报告披露后面临暂停上市和终止上市情况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十、破产重整相关事项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十一、重大诉讼、仲裁事项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after="0" w:line="3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十二、处罚及整改情况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70"/>
        <w:gridCol w:w="1366"/>
        <w:gridCol w:w="1368"/>
        <w:gridCol w:w="1366"/>
        <w:gridCol w:w="1366"/>
        <w:gridCol w:w="1366"/>
        <w:gridCol w:w="1371"/>
      </w:tblGrid>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93"/>
              <w:jc w:val="righ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76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江苏润和软件股 份有限公司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6"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年半年 度报告等定期报 告中，将募集资 金购买理财产品 产生的现金流采 用净额法计算， 会计政策使用不 当，造成现金流 量表中投资支付 的现金等科目披 露数据不准确。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中国证券监督管 理委员会江苏监 管局决定对公司 采取责令改正的 监督管理措施。 要求公司应当切 实整改，依据相 关规定采用适当 的会计政策编制 财务报表，并于 收到决定书之日 起</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日内向中国 证券监督管理委 员会江苏监管局 报送整改报告。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19"/>
              <w:ind w:left="24" w:right="29"/>
              <w:jc w:val="both"/>
              <w:rPr>
                <w:rFonts w:ascii="宋体" w:hAnsi="宋体" w:cs="宋体" w:eastAsia="宋体" w:hint="default"/>
                <w:sz w:val="18"/>
                <w:szCs w:val="18"/>
              </w:rPr>
            </w:pPr>
            <w:r>
              <w:rPr>
                <w:rFonts w:ascii="宋体" w:hAnsi="宋体" w:cs="宋体" w:eastAsia="宋体" w:hint="default"/>
                <w:sz w:val="18"/>
                <w:szCs w:val="18"/>
              </w:rPr>
              <w:t>《关于收到江苏 证监局行政监管 措施决定书的公 </w:t>
            </w:r>
            <w:r>
              <w:rPr>
                <w:rFonts w:ascii="宋体" w:hAnsi="宋体" w:cs="宋体" w:eastAsia="宋体" w:hint="default"/>
                <w:spacing w:val="-23"/>
                <w:sz w:val="18"/>
                <w:szCs w:val="18"/>
              </w:rPr>
              <w:t>告》（</w:t>
            </w:r>
            <w:r>
              <w:rPr>
                <w:rFonts w:ascii="Times New Roman" w:hAnsi="Times New Roman" w:cs="Times New Roman" w:eastAsia="Times New Roman" w:hint="default"/>
                <w:spacing w:val="-23"/>
                <w:sz w:val="18"/>
                <w:szCs w:val="18"/>
              </w:rPr>
              <w:t>2019-111</w:t>
            </w:r>
            <w:r>
              <w:rPr>
                <w:rFonts w:ascii="宋体" w:hAnsi="宋体" w:cs="宋体" w:eastAsia="宋体" w:hint="default"/>
                <w:spacing w:val="-23"/>
                <w:sz w:val="18"/>
                <w:szCs w:val="18"/>
              </w:rPr>
              <w:t>），</w:t>
            </w:r>
            <w:r>
              <w:rPr>
                <w:rFonts w:ascii="宋体" w:hAnsi="宋体" w:cs="宋体" w:eastAsia="宋体" w:hint="default"/>
                <w:spacing w:val="-80"/>
                <w:sz w:val="18"/>
                <w:szCs w:val="18"/>
              </w:rPr>
              <w:t> </w:t>
            </w:r>
            <w:r>
              <w:rPr>
                <w:rFonts w:ascii="宋体" w:hAnsi="宋体" w:cs="宋体" w:eastAsia="宋体" w:hint="default"/>
                <w:sz w:val="18"/>
                <w:szCs w:val="18"/>
              </w:rPr>
              <w:t>巨潮资讯网</w:t>
            </w:r>
          </w:p>
          <w:p>
            <w:pPr>
              <w:pStyle w:val="TableParagraph"/>
              <w:spacing w:line="362" w:lineRule="auto" w:before="63"/>
              <w:ind w:left="24" w:right="112"/>
              <w:jc w:val="both"/>
              <w:rPr>
                <w:rFonts w:ascii="Times New Roman" w:hAnsi="Times New Roman" w:cs="Times New Roman" w:eastAsia="Times New Roman" w:hint="default"/>
                <w:sz w:val="18"/>
                <w:szCs w:val="18"/>
              </w:rPr>
            </w:pPr>
            <w:r>
              <w:rPr>
                <w:rFonts w:ascii="Times New Roman"/>
                <w:spacing w:val="-1"/>
                <w:sz w:val="18"/>
              </w:rPr>
              <w:t>http://www.cninf</w:t>
            </w:r>
            <w:r>
              <w:rPr>
                <w:rFonts w:ascii="Times New Roman"/>
                <w:sz w:val="18"/>
              </w:rPr>
              <w:t> o.com.cn</w:t>
            </w:r>
          </w:p>
        </w:tc>
      </w:tr>
      <w:tr>
        <w:trPr>
          <w:trHeight w:val="753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周红卫、姚宁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48"/>
              <w:jc w:val="left"/>
              <w:rPr>
                <w:rFonts w:ascii="宋体" w:hAnsi="宋体" w:cs="宋体" w:eastAsia="宋体" w:hint="default"/>
                <w:sz w:val="18"/>
                <w:szCs w:val="18"/>
              </w:rPr>
            </w:pPr>
            <w:r>
              <w:rPr>
                <w:rFonts w:ascii="宋体" w:hAnsi="宋体" w:cs="宋体" w:eastAsia="宋体" w:hint="default"/>
                <w:sz w:val="18"/>
                <w:szCs w:val="18"/>
              </w:rPr>
              <w:t>公司实际控制人 及董事周红卫及 姚宁，在《首次 公开发行股票并 在创业板上市招 股说明书》中承 诺</w:t>
            </w:r>
            <w:r>
              <w:rPr>
                <w:rFonts w:ascii="Times New Roman" w:hAnsi="Times New Roman" w:cs="Times New Roman" w:eastAsia="Times New Roman" w:hint="default"/>
                <w:sz w:val="18"/>
                <w:szCs w:val="18"/>
              </w:rPr>
              <w:t>“</w:t>
            </w:r>
            <w:r>
              <w:rPr>
                <w:rFonts w:ascii="宋体" w:hAnsi="宋体" w:cs="宋体" w:eastAsia="宋体" w:hint="default"/>
                <w:sz w:val="18"/>
                <w:szCs w:val="18"/>
              </w:rPr>
              <w:t>在担任公司 的董事、监事或 高级管理人员期 间，每年转让的 股份不超过其直 接或间接持有公 司股份总数的百 </w:t>
            </w:r>
            <w:r>
              <w:rPr>
                <w:rFonts w:ascii="宋体" w:hAnsi="宋体" w:cs="宋体" w:eastAsia="宋体" w:hint="default"/>
                <w:spacing w:val="-8"/>
                <w:sz w:val="18"/>
                <w:szCs w:val="18"/>
              </w:rPr>
              <w:t>分之二十五</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。报</w:t>
            </w:r>
            <w:r>
              <w:rPr>
                <w:rFonts w:ascii="宋体" w:hAnsi="宋体" w:cs="宋体" w:eastAsia="宋体" w:hint="default"/>
                <w:spacing w:val="-85"/>
                <w:sz w:val="18"/>
                <w:szCs w:val="18"/>
              </w:rPr>
              <w:t> </w:t>
            </w:r>
            <w:r>
              <w:rPr>
                <w:rFonts w:ascii="宋体" w:hAnsi="宋体" w:cs="宋体" w:eastAsia="宋体" w:hint="default"/>
                <w:sz w:val="18"/>
                <w:szCs w:val="18"/>
              </w:rPr>
              <w:t>告期内，上述人</w:t>
            </w:r>
            <w:r>
              <w:rPr>
                <w:rFonts w:ascii="宋体" w:hAnsi="宋体" w:cs="宋体" w:eastAsia="宋体" w:hint="default"/>
                <w:sz w:val="18"/>
                <w:szCs w:val="18"/>
              </w:rPr>
              <w:t> 员股份转让中， 由于润和投资因 可交换公司债券 换股而累计被动 减持公司股份 </w:t>
            </w:r>
            <w:r>
              <w:rPr>
                <w:rFonts w:ascii="Times New Roman" w:hAnsi="Times New Roman" w:cs="Times New Roman" w:eastAsia="Times New Roman" w:hint="default"/>
                <w:sz w:val="18"/>
                <w:szCs w:val="18"/>
              </w:rPr>
              <w:t>29,374,998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w:t>
            </w:r>
          </w:p>
          <w:p>
            <w:pPr>
              <w:pStyle w:val="TableParagraph"/>
              <w:spacing w:line="316" w:lineRule="auto"/>
              <w:ind w:left="26" w:right="71"/>
              <w:jc w:val="both"/>
              <w:rPr>
                <w:rFonts w:ascii="宋体" w:hAnsi="宋体" w:cs="宋体" w:eastAsia="宋体" w:hint="default"/>
                <w:sz w:val="18"/>
                <w:szCs w:val="18"/>
              </w:rPr>
            </w:pPr>
            <w:r>
              <w:rPr>
                <w:rFonts w:ascii="宋体" w:hAnsi="宋体" w:cs="宋体" w:eastAsia="宋体" w:hint="default"/>
                <w:sz w:val="18"/>
                <w:szCs w:val="18"/>
              </w:rPr>
              <w:t>导致周红卫、姚 宁被动间接超额 减持公司股份，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16" w:lineRule="auto"/>
              <w:ind w:left="23" w:right="70"/>
              <w:jc w:val="both"/>
              <w:rPr>
                <w:rFonts w:ascii="宋体" w:hAnsi="宋体" w:cs="宋体" w:eastAsia="宋体" w:hint="default"/>
                <w:sz w:val="18"/>
                <w:szCs w:val="18"/>
              </w:rPr>
            </w:pPr>
            <w:r>
              <w:rPr>
                <w:rFonts w:ascii="宋体" w:hAnsi="宋体" w:cs="宋体" w:eastAsia="宋体" w:hint="default"/>
                <w:sz w:val="18"/>
                <w:szCs w:val="18"/>
              </w:rPr>
              <w:t>中国证券监督管 理委员会江苏监 管局决定对周红 卫、姚宁采取出 具警示函的监督 管理措施，予以 警示。要求周红 卫、姚宁应当认 真吸取教训，加 强对证券法律法 规的学习，严格 遵守相关承诺， 规范减持公司股 份的行为，杜绝 此类事件再次发 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70"/>
        <w:gridCol w:w="1366"/>
        <w:gridCol w:w="1368"/>
        <w:gridCol w:w="1366"/>
        <w:gridCol w:w="1366"/>
        <w:gridCol w:w="1366"/>
        <w:gridCol w:w="1371"/>
      </w:tblGrid>
      <w:tr>
        <w:trPr>
          <w:trHeight w:val="987"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71"/>
              <w:jc w:val="both"/>
              <w:rPr>
                <w:rFonts w:ascii="宋体" w:hAnsi="宋体" w:cs="宋体" w:eastAsia="宋体" w:hint="default"/>
                <w:sz w:val="18"/>
                <w:szCs w:val="18"/>
              </w:rPr>
            </w:pPr>
            <w:r>
              <w:rPr>
                <w:rFonts w:ascii="宋体" w:hAnsi="宋体" w:cs="宋体" w:eastAsia="宋体" w:hint="default"/>
                <w:sz w:val="18"/>
                <w:szCs w:val="18"/>
              </w:rPr>
              <w:t>违反了在招股说 明书中作出的公 开自愿性承诺。</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整改情况说明</w:t>
      </w:r>
    </w:p>
    <w:p>
      <w:pPr>
        <w:pStyle w:val="BodyText"/>
        <w:spacing w:line="319"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月收到中国证券监督管理委员会江苏监管局（以下简称</w:t>
      </w:r>
      <w:r>
        <w:rPr>
          <w:rFonts w:ascii="Times New Roman" w:hAnsi="Times New Roman" w:cs="Times New Roman" w:eastAsia="Times New Roman" w:hint="default"/>
        </w:rPr>
        <w:t>“</w:t>
      </w:r>
      <w:r>
        <w:rPr/>
        <w:t>江苏证监局</w:t>
      </w:r>
      <w:r>
        <w:rPr>
          <w:rFonts w:ascii="Times New Roman" w:hAnsi="Times New Roman" w:cs="Times New Roman" w:eastAsia="Times New Roman" w:hint="default"/>
        </w:rPr>
        <w:t>”</w:t>
      </w:r>
      <w:r>
        <w:rPr/>
        <w:t>）出具的《江苏证监局关于对江苏 润和软件股份有限公司采取责令改正措施的决定》（</w:t>
      </w:r>
      <w:r>
        <w:rPr>
          <w:rFonts w:ascii="Times New Roman" w:hAnsi="Times New Roman" w:cs="Times New Roman" w:eastAsia="Times New Roman" w:hint="default"/>
        </w:rPr>
        <w:t>[2019]109</w:t>
      </w:r>
      <w:r>
        <w:rPr/>
        <w:t>号），文中指出公司</w:t>
      </w:r>
      <w:r>
        <w:rPr>
          <w:rFonts w:ascii="Times New Roman" w:hAnsi="Times New Roman" w:cs="Times New Roman" w:eastAsia="Times New Roman" w:hint="default"/>
        </w:rPr>
        <w:t>2019</w:t>
      </w:r>
      <w:r>
        <w:rPr/>
        <w:t>年半年度报告等定期报告中，将募</w:t>
      </w:r>
    </w:p>
    <w:p>
      <w:pPr>
        <w:pStyle w:val="BodyText"/>
        <w:spacing w:line="307" w:lineRule="auto"/>
        <w:ind w:right="1128"/>
        <w:jc w:val="both"/>
      </w:pPr>
      <w:r>
        <w:rPr>
          <w:spacing w:val="-2"/>
        </w:rPr>
        <w:t>集资金购买理财产品产生的现金流采用净额法计算，会计政策使用不当，造成现金流量表中投资支付的现金等科目披露数据</w:t>
      </w:r>
      <w:r>
        <w:rPr>
          <w:spacing w:val="-64"/>
        </w:rPr>
        <w:t> </w:t>
      </w:r>
      <w:r>
        <w:rPr>
          <w:spacing w:val="-64"/>
        </w:rPr>
      </w:r>
      <w:r>
        <w:rPr>
          <w:spacing w:val="-2"/>
        </w:rPr>
        <w:t>不准确。江苏证监局决定对公司采取责令改正的监督管理措施，要求公司应当切实整改，依据相关规定采用适当的会计政策</w:t>
      </w:r>
      <w:r>
        <w:rPr>
          <w:spacing w:val="-65"/>
        </w:rPr>
        <w:t> </w:t>
      </w:r>
      <w:r>
        <w:rPr>
          <w:spacing w:val="-65"/>
        </w:rPr>
      </w:r>
      <w:r>
        <w:rPr>
          <w:spacing w:val="-2"/>
        </w:rPr>
        <w:t>编制财务报表，并于收到决定书之日起</w:t>
      </w:r>
      <w:r>
        <w:rPr>
          <w:rFonts w:ascii="Times New Roman" w:hAnsi="Times New Roman" w:cs="Times New Roman" w:eastAsia="Times New Roman" w:hint="default"/>
          <w:spacing w:val="-2"/>
        </w:rPr>
        <w:t>30</w:t>
      </w:r>
      <w:r>
        <w:rPr>
          <w:spacing w:val="-2"/>
        </w:rPr>
        <w:t>日内向江苏证监局报送整改报告。公司高度重视上述问题，严格按照相关要求，切</w:t>
      </w:r>
      <w:r>
        <w:rPr>
          <w:spacing w:val="-63"/>
        </w:rPr>
        <w:t> </w:t>
      </w:r>
      <w:r>
        <w:rPr>
          <w:spacing w:val="-63"/>
        </w:rPr>
      </w:r>
      <w:r>
        <w:rPr/>
        <w:t>实整改，依据相关规定采用适当的会计政策编制财务报表，在规定时间内报送整改报告，并于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日披露了《关于 </w:t>
      </w:r>
      <w:r>
        <w:rPr>
          <w:rFonts w:ascii="Times New Roman" w:hAnsi="Times New Roman" w:cs="Times New Roman" w:eastAsia="Times New Roman" w:hint="default"/>
          <w:spacing w:val="-2"/>
        </w:rPr>
        <w:t>2019</w:t>
      </w:r>
      <w:r>
        <w:rPr>
          <w:spacing w:val="-2"/>
        </w:rPr>
        <w:t>年半年度报告的更正公告》。公司将加大内控治理力度，组织和督促相关人员认真学习相关法律法规和规范性文件，履</w:t>
      </w:r>
      <w:r>
        <w:rPr>
          <w:spacing w:val="-64"/>
        </w:rPr>
        <w:t> </w:t>
      </w:r>
      <w:r>
        <w:rPr>
          <w:spacing w:val="-64"/>
        </w:rPr>
      </w:r>
      <w:r>
        <w:rPr>
          <w:spacing w:val="-2"/>
        </w:rPr>
        <w:t>行勤勉尽责义务，不断提高规范运作意识和信息披露质量，切实维护全体股东权益。以上具体内容请详见</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日和</w:t>
      </w:r>
      <w:r>
        <w:rPr>
          <w:spacing w:val="-58"/>
        </w:rPr>
        <w:t> </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日在中国证监会指定的创业板信息披露网站公告。</w:t>
      </w:r>
    </w:p>
    <w:p>
      <w:pPr>
        <w:pStyle w:val="BodyText"/>
        <w:spacing w:line="304" w:lineRule="auto" w:before="7"/>
        <w:ind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2</w:t>
      </w: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18</w:t>
      </w:r>
      <w:r>
        <w:rPr>
          <w:spacing w:val="-3"/>
        </w:rPr>
        <w:t>日召开了第五届董事会第四十九次会议和第五届监事会第二十九次会议，于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8</w:t>
      </w:r>
      <w:r>
        <w:rPr>
          <w:spacing w:val="-3"/>
        </w:rPr>
        <w:t>日召开了</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t>年第三次临时股东大会，分别审议通过了《关于豁免实际控制人自愿性股份锁定承诺的议案》，同意豁免周红卫、姚宁</w:t>
      </w:r>
      <w:r>
        <w:rPr>
          <w:rFonts w:ascii="Times New Roman" w:hAnsi="Times New Roman" w:cs="Times New Roman" w:eastAsia="Times New Roman" w:hint="default"/>
        </w:rPr>
        <w:t>“</w:t>
      </w:r>
      <w:r>
        <w:rPr/>
        <w:t>在 担任公司的董事、监事或高级管理人员期间，每年转让的股份不超过其间接持有公司股份总数的百分之二十五</w:t>
      </w:r>
      <w:r>
        <w:rPr>
          <w:rFonts w:ascii="Times New Roman" w:hAnsi="Times New Roman" w:cs="Times New Roman" w:eastAsia="Times New Roman" w:hint="default"/>
        </w:rPr>
        <w:t>”</w:t>
      </w:r>
      <w:r>
        <w:rPr/>
        <w:t>的自愿性股 份锁定承诺，同时，公司控股股东润和投资自愿做出承诺：</w:t>
      </w:r>
      <w:r>
        <w:rPr>
          <w:rFonts w:ascii="Times New Roman" w:hAnsi="Times New Roman" w:cs="Times New Roman" w:eastAsia="Times New Roman" w:hint="default"/>
        </w:rPr>
        <w:t>“</w:t>
      </w:r>
      <w:r>
        <w:rPr/>
        <w:t>自润和软件股东大会审议通过豁免上述自愿性股份锁定承诺之 </w:t>
      </w:r>
      <w:r>
        <w:rPr>
          <w:spacing w:val="-2"/>
        </w:rPr>
        <w:t>日起至润和投资可交换公司债券换股期限届满或润和投资可交换公司债券全部完成换股之日止（以先发生者为准），除可交</w:t>
      </w:r>
      <w:r>
        <w:rPr>
          <w:spacing w:val="-66"/>
        </w:rPr>
        <w:t> </w:t>
      </w:r>
      <w:r>
        <w:rPr>
          <w:spacing w:val="-66"/>
        </w:rPr>
      </w:r>
      <w:r>
        <w:rPr>
          <w:spacing w:val="-2"/>
        </w:rPr>
        <w:t>换公司债券换股外，不通过其他方式转让本公司直接持有的润和软件股份。</w:t>
      </w:r>
      <w:r>
        <w:rPr>
          <w:rFonts w:ascii="Times New Roman" w:hAnsi="Times New Roman" w:cs="Times New Roman" w:eastAsia="Times New Roman" w:hint="default"/>
          <w:spacing w:val="-2"/>
        </w:rPr>
        <w:t>”</w:t>
      </w:r>
      <w:r>
        <w:rPr>
          <w:spacing w:val="-2"/>
        </w:rPr>
        <w:t>周红卫及姚宁自愿做出承诺：</w:t>
      </w:r>
      <w:r>
        <w:rPr>
          <w:rFonts w:ascii="Times New Roman" w:hAnsi="Times New Roman" w:cs="Times New Roman" w:eastAsia="Times New Roman" w:hint="default"/>
          <w:spacing w:val="-2"/>
        </w:rPr>
        <w:t>“</w:t>
      </w:r>
      <w:r>
        <w:rPr>
          <w:spacing w:val="-2"/>
        </w:rPr>
        <w:t>自润和软件股东</w:t>
      </w:r>
      <w:r>
        <w:rPr>
          <w:spacing w:val="-42"/>
        </w:rPr>
        <w:t> </w:t>
      </w:r>
      <w:r>
        <w:rPr>
          <w:spacing w:val="-42"/>
        </w:rPr>
      </w:r>
      <w:r>
        <w:rPr/>
        <w:t>大会审议通过豁免上述自愿性股份锁定承诺之日起至润和投资可交换公司债券换股期限届满或润和投资可交换公司债券全 部完成换股之日止（以先发生者为准），不转让本人直接持有的润和软件股份。</w:t>
      </w:r>
      <w:r>
        <w:rPr>
          <w:rFonts w:ascii="Times New Roman" w:hAnsi="Times New Roman" w:cs="Times New Roman" w:eastAsia="Times New Roman" w:hint="default"/>
        </w:rPr>
        <w:t>”</w:t>
      </w:r>
    </w:p>
    <w:p>
      <w:pPr>
        <w:pStyle w:val="BodyText"/>
        <w:spacing w:line="240" w:lineRule="auto" w:before="50"/>
        <w:ind w:right="0"/>
        <w:jc w:val="left"/>
      </w:pPr>
      <w:r>
        <w:rPr/>
        <w:t>董事、监事、高级管理人员、持股</w:t>
      </w:r>
      <w:r>
        <w:rPr>
          <w:spacing w:val="-45"/>
        </w:rPr>
        <w:t> </w:t>
      </w:r>
      <w:r>
        <w:rPr>
          <w:rFonts w:ascii="Times New Roman" w:hAnsi="Times New Roman" w:cs="Times New Roman" w:eastAsia="Times New Roman" w:hint="default"/>
        </w:rPr>
        <w:t>5%</w:t>
      </w:r>
      <w:r>
        <w:rPr/>
        <w:t>以上的股东违规买卖公司股票情况</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十三、公司及其控股股东、实际控制人的诚信状况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19" w:lineRule="auto" w:before="103"/>
        <w:ind w:right="7873"/>
        <w:jc w:val="left"/>
      </w:pPr>
      <w:r>
        <w:rPr/>
        <w:t>（一）员工持股计划 已履行的相关审批程序及总体情况：</w:t>
      </w:r>
    </w:p>
    <w:p>
      <w:pPr>
        <w:pStyle w:val="BodyText"/>
        <w:spacing w:line="240" w:lineRule="auto" w:before="17"/>
        <w:ind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日，公司披露了关于筹划员工持股计划的提示性公告。</w:t>
      </w:r>
    </w:p>
    <w:p>
      <w:pPr>
        <w:pStyle w:val="BodyText"/>
        <w:spacing w:line="304" w:lineRule="auto" w:before="63"/>
        <w:ind w:right="1129"/>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日，公司召开第五届董事会第十二次会议，审议并通过了《关于</w:t>
      </w:r>
      <w:r>
        <w:rPr>
          <w:rFonts w:ascii="Times New Roman" w:hAnsi="Times New Roman" w:cs="Times New Roman" w:eastAsia="Times New Roman" w:hint="default"/>
        </w:rPr>
        <w:t>&lt;</w:t>
      </w:r>
      <w:r>
        <w:rPr/>
        <w:t>江苏润和软件股份有限公司第一期员工 持股计划（草案）</w:t>
      </w:r>
      <w:r>
        <w:rPr>
          <w:rFonts w:ascii="Times New Roman" w:hAnsi="Times New Roman" w:cs="Times New Roman" w:eastAsia="Times New Roman" w:hint="default"/>
        </w:rPr>
        <w:t>&gt;</w:t>
      </w:r>
      <w:r>
        <w:rPr/>
        <w:t>及其摘要的议案》、《关于提请股东大会授权董事会办理江苏润和软件股份有限公司第一期员工持股计 </w:t>
      </w:r>
      <w:r>
        <w:rPr>
          <w:spacing w:val="-2"/>
        </w:rPr>
        <w:t>划相关事宜的议案》、《江苏润和软件股份有限公司第一期员工持股计划管理办法》三项议案，公司独立董事对上述事项发</w:t>
      </w:r>
      <w:r>
        <w:rPr>
          <w:spacing w:val="-65"/>
        </w:rPr>
        <w:t> </w:t>
      </w:r>
      <w:r>
        <w:rPr>
          <w:spacing w:val="-65"/>
        </w:rPr>
      </w:r>
      <w:r>
        <w:rPr/>
        <w:t>表了一致同意的独立意见；同日，公司召开第五届监事会第九次会议，审议并通过了《关于</w:t>
      </w:r>
      <w:r>
        <w:rPr>
          <w:rFonts w:ascii="Times New Roman" w:hAnsi="Times New Roman" w:cs="Times New Roman" w:eastAsia="Times New Roman" w:hint="default"/>
        </w:rPr>
        <w:t>&lt;</w:t>
      </w:r>
      <w:r>
        <w:rPr/>
        <w:t>江苏润和软件股份有限公司第 一期员工持股计划（草案）</w:t>
      </w:r>
      <w:r>
        <w:rPr>
          <w:rFonts w:ascii="Times New Roman" w:hAnsi="Times New Roman" w:cs="Times New Roman" w:eastAsia="Times New Roman" w:hint="default"/>
        </w:rPr>
        <w:t>&gt;</w:t>
      </w:r>
      <w:r>
        <w:rPr/>
        <w:t>及其摘要的议案》和《关于核查公司第一期员工持股计划持有人名单及其份额分配的议案》。</w:t>
      </w:r>
    </w:p>
    <w:p>
      <w:pPr>
        <w:pStyle w:val="BodyText"/>
        <w:spacing w:line="300" w:lineRule="auto" w:before="9"/>
        <w:ind w:right="1111"/>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日，公司召开</w:t>
      </w:r>
      <w:r>
        <w:rPr>
          <w:rFonts w:ascii="Times New Roman" w:hAnsi="Times New Roman" w:cs="Times New Roman" w:eastAsia="Times New Roman" w:hint="default"/>
        </w:rPr>
        <w:t>2016</w:t>
      </w:r>
      <w:r>
        <w:rPr/>
        <w:t>年第五次临时股东大会，审议通过了《关于</w:t>
      </w:r>
      <w:r>
        <w:rPr>
          <w:rFonts w:ascii="Times New Roman" w:hAnsi="Times New Roman" w:cs="Times New Roman" w:eastAsia="Times New Roman" w:hint="default"/>
        </w:rPr>
        <w:t>&lt;</w:t>
      </w:r>
      <w:r>
        <w:rPr/>
        <w:t>江苏润和软件股份有限公司第一期员工 持股计划（草案）</w:t>
      </w:r>
      <w:r>
        <w:rPr>
          <w:rFonts w:ascii="Times New Roman" w:hAnsi="Times New Roman" w:cs="Times New Roman" w:eastAsia="Times New Roman" w:hint="default"/>
        </w:rPr>
        <w:t>&gt;</w:t>
      </w:r>
      <w:r>
        <w:rPr/>
        <w:t>及其摘要的议案》、《关于提请股东大会授权董事会办理江苏润和软件股份有限公司第一期员工持股计 划相关事宜的议案》、《江苏润和软件股份有限公司第一期员工持股计划管理办法》等议案。</w:t>
      </w:r>
    </w:p>
    <w:p>
      <w:pPr>
        <w:pStyle w:val="BodyText"/>
        <w:spacing w:line="240" w:lineRule="auto" w:before="31"/>
        <w:ind w:right="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日，公司召开第一期员工持股计划首次持有人会议，审议通过了《关于设立公司第一期员工持股计划管</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2"/>
        <w:jc w:val="both"/>
      </w:pPr>
      <w:r>
        <w:rPr>
          <w:spacing w:val="-2"/>
        </w:rPr>
        <w:t>理委员会的议案》、《关于选举公司第一期员工持股计划管理委员会委员的议案》和《关于员工持股计划持有人会议授权员</w:t>
      </w:r>
      <w:r>
        <w:rPr>
          <w:spacing w:val="-65"/>
        </w:rPr>
        <w:t> </w:t>
      </w:r>
      <w:r>
        <w:rPr>
          <w:spacing w:val="-65"/>
        </w:rPr>
      </w:r>
      <w:r>
        <w:rPr>
          <w:spacing w:val="-2"/>
        </w:rPr>
        <w:t>工持股计划管理委员会办理公司第一期员工持股计划相关事宜的议案》；同日，公司召开了第一期员工持股计划管理委员会</w:t>
      </w:r>
      <w:r>
        <w:rPr>
          <w:spacing w:val="-66"/>
        </w:rPr>
        <w:t> </w:t>
      </w:r>
      <w:r>
        <w:rPr>
          <w:spacing w:val="-66"/>
        </w:rPr>
      </w:r>
      <w:r>
        <w:rPr/>
        <w:t>首次会议，审议并通过了《关于选举第一期员工持股计划管理委员会主任的议案》。</w:t>
      </w:r>
    </w:p>
    <w:p>
      <w:pPr>
        <w:pStyle w:val="BodyText"/>
        <w:spacing w:line="300" w:lineRule="auto" w:before="19"/>
        <w:ind w:right="1033"/>
        <w:jc w:val="left"/>
      </w:pPr>
      <w:r>
        <w:rPr>
          <w:spacing w:val="-4"/>
        </w:rPr>
        <w:t>（</w:t>
      </w:r>
      <w:r>
        <w:rPr>
          <w:rFonts w:ascii="Times New Roman" w:hAnsi="Times New Roman" w:cs="Times New Roman" w:eastAsia="Times New Roman" w:hint="default"/>
          <w:spacing w:val="-4"/>
        </w:rPr>
        <w:t>5</w:t>
      </w:r>
      <w:r>
        <w:rPr>
          <w:spacing w:val="-4"/>
        </w:rPr>
        <w:t>）</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3</w:t>
      </w:r>
      <w:r>
        <w:rPr>
          <w:spacing w:val="-4"/>
        </w:rPr>
        <w:t>日，公司披露了《兴业国际信托有限公司兴业信托</w:t>
      </w:r>
      <w:r>
        <w:rPr>
          <w:rFonts w:ascii="Times New Roman" w:hAnsi="Times New Roman" w:cs="Times New Roman" w:eastAsia="Times New Roman" w:hint="default"/>
          <w:spacing w:val="-4"/>
        </w:rPr>
        <w:t>-</w:t>
      </w:r>
      <w:r>
        <w:rPr>
          <w:spacing w:val="-4"/>
        </w:rPr>
        <w:t>润和软件</w:t>
      </w:r>
      <w:r>
        <w:rPr>
          <w:rFonts w:ascii="Times New Roman" w:hAnsi="Times New Roman" w:cs="Times New Roman" w:eastAsia="Times New Roman" w:hint="default"/>
          <w:spacing w:val="-4"/>
        </w:rPr>
        <w:t>1</w:t>
      </w:r>
      <w:r>
        <w:rPr>
          <w:spacing w:val="-4"/>
        </w:rPr>
        <w:t>号员工持股集合资金信托计划资金信托合同》。</w:t>
      </w:r>
      <w:r>
        <w:rPr>
          <w:spacing w:val="-87"/>
        </w:rPr>
        <w:t> </w:t>
      </w:r>
      <w:r>
        <w:rPr>
          <w:spacing w:val="-87"/>
        </w:rPr>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日，公司披露了第一期员工持股计划实施进展公告。</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16</w:t>
      </w:r>
      <w:r>
        <w:rPr>
          <w:spacing w:val="-2"/>
        </w:rPr>
        <w:t>日，公司披露了第一期员工持股计划完成股票</w:t>
      </w:r>
      <w:r>
        <w:rPr>
          <w:spacing w:val="-58"/>
        </w:rPr>
        <w:t> </w:t>
      </w:r>
      <w:r>
        <w:rPr>
          <w:spacing w:val="-58"/>
        </w:rPr>
      </w:r>
      <w:r>
        <w:rPr>
          <w:spacing w:val="-2"/>
        </w:rPr>
        <w:t>购买的公告，截至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15</w:t>
      </w:r>
      <w:r>
        <w:rPr>
          <w:spacing w:val="-2"/>
        </w:rPr>
        <w:t>日，兴业信托</w:t>
      </w:r>
      <w:r>
        <w:rPr>
          <w:rFonts w:ascii="Times New Roman" w:hAnsi="Times New Roman" w:cs="Times New Roman" w:eastAsia="Times New Roman" w:hint="default"/>
          <w:spacing w:val="-2"/>
        </w:rPr>
        <w:t>—</w:t>
      </w:r>
      <w:r>
        <w:rPr>
          <w:spacing w:val="-2"/>
        </w:rPr>
        <w:t>润和软件</w:t>
      </w:r>
      <w:r>
        <w:rPr>
          <w:rFonts w:ascii="Times New Roman" w:hAnsi="Times New Roman" w:cs="Times New Roman" w:eastAsia="Times New Roman" w:hint="default"/>
          <w:spacing w:val="-2"/>
        </w:rPr>
        <w:t>1</w:t>
      </w:r>
      <w:r>
        <w:rPr>
          <w:spacing w:val="-2"/>
        </w:rPr>
        <w:t>号员工持股集合资金信托计划已通过深圳证券交易所交易系统累计</w:t>
      </w:r>
      <w:r>
        <w:rPr>
          <w:spacing w:val="-64"/>
        </w:rPr>
        <w:t> </w:t>
      </w:r>
      <w:r>
        <w:rPr>
          <w:spacing w:val="-64"/>
        </w:rPr>
      </w:r>
      <w:r>
        <w:rPr/>
        <w:t>购买公司股票</w:t>
      </w:r>
      <w:r>
        <w:rPr>
          <w:rFonts w:ascii="Times New Roman" w:hAnsi="Times New Roman" w:cs="Times New Roman" w:eastAsia="Times New Roman" w:hint="default"/>
        </w:rPr>
        <w:t>10,548,038</w:t>
      </w:r>
      <w:r>
        <w:rPr/>
        <w:t>股，占公司总股本比例约为</w:t>
      </w:r>
      <w:r>
        <w:rPr>
          <w:rFonts w:ascii="Times New Roman" w:hAnsi="Times New Roman" w:cs="Times New Roman" w:eastAsia="Times New Roman" w:hint="default"/>
        </w:rPr>
        <w:t>2.95%</w:t>
      </w:r>
      <w:r>
        <w:rPr/>
        <w:t>，成交均价约为人民币</w:t>
      </w:r>
      <w:r>
        <w:rPr>
          <w:rFonts w:ascii="Times New Roman" w:hAnsi="Times New Roman" w:cs="Times New Roman" w:eastAsia="Times New Roman" w:hint="default"/>
        </w:rPr>
        <w:t>30.90</w:t>
      </w:r>
      <w:r>
        <w:rPr/>
        <w:t>元</w:t>
      </w:r>
      <w:r>
        <w:rPr>
          <w:rFonts w:ascii="Times New Roman" w:hAnsi="Times New Roman" w:cs="Times New Roman" w:eastAsia="Times New Roman" w:hint="default"/>
        </w:rPr>
        <w:t>/</w:t>
      </w:r>
      <w:r>
        <w:rPr/>
        <w:t>股，成交总金额为</w:t>
      </w:r>
      <w:r>
        <w:rPr>
          <w:rFonts w:ascii="Times New Roman" w:hAnsi="Times New Roman" w:cs="Times New Roman" w:eastAsia="Times New Roman" w:hint="default"/>
        </w:rPr>
        <w:t>325,992,095.58 </w:t>
      </w:r>
      <w:r>
        <w:rPr/>
        <w:t>元，剩余资金留作备付资金。公司第一期员工持股计划已完成股票购买，该计划所购买的股票锁定期为</w:t>
      </w:r>
      <w:r>
        <w:rPr>
          <w:rFonts w:ascii="Times New Roman" w:hAnsi="Times New Roman" w:cs="Times New Roman" w:eastAsia="Times New Roman" w:hint="default"/>
        </w:rPr>
        <w:t>12</w:t>
      </w:r>
      <w:r>
        <w:rPr/>
        <w:t>个月。</w:t>
      </w:r>
    </w:p>
    <w:p>
      <w:pPr>
        <w:pStyle w:val="BodyText"/>
        <w:spacing w:line="307" w:lineRule="auto" w:before="13"/>
        <w:ind w:right="1132"/>
        <w:jc w:val="both"/>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日，经出席持有人会议的持有人所持</w:t>
      </w:r>
      <w:r>
        <w:rPr>
          <w:rFonts w:ascii="Times New Roman" w:hAnsi="Times New Roman" w:cs="Times New Roman" w:eastAsia="Times New Roman" w:hint="default"/>
        </w:rPr>
        <w:t>2/3</w:t>
      </w:r>
      <w:r>
        <w:rPr/>
        <w:t>以上份额同意，审议通过了《关于第一期员工持股计划延期的议 案》。公司于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日召开第五届董事会第三十六次会议，审议通过了《关于第一期员工持股计划延期的议案》，董 </w:t>
      </w:r>
      <w:r>
        <w:rPr>
          <w:spacing w:val="-2"/>
        </w:rPr>
        <w:t>事会同意根据持有人会议表决结果，将公司第一期员工持股计划存续期延长一年，即公司第一期员工持股计划存续期延长至</w:t>
      </w:r>
      <w:r>
        <w:rPr>
          <w:spacing w:val="-64"/>
        </w:rPr>
        <w:t> </w:t>
      </w:r>
      <w:r>
        <w:rPr>
          <w:spacing w:val="-64"/>
        </w:rPr>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w:t>
      </w:r>
    </w:p>
    <w:p>
      <w:pPr>
        <w:pStyle w:val="BodyText"/>
        <w:spacing w:line="304" w:lineRule="auto" w:before="7"/>
        <w:ind w:right="1023"/>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日，公司披露了第一期员工持股计划出售完毕暨计划终止的公告，截至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日，公司第一期员工持 股计划兴业润和</w:t>
      </w:r>
      <w:r>
        <w:rPr>
          <w:rFonts w:ascii="Times New Roman" w:hAnsi="Times New Roman" w:cs="Times New Roman" w:eastAsia="Times New Roman" w:hint="default"/>
        </w:rPr>
        <w:t>1</w:t>
      </w:r>
      <w:r>
        <w:rPr/>
        <w:t>号所购买的</w:t>
      </w:r>
      <w:r>
        <w:rPr>
          <w:rFonts w:ascii="Times New Roman" w:hAnsi="Times New Roman" w:cs="Times New Roman" w:eastAsia="Times New Roman" w:hint="default"/>
        </w:rPr>
        <w:t>21,096,076</w:t>
      </w:r>
      <w:r>
        <w:rPr/>
        <w:t>股公司股票已全部出售完毕，占公司总股本的</w:t>
      </w:r>
      <w:r>
        <w:rPr>
          <w:rFonts w:ascii="Times New Roman" w:hAnsi="Times New Roman" w:cs="Times New Roman" w:eastAsia="Times New Roman" w:hint="default"/>
        </w:rPr>
        <w:t>2.65%</w:t>
      </w:r>
      <w:r>
        <w:rPr/>
        <w:t>，本次员工持股计划已出售完毕 并终止。 </w:t>
      </w:r>
      <w:r>
        <w:rPr>
          <w:spacing w:val="-1"/>
        </w:rPr>
        <w:t>以上具体内容请详见</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7</w:t>
      </w:r>
      <w:r>
        <w:rPr>
          <w:spacing w:val="-1"/>
        </w:rPr>
        <w:t>日、</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w:t>
      </w:r>
      <w:r>
        <w:rPr>
          <w:spacing w:val="-1"/>
        </w:rPr>
        <w:t>日、</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6</w:t>
      </w:r>
      <w:r>
        <w:rPr>
          <w:spacing w:val="-1"/>
        </w:rPr>
        <w:t>日、</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19</w:t>
      </w:r>
      <w:r>
        <w:rPr>
          <w:spacing w:val="-1"/>
        </w:rPr>
        <w:t>日、</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3</w:t>
      </w:r>
      <w:r>
        <w:rPr>
          <w:spacing w:val="-1"/>
        </w:rPr>
        <w:t>日、</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18</w:t>
      </w:r>
      <w:r>
        <w:rPr>
          <w:spacing w:val="-1"/>
        </w:rPr>
        <w:t>日、</w:t>
      </w:r>
      <w:r>
        <w:rPr>
          <w:spacing w:val="-36"/>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日在中国证监会指定的创业板信息披露网站公告。</w:t>
      </w:r>
    </w:p>
    <w:p>
      <w:pPr>
        <w:pStyle w:val="BodyText"/>
        <w:spacing w:line="240" w:lineRule="auto" w:before="50"/>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十五、重大关联交易</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64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公司报告期无其他重大关联交易。</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十六、重大合同及其履行情况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9"/>
        <w:gridCol w:w="928"/>
        <w:gridCol w:w="923"/>
        <w:gridCol w:w="1296"/>
        <w:gridCol w:w="1063"/>
        <w:gridCol w:w="1035"/>
        <w:gridCol w:w="1049"/>
        <w:gridCol w:w="792"/>
        <w:gridCol w:w="780"/>
      </w:tblGrid>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07"/>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2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3"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07"/>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10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外包园公司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北京联创智融信息科 技有限公司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北京捷科智诚科技有 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09"/>
        <w:gridCol w:w="918"/>
        <w:gridCol w:w="916"/>
        <w:gridCol w:w="1313"/>
        <w:gridCol w:w="1044"/>
        <w:gridCol w:w="1054"/>
        <w:gridCol w:w="1046"/>
        <w:gridCol w:w="785"/>
        <w:gridCol w:w="790"/>
      </w:tblGrid>
      <w:tr>
        <w:trPr>
          <w:trHeight w:val="714"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w:t>
            </w:r>
          </w:p>
        </w:tc>
      </w:tr>
      <w:tr>
        <w:trPr>
          <w:trHeight w:val="719"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19,000</w:t>
            </w: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0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2"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27" w:right="6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08"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8"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6"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82"/>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w:t>
            </w:r>
          </w:p>
        </w:tc>
      </w:tr>
      <w:tr>
        <w:trPr>
          <w:trHeight w:val="714"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82"/>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19,000</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6.74%</w:t>
            </w: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240" w:lineRule="auto" w:before="50"/>
        <w:ind w:right="0"/>
        <w:jc w:val="left"/>
      </w:pPr>
      <w:r>
        <w:rPr/>
        <w:t>采用复合方式担保的具体情况说明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4" w:space="6787"/>
            <w:col w:w="2189"/>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7"/>
        <w:gridCol w:w="1964"/>
        <w:gridCol w:w="1980"/>
        <w:gridCol w:w="1911"/>
        <w:gridCol w:w="1846"/>
      </w:tblGrid>
      <w:tr>
        <w:trPr>
          <w:trHeight w:val="401" w:hRule="exact"/>
        </w:trPr>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4"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49"/>
        <w:ind w:right="-20"/>
        <w:jc w:val="left"/>
      </w:pPr>
      <w:r>
        <w:rPr/>
        <w:t>单项金额重大或安全性较低、流动性较差、不保本的高风险委托理财具体情况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6274" w:space="2467"/>
            <w:col w:w="2189"/>
          </w:cols>
        </w:sectPr>
      </w:pPr>
    </w:p>
    <w:p>
      <w:pPr>
        <w:spacing w:line="240" w:lineRule="auto" w:before="0"/>
        <w:rPr>
          <w:rFonts w:ascii="宋体" w:hAnsi="宋体" w:cs="宋体" w:eastAsia="宋体" w:hint="default"/>
          <w:sz w:val="20"/>
          <w:szCs w:val="20"/>
        </w:rPr>
      </w:pPr>
      <w:r>
        <w:rPr/>
        <w:pict>
          <v:shape style="position:absolute;margin-left:28.08pt;margin-top:71.999985pt;width:539.550pt;height:691.8pt;mso-position-horizontal-relative:page;mso-position-vertical-relative:page;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8"/>
                    <w:gridCol w:w="590"/>
                    <w:gridCol w:w="607"/>
                    <w:gridCol w:w="574"/>
                    <w:gridCol w:w="562"/>
                    <w:gridCol w:w="559"/>
                    <w:gridCol w:w="562"/>
                    <w:gridCol w:w="562"/>
                    <w:gridCol w:w="562"/>
                    <w:gridCol w:w="559"/>
                    <w:gridCol w:w="562"/>
                    <w:gridCol w:w="677"/>
                    <w:gridCol w:w="710"/>
                    <w:gridCol w:w="566"/>
                    <w:gridCol w:w="567"/>
                    <w:gridCol w:w="566"/>
                    <w:gridCol w:w="852"/>
                  </w:tblGrid>
                  <w:tr>
                    <w:trPr>
                      <w:trHeight w:val="1961" w:hRule="exact"/>
                    </w:trPr>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受托机构名称</w:t>
                        </w:r>
                      </w:p>
                      <w:p>
                        <w:pPr>
                          <w:pStyle w:val="TableParagraph"/>
                          <w:spacing w:line="316" w:lineRule="auto" w:before="76"/>
                          <w:ind w:left="383" w:right="22" w:hanging="360"/>
                          <w:jc w:val="left"/>
                          <w:rPr>
                            <w:rFonts w:ascii="宋体" w:hAnsi="宋体" w:cs="宋体" w:eastAsia="宋体" w:hint="default"/>
                            <w:sz w:val="18"/>
                            <w:szCs w:val="18"/>
                          </w:rPr>
                        </w:pPr>
                        <w:r>
                          <w:rPr>
                            <w:rFonts w:ascii="宋体" w:hAnsi="宋体" w:cs="宋体" w:eastAsia="宋体" w:hint="default"/>
                            <w:sz w:val="18"/>
                            <w:szCs w:val="18"/>
                          </w:rPr>
                          <w:t>（或受托人姓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08"/>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6" w:lineRule="auto" w:before="19"/>
                          <w:ind w:left="24" w:right="21"/>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3"/>
                            <w:sz w:val="18"/>
                            <w:szCs w:val="18"/>
                          </w:rPr>
                          <w:t>人）类</w:t>
                        </w:r>
                        <w:r>
                          <w:rPr>
                            <w:rFonts w:ascii="宋体" w:hAnsi="宋体" w:cs="宋体" w:eastAsia="宋体" w:hint="default"/>
                            <w:sz w:val="18"/>
                            <w:szCs w:val="18"/>
                          </w:rPr>
                          <w:t> 型</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08"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5"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5" w:right="91"/>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5" w:right="95"/>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5" w:right="94"/>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6" w:right="91"/>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5"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6" w:lineRule="auto" w:before="19"/>
                          <w:ind w:left="184" w:right="95" w:hanging="89"/>
                          <w:jc w:val="left"/>
                          <w:rPr>
                            <w:rFonts w:ascii="宋体" w:hAnsi="宋体" w:cs="宋体" w:eastAsia="宋体" w:hint="default"/>
                            <w:sz w:val="18"/>
                            <w:szCs w:val="18"/>
                          </w:rPr>
                        </w:pPr>
                        <w:r>
                          <w:rPr>
                            <w:rFonts w:ascii="宋体" w:hAnsi="宋体" w:cs="宋体" w:eastAsia="宋体" w:hint="default"/>
                            <w:sz w:val="18"/>
                            <w:szCs w:val="18"/>
                          </w:rPr>
                          <w:t>（如 有</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79" w:right="79"/>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6" w:lineRule="auto" w:before="19"/>
                          <w:ind w:left="98" w:right="96"/>
                          <w:jc w:val="both"/>
                          <w:rPr>
                            <w:rFonts w:ascii="宋体" w:hAnsi="宋体" w:cs="宋体" w:eastAsia="宋体" w:hint="default"/>
                            <w:sz w:val="18"/>
                            <w:szCs w:val="18"/>
                          </w:rPr>
                        </w:pPr>
                        <w:r>
                          <w:rPr>
                            <w:rFonts w:ascii="宋体" w:hAnsi="宋体" w:cs="宋体" w:eastAsia="宋体" w:hint="default"/>
                            <w:sz w:val="18"/>
                            <w:szCs w:val="18"/>
                          </w:rPr>
                          <w:t>（如 有）</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8" w:right="96"/>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0" w:right="60"/>
                          <w:jc w:val="both"/>
                          <w:rPr>
                            <w:rFonts w:ascii="宋体" w:hAnsi="宋体" w:cs="宋体" w:eastAsia="宋体" w:hint="default"/>
                            <w:sz w:val="18"/>
                            <w:szCs w:val="18"/>
                          </w:rPr>
                        </w:pPr>
                        <w:r>
                          <w:rPr>
                            <w:rFonts w:ascii="宋体" w:hAnsi="宋体" w:cs="宋体" w:eastAsia="宋体" w:hint="default"/>
                            <w:sz w:val="18"/>
                            <w:szCs w:val="18"/>
                          </w:rPr>
                          <w:t>事项概述 及相关查 询索引</w:t>
                        </w:r>
                      </w:p>
                      <w:p>
                        <w:pPr>
                          <w:pStyle w:val="TableParagraph"/>
                          <w:spacing w:line="240" w:lineRule="auto" w:before="19"/>
                          <w:ind w:left="60" w:right="0"/>
                          <w:jc w:val="both"/>
                          <w:rPr>
                            <w:rFonts w:ascii="宋体" w:hAnsi="宋体" w:cs="宋体" w:eastAsia="宋体" w:hint="default"/>
                            <w:sz w:val="18"/>
                            <w:szCs w:val="18"/>
                          </w:rPr>
                        </w:pPr>
                        <w:r>
                          <w:rPr>
                            <w:rFonts w:ascii="宋体" w:hAnsi="宋体" w:cs="宋体" w:eastAsia="宋体" w:hint="default"/>
                            <w:sz w:val="18"/>
                            <w:szCs w:val="18"/>
                          </w:rPr>
                          <w:t>（如有）</w:t>
                        </w:r>
                      </w:p>
                    </w:tc>
                  </w:tr>
                  <w:tr>
                    <w:trPr>
                      <w:trHeight w:val="1651"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2"/>
                          <w:jc w:val="both"/>
                          <w:rPr>
                            <w:rFonts w:ascii="宋体" w:hAnsi="宋体" w:cs="宋体" w:eastAsia="宋体" w:hint="default"/>
                            <w:sz w:val="18"/>
                            <w:szCs w:val="18"/>
                          </w:rPr>
                        </w:pPr>
                        <w:r>
                          <w:rPr>
                            <w:rFonts w:ascii="宋体" w:hAnsi="宋体" w:cs="宋体" w:eastAsia="宋体" w:hint="default"/>
                            <w:sz w:val="18"/>
                            <w:szCs w:val="18"/>
                          </w:rPr>
                          <w:t>招商银行股份 有限公司南京 奥体支行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31"/>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66"/>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212.88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212.98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巨潮资讯 网，公告 编号</w:t>
                        </w:r>
                      </w:p>
                      <w:p>
                        <w:pPr>
                          <w:pStyle w:val="TableParagraph"/>
                          <w:spacing w:line="240" w:lineRule="auto" w:before="61"/>
                          <w:ind w:left="24" w:right="0"/>
                          <w:jc w:val="both"/>
                          <w:rPr>
                            <w:rFonts w:ascii="Times New Roman" w:hAnsi="Times New Roman" w:cs="Times New Roman" w:eastAsia="Times New Roman" w:hint="default"/>
                            <w:sz w:val="18"/>
                            <w:szCs w:val="18"/>
                          </w:rPr>
                        </w:pPr>
                        <w:r>
                          <w:rPr>
                            <w:rFonts w:ascii="Times New Roman"/>
                            <w:sz w:val="18"/>
                          </w:rPr>
                          <w:t>2018-093</w:t>
                        </w:r>
                      </w:p>
                      <w:p>
                        <w:pPr>
                          <w:pStyle w:val="TableParagraph"/>
                          <w:spacing w:line="240" w:lineRule="auto" w:before="105"/>
                          <w:ind w:left="24" w:right="0"/>
                          <w:jc w:val="both"/>
                          <w:rPr>
                            <w:rFonts w:ascii="Times New Roman" w:hAnsi="Times New Roman" w:cs="Times New Roman" w:eastAsia="Times New Roman" w:hint="default"/>
                            <w:sz w:val="18"/>
                            <w:szCs w:val="18"/>
                          </w:rPr>
                        </w:pPr>
                        <w:r>
                          <w:rPr>
                            <w:rFonts w:ascii="Times New Roman"/>
                            <w:sz w:val="18"/>
                          </w:rPr>
                          <w:t>2019-015</w:t>
                        </w:r>
                      </w:p>
                    </w:tc>
                  </w:tr>
                  <w:tr>
                    <w:trPr>
                      <w:trHeight w:val="1649"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22"/>
                          <w:jc w:val="both"/>
                          <w:rPr>
                            <w:rFonts w:ascii="宋体" w:hAnsi="宋体" w:cs="宋体" w:eastAsia="宋体" w:hint="default"/>
                            <w:sz w:val="18"/>
                            <w:szCs w:val="18"/>
                          </w:rPr>
                        </w:pPr>
                        <w:r>
                          <w:rPr>
                            <w:rFonts w:ascii="宋体" w:hAnsi="宋体" w:cs="宋体" w:eastAsia="宋体" w:hint="default"/>
                            <w:sz w:val="18"/>
                            <w:szCs w:val="18"/>
                          </w:rPr>
                          <w:t>华夏银行股份 有限公司南京 大行宫支行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1"/>
                          <w:jc w:val="both"/>
                          <w:rPr>
                            <w:rFonts w:ascii="宋体" w:hAnsi="宋体" w:cs="宋体" w:eastAsia="宋体" w:hint="default"/>
                            <w:sz w:val="18"/>
                            <w:szCs w:val="18"/>
                          </w:rPr>
                        </w:pPr>
                        <w:r>
                          <w:rPr>
                            <w:rFonts w:ascii="宋体" w:hAnsi="宋体" w:cs="宋体" w:eastAsia="宋体" w:hint="default"/>
                            <w:sz w:val="18"/>
                            <w:szCs w:val="18"/>
                          </w:rPr>
                          <w:t>结构性 存款</w:t>
                        </w:r>
                      </w:p>
                      <w:p>
                        <w:pPr>
                          <w:pStyle w:val="TableParagraph"/>
                          <w:spacing w:line="316" w:lineRule="auto" w:before="19"/>
                          <w:ind w:left="23" w:right="31"/>
                          <w:jc w:val="both"/>
                          <w:rPr>
                            <w:rFonts w:ascii="宋体" w:hAnsi="宋体" w:cs="宋体" w:eastAsia="宋体" w:hint="default"/>
                            <w:sz w:val="18"/>
                            <w:szCs w:val="18"/>
                          </w:rPr>
                        </w:pPr>
                        <w:r>
                          <w:rPr>
                            <w:rFonts w:ascii="宋体" w:hAnsi="宋体" w:cs="宋体" w:eastAsia="宋体" w:hint="default"/>
                            <w:sz w:val="18"/>
                            <w:szCs w:val="18"/>
                          </w:rPr>
                          <w:t>（保本 浮动收 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66"/>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49.15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49.15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巨潮资讯 网，公告 编号</w:t>
                        </w:r>
                      </w:p>
                      <w:p>
                        <w:pPr>
                          <w:pStyle w:val="TableParagraph"/>
                          <w:spacing w:line="240" w:lineRule="auto" w:before="19"/>
                          <w:ind w:left="24"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1"/>
                            <w:sz w:val="18"/>
                            <w:szCs w:val="18"/>
                          </w:rPr>
                          <w:t>13</w:t>
                        </w:r>
                        <w:r>
                          <w:rPr>
                            <w:rFonts w:ascii="宋体" w:hAnsi="宋体" w:cs="宋体" w:eastAsia="宋体" w:hint="default"/>
                            <w:sz w:val="18"/>
                            <w:szCs w:val="18"/>
                          </w:rPr>
                          <w:t>、</w:t>
                        </w:r>
                      </w:p>
                      <w:p>
                        <w:pPr>
                          <w:pStyle w:val="TableParagraph"/>
                          <w:spacing w:line="240" w:lineRule="auto" w:before="105"/>
                          <w:ind w:left="24" w:right="0"/>
                          <w:jc w:val="both"/>
                          <w:rPr>
                            <w:rFonts w:ascii="Times New Roman" w:hAnsi="Times New Roman" w:cs="Times New Roman" w:eastAsia="Times New Roman" w:hint="default"/>
                            <w:sz w:val="18"/>
                            <w:szCs w:val="18"/>
                          </w:rPr>
                        </w:pPr>
                        <w:r>
                          <w:rPr>
                            <w:rFonts w:ascii="Times New Roman"/>
                            <w:sz w:val="18"/>
                          </w:rPr>
                          <w:t>2019-012</w:t>
                        </w:r>
                      </w:p>
                    </w:tc>
                  </w:tr>
                  <w:tr>
                    <w:trPr>
                      <w:trHeight w:val="1651"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2"/>
                          <w:jc w:val="both"/>
                          <w:rPr>
                            <w:rFonts w:ascii="宋体" w:hAnsi="宋体" w:cs="宋体" w:eastAsia="宋体" w:hint="default"/>
                            <w:sz w:val="18"/>
                            <w:szCs w:val="18"/>
                          </w:rPr>
                        </w:pPr>
                        <w:r>
                          <w:rPr>
                            <w:rFonts w:ascii="宋体" w:hAnsi="宋体" w:cs="宋体" w:eastAsia="宋体" w:hint="default"/>
                            <w:sz w:val="18"/>
                            <w:szCs w:val="18"/>
                          </w:rPr>
                          <w:t>中国民生银行 股份有限公司 南京分行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31"/>
                          <w:jc w:val="both"/>
                          <w:rPr>
                            <w:rFonts w:ascii="宋体" w:hAnsi="宋体" w:cs="宋体" w:eastAsia="宋体" w:hint="default"/>
                            <w:sz w:val="18"/>
                            <w:szCs w:val="18"/>
                          </w:rPr>
                        </w:pPr>
                        <w:r>
                          <w:rPr>
                            <w:rFonts w:ascii="宋体" w:hAnsi="宋体" w:cs="宋体" w:eastAsia="宋体" w:hint="default"/>
                            <w:sz w:val="18"/>
                            <w:szCs w:val="18"/>
                          </w:rPr>
                          <w:t>结构性 存款</w:t>
                        </w:r>
                      </w:p>
                      <w:p>
                        <w:pPr>
                          <w:pStyle w:val="TableParagraph"/>
                          <w:spacing w:line="316" w:lineRule="auto" w:before="20"/>
                          <w:ind w:left="23" w:right="31"/>
                          <w:jc w:val="both"/>
                          <w:rPr>
                            <w:rFonts w:ascii="宋体" w:hAnsi="宋体" w:cs="宋体" w:eastAsia="宋体" w:hint="default"/>
                            <w:sz w:val="18"/>
                            <w:szCs w:val="18"/>
                          </w:rPr>
                        </w:pPr>
                        <w:r>
                          <w:rPr>
                            <w:rFonts w:ascii="宋体" w:hAnsi="宋体" w:cs="宋体" w:eastAsia="宋体" w:hint="default"/>
                            <w:sz w:val="18"/>
                            <w:szCs w:val="18"/>
                          </w:rPr>
                          <w:t>（保本 浮动收 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66"/>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4.05%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20.42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巨潮资讯 网，公告 编号</w:t>
                        </w:r>
                      </w:p>
                      <w:p>
                        <w:pPr>
                          <w:pStyle w:val="TableParagraph"/>
                          <w:spacing w:line="240" w:lineRule="auto" w:before="61"/>
                          <w:ind w:left="24" w:right="0"/>
                          <w:jc w:val="both"/>
                          <w:rPr>
                            <w:rFonts w:ascii="Times New Roman" w:hAnsi="Times New Roman" w:cs="Times New Roman" w:eastAsia="Times New Roman" w:hint="default"/>
                            <w:sz w:val="18"/>
                            <w:szCs w:val="18"/>
                          </w:rPr>
                        </w:pPr>
                        <w:r>
                          <w:rPr>
                            <w:rFonts w:ascii="Times New Roman"/>
                            <w:sz w:val="18"/>
                          </w:rPr>
                          <w:t>2018-124</w:t>
                        </w:r>
                      </w:p>
                      <w:p>
                        <w:pPr>
                          <w:pStyle w:val="TableParagraph"/>
                          <w:spacing w:line="240" w:lineRule="auto" w:before="105"/>
                          <w:ind w:left="24" w:right="0"/>
                          <w:jc w:val="both"/>
                          <w:rPr>
                            <w:rFonts w:ascii="Times New Roman" w:hAnsi="Times New Roman" w:cs="Times New Roman" w:eastAsia="Times New Roman" w:hint="default"/>
                            <w:sz w:val="18"/>
                            <w:szCs w:val="18"/>
                          </w:rPr>
                        </w:pPr>
                        <w:r>
                          <w:rPr>
                            <w:rFonts w:ascii="Times New Roman"/>
                            <w:sz w:val="18"/>
                          </w:rPr>
                          <w:t>2019-015</w:t>
                        </w:r>
                      </w:p>
                    </w:tc>
                  </w:tr>
                  <w:tr>
                    <w:trPr>
                      <w:trHeight w:val="1649"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both"/>
                          <w:rPr>
                            <w:rFonts w:ascii="宋体" w:hAnsi="宋体" w:cs="宋体" w:eastAsia="宋体" w:hint="default"/>
                            <w:sz w:val="18"/>
                            <w:szCs w:val="18"/>
                          </w:rPr>
                        </w:pPr>
                        <w:r>
                          <w:rPr>
                            <w:rFonts w:ascii="宋体" w:hAnsi="宋体" w:cs="宋体" w:eastAsia="宋体" w:hint="default"/>
                            <w:sz w:val="18"/>
                            <w:szCs w:val="18"/>
                          </w:rPr>
                          <w:t>上海浦东发展 银行股份有限 公司南京城西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1"/>
                          <w:jc w:val="left"/>
                          <w:rPr>
                            <w:rFonts w:ascii="宋体" w:hAnsi="宋体" w:cs="宋体" w:eastAsia="宋体" w:hint="default"/>
                            <w:sz w:val="18"/>
                            <w:szCs w:val="18"/>
                          </w:rPr>
                        </w:pPr>
                        <w:r>
                          <w:rPr>
                            <w:rFonts w:ascii="宋体" w:hAnsi="宋体" w:cs="宋体" w:eastAsia="宋体" w:hint="default"/>
                            <w:sz w:val="18"/>
                            <w:szCs w:val="18"/>
                          </w:rPr>
                          <w:t>结构性 存款</w:t>
                        </w:r>
                      </w:p>
                      <w:p>
                        <w:pPr>
                          <w:pStyle w:val="TableParagraph"/>
                          <w:spacing w:line="316" w:lineRule="auto" w:before="19"/>
                          <w:ind w:left="23" w:right="31"/>
                          <w:jc w:val="left"/>
                          <w:rPr>
                            <w:rFonts w:ascii="宋体" w:hAnsi="宋体" w:cs="宋体" w:eastAsia="宋体" w:hint="default"/>
                            <w:sz w:val="18"/>
                            <w:szCs w:val="18"/>
                          </w:rPr>
                        </w:pPr>
                        <w:r>
                          <w:rPr>
                            <w:rFonts w:ascii="宋体" w:hAnsi="宋体" w:cs="宋体" w:eastAsia="宋体" w:hint="default"/>
                            <w:sz w:val="18"/>
                            <w:szCs w:val="18"/>
                          </w:rPr>
                          <w:t>（保证 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66"/>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3.95%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0"/>
                          <w:ind w:left="24"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网，公告 编号 </w:t>
                        </w:r>
                        <w:r>
                          <w:rPr>
                            <w:rFonts w:ascii="Times New Roman" w:hAnsi="Times New Roman" w:cs="Times New Roman" w:eastAsia="Times New Roman" w:hint="default"/>
                            <w:sz w:val="18"/>
                            <w:szCs w:val="18"/>
                          </w:rPr>
                          <w:t>2018-124</w:t>
                        </w:r>
                      </w:p>
                      <w:p>
                        <w:pPr>
                          <w:pStyle w:val="TableParagraph"/>
                          <w:spacing w:line="240" w:lineRule="auto" w:before="81"/>
                          <w:ind w:left="24" w:right="0"/>
                          <w:jc w:val="left"/>
                          <w:rPr>
                            <w:rFonts w:ascii="Times New Roman" w:hAnsi="Times New Roman" w:cs="Times New Roman" w:eastAsia="Times New Roman" w:hint="default"/>
                            <w:sz w:val="18"/>
                            <w:szCs w:val="18"/>
                          </w:rPr>
                        </w:pPr>
                        <w:r>
                          <w:rPr>
                            <w:rFonts w:ascii="Times New Roman"/>
                            <w:sz w:val="18"/>
                          </w:rPr>
                          <w:t>2019-015</w:t>
                        </w:r>
                      </w:p>
                    </w:tc>
                  </w:tr>
                  <w:tr>
                    <w:trPr>
                      <w:trHeight w:val="1963"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22"/>
                          <w:jc w:val="both"/>
                          <w:rPr>
                            <w:rFonts w:ascii="宋体" w:hAnsi="宋体" w:cs="宋体" w:eastAsia="宋体" w:hint="default"/>
                            <w:sz w:val="18"/>
                            <w:szCs w:val="18"/>
                          </w:rPr>
                        </w:pPr>
                        <w:r>
                          <w:rPr>
                            <w:rFonts w:ascii="宋体" w:hAnsi="宋体" w:cs="宋体" w:eastAsia="宋体" w:hint="default"/>
                            <w:sz w:val="18"/>
                            <w:szCs w:val="18"/>
                          </w:rPr>
                          <w:t>江苏银行股份 有限公司南京 城西支行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31"/>
                          <w:jc w:val="left"/>
                          <w:rPr>
                            <w:rFonts w:ascii="宋体" w:hAnsi="宋体" w:cs="宋体" w:eastAsia="宋体" w:hint="default"/>
                            <w:sz w:val="18"/>
                            <w:szCs w:val="18"/>
                          </w:rPr>
                        </w:pPr>
                        <w:r>
                          <w:rPr>
                            <w:rFonts w:ascii="宋体" w:hAnsi="宋体" w:cs="宋体" w:eastAsia="宋体" w:hint="default"/>
                            <w:sz w:val="18"/>
                            <w:szCs w:val="18"/>
                          </w:rPr>
                          <w:t>结构性 存款</w:t>
                        </w:r>
                      </w:p>
                      <w:p>
                        <w:pPr>
                          <w:pStyle w:val="TableParagraph"/>
                          <w:spacing w:line="316" w:lineRule="auto" w:before="20"/>
                          <w:ind w:left="23" w:right="31"/>
                          <w:jc w:val="left"/>
                          <w:rPr>
                            <w:rFonts w:ascii="宋体" w:hAnsi="宋体" w:cs="宋体" w:eastAsia="宋体" w:hint="default"/>
                            <w:sz w:val="18"/>
                            <w:szCs w:val="18"/>
                          </w:rPr>
                        </w:pPr>
                        <w:r>
                          <w:rPr>
                            <w:rFonts w:ascii="宋体" w:hAnsi="宋体" w:cs="宋体" w:eastAsia="宋体" w:hint="default"/>
                            <w:sz w:val="18"/>
                            <w:szCs w:val="18"/>
                          </w:rPr>
                          <w:t>（保本 非固定 期限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56.11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56.26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96"/>
                          <w:jc w:val="both"/>
                          <w:rPr>
                            <w:rFonts w:ascii="宋体" w:hAnsi="宋体" w:cs="宋体" w:eastAsia="宋体" w:hint="default"/>
                            <w:sz w:val="18"/>
                            <w:szCs w:val="18"/>
                          </w:rPr>
                        </w:pPr>
                        <w:r>
                          <w:rPr>
                            <w:rFonts w:ascii="宋体" w:hAnsi="宋体" w:cs="宋体" w:eastAsia="宋体" w:hint="default"/>
                            <w:sz w:val="18"/>
                            <w:szCs w:val="18"/>
                          </w:rPr>
                          <w:t>巨潮资讯 网，公告 编号</w:t>
                        </w:r>
                      </w:p>
                      <w:p>
                        <w:pPr>
                          <w:pStyle w:val="TableParagraph"/>
                          <w:spacing w:line="240" w:lineRule="auto" w:before="61"/>
                          <w:ind w:left="24" w:right="0"/>
                          <w:jc w:val="both"/>
                          <w:rPr>
                            <w:rFonts w:ascii="Times New Roman" w:hAnsi="Times New Roman" w:cs="Times New Roman" w:eastAsia="Times New Roman" w:hint="default"/>
                            <w:sz w:val="18"/>
                            <w:szCs w:val="18"/>
                          </w:rPr>
                        </w:pPr>
                        <w:r>
                          <w:rPr>
                            <w:rFonts w:ascii="Times New Roman"/>
                            <w:sz w:val="18"/>
                          </w:rPr>
                          <w:t>2018-131</w:t>
                        </w:r>
                      </w:p>
                      <w:p>
                        <w:pPr>
                          <w:pStyle w:val="TableParagraph"/>
                          <w:spacing w:line="240" w:lineRule="auto" w:before="105"/>
                          <w:ind w:left="24" w:right="0"/>
                          <w:jc w:val="both"/>
                          <w:rPr>
                            <w:rFonts w:ascii="Times New Roman" w:hAnsi="Times New Roman" w:cs="Times New Roman" w:eastAsia="Times New Roman" w:hint="default"/>
                            <w:sz w:val="18"/>
                            <w:szCs w:val="18"/>
                          </w:rPr>
                        </w:pPr>
                        <w:r>
                          <w:rPr>
                            <w:rFonts w:ascii="Times New Roman"/>
                            <w:sz w:val="18"/>
                          </w:rPr>
                          <w:t>2019-045</w:t>
                        </w:r>
                      </w:p>
                    </w:tc>
                  </w:tr>
                  <w:tr>
                    <w:trPr>
                      <w:trHeight w:val="1649"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22"/>
                          <w:jc w:val="both"/>
                          <w:rPr>
                            <w:rFonts w:ascii="宋体" w:hAnsi="宋体" w:cs="宋体" w:eastAsia="宋体" w:hint="default"/>
                            <w:sz w:val="18"/>
                            <w:szCs w:val="18"/>
                          </w:rPr>
                        </w:pPr>
                        <w:r>
                          <w:rPr>
                            <w:rFonts w:ascii="宋体" w:hAnsi="宋体" w:cs="宋体" w:eastAsia="宋体" w:hint="default"/>
                            <w:sz w:val="18"/>
                            <w:szCs w:val="18"/>
                          </w:rPr>
                          <w:t>南京银行股份 有限公司南京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1"/>
                          <w:jc w:val="left"/>
                          <w:rPr>
                            <w:rFonts w:ascii="宋体" w:hAnsi="宋体" w:cs="宋体" w:eastAsia="宋体" w:hint="default"/>
                            <w:sz w:val="18"/>
                            <w:szCs w:val="18"/>
                          </w:rPr>
                        </w:pPr>
                        <w:r>
                          <w:rPr>
                            <w:rFonts w:ascii="宋体" w:hAnsi="宋体" w:cs="宋体" w:eastAsia="宋体" w:hint="default"/>
                            <w:sz w:val="18"/>
                            <w:szCs w:val="18"/>
                          </w:rPr>
                          <w:t>结构性 存款</w:t>
                        </w:r>
                      </w:p>
                      <w:p>
                        <w:pPr>
                          <w:pStyle w:val="TableParagraph"/>
                          <w:spacing w:line="316" w:lineRule="auto" w:before="19"/>
                          <w:ind w:left="23" w:right="31"/>
                          <w:jc w:val="left"/>
                          <w:rPr>
                            <w:rFonts w:ascii="宋体" w:hAnsi="宋体" w:cs="宋体" w:eastAsia="宋体" w:hint="default"/>
                            <w:sz w:val="18"/>
                            <w:szCs w:val="18"/>
                          </w:rPr>
                        </w:pPr>
                        <w:r>
                          <w:rPr>
                            <w:rFonts w:ascii="宋体" w:hAnsi="宋体" w:cs="宋体" w:eastAsia="宋体" w:hint="default"/>
                            <w:sz w:val="18"/>
                            <w:szCs w:val="18"/>
                          </w:rPr>
                          <w:t>（利率 挂钩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66"/>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196.17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0"/>
                          <w:ind w:left="24"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网，公告 编号 </w:t>
                        </w:r>
                        <w:r>
                          <w:rPr>
                            <w:rFonts w:ascii="Times New Roman" w:hAnsi="Times New Roman" w:cs="Times New Roman" w:eastAsia="Times New Roman" w:hint="default"/>
                            <w:sz w:val="18"/>
                            <w:szCs w:val="18"/>
                          </w:rPr>
                          <w:t>2019-012</w:t>
                        </w:r>
                      </w:p>
                      <w:p>
                        <w:pPr>
                          <w:pStyle w:val="TableParagraph"/>
                          <w:spacing w:line="240" w:lineRule="auto" w:before="81"/>
                          <w:ind w:left="24" w:right="0"/>
                          <w:jc w:val="left"/>
                          <w:rPr>
                            <w:rFonts w:ascii="Times New Roman" w:hAnsi="Times New Roman" w:cs="Times New Roman" w:eastAsia="Times New Roman" w:hint="default"/>
                            <w:sz w:val="18"/>
                            <w:szCs w:val="18"/>
                          </w:rPr>
                        </w:pPr>
                        <w:r>
                          <w:rPr>
                            <w:rFonts w:ascii="Times New Roman"/>
                            <w:sz w:val="18"/>
                          </w:rPr>
                          <w:t>2019-045</w:t>
                        </w:r>
                      </w:p>
                    </w:tc>
                  </w:tr>
                  <w:tr>
                    <w:trPr>
                      <w:trHeight w:val="1651"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2"/>
                          <w:jc w:val="both"/>
                          <w:rPr>
                            <w:rFonts w:ascii="宋体" w:hAnsi="宋体" w:cs="宋体" w:eastAsia="宋体" w:hint="default"/>
                            <w:sz w:val="18"/>
                            <w:szCs w:val="18"/>
                          </w:rPr>
                        </w:pPr>
                        <w:r>
                          <w:rPr>
                            <w:rFonts w:ascii="宋体" w:hAnsi="宋体" w:cs="宋体" w:eastAsia="宋体" w:hint="default"/>
                            <w:sz w:val="18"/>
                            <w:szCs w:val="18"/>
                          </w:rPr>
                          <w:t>华夏银行股份 有限公司南京 大行宫支行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31"/>
                          <w:jc w:val="both"/>
                          <w:rPr>
                            <w:rFonts w:ascii="宋体" w:hAnsi="宋体" w:cs="宋体" w:eastAsia="宋体" w:hint="default"/>
                            <w:sz w:val="18"/>
                            <w:szCs w:val="18"/>
                          </w:rPr>
                        </w:pPr>
                        <w:r>
                          <w:rPr>
                            <w:rFonts w:ascii="宋体" w:hAnsi="宋体" w:cs="宋体" w:eastAsia="宋体" w:hint="default"/>
                            <w:sz w:val="18"/>
                            <w:szCs w:val="18"/>
                          </w:rPr>
                          <w:t>结构性 存款</w:t>
                        </w:r>
                      </w:p>
                      <w:p>
                        <w:pPr>
                          <w:pStyle w:val="TableParagraph"/>
                          <w:spacing w:line="316" w:lineRule="auto" w:before="20"/>
                          <w:ind w:left="23" w:right="31"/>
                          <w:jc w:val="both"/>
                          <w:rPr>
                            <w:rFonts w:ascii="宋体" w:hAnsi="宋体" w:cs="宋体" w:eastAsia="宋体" w:hint="default"/>
                            <w:sz w:val="18"/>
                            <w:szCs w:val="18"/>
                          </w:rPr>
                        </w:pPr>
                        <w:r>
                          <w:rPr>
                            <w:rFonts w:ascii="宋体" w:hAnsi="宋体" w:cs="宋体" w:eastAsia="宋体" w:hint="default"/>
                            <w:sz w:val="18"/>
                            <w:szCs w:val="18"/>
                          </w:rPr>
                          <w:t>（保本 浮动收 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66"/>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47.01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47.01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巨潮资讯 网，公告 编号</w:t>
                        </w:r>
                      </w:p>
                      <w:p>
                        <w:pPr>
                          <w:pStyle w:val="TableParagraph"/>
                          <w:spacing w:line="240" w:lineRule="auto" w:before="61"/>
                          <w:ind w:left="24" w:right="0"/>
                          <w:jc w:val="both"/>
                          <w:rPr>
                            <w:rFonts w:ascii="Times New Roman" w:hAnsi="Times New Roman" w:cs="Times New Roman" w:eastAsia="Times New Roman" w:hint="default"/>
                            <w:sz w:val="18"/>
                            <w:szCs w:val="18"/>
                          </w:rPr>
                        </w:pPr>
                        <w:r>
                          <w:rPr>
                            <w:rFonts w:ascii="Times New Roman"/>
                            <w:sz w:val="18"/>
                          </w:rPr>
                          <w:t>2019-012</w:t>
                        </w:r>
                      </w:p>
                      <w:p>
                        <w:pPr>
                          <w:pStyle w:val="TableParagraph"/>
                          <w:spacing w:line="240" w:lineRule="auto" w:before="105"/>
                          <w:ind w:left="24" w:right="0"/>
                          <w:jc w:val="both"/>
                          <w:rPr>
                            <w:rFonts w:ascii="Times New Roman" w:hAnsi="Times New Roman" w:cs="Times New Roman" w:eastAsia="Times New Roman" w:hint="default"/>
                            <w:sz w:val="18"/>
                            <w:szCs w:val="18"/>
                          </w:rPr>
                        </w:pPr>
                        <w:r>
                          <w:rPr>
                            <w:rFonts w:ascii="Times New Roman"/>
                            <w:sz w:val="18"/>
                          </w:rPr>
                          <w:t>2019-059</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0" w:right="514"/>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0" w:right="514"/>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BodyText"/>
        <w:spacing w:line="240" w:lineRule="auto" w:before="44"/>
        <w:ind w:left="0" w:right="514"/>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44"/>
        <w:ind w:left="0" w:right="514"/>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44"/>
        <w:ind w:left="0" w:right="514"/>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before="44"/>
        <w:ind w:left="0" w:right="514"/>
        <w:jc w:val="right"/>
      </w:pPr>
      <w:r>
        <w:rPr/>
        <w:t>、</w:t>
      </w:r>
    </w:p>
    <w:p>
      <w:pPr>
        <w:spacing w:after="0" w:line="240" w:lineRule="auto"/>
        <w:jc w:val="right"/>
        <w:sectPr>
          <w:pgSz w:w="11910" w:h="16840"/>
          <w:pgMar w:header="745" w:footer="979" w:top="1060" w:bottom="1160" w:left="460" w:right="0"/>
        </w:sectPr>
      </w:pPr>
    </w:p>
    <w:p>
      <w:pPr>
        <w:spacing w:line="240" w:lineRule="auto" w:before="8"/>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5" w:footer="979" w:top="1060" w:bottom="1160" w:left="460" w:right="0"/>
        </w:sectPr>
      </w:pPr>
    </w:p>
    <w:p>
      <w:pPr>
        <w:pStyle w:val="BodyText"/>
        <w:spacing w:line="310" w:lineRule="atLeast" w:before="126"/>
        <w:ind w:left="135" w:right="398"/>
        <w:jc w:val="left"/>
      </w:pPr>
      <w:r>
        <w:rPr/>
        <w:t>上海浦东发展 银行股份有限</w:t>
      </w:r>
    </w:p>
    <w:p>
      <w:pPr>
        <w:pStyle w:val="BodyText"/>
        <w:spacing w:line="116" w:lineRule="exact"/>
        <w:ind w:left="0" w:right="0"/>
        <w:jc w:val="right"/>
      </w:pPr>
      <w:r>
        <w:rPr/>
        <w:t>银行</w:t>
      </w:r>
    </w:p>
    <w:p>
      <w:pPr>
        <w:pStyle w:val="BodyText"/>
        <w:spacing w:line="196" w:lineRule="exact"/>
        <w:ind w:left="135" w:right="-20"/>
        <w:jc w:val="left"/>
      </w:pPr>
      <w:r>
        <w:rPr/>
        <w:t>公司南京城西</w:t>
      </w:r>
    </w:p>
    <w:p>
      <w:pPr>
        <w:pStyle w:val="BodyText"/>
        <w:spacing w:line="240" w:lineRule="auto" w:before="76"/>
        <w:ind w:left="135" w:right="398"/>
        <w:jc w:val="left"/>
      </w:pPr>
      <w:r>
        <w:rPr/>
        <w:t>支行</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pStyle w:val="BodyText"/>
        <w:spacing w:line="316" w:lineRule="auto"/>
        <w:ind w:left="135" w:right="-20"/>
        <w:jc w:val="left"/>
      </w:pPr>
      <w:r>
        <w:rPr/>
        <w:t>结构性 存款</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21"/>
        <w:ind w:left="596" w:right="-20"/>
        <w:jc w:val="left"/>
      </w:pPr>
      <w:r>
        <w:rPr/>
        <w:t>闲置</w:t>
      </w:r>
    </w:p>
    <w:p>
      <w:pPr>
        <w:pStyle w:val="BodyText"/>
        <w:spacing w:line="240" w:lineRule="auto" w:before="76"/>
        <w:ind w:left="135" w:right="-19"/>
        <w:jc w:val="left"/>
      </w:pPr>
      <w:r>
        <w:rPr>
          <w:rFonts w:ascii="Times New Roman" w:hAnsi="Times New Roman" w:cs="Times New Roman" w:eastAsia="Times New Roman" w:hint="default"/>
        </w:rPr>
        <w:t>3,000</w:t>
      </w:r>
      <w:r>
        <w:rPr>
          <w:rFonts w:ascii="Times New Roman" w:hAnsi="Times New Roman" w:cs="Times New Roman" w:eastAsia="Times New Roman" w:hint="default"/>
          <w:spacing w:val="10"/>
        </w:rPr>
        <w:t> </w:t>
      </w:r>
      <w:r>
        <w:rPr/>
        <w:t>募集</w:t>
      </w:r>
    </w:p>
    <w:p>
      <w:pPr>
        <w:pStyle w:val="BodyText"/>
        <w:spacing w:line="240" w:lineRule="auto" w:before="63"/>
        <w:ind w:left="596" w:right="-20"/>
        <w:jc w:val="left"/>
      </w:pPr>
      <w:r>
        <w:rPr/>
        <w:t>资金</w:t>
      </w:r>
    </w:p>
    <w:p>
      <w:pPr>
        <w:spacing w:line="240" w:lineRule="auto" w:before="7"/>
        <w:rPr>
          <w:rFonts w:ascii="宋体" w:hAnsi="宋体" w:cs="宋体" w:eastAsia="宋体" w:hint="default"/>
          <w:sz w:val="18"/>
          <w:szCs w:val="18"/>
        </w:rPr>
      </w:pPr>
      <w:r>
        <w:rPr/>
        <w:br w:type="column"/>
      </w:r>
      <w:r>
        <w:rPr>
          <w:rFonts w:ascii="宋体"/>
          <w:sz w:val="18"/>
        </w:rPr>
      </w:r>
    </w:p>
    <w:p>
      <w:pPr>
        <w:pStyle w:val="BodyText"/>
        <w:spacing w:line="240" w:lineRule="auto"/>
        <w:ind w:left="135" w:right="-19"/>
        <w:jc w:val="left"/>
        <w:rPr>
          <w:rFonts w:ascii="Times New Roman" w:hAnsi="Times New Roman" w:cs="Times New Roman" w:eastAsia="Times New Roman" w:hint="default"/>
        </w:rPr>
      </w:pPr>
      <w:r>
        <w:rPr>
          <w:rFonts w:ascii="Times New Roman"/>
        </w:rPr>
        <w:t>2019</w:t>
      </w:r>
    </w:p>
    <w:p>
      <w:pPr>
        <w:pStyle w:val="BodyText"/>
        <w:spacing w:line="240" w:lineRule="auto" w:before="63"/>
        <w:ind w:left="135" w:right="-19"/>
        <w:jc w:val="left"/>
        <w:rPr>
          <w:rFonts w:ascii="Times New Roman" w:hAnsi="Times New Roman" w:cs="Times New Roman" w:eastAsia="Times New Roman" w:hint="default"/>
        </w:rPr>
      </w:pPr>
      <w:r>
        <w:rPr/>
        <w:t>年</w:t>
      </w:r>
      <w:r>
        <w:rPr>
          <w:spacing w:val="-43"/>
        </w:rPr>
        <w:t> </w:t>
      </w:r>
      <w:r>
        <w:rPr>
          <w:rFonts w:ascii="Times New Roman" w:hAnsi="Times New Roman" w:cs="Times New Roman" w:eastAsia="Times New Roman" w:hint="default"/>
        </w:rPr>
        <w:t>02</w:t>
      </w:r>
    </w:p>
    <w:p>
      <w:pPr>
        <w:pStyle w:val="BodyText"/>
        <w:spacing w:line="240" w:lineRule="auto" w:before="63"/>
        <w:ind w:left="135" w:right="-19"/>
        <w:jc w:val="left"/>
        <w:rPr>
          <w:rFonts w:ascii="Times New Roman" w:hAnsi="Times New Roman" w:cs="Times New Roman" w:eastAsia="Times New Roman" w:hint="default"/>
        </w:rPr>
      </w:pPr>
      <w:r>
        <w:rPr/>
        <w:t>月</w:t>
      </w:r>
      <w:r>
        <w:rPr>
          <w:spacing w:val="-43"/>
        </w:rPr>
        <w:t> </w:t>
      </w:r>
      <w:r>
        <w:rPr>
          <w:rFonts w:ascii="Times New Roman" w:hAnsi="Times New Roman" w:cs="Times New Roman" w:eastAsia="Times New Roman" w:hint="default"/>
        </w:rPr>
        <w:t>25</w:t>
      </w:r>
    </w:p>
    <w:p>
      <w:pPr>
        <w:pStyle w:val="BodyText"/>
        <w:spacing w:line="240" w:lineRule="auto" w:before="63"/>
        <w:ind w:left="135" w:right="-19"/>
        <w:jc w:val="left"/>
      </w:pPr>
      <w:r>
        <w:rPr/>
        <w:t>日</w:t>
      </w:r>
    </w:p>
    <w:p>
      <w:pPr>
        <w:spacing w:line="240" w:lineRule="auto" w:before="7"/>
        <w:rPr>
          <w:rFonts w:ascii="宋体" w:hAnsi="宋体" w:cs="宋体" w:eastAsia="宋体" w:hint="default"/>
          <w:sz w:val="18"/>
          <w:szCs w:val="18"/>
        </w:rPr>
      </w:pPr>
      <w:r>
        <w:rPr/>
        <w:br w:type="column"/>
      </w:r>
      <w:r>
        <w:rPr>
          <w:rFonts w:ascii="宋体"/>
          <w:sz w:val="18"/>
        </w:rPr>
      </w:r>
    </w:p>
    <w:p>
      <w:pPr>
        <w:pStyle w:val="BodyText"/>
        <w:spacing w:line="160" w:lineRule="exact"/>
        <w:ind w:left="111" w:right="0"/>
        <w:jc w:val="left"/>
        <w:rPr>
          <w:rFonts w:ascii="Times New Roman" w:hAnsi="Times New Roman" w:cs="Times New Roman" w:eastAsia="Times New Roman" w:hint="default"/>
        </w:rPr>
      </w:pPr>
      <w:r>
        <w:rPr>
          <w:rFonts w:ascii="Times New Roman"/>
        </w:rPr>
        <w:t>2019</w:t>
      </w:r>
    </w:p>
    <w:p>
      <w:pPr>
        <w:pStyle w:val="BodyText"/>
        <w:spacing w:line="149" w:lineRule="exact"/>
        <w:ind w:left="110" w:right="0"/>
        <w:jc w:val="center"/>
      </w:pPr>
      <w:r>
        <w:rPr/>
        <w:t>结构</w:t>
      </w:r>
    </w:p>
    <w:p>
      <w:pPr>
        <w:pStyle w:val="BodyText"/>
        <w:tabs>
          <w:tab w:pos="1234" w:val="left" w:leader="none"/>
        </w:tabs>
        <w:spacing w:line="151" w:lineRule="auto" w:before="38"/>
        <w:ind w:left="672" w:right="0" w:hanging="562"/>
        <w:jc w:val="left"/>
      </w:pPr>
      <w:r>
        <w:rPr/>
        <w:t>年</w:t>
      </w:r>
      <w:r>
        <w:rPr>
          <w:spacing w:val="-44"/>
        </w:rPr>
        <w:t> </w:t>
      </w:r>
      <w:r>
        <w:rPr>
          <w:rFonts w:ascii="Times New Roman" w:hAnsi="Times New Roman" w:cs="Times New Roman" w:eastAsia="Times New Roman" w:hint="default"/>
        </w:rPr>
        <w:t>04</w:t>
        <w:tab/>
        <w:tab/>
      </w:r>
      <w:r>
        <w:rPr/>
        <w:t>协议 性存</w:t>
      </w:r>
    </w:p>
    <w:p>
      <w:pPr>
        <w:pStyle w:val="BodyText"/>
        <w:tabs>
          <w:tab w:pos="1234" w:val="left" w:leader="none"/>
        </w:tabs>
        <w:spacing w:line="151" w:lineRule="auto" w:before="7"/>
        <w:ind w:left="672" w:right="0" w:hanging="562"/>
        <w:jc w:val="left"/>
      </w:pPr>
      <w:r>
        <w:rPr/>
        <w:t>月</w:t>
      </w:r>
      <w:r>
        <w:rPr>
          <w:spacing w:val="-44"/>
        </w:rPr>
        <w:t> </w:t>
      </w:r>
      <w:r>
        <w:rPr>
          <w:rFonts w:ascii="Times New Roman" w:hAnsi="Times New Roman" w:cs="Times New Roman" w:eastAsia="Times New Roman" w:hint="default"/>
        </w:rPr>
        <w:t>01</w:t>
        <w:tab/>
        <w:tab/>
      </w:r>
      <w:r>
        <w:rPr/>
        <w:t>约定 款</w:t>
      </w:r>
    </w:p>
    <w:p>
      <w:pPr>
        <w:pStyle w:val="BodyText"/>
        <w:spacing w:line="165" w:lineRule="exact"/>
        <w:ind w:left="111" w:right="0"/>
        <w:jc w:val="left"/>
      </w:pP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434" w:val="left" w:leader="none"/>
          <w:tab w:pos="3171" w:val="left" w:leader="none"/>
          <w:tab w:pos="3738" w:val="left" w:leader="none"/>
        </w:tabs>
        <w:spacing w:line="240" w:lineRule="auto"/>
        <w:ind w:left="135" w:right="-20"/>
        <w:jc w:val="left"/>
      </w:pPr>
      <w:r>
        <w:rPr>
          <w:rFonts w:ascii="Times New Roman" w:hAnsi="Times New Roman" w:cs="Times New Roman" w:eastAsia="Times New Roman" w:hint="default"/>
        </w:rPr>
        <w:t>3.50%  </w:t>
      </w:r>
      <w:r>
        <w:rPr>
          <w:rFonts w:ascii="Times New Roman" w:hAnsi="Times New Roman" w:cs="Times New Roman" w:eastAsia="Times New Roman" w:hint="default"/>
          <w:spacing w:val="19"/>
        </w:rPr>
        <w:t> </w:t>
      </w:r>
      <w:r>
        <w:rPr>
          <w:rFonts w:ascii="Times New Roman" w:hAnsi="Times New Roman" w:cs="Times New Roman" w:eastAsia="Times New Roman" w:hint="default"/>
        </w:rPr>
        <w:t>10.79</w:t>
        <w:tab/>
        <w:t>10.79</w:t>
      </w:r>
      <w:r>
        <w:rPr>
          <w:rFonts w:ascii="Times New Roman" w:hAnsi="Times New Roman" w:cs="Times New Roman" w:eastAsia="Times New Roman" w:hint="default"/>
          <w:spacing w:val="10"/>
        </w:rPr>
        <w:t> </w:t>
      </w:r>
      <w:r>
        <w:rPr/>
        <w:t>已收回</w:t>
        <w:tab/>
        <w:t>是</w:t>
        <w:tab/>
        <w:t>是</w:t>
      </w:r>
    </w:p>
    <w:p>
      <w:pPr>
        <w:pStyle w:val="BodyText"/>
        <w:spacing w:line="316" w:lineRule="auto" w:before="44"/>
        <w:ind w:left="135" w:right="665"/>
        <w:jc w:val="both"/>
      </w:pPr>
      <w:r>
        <w:rPr/>
        <w:br w:type="column"/>
      </w:r>
      <w:r>
        <w:rPr/>
        <w:t>巨潮资讯 网，公告 编号</w:t>
      </w:r>
    </w:p>
    <w:p>
      <w:pPr>
        <w:pStyle w:val="BodyText"/>
        <w:spacing w:line="240" w:lineRule="auto" w:before="19"/>
        <w:ind w:left="135" w:right="0"/>
        <w:jc w:val="both"/>
      </w:pPr>
      <w:r>
        <w:rPr>
          <w:rFonts w:ascii="Times New Roman" w:hAnsi="Times New Roman" w:cs="Times New Roman" w:eastAsia="Times New Roman" w:hint="default"/>
        </w:rPr>
        <w:t>2019-015</w:t>
      </w:r>
      <w:r>
        <w:rPr/>
        <w:t>、</w:t>
      </w:r>
    </w:p>
    <w:p>
      <w:pPr>
        <w:pStyle w:val="BodyText"/>
        <w:spacing w:line="240" w:lineRule="auto" w:before="105"/>
        <w:ind w:left="135" w:right="0"/>
        <w:jc w:val="both"/>
        <w:rPr>
          <w:rFonts w:ascii="Times New Roman" w:hAnsi="Times New Roman" w:cs="Times New Roman" w:eastAsia="Times New Roman" w:hint="default"/>
        </w:rPr>
      </w:pPr>
      <w:r>
        <w:rPr>
          <w:rFonts w:ascii="Times New Roman"/>
        </w:rPr>
        <w:t>2019-045</w:t>
      </w:r>
    </w:p>
    <w:p>
      <w:pPr>
        <w:spacing w:after="0" w:line="240" w:lineRule="auto"/>
        <w:jc w:val="both"/>
        <w:rPr>
          <w:rFonts w:ascii="Times New Roman" w:hAnsi="Times New Roman" w:cs="Times New Roman" w:eastAsia="Times New Roman" w:hint="default"/>
        </w:rPr>
        <w:sectPr>
          <w:type w:val="continuous"/>
          <w:pgSz w:w="11910" w:h="16840"/>
          <w:pgMar w:top="1060" w:bottom="1160" w:left="460" w:right="0"/>
          <w:cols w:num="7" w:equalWidth="0">
            <w:col w:w="1634" w:space="95"/>
            <w:col w:w="676" w:space="44"/>
            <w:col w:w="957" w:space="66"/>
            <w:col w:w="544" w:space="40"/>
            <w:col w:w="1595" w:space="104"/>
            <w:col w:w="3919" w:space="251"/>
            <w:col w:w="1525"/>
          </w:cols>
        </w:sectPr>
      </w:pPr>
    </w:p>
    <w:p>
      <w:pPr>
        <w:spacing w:line="240" w:lineRule="auto" w:before="6"/>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460" w:right="0"/>
        </w:sectPr>
      </w:pPr>
    </w:p>
    <w:p>
      <w:pPr>
        <w:spacing w:line="240" w:lineRule="auto" w:before="0"/>
        <w:rPr>
          <w:rFonts w:ascii="Times New Roman" w:hAnsi="Times New Roman" w:cs="Times New Roman" w:eastAsia="Times New Roman" w:hint="default"/>
          <w:sz w:val="18"/>
          <w:szCs w:val="18"/>
        </w:rPr>
      </w:pPr>
    </w:p>
    <w:p>
      <w:pPr>
        <w:pStyle w:val="BodyText"/>
        <w:spacing w:line="316" w:lineRule="auto" w:before="149"/>
        <w:ind w:left="135" w:right="-20"/>
        <w:jc w:val="left"/>
      </w:pPr>
      <w:r>
        <w:rPr/>
        <w:t>招商银行股份 有限公司南京</w:t>
      </w:r>
      <w:r>
        <w:rPr>
          <w:spacing w:val="-32"/>
        </w:rPr>
        <w:t> </w:t>
      </w:r>
      <w:r>
        <w:rPr/>
        <w:t>银行</w:t>
      </w:r>
      <w:r>
        <w:rPr/>
        <w:t> 奥体支行</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pStyle w:val="BodyText"/>
        <w:spacing w:line="314" w:lineRule="auto"/>
        <w:ind w:left="135" w:right="-20"/>
        <w:jc w:val="left"/>
      </w:pPr>
      <w:r>
        <w:rPr/>
        <w:t>结构性 存款</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21"/>
        <w:ind w:left="601" w:right="-20"/>
        <w:jc w:val="left"/>
      </w:pPr>
      <w:r>
        <w:rPr/>
        <w:t>闲置</w:t>
      </w:r>
    </w:p>
    <w:p>
      <w:pPr>
        <w:pStyle w:val="BodyText"/>
        <w:spacing w:line="240" w:lineRule="auto" w:before="76"/>
        <w:ind w:left="51" w:right="-19"/>
        <w:jc w:val="left"/>
      </w:pPr>
      <w:r>
        <w:rPr>
          <w:rFonts w:ascii="Times New Roman" w:hAnsi="Times New Roman" w:cs="Times New Roman" w:eastAsia="Times New Roman" w:hint="default"/>
        </w:rPr>
        <w:t>12,000</w:t>
      </w:r>
      <w:r>
        <w:rPr>
          <w:rFonts w:ascii="Times New Roman" w:hAnsi="Times New Roman" w:cs="Times New Roman" w:eastAsia="Times New Roman" w:hint="default"/>
          <w:spacing w:val="9"/>
        </w:rPr>
        <w:t> </w:t>
      </w:r>
      <w:r>
        <w:rPr/>
        <w:t>募集</w:t>
      </w:r>
    </w:p>
    <w:p>
      <w:pPr>
        <w:pStyle w:val="BodyText"/>
        <w:spacing w:line="240" w:lineRule="auto" w:before="60"/>
        <w:ind w:left="601" w:right="-20"/>
        <w:jc w:val="left"/>
      </w:pPr>
      <w:r>
        <w:rPr/>
        <w:t>资金</w:t>
      </w:r>
    </w:p>
    <w:p>
      <w:pPr>
        <w:spacing w:line="240" w:lineRule="auto" w:before="7"/>
        <w:rPr>
          <w:rFonts w:ascii="宋体" w:hAnsi="宋体" w:cs="宋体" w:eastAsia="宋体" w:hint="default"/>
          <w:sz w:val="18"/>
          <w:szCs w:val="18"/>
        </w:rPr>
      </w:pPr>
      <w:r>
        <w:rPr/>
        <w:br w:type="column"/>
      </w:r>
      <w:r>
        <w:rPr>
          <w:rFonts w:ascii="宋体"/>
          <w:sz w:val="18"/>
        </w:rPr>
      </w:r>
    </w:p>
    <w:p>
      <w:pPr>
        <w:pStyle w:val="BodyText"/>
        <w:spacing w:line="240" w:lineRule="auto"/>
        <w:ind w:left="135" w:right="-19"/>
        <w:jc w:val="left"/>
        <w:rPr>
          <w:rFonts w:ascii="Times New Roman" w:hAnsi="Times New Roman" w:cs="Times New Roman" w:eastAsia="Times New Roman" w:hint="default"/>
        </w:rPr>
      </w:pPr>
      <w:r>
        <w:rPr>
          <w:rFonts w:ascii="Times New Roman"/>
        </w:rPr>
        <w:t>2019</w:t>
      </w:r>
    </w:p>
    <w:p>
      <w:pPr>
        <w:pStyle w:val="BodyText"/>
        <w:spacing w:line="240" w:lineRule="auto" w:before="60"/>
        <w:ind w:left="135" w:right="-19"/>
        <w:jc w:val="left"/>
        <w:rPr>
          <w:rFonts w:ascii="Times New Roman" w:hAnsi="Times New Roman" w:cs="Times New Roman" w:eastAsia="Times New Roman" w:hint="default"/>
        </w:rPr>
      </w:pPr>
      <w:r>
        <w:rPr/>
        <w:t>年</w:t>
      </w:r>
      <w:r>
        <w:rPr>
          <w:spacing w:val="-43"/>
        </w:rPr>
        <w:t> </w:t>
      </w:r>
      <w:r>
        <w:rPr>
          <w:rFonts w:ascii="Times New Roman" w:hAnsi="Times New Roman" w:cs="Times New Roman" w:eastAsia="Times New Roman" w:hint="default"/>
        </w:rPr>
        <w:t>02</w:t>
      </w:r>
    </w:p>
    <w:p>
      <w:pPr>
        <w:pStyle w:val="BodyText"/>
        <w:spacing w:line="240" w:lineRule="auto" w:before="63"/>
        <w:ind w:left="135" w:right="-19"/>
        <w:jc w:val="left"/>
        <w:rPr>
          <w:rFonts w:ascii="Times New Roman" w:hAnsi="Times New Roman" w:cs="Times New Roman" w:eastAsia="Times New Roman" w:hint="default"/>
        </w:rPr>
      </w:pPr>
      <w:r>
        <w:rPr/>
        <w:t>月</w:t>
      </w:r>
      <w:r>
        <w:rPr>
          <w:spacing w:val="-43"/>
        </w:rPr>
        <w:t> </w:t>
      </w:r>
      <w:r>
        <w:rPr>
          <w:rFonts w:ascii="Times New Roman" w:hAnsi="Times New Roman" w:cs="Times New Roman" w:eastAsia="Times New Roman" w:hint="default"/>
        </w:rPr>
        <w:t>27</w:t>
      </w:r>
    </w:p>
    <w:p>
      <w:pPr>
        <w:pStyle w:val="BodyText"/>
        <w:spacing w:line="240" w:lineRule="auto" w:before="63"/>
        <w:ind w:left="135" w:right="-19"/>
        <w:jc w:val="left"/>
      </w:pPr>
      <w:r>
        <w:rPr/>
        <w:t>日</w:t>
      </w:r>
    </w:p>
    <w:p>
      <w:pPr>
        <w:spacing w:line="240" w:lineRule="auto" w:before="7"/>
        <w:rPr>
          <w:rFonts w:ascii="宋体" w:hAnsi="宋体" w:cs="宋体" w:eastAsia="宋体" w:hint="default"/>
          <w:sz w:val="18"/>
          <w:szCs w:val="18"/>
        </w:rPr>
      </w:pPr>
      <w:r>
        <w:rPr/>
        <w:br w:type="column"/>
      </w:r>
      <w:r>
        <w:rPr>
          <w:rFonts w:ascii="宋体"/>
          <w:sz w:val="18"/>
        </w:rPr>
      </w:r>
    </w:p>
    <w:p>
      <w:pPr>
        <w:pStyle w:val="BodyText"/>
        <w:spacing w:line="160" w:lineRule="exact"/>
        <w:ind w:left="111" w:right="0"/>
        <w:jc w:val="left"/>
        <w:rPr>
          <w:rFonts w:ascii="Times New Roman" w:hAnsi="Times New Roman" w:cs="Times New Roman" w:eastAsia="Times New Roman" w:hint="default"/>
        </w:rPr>
      </w:pPr>
      <w:r>
        <w:rPr>
          <w:rFonts w:ascii="Times New Roman"/>
        </w:rPr>
        <w:t>2019</w:t>
      </w:r>
    </w:p>
    <w:p>
      <w:pPr>
        <w:pStyle w:val="BodyText"/>
        <w:spacing w:line="149" w:lineRule="exact"/>
        <w:ind w:left="110" w:right="0"/>
        <w:jc w:val="center"/>
      </w:pPr>
      <w:r>
        <w:rPr/>
        <w:t>结构</w:t>
      </w:r>
    </w:p>
    <w:p>
      <w:pPr>
        <w:pStyle w:val="BodyText"/>
        <w:tabs>
          <w:tab w:pos="1234" w:val="left" w:leader="none"/>
        </w:tabs>
        <w:spacing w:line="148" w:lineRule="auto" w:before="40"/>
        <w:ind w:left="672" w:right="0" w:hanging="562"/>
        <w:jc w:val="left"/>
      </w:pPr>
      <w:r>
        <w:rPr/>
        <w:t>年</w:t>
      </w:r>
      <w:r>
        <w:rPr>
          <w:spacing w:val="-44"/>
        </w:rPr>
        <w:t> </w:t>
      </w:r>
      <w:r>
        <w:rPr>
          <w:rFonts w:ascii="Times New Roman" w:hAnsi="Times New Roman" w:cs="Times New Roman" w:eastAsia="Times New Roman" w:hint="default"/>
        </w:rPr>
        <w:t>03</w:t>
        <w:tab/>
        <w:tab/>
      </w:r>
      <w:r>
        <w:rPr/>
        <w:t>协议 性存</w:t>
      </w:r>
    </w:p>
    <w:p>
      <w:pPr>
        <w:pStyle w:val="BodyText"/>
        <w:tabs>
          <w:tab w:pos="1234" w:val="left" w:leader="none"/>
        </w:tabs>
        <w:spacing w:line="151" w:lineRule="auto" w:before="8"/>
        <w:ind w:left="672" w:right="0" w:hanging="562"/>
        <w:jc w:val="left"/>
      </w:pPr>
      <w:r>
        <w:rPr/>
        <w:t>月</w:t>
      </w:r>
      <w:r>
        <w:rPr>
          <w:spacing w:val="-44"/>
        </w:rPr>
        <w:t> </w:t>
      </w:r>
      <w:r>
        <w:rPr>
          <w:rFonts w:ascii="Times New Roman" w:hAnsi="Times New Roman" w:cs="Times New Roman" w:eastAsia="Times New Roman" w:hint="default"/>
        </w:rPr>
        <w:t>29</w:t>
        <w:tab/>
        <w:tab/>
      </w:r>
      <w:r>
        <w:rPr/>
        <w:t>约定 款</w:t>
      </w:r>
    </w:p>
    <w:p>
      <w:pPr>
        <w:pStyle w:val="BodyText"/>
        <w:spacing w:line="165" w:lineRule="exact"/>
        <w:ind w:left="111" w:right="0"/>
        <w:jc w:val="left"/>
      </w:pP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845" w:val="left" w:leader="none"/>
          <w:tab w:pos="1525" w:val="left" w:leader="none"/>
          <w:tab w:pos="3171" w:val="left" w:leader="none"/>
          <w:tab w:pos="3738" w:val="left" w:leader="none"/>
        </w:tabs>
        <w:spacing w:line="240" w:lineRule="auto"/>
        <w:ind w:left="135" w:right="-20"/>
        <w:jc w:val="left"/>
      </w:pPr>
      <w:r>
        <w:rPr>
          <w:rFonts w:ascii="Times New Roman" w:hAnsi="Times New Roman" w:cs="Times New Roman" w:eastAsia="Times New Roman" w:hint="default"/>
        </w:rPr>
        <w:t>2.90%</w:t>
        <w:tab/>
        <w:t>28.6</w:t>
        <w:tab/>
        <w:t>29.1</w:t>
      </w:r>
      <w:r>
        <w:rPr>
          <w:rFonts w:ascii="Times New Roman" w:hAnsi="Times New Roman" w:cs="Times New Roman" w:eastAsia="Times New Roman" w:hint="default"/>
          <w:spacing w:val="9"/>
        </w:rPr>
        <w:t> </w:t>
      </w:r>
      <w:r>
        <w:rPr/>
        <w:t>已收回</w:t>
        <w:tab/>
        <w:t>是</w:t>
        <w:tab/>
        <w:t>是</w:t>
      </w:r>
    </w:p>
    <w:p>
      <w:pPr>
        <w:pStyle w:val="BodyText"/>
        <w:spacing w:line="316" w:lineRule="auto" w:before="44"/>
        <w:ind w:left="135" w:right="665"/>
        <w:jc w:val="both"/>
      </w:pPr>
      <w:r>
        <w:rPr/>
        <w:br w:type="column"/>
      </w:r>
      <w:r>
        <w:rPr/>
        <w:t>巨潮资讯 网，公告 编号</w:t>
      </w:r>
    </w:p>
    <w:p>
      <w:pPr>
        <w:pStyle w:val="BodyText"/>
        <w:spacing w:line="240" w:lineRule="auto" w:before="19"/>
        <w:ind w:left="135" w:right="0"/>
        <w:jc w:val="both"/>
      </w:pPr>
      <w:r>
        <w:rPr>
          <w:rFonts w:ascii="Times New Roman" w:hAnsi="Times New Roman" w:cs="Times New Roman" w:eastAsia="Times New Roman" w:hint="default"/>
        </w:rPr>
        <w:t>2019-015</w:t>
      </w:r>
      <w:r>
        <w:rPr/>
        <w:t>、</w:t>
      </w:r>
    </w:p>
    <w:p>
      <w:pPr>
        <w:pStyle w:val="BodyText"/>
        <w:spacing w:line="240" w:lineRule="auto" w:before="105"/>
        <w:ind w:left="135" w:right="0"/>
        <w:jc w:val="both"/>
        <w:rPr>
          <w:rFonts w:ascii="Times New Roman" w:hAnsi="Times New Roman" w:cs="Times New Roman" w:eastAsia="Times New Roman" w:hint="default"/>
        </w:rPr>
      </w:pPr>
      <w:r>
        <w:rPr>
          <w:rFonts w:ascii="Times New Roman"/>
        </w:rPr>
        <w:t>2019-045</w:t>
      </w:r>
    </w:p>
    <w:p>
      <w:pPr>
        <w:spacing w:after="0" w:line="240" w:lineRule="auto"/>
        <w:jc w:val="both"/>
        <w:rPr>
          <w:rFonts w:ascii="Times New Roman" w:hAnsi="Times New Roman" w:cs="Times New Roman" w:eastAsia="Times New Roman" w:hint="default"/>
        </w:rPr>
        <w:sectPr>
          <w:type w:val="continuous"/>
          <w:pgSz w:w="11910" w:h="16840"/>
          <w:pgMar w:top="1060" w:bottom="1160" w:left="460" w:right="0"/>
          <w:cols w:num="7" w:equalWidth="0">
            <w:col w:w="1634" w:space="95"/>
            <w:col w:w="676" w:space="40"/>
            <w:col w:w="962" w:space="66"/>
            <w:col w:w="544" w:space="40"/>
            <w:col w:w="1595" w:space="104"/>
            <w:col w:w="3919" w:space="251"/>
            <w:col w:w="1524"/>
          </w:cols>
        </w:sectPr>
      </w:pPr>
    </w:p>
    <w:p>
      <w:pPr>
        <w:spacing w:line="240" w:lineRule="auto" w:before="6"/>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460" w:right="0"/>
        </w:sectPr>
      </w:pPr>
    </w:p>
    <w:p>
      <w:pPr>
        <w:pStyle w:val="BodyText"/>
        <w:spacing w:line="310" w:lineRule="atLeast" w:before="126"/>
        <w:ind w:left="135" w:right="398"/>
        <w:jc w:val="left"/>
      </w:pPr>
      <w:r>
        <w:rPr/>
        <w:t>上海浦东发展 银行股份有限</w:t>
      </w:r>
    </w:p>
    <w:p>
      <w:pPr>
        <w:pStyle w:val="BodyText"/>
        <w:spacing w:line="116" w:lineRule="exact"/>
        <w:ind w:left="0" w:right="0"/>
        <w:jc w:val="right"/>
      </w:pPr>
      <w:r>
        <w:rPr/>
        <w:t>银行</w:t>
      </w:r>
    </w:p>
    <w:p>
      <w:pPr>
        <w:pStyle w:val="BodyText"/>
        <w:spacing w:line="196" w:lineRule="exact"/>
        <w:ind w:left="135" w:right="-20"/>
        <w:jc w:val="left"/>
      </w:pPr>
      <w:r>
        <w:rPr/>
        <w:t>公司南京城西</w:t>
      </w:r>
    </w:p>
    <w:p>
      <w:pPr>
        <w:pStyle w:val="BodyText"/>
        <w:spacing w:line="240" w:lineRule="auto" w:before="76"/>
        <w:ind w:left="135" w:right="398"/>
        <w:jc w:val="left"/>
      </w:pPr>
      <w:r>
        <w:rPr/>
        <w:t>支行</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21"/>
          <w:szCs w:val="21"/>
        </w:rPr>
      </w:pPr>
    </w:p>
    <w:p>
      <w:pPr>
        <w:pStyle w:val="BodyText"/>
        <w:spacing w:line="316" w:lineRule="auto"/>
        <w:ind w:left="135" w:right="-20"/>
        <w:jc w:val="left"/>
      </w:pPr>
      <w:r>
        <w:rPr/>
        <w:t>结构性 存款</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21"/>
        <w:ind w:left="596" w:right="-20"/>
        <w:jc w:val="left"/>
      </w:pPr>
      <w:r>
        <w:rPr/>
        <w:t>闲置</w:t>
      </w:r>
    </w:p>
    <w:p>
      <w:pPr>
        <w:pStyle w:val="BodyText"/>
        <w:spacing w:line="240" w:lineRule="auto" w:before="76"/>
        <w:ind w:left="135" w:right="-19"/>
        <w:jc w:val="left"/>
      </w:pPr>
      <w:r>
        <w:rPr>
          <w:rFonts w:ascii="Times New Roman" w:hAnsi="Times New Roman" w:cs="Times New Roman" w:eastAsia="Times New Roman" w:hint="default"/>
        </w:rPr>
        <w:t>3,000</w:t>
      </w:r>
      <w:r>
        <w:rPr>
          <w:rFonts w:ascii="Times New Roman" w:hAnsi="Times New Roman" w:cs="Times New Roman" w:eastAsia="Times New Roman" w:hint="default"/>
          <w:spacing w:val="10"/>
        </w:rPr>
        <w:t> </w:t>
      </w:r>
      <w:r>
        <w:rPr/>
        <w:t>募集</w:t>
      </w:r>
    </w:p>
    <w:p>
      <w:pPr>
        <w:pStyle w:val="BodyText"/>
        <w:spacing w:line="240" w:lineRule="auto" w:before="63"/>
        <w:ind w:left="596" w:right="-20"/>
        <w:jc w:val="left"/>
      </w:pPr>
      <w:r>
        <w:rPr/>
        <w:t>资金</w:t>
      </w:r>
    </w:p>
    <w:p>
      <w:pPr>
        <w:spacing w:line="240" w:lineRule="auto" w:before="8"/>
        <w:rPr>
          <w:rFonts w:ascii="宋体" w:hAnsi="宋体" w:cs="宋体" w:eastAsia="宋体" w:hint="default"/>
          <w:sz w:val="18"/>
          <w:szCs w:val="18"/>
        </w:rPr>
      </w:pPr>
      <w:r>
        <w:rPr/>
        <w:br w:type="column"/>
      </w:r>
      <w:r>
        <w:rPr>
          <w:rFonts w:ascii="宋体"/>
          <w:sz w:val="18"/>
        </w:rPr>
      </w:r>
    </w:p>
    <w:p>
      <w:pPr>
        <w:pStyle w:val="BodyText"/>
        <w:spacing w:line="240" w:lineRule="auto"/>
        <w:ind w:left="135" w:right="-19"/>
        <w:jc w:val="left"/>
        <w:rPr>
          <w:rFonts w:ascii="Times New Roman" w:hAnsi="Times New Roman" w:cs="Times New Roman" w:eastAsia="Times New Roman" w:hint="default"/>
        </w:rPr>
      </w:pPr>
      <w:r>
        <w:rPr>
          <w:rFonts w:ascii="Times New Roman"/>
        </w:rPr>
        <w:t>2019</w:t>
      </w:r>
    </w:p>
    <w:p>
      <w:pPr>
        <w:pStyle w:val="BodyText"/>
        <w:spacing w:line="240" w:lineRule="auto" w:before="63"/>
        <w:ind w:left="135" w:right="-19"/>
        <w:jc w:val="left"/>
        <w:rPr>
          <w:rFonts w:ascii="Times New Roman" w:hAnsi="Times New Roman" w:cs="Times New Roman" w:eastAsia="Times New Roman" w:hint="default"/>
        </w:rPr>
      </w:pPr>
      <w:r>
        <w:rPr/>
        <w:t>年</w:t>
      </w:r>
      <w:r>
        <w:rPr>
          <w:spacing w:val="-43"/>
        </w:rPr>
        <w:t> </w:t>
      </w:r>
      <w:r>
        <w:rPr>
          <w:rFonts w:ascii="Times New Roman" w:hAnsi="Times New Roman" w:cs="Times New Roman" w:eastAsia="Times New Roman" w:hint="default"/>
        </w:rPr>
        <w:t>04</w:t>
      </w:r>
    </w:p>
    <w:p>
      <w:pPr>
        <w:pStyle w:val="BodyText"/>
        <w:spacing w:line="240" w:lineRule="auto" w:before="63"/>
        <w:ind w:left="135" w:right="-19"/>
        <w:jc w:val="left"/>
        <w:rPr>
          <w:rFonts w:ascii="Times New Roman" w:hAnsi="Times New Roman" w:cs="Times New Roman" w:eastAsia="Times New Roman" w:hint="default"/>
        </w:rPr>
      </w:pPr>
      <w:r>
        <w:rPr/>
        <w:t>月</w:t>
      </w:r>
      <w:r>
        <w:rPr>
          <w:spacing w:val="-43"/>
        </w:rPr>
        <w:t> </w:t>
      </w:r>
      <w:r>
        <w:rPr>
          <w:rFonts w:ascii="Times New Roman" w:hAnsi="Times New Roman" w:cs="Times New Roman" w:eastAsia="Times New Roman" w:hint="default"/>
        </w:rPr>
        <w:t>08</w:t>
      </w:r>
    </w:p>
    <w:p>
      <w:pPr>
        <w:pStyle w:val="BodyText"/>
        <w:spacing w:line="240" w:lineRule="auto" w:before="63"/>
        <w:ind w:left="135" w:right="-19"/>
        <w:jc w:val="left"/>
      </w:pPr>
      <w:r>
        <w:rPr/>
        <w:t>日</w:t>
      </w:r>
    </w:p>
    <w:p>
      <w:pPr>
        <w:spacing w:line="240" w:lineRule="auto" w:before="8"/>
        <w:rPr>
          <w:rFonts w:ascii="宋体" w:hAnsi="宋体" w:cs="宋体" w:eastAsia="宋体" w:hint="default"/>
          <w:sz w:val="18"/>
          <w:szCs w:val="18"/>
        </w:rPr>
      </w:pPr>
      <w:r>
        <w:rPr/>
        <w:br w:type="column"/>
      </w:r>
      <w:r>
        <w:rPr>
          <w:rFonts w:ascii="宋体"/>
          <w:sz w:val="18"/>
        </w:rPr>
      </w:r>
    </w:p>
    <w:p>
      <w:pPr>
        <w:pStyle w:val="BodyText"/>
        <w:spacing w:line="160" w:lineRule="exact"/>
        <w:ind w:left="111" w:right="0"/>
        <w:jc w:val="left"/>
        <w:rPr>
          <w:rFonts w:ascii="Times New Roman" w:hAnsi="Times New Roman" w:cs="Times New Roman" w:eastAsia="Times New Roman" w:hint="default"/>
        </w:rPr>
      </w:pPr>
      <w:r>
        <w:rPr>
          <w:rFonts w:ascii="Times New Roman"/>
        </w:rPr>
        <w:t>2019</w:t>
      </w:r>
    </w:p>
    <w:p>
      <w:pPr>
        <w:pStyle w:val="BodyText"/>
        <w:spacing w:line="149" w:lineRule="exact"/>
        <w:ind w:left="110" w:right="0"/>
        <w:jc w:val="center"/>
      </w:pPr>
      <w:r>
        <w:rPr/>
        <w:t>结构</w:t>
      </w:r>
    </w:p>
    <w:p>
      <w:pPr>
        <w:pStyle w:val="BodyText"/>
        <w:tabs>
          <w:tab w:pos="1234" w:val="left" w:leader="none"/>
        </w:tabs>
        <w:spacing w:line="151" w:lineRule="auto" w:before="38"/>
        <w:ind w:left="672" w:right="0" w:hanging="562"/>
        <w:jc w:val="left"/>
      </w:pPr>
      <w:r>
        <w:rPr/>
        <w:t>年</w:t>
      </w:r>
      <w:r>
        <w:rPr>
          <w:spacing w:val="-44"/>
        </w:rPr>
        <w:t> </w:t>
      </w:r>
      <w:r>
        <w:rPr>
          <w:rFonts w:ascii="Times New Roman" w:hAnsi="Times New Roman" w:cs="Times New Roman" w:eastAsia="Times New Roman" w:hint="default"/>
        </w:rPr>
        <w:t>05</w:t>
        <w:tab/>
        <w:tab/>
      </w:r>
      <w:r>
        <w:rPr/>
        <w:t>协议 性存</w:t>
      </w:r>
    </w:p>
    <w:p>
      <w:pPr>
        <w:pStyle w:val="BodyText"/>
        <w:tabs>
          <w:tab w:pos="1234" w:val="left" w:leader="none"/>
        </w:tabs>
        <w:spacing w:line="151" w:lineRule="auto" w:before="7"/>
        <w:ind w:left="672" w:right="0" w:hanging="562"/>
        <w:jc w:val="left"/>
      </w:pPr>
      <w:r>
        <w:rPr/>
        <w:t>月</w:t>
      </w:r>
      <w:r>
        <w:rPr>
          <w:spacing w:val="-44"/>
        </w:rPr>
        <w:t> </w:t>
      </w:r>
      <w:r>
        <w:rPr>
          <w:rFonts w:ascii="Times New Roman" w:hAnsi="Times New Roman" w:cs="Times New Roman" w:eastAsia="Times New Roman" w:hint="default"/>
        </w:rPr>
        <w:t>13</w:t>
        <w:tab/>
        <w:tab/>
      </w:r>
      <w:r>
        <w:rPr/>
        <w:t>约定 款</w:t>
      </w:r>
    </w:p>
    <w:p>
      <w:pPr>
        <w:pStyle w:val="BodyText"/>
        <w:spacing w:line="165" w:lineRule="exact"/>
        <w:ind w:left="111" w:right="0"/>
        <w:jc w:val="left"/>
      </w:pP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pStyle w:val="BodyText"/>
        <w:tabs>
          <w:tab w:pos="1434" w:val="left" w:leader="none"/>
          <w:tab w:pos="3171" w:val="left" w:leader="none"/>
          <w:tab w:pos="3738" w:val="left" w:leader="none"/>
        </w:tabs>
        <w:spacing w:line="240" w:lineRule="auto"/>
        <w:ind w:left="135" w:right="-20"/>
        <w:jc w:val="left"/>
      </w:pPr>
      <w:r>
        <w:rPr>
          <w:rFonts w:ascii="Times New Roman" w:hAnsi="Times New Roman" w:cs="Times New Roman" w:eastAsia="Times New Roman" w:hint="default"/>
        </w:rPr>
        <w:t>3.45%  </w:t>
      </w:r>
      <w:r>
        <w:rPr>
          <w:rFonts w:ascii="Times New Roman" w:hAnsi="Times New Roman" w:cs="Times New Roman" w:eastAsia="Times New Roman" w:hint="default"/>
          <w:spacing w:val="19"/>
        </w:rPr>
        <w:t> </w:t>
      </w:r>
      <w:r>
        <w:rPr>
          <w:rFonts w:ascii="Times New Roman" w:hAnsi="Times New Roman" w:cs="Times New Roman" w:eastAsia="Times New Roman" w:hint="default"/>
        </w:rPr>
        <w:t>10.06</w:t>
        <w:tab/>
        <w:t>10.06</w:t>
      </w:r>
      <w:r>
        <w:rPr>
          <w:rFonts w:ascii="Times New Roman" w:hAnsi="Times New Roman" w:cs="Times New Roman" w:eastAsia="Times New Roman" w:hint="default"/>
          <w:spacing w:val="10"/>
        </w:rPr>
        <w:t> </w:t>
      </w:r>
      <w:r>
        <w:rPr/>
        <w:t>已收回</w:t>
        <w:tab/>
        <w:t>是</w:t>
        <w:tab/>
        <w:t>是</w:t>
      </w:r>
    </w:p>
    <w:p>
      <w:pPr>
        <w:pStyle w:val="BodyText"/>
        <w:spacing w:line="319" w:lineRule="auto" w:before="44"/>
        <w:ind w:left="135" w:right="665"/>
        <w:jc w:val="both"/>
      </w:pPr>
      <w:r>
        <w:rPr/>
        <w:br w:type="column"/>
      </w:r>
      <w:r>
        <w:rPr/>
        <w:t>巨潮资讯 网，公告 编号</w:t>
      </w:r>
    </w:p>
    <w:p>
      <w:pPr>
        <w:pStyle w:val="BodyText"/>
        <w:spacing w:line="240" w:lineRule="auto" w:before="17"/>
        <w:ind w:left="135" w:right="0"/>
        <w:jc w:val="both"/>
      </w:pPr>
      <w:r>
        <w:rPr>
          <w:rFonts w:ascii="Times New Roman" w:hAnsi="Times New Roman" w:cs="Times New Roman" w:eastAsia="Times New Roman" w:hint="default"/>
        </w:rPr>
        <w:t>2019-045</w:t>
      </w:r>
      <w:r>
        <w:rPr/>
        <w:t>、</w:t>
      </w:r>
    </w:p>
    <w:p>
      <w:pPr>
        <w:pStyle w:val="BodyText"/>
        <w:spacing w:line="240" w:lineRule="auto" w:before="105"/>
        <w:ind w:left="135" w:right="0"/>
        <w:jc w:val="both"/>
        <w:rPr>
          <w:rFonts w:ascii="Times New Roman" w:hAnsi="Times New Roman" w:cs="Times New Roman" w:eastAsia="Times New Roman" w:hint="default"/>
        </w:rPr>
      </w:pPr>
      <w:r>
        <w:rPr>
          <w:rFonts w:ascii="Times New Roman"/>
        </w:rPr>
        <w:t>2019-059</w:t>
      </w:r>
    </w:p>
    <w:p>
      <w:pPr>
        <w:spacing w:after="0" w:line="240" w:lineRule="auto"/>
        <w:jc w:val="both"/>
        <w:rPr>
          <w:rFonts w:ascii="Times New Roman" w:hAnsi="Times New Roman" w:cs="Times New Roman" w:eastAsia="Times New Roman" w:hint="default"/>
        </w:rPr>
        <w:sectPr>
          <w:type w:val="continuous"/>
          <w:pgSz w:w="11910" w:h="16840"/>
          <w:pgMar w:top="1060" w:bottom="1160" w:left="460" w:right="0"/>
          <w:cols w:num="7" w:equalWidth="0">
            <w:col w:w="1634" w:space="95"/>
            <w:col w:w="676" w:space="44"/>
            <w:col w:w="957" w:space="66"/>
            <w:col w:w="544" w:space="40"/>
            <w:col w:w="1595" w:space="104"/>
            <w:col w:w="3919" w:space="251"/>
            <w:col w:w="1525"/>
          </w:cols>
        </w:sectPr>
      </w:pPr>
    </w:p>
    <w:p>
      <w:pPr>
        <w:spacing w:line="240" w:lineRule="auto" w:before="6"/>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460" w:right="0"/>
        </w:sect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6"/>
          <w:szCs w:val="26"/>
        </w:rPr>
      </w:pPr>
    </w:p>
    <w:p>
      <w:pPr>
        <w:pStyle w:val="BodyText"/>
        <w:spacing w:line="316" w:lineRule="auto"/>
        <w:ind w:left="135" w:right="-20"/>
        <w:jc w:val="left"/>
      </w:pPr>
      <w:r>
        <w:rPr/>
        <w:t>江苏银行股份 有限公司南京</w:t>
      </w:r>
      <w:r>
        <w:rPr>
          <w:spacing w:val="-32"/>
        </w:rPr>
        <w:t> </w:t>
      </w:r>
      <w:r>
        <w:rPr/>
        <w:t>银行</w:t>
      </w:r>
      <w:r>
        <w:rPr/>
        <w:t> 城西支行</w:t>
      </w:r>
    </w:p>
    <w:p>
      <w:pPr>
        <w:pStyle w:val="BodyText"/>
        <w:spacing w:line="314" w:lineRule="auto" w:before="44"/>
        <w:ind w:left="135" w:right="-20"/>
        <w:jc w:val="left"/>
      </w:pPr>
      <w:r>
        <w:rPr/>
        <w:br w:type="column"/>
      </w:r>
      <w:r>
        <w:rPr/>
        <w:t>结构性 存款</w:t>
      </w:r>
    </w:p>
    <w:p>
      <w:pPr>
        <w:pStyle w:val="BodyText"/>
        <w:spacing w:line="316" w:lineRule="auto" w:before="20"/>
        <w:ind w:left="135" w:right="-20"/>
        <w:jc w:val="left"/>
      </w:pPr>
      <w:r>
        <w:rPr/>
        <w:t>（保本 非固定 期限 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pStyle w:val="BodyText"/>
        <w:spacing w:line="240" w:lineRule="auto"/>
        <w:ind w:left="596" w:right="-20"/>
        <w:jc w:val="left"/>
      </w:pPr>
      <w:r>
        <w:rPr/>
        <w:t>闲置</w:t>
      </w:r>
    </w:p>
    <w:p>
      <w:pPr>
        <w:pStyle w:val="BodyText"/>
        <w:spacing w:line="240" w:lineRule="auto" w:before="76"/>
        <w:ind w:left="135" w:right="-19"/>
        <w:jc w:val="left"/>
      </w:pPr>
      <w:r>
        <w:rPr>
          <w:rFonts w:ascii="Times New Roman" w:hAnsi="Times New Roman" w:cs="Times New Roman" w:eastAsia="Times New Roman" w:hint="default"/>
        </w:rPr>
        <w:t>5,000</w:t>
      </w:r>
      <w:r>
        <w:rPr>
          <w:rFonts w:ascii="Times New Roman" w:hAnsi="Times New Roman" w:cs="Times New Roman" w:eastAsia="Times New Roman" w:hint="default"/>
          <w:spacing w:val="10"/>
        </w:rPr>
        <w:t> </w:t>
      </w:r>
      <w:r>
        <w:rPr/>
        <w:t>募集</w:t>
      </w:r>
    </w:p>
    <w:p>
      <w:pPr>
        <w:pStyle w:val="BodyText"/>
        <w:spacing w:line="240" w:lineRule="auto" w:before="60"/>
        <w:ind w:left="596" w:right="-20"/>
        <w:jc w:val="left"/>
      </w:pPr>
      <w:r>
        <w:rPr/>
        <w:t>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2"/>
          <w:szCs w:val="12"/>
        </w:rPr>
      </w:pPr>
    </w:p>
    <w:p>
      <w:pPr>
        <w:pStyle w:val="BodyText"/>
        <w:spacing w:line="240" w:lineRule="auto"/>
        <w:ind w:left="135" w:right="-19"/>
        <w:jc w:val="left"/>
        <w:rPr>
          <w:rFonts w:ascii="Times New Roman" w:hAnsi="Times New Roman" w:cs="Times New Roman" w:eastAsia="Times New Roman" w:hint="default"/>
        </w:rPr>
      </w:pPr>
      <w:r>
        <w:rPr>
          <w:rFonts w:ascii="Times New Roman"/>
        </w:rPr>
        <w:t>2019</w:t>
      </w:r>
    </w:p>
    <w:p>
      <w:pPr>
        <w:pStyle w:val="BodyText"/>
        <w:spacing w:line="240" w:lineRule="auto" w:before="60"/>
        <w:ind w:left="135" w:right="-19"/>
        <w:jc w:val="left"/>
        <w:rPr>
          <w:rFonts w:ascii="Times New Roman" w:hAnsi="Times New Roman" w:cs="Times New Roman" w:eastAsia="Times New Roman" w:hint="default"/>
        </w:rPr>
      </w:pPr>
      <w:r>
        <w:rPr/>
        <w:t>年</w:t>
      </w:r>
      <w:r>
        <w:rPr>
          <w:spacing w:val="-43"/>
        </w:rPr>
        <w:t> </w:t>
      </w:r>
      <w:r>
        <w:rPr>
          <w:rFonts w:ascii="Times New Roman" w:hAnsi="Times New Roman" w:cs="Times New Roman" w:eastAsia="Times New Roman" w:hint="default"/>
        </w:rPr>
        <w:t>04</w:t>
      </w:r>
    </w:p>
    <w:p>
      <w:pPr>
        <w:pStyle w:val="BodyText"/>
        <w:spacing w:line="240" w:lineRule="auto" w:before="63"/>
        <w:ind w:left="135" w:right="-19"/>
        <w:jc w:val="left"/>
        <w:rPr>
          <w:rFonts w:ascii="Times New Roman" w:hAnsi="Times New Roman" w:cs="Times New Roman" w:eastAsia="Times New Roman" w:hint="default"/>
        </w:rPr>
      </w:pPr>
      <w:r>
        <w:rPr/>
        <w:t>月</w:t>
      </w:r>
      <w:r>
        <w:rPr>
          <w:spacing w:val="-43"/>
        </w:rPr>
        <w:t> </w:t>
      </w:r>
      <w:r>
        <w:rPr>
          <w:rFonts w:ascii="Times New Roman" w:hAnsi="Times New Roman" w:cs="Times New Roman" w:eastAsia="Times New Roman" w:hint="default"/>
        </w:rPr>
        <w:t>09</w:t>
      </w:r>
    </w:p>
    <w:p>
      <w:pPr>
        <w:pStyle w:val="BodyText"/>
        <w:spacing w:line="240" w:lineRule="auto" w:before="63"/>
        <w:ind w:left="135" w:right="-19"/>
        <w:jc w:val="left"/>
      </w:pP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2"/>
          <w:szCs w:val="12"/>
        </w:rPr>
      </w:pPr>
    </w:p>
    <w:p>
      <w:pPr>
        <w:pStyle w:val="BodyText"/>
        <w:spacing w:line="160" w:lineRule="exact"/>
        <w:ind w:left="111" w:right="0"/>
        <w:jc w:val="left"/>
        <w:rPr>
          <w:rFonts w:ascii="Times New Roman" w:hAnsi="Times New Roman" w:cs="Times New Roman" w:eastAsia="Times New Roman" w:hint="default"/>
        </w:rPr>
      </w:pPr>
      <w:r>
        <w:rPr>
          <w:rFonts w:ascii="Times New Roman"/>
        </w:rPr>
        <w:t>2019</w:t>
      </w:r>
    </w:p>
    <w:p>
      <w:pPr>
        <w:pStyle w:val="BodyText"/>
        <w:spacing w:line="149" w:lineRule="exact"/>
        <w:ind w:left="110" w:right="0"/>
        <w:jc w:val="center"/>
      </w:pPr>
      <w:r>
        <w:rPr/>
        <w:t>结构</w:t>
      </w:r>
    </w:p>
    <w:p>
      <w:pPr>
        <w:pStyle w:val="BodyText"/>
        <w:tabs>
          <w:tab w:pos="1234" w:val="left" w:leader="none"/>
        </w:tabs>
        <w:spacing w:line="148" w:lineRule="auto" w:before="40"/>
        <w:ind w:left="672" w:right="0" w:hanging="562"/>
        <w:jc w:val="left"/>
      </w:pPr>
      <w:r>
        <w:rPr/>
        <w:t>年</w:t>
      </w:r>
      <w:r>
        <w:rPr>
          <w:spacing w:val="-44"/>
        </w:rPr>
        <w:t> </w:t>
      </w:r>
      <w:r>
        <w:rPr>
          <w:rFonts w:ascii="Times New Roman" w:hAnsi="Times New Roman" w:cs="Times New Roman" w:eastAsia="Times New Roman" w:hint="default"/>
        </w:rPr>
        <w:t>07</w:t>
        <w:tab/>
        <w:tab/>
      </w:r>
      <w:r>
        <w:rPr/>
        <w:t>协议 性存</w:t>
      </w:r>
    </w:p>
    <w:p>
      <w:pPr>
        <w:pStyle w:val="BodyText"/>
        <w:tabs>
          <w:tab w:pos="1234" w:val="left" w:leader="none"/>
        </w:tabs>
        <w:spacing w:line="151" w:lineRule="auto" w:before="8"/>
        <w:ind w:left="672" w:right="0" w:hanging="562"/>
        <w:jc w:val="left"/>
      </w:pPr>
      <w:r>
        <w:rPr/>
        <w:t>月</w:t>
      </w:r>
      <w:r>
        <w:rPr>
          <w:spacing w:val="-44"/>
        </w:rPr>
        <w:t> </w:t>
      </w:r>
      <w:r>
        <w:rPr>
          <w:rFonts w:ascii="Times New Roman" w:hAnsi="Times New Roman" w:cs="Times New Roman" w:eastAsia="Times New Roman" w:hint="default"/>
        </w:rPr>
        <w:t>09</w:t>
        <w:tab/>
        <w:tab/>
      </w:r>
      <w:r>
        <w:rPr/>
        <w:t>约定 款</w:t>
      </w:r>
    </w:p>
    <w:p>
      <w:pPr>
        <w:pStyle w:val="BodyText"/>
        <w:spacing w:line="165" w:lineRule="exact"/>
        <w:ind w:left="111" w:right="0"/>
        <w:jc w:val="left"/>
      </w:pP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tabs>
          <w:tab w:pos="1434" w:val="left" w:leader="none"/>
          <w:tab w:pos="3171" w:val="left" w:leader="none"/>
          <w:tab w:pos="3738" w:val="left" w:leader="none"/>
        </w:tabs>
        <w:spacing w:line="240" w:lineRule="auto" w:before="118"/>
        <w:ind w:left="135" w:right="-20"/>
        <w:jc w:val="left"/>
      </w:pPr>
      <w:r>
        <w:rPr>
          <w:rFonts w:ascii="Times New Roman" w:hAnsi="Times New Roman" w:cs="Times New Roman" w:eastAsia="Times New Roman" w:hint="default"/>
        </w:rPr>
        <w:t>3.85%  </w:t>
      </w:r>
      <w:r>
        <w:rPr>
          <w:rFonts w:ascii="Times New Roman" w:hAnsi="Times New Roman" w:cs="Times New Roman" w:eastAsia="Times New Roman" w:hint="default"/>
          <w:spacing w:val="19"/>
        </w:rPr>
        <w:t> </w:t>
      </w:r>
      <w:r>
        <w:rPr>
          <w:rFonts w:ascii="Times New Roman" w:hAnsi="Times New Roman" w:cs="Times New Roman" w:eastAsia="Times New Roman" w:hint="default"/>
        </w:rPr>
        <w:t>47.99</w:t>
        <w:tab/>
        <w:t>48.13</w:t>
      </w:r>
      <w:r>
        <w:rPr>
          <w:rFonts w:ascii="Times New Roman" w:hAnsi="Times New Roman" w:cs="Times New Roman" w:eastAsia="Times New Roman" w:hint="default"/>
          <w:spacing w:val="10"/>
        </w:rPr>
        <w:t> </w:t>
      </w:r>
      <w:r>
        <w:rPr/>
        <w:t>已收回</w:t>
        <w:tab/>
        <w:t>是</w:t>
        <w:tab/>
        <w:t>是</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135" w:right="665"/>
        <w:jc w:val="both"/>
      </w:pPr>
      <w:r>
        <w:rPr/>
        <w:t>巨潮资讯 网，公告 编号</w:t>
      </w:r>
    </w:p>
    <w:p>
      <w:pPr>
        <w:pStyle w:val="BodyText"/>
        <w:spacing w:line="240" w:lineRule="auto" w:before="19"/>
        <w:ind w:left="135" w:right="0"/>
        <w:jc w:val="both"/>
      </w:pPr>
      <w:r>
        <w:rPr>
          <w:rFonts w:ascii="Times New Roman" w:hAnsi="Times New Roman" w:cs="Times New Roman" w:eastAsia="Times New Roman" w:hint="default"/>
        </w:rPr>
        <w:t>2019-045</w:t>
      </w:r>
      <w:r>
        <w:rPr/>
        <w:t>、</w:t>
      </w:r>
    </w:p>
    <w:p>
      <w:pPr>
        <w:pStyle w:val="BodyText"/>
        <w:spacing w:line="240" w:lineRule="auto" w:before="105"/>
        <w:ind w:left="135" w:right="0"/>
        <w:jc w:val="both"/>
        <w:rPr>
          <w:rFonts w:ascii="Times New Roman" w:hAnsi="Times New Roman" w:cs="Times New Roman" w:eastAsia="Times New Roman" w:hint="default"/>
        </w:rPr>
      </w:pPr>
      <w:r>
        <w:rPr>
          <w:rFonts w:ascii="Times New Roman"/>
        </w:rPr>
        <w:t>2019-064</w:t>
      </w:r>
    </w:p>
    <w:p>
      <w:pPr>
        <w:spacing w:after="0" w:line="240" w:lineRule="auto"/>
        <w:jc w:val="both"/>
        <w:rPr>
          <w:rFonts w:ascii="Times New Roman" w:hAnsi="Times New Roman" w:cs="Times New Roman" w:eastAsia="Times New Roman" w:hint="default"/>
        </w:rPr>
        <w:sectPr>
          <w:type w:val="continuous"/>
          <w:pgSz w:w="11910" w:h="16840"/>
          <w:pgMar w:top="1060" w:bottom="1160" w:left="460" w:right="0"/>
          <w:cols w:num="7" w:equalWidth="0">
            <w:col w:w="1634" w:space="95"/>
            <w:col w:w="676" w:space="44"/>
            <w:col w:w="957" w:space="66"/>
            <w:col w:w="544" w:space="40"/>
            <w:col w:w="1595" w:space="104"/>
            <w:col w:w="3919" w:space="251"/>
            <w:col w:w="1525"/>
          </w:cols>
        </w:sect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8"/>
          <w:szCs w:val="18"/>
        </w:rPr>
      </w:pPr>
    </w:p>
    <w:p>
      <w:pPr>
        <w:pStyle w:val="BodyText"/>
        <w:spacing w:line="316" w:lineRule="auto"/>
        <w:ind w:left="135" w:right="-20"/>
        <w:jc w:val="left"/>
      </w:pPr>
      <w:r>
        <w:rPr/>
        <w:t>招商银行股份 有限公司南京</w:t>
      </w:r>
      <w:r>
        <w:rPr>
          <w:spacing w:val="-32"/>
        </w:rPr>
        <w:t> </w:t>
      </w:r>
      <w:r>
        <w:rPr/>
        <w:t>银行</w:t>
      </w:r>
      <w:r>
        <w:rPr/>
        <w:t> 奥体支行</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26"/>
          <w:szCs w:val="26"/>
        </w:rPr>
      </w:pPr>
    </w:p>
    <w:p>
      <w:pPr>
        <w:pStyle w:val="BodyText"/>
        <w:spacing w:line="316" w:lineRule="auto"/>
        <w:ind w:left="135" w:right="-20"/>
        <w:jc w:val="left"/>
      </w:pPr>
      <w:r>
        <w:rPr/>
        <w:t>结构性 存款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4"/>
          <w:szCs w:val="14"/>
        </w:rPr>
      </w:pPr>
    </w:p>
    <w:p>
      <w:pPr>
        <w:pStyle w:val="BodyText"/>
        <w:spacing w:line="240" w:lineRule="auto"/>
        <w:ind w:left="596" w:right="-20"/>
        <w:jc w:val="left"/>
      </w:pPr>
      <w:r>
        <w:rPr/>
        <w:t>闲置</w:t>
      </w:r>
    </w:p>
    <w:p>
      <w:pPr>
        <w:pStyle w:val="BodyText"/>
        <w:spacing w:line="240" w:lineRule="auto" w:before="76"/>
        <w:ind w:left="135" w:right="-19"/>
        <w:jc w:val="left"/>
      </w:pPr>
      <w:r>
        <w:rPr>
          <w:rFonts w:ascii="Times New Roman" w:hAnsi="Times New Roman" w:cs="Times New Roman" w:eastAsia="Times New Roman" w:hint="default"/>
        </w:rPr>
        <w:t>9,000</w:t>
      </w:r>
      <w:r>
        <w:rPr>
          <w:rFonts w:ascii="Times New Roman" w:hAnsi="Times New Roman" w:cs="Times New Roman" w:eastAsia="Times New Roman" w:hint="default"/>
          <w:spacing w:val="10"/>
        </w:rPr>
        <w:t> </w:t>
      </w:r>
      <w:r>
        <w:rPr/>
        <w:t>募集</w:t>
      </w:r>
    </w:p>
    <w:p>
      <w:pPr>
        <w:pStyle w:val="BodyText"/>
        <w:spacing w:line="240" w:lineRule="auto" w:before="63"/>
        <w:ind w:left="596" w:right="-20"/>
        <w:jc w:val="left"/>
      </w:pPr>
      <w:r>
        <w:rPr/>
        <w:t>资金</w:t>
      </w:r>
    </w:p>
    <w:p>
      <w:pPr>
        <w:spacing w:line="240" w:lineRule="auto" w:before="8"/>
        <w:rPr>
          <w:rFonts w:ascii="宋体" w:hAnsi="宋体" w:cs="宋体" w:eastAsia="宋体" w:hint="default"/>
          <w:sz w:val="23"/>
          <w:szCs w:val="23"/>
        </w:rPr>
      </w:pPr>
      <w:r>
        <w:rPr/>
        <w:br w:type="column"/>
      </w:r>
      <w:r>
        <w:rPr>
          <w:rFonts w:ascii="宋体"/>
          <w:sz w:val="23"/>
        </w:rPr>
      </w:r>
    </w:p>
    <w:p>
      <w:pPr>
        <w:pStyle w:val="BodyText"/>
        <w:spacing w:line="240" w:lineRule="auto"/>
        <w:ind w:left="135" w:right="-19"/>
        <w:jc w:val="left"/>
        <w:rPr>
          <w:rFonts w:ascii="Times New Roman" w:hAnsi="Times New Roman" w:cs="Times New Roman" w:eastAsia="Times New Roman" w:hint="default"/>
        </w:rPr>
      </w:pPr>
      <w:r>
        <w:rPr>
          <w:rFonts w:ascii="Times New Roman"/>
        </w:rPr>
        <w:t>2019</w:t>
      </w:r>
    </w:p>
    <w:p>
      <w:pPr>
        <w:pStyle w:val="BodyText"/>
        <w:spacing w:line="240" w:lineRule="auto" w:before="63"/>
        <w:ind w:left="135" w:right="-19"/>
        <w:jc w:val="left"/>
        <w:rPr>
          <w:rFonts w:ascii="Times New Roman" w:hAnsi="Times New Roman" w:cs="Times New Roman" w:eastAsia="Times New Roman" w:hint="default"/>
        </w:rPr>
      </w:pPr>
      <w:r>
        <w:rPr/>
        <w:t>年</w:t>
      </w:r>
      <w:r>
        <w:rPr>
          <w:spacing w:val="-43"/>
        </w:rPr>
        <w:t> </w:t>
      </w:r>
      <w:r>
        <w:rPr>
          <w:rFonts w:ascii="Times New Roman" w:hAnsi="Times New Roman" w:cs="Times New Roman" w:eastAsia="Times New Roman" w:hint="default"/>
        </w:rPr>
        <w:t>04</w:t>
      </w:r>
    </w:p>
    <w:p>
      <w:pPr>
        <w:pStyle w:val="BodyText"/>
        <w:spacing w:line="240" w:lineRule="auto" w:before="63"/>
        <w:ind w:left="135" w:right="-19"/>
        <w:jc w:val="left"/>
        <w:rPr>
          <w:rFonts w:ascii="Times New Roman" w:hAnsi="Times New Roman" w:cs="Times New Roman" w:eastAsia="Times New Roman" w:hint="default"/>
        </w:rPr>
      </w:pPr>
      <w:r>
        <w:rPr/>
        <w:t>月</w:t>
      </w:r>
      <w:r>
        <w:rPr>
          <w:spacing w:val="-43"/>
        </w:rPr>
        <w:t> </w:t>
      </w:r>
      <w:r>
        <w:rPr>
          <w:rFonts w:ascii="Times New Roman" w:hAnsi="Times New Roman" w:cs="Times New Roman" w:eastAsia="Times New Roman" w:hint="default"/>
        </w:rPr>
        <w:t>10</w:t>
      </w:r>
    </w:p>
    <w:p>
      <w:pPr>
        <w:pStyle w:val="BodyText"/>
        <w:spacing w:line="240" w:lineRule="auto" w:before="63"/>
        <w:ind w:left="135" w:right="-19"/>
        <w:jc w:val="left"/>
      </w:pPr>
      <w:r>
        <w:rPr/>
        <w:t>日</w:t>
      </w:r>
    </w:p>
    <w:p>
      <w:pPr>
        <w:spacing w:line="240" w:lineRule="auto" w:before="8"/>
        <w:rPr>
          <w:rFonts w:ascii="宋体" w:hAnsi="宋体" w:cs="宋体" w:eastAsia="宋体" w:hint="default"/>
          <w:sz w:val="23"/>
          <w:szCs w:val="23"/>
        </w:rPr>
      </w:pPr>
      <w:r>
        <w:rPr/>
        <w:br w:type="column"/>
      </w:r>
      <w:r>
        <w:rPr>
          <w:rFonts w:ascii="宋体"/>
          <w:sz w:val="23"/>
        </w:rPr>
      </w:r>
    </w:p>
    <w:p>
      <w:pPr>
        <w:pStyle w:val="BodyText"/>
        <w:spacing w:line="160" w:lineRule="exact"/>
        <w:ind w:left="111" w:right="0"/>
        <w:jc w:val="left"/>
        <w:rPr>
          <w:rFonts w:ascii="Times New Roman" w:hAnsi="Times New Roman" w:cs="Times New Roman" w:eastAsia="Times New Roman" w:hint="default"/>
        </w:rPr>
      </w:pPr>
      <w:r>
        <w:rPr>
          <w:rFonts w:ascii="Times New Roman"/>
        </w:rPr>
        <w:t>2019</w:t>
      </w:r>
    </w:p>
    <w:p>
      <w:pPr>
        <w:pStyle w:val="BodyText"/>
        <w:spacing w:line="149" w:lineRule="exact"/>
        <w:ind w:left="110" w:right="0"/>
        <w:jc w:val="center"/>
      </w:pPr>
      <w:r>
        <w:rPr/>
        <w:t>结构</w:t>
      </w:r>
    </w:p>
    <w:p>
      <w:pPr>
        <w:pStyle w:val="BodyText"/>
        <w:tabs>
          <w:tab w:pos="1234" w:val="left" w:leader="none"/>
        </w:tabs>
        <w:spacing w:line="151" w:lineRule="auto" w:before="38"/>
        <w:ind w:left="672" w:right="0" w:hanging="562"/>
        <w:jc w:val="left"/>
      </w:pPr>
      <w:r>
        <w:rPr/>
        <w:t>年</w:t>
      </w:r>
      <w:r>
        <w:rPr>
          <w:spacing w:val="-44"/>
        </w:rPr>
        <w:t> </w:t>
      </w:r>
      <w:r>
        <w:rPr>
          <w:rFonts w:ascii="Times New Roman" w:hAnsi="Times New Roman" w:cs="Times New Roman" w:eastAsia="Times New Roman" w:hint="default"/>
        </w:rPr>
        <w:t>07</w:t>
        <w:tab/>
        <w:tab/>
      </w:r>
      <w:r>
        <w:rPr/>
        <w:t>协议 性存</w:t>
      </w:r>
    </w:p>
    <w:p>
      <w:pPr>
        <w:pStyle w:val="BodyText"/>
        <w:tabs>
          <w:tab w:pos="1234" w:val="left" w:leader="none"/>
        </w:tabs>
        <w:spacing w:line="151" w:lineRule="auto" w:before="7"/>
        <w:ind w:left="672" w:right="0" w:hanging="562"/>
        <w:jc w:val="left"/>
      </w:pPr>
      <w:r>
        <w:rPr/>
        <w:t>月</w:t>
      </w:r>
      <w:r>
        <w:rPr>
          <w:spacing w:val="-44"/>
        </w:rPr>
        <w:t> </w:t>
      </w:r>
      <w:r>
        <w:rPr>
          <w:rFonts w:ascii="Times New Roman" w:hAnsi="Times New Roman" w:cs="Times New Roman" w:eastAsia="Times New Roman" w:hint="default"/>
        </w:rPr>
        <w:t>10</w:t>
        <w:tab/>
        <w:tab/>
      </w:r>
      <w:r>
        <w:rPr/>
        <w:t>约定 款</w:t>
      </w:r>
    </w:p>
    <w:p>
      <w:pPr>
        <w:pStyle w:val="BodyText"/>
        <w:spacing w:line="165" w:lineRule="exact"/>
        <w:ind w:left="111" w:right="0"/>
        <w:jc w:val="left"/>
      </w:pP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tabs>
          <w:tab w:pos="1434" w:val="left" w:leader="none"/>
          <w:tab w:pos="3171" w:val="left" w:leader="none"/>
          <w:tab w:pos="3738" w:val="left" w:leader="none"/>
        </w:tabs>
        <w:spacing w:line="240" w:lineRule="auto"/>
        <w:ind w:left="135" w:right="-20"/>
        <w:jc w:val="left"/>
      </w:pPr>
      <w:r>
        <w:rPr>
          <w:rFonts w:ascii="Times New Roman" w:hAnsi="Times New Roman" w:cs="Times New Roman" w:eastAsia="Times New Roman" w:hint="default"/>
        </w:rPr>
        <w:t>3.30%  </w:t>
      </w:r>
      <w:r>
        <w:rPr>
          <w:rFonts w:ascii="Times New Roman" w:hAnsi="Times New Roman" w:cs="Times New Roman" w:eastAsia="Times New Roman" w:hint="default"/>
          <w:spacing w:val="19"/>
        </w:rPr>
        <w:t> </w:t>
      </w:r>
      <w:r>
        <w:rPr>
          <w:rFonts w:ascii="Times New Roman" w:hAnsi="Times New Roman" w:cs="Times New Roman" w:eastAsia="Times New Roman" w:hint="default"/>
        </w:rPr>
        <w:t>74.05</w:t>
        <w:tab/>
        <w:t>74.05</w:t>
      </w:r>
      <w:r>
        <w:rPr>
          <w:rFonts w:ascii="Times New Roman" w:hAnsi="Times New Roman" w:cs="Times New Roman" w:eastAsia="Times New Roman" w:hint="default"/>
          <w:spacing w:val="10"/>
        </w:rPr>
        <w:t> </w:t>
      </w:r>
      <w:r>
        <w:rPr/>
        <w:t>已收回</w:t>
        <w:tab/>
        <w:t>是</w:t>
        <w:tab/>
        <w:t>是</w:t>
      </w:r>
    </w:p>
    <w:p>
      <w:pPr>
        <w:pStyle w:val="BodyText"/>
        <w:spacing w:line="316" w:lineRule="auto" w:before="110"/>
        <w:ind w:left="135" w:right="665"/>
        <w:jc w:val="both"/>
      </w:pPr>
      <w:r>
        <w:rPr/>
        <w:br w:type="column"/>
      </w:r>
      <w:r>
        <w:rPr/>
        <w:t>巨潮资讯 网，公告 编号</w:t>
      </w:r>
    </w:p>
    <w:p>
      <w:pPr>
        <w:pStyle w:val="BodyText"/>
        <w:spacing w:line="240" w:lineRule="auto" w:before="19"/>
        <w:ind w:left="135" w:right="0"/>
        <w:jc w:val="both"/>
      </w:pPr>
      <w:r>
        <w:rPr>
          <w:rFonts w:ascii="Times New Roman" w:hAnsi="Times New Roman" w:cs="Times New Roman" w:eastAsia="Times New Roman" w:hint="default"/>
        </w:rPr>
        <w:t>2019-045</w:t>
      </w:r>
      <w:r>
        <w:rPr/>
        <w:t>、</w:t>
      </w:r>
    </w:p>
    <w:p>
      <w:pPr>
        <w:pStyle w:val="BodyText"/>
        <w:spacing w:line="240" w:lineRule="auto" w:before="105"/>
        <w:ind w:left="135" w:right="0"/>
        <w:jc w:val="both"/>
        <w:rPr>
          <w:rFonts w:ascii="Times New Roman" w:hAnsi="Times New Roman" w:cs="Times New Roman" w:eastAsia="Times New Roman" w:hint="default"/>
        </w:rPr>
      </w:pPr>
      <w:r>
        <w:rPr>
          <w:rFonts w:ascii="Times New Roman"/>
        </w:rPr>
        <w:t>2019-064</w:t>
      </w:r>
    </w:p>
    <w:p>
      <w:pPr>
        <w:spacing w:after="0" w:line="240" w:lineRule="auto"/>
        <w:jc w:val="both"/>
        <w:rPr>
          <w:rFonts w:ascii="Times New Roman" w:hAnsi="Times New Roman" w:cs="Times New Roman" w:eastAsia="Times New Roman" w:hint="default"/>
        </w:rPr>
        <w:sectPr>
          <w:type w:val="continuous"/>
          <w:pgSz w:w="11910" w:h="16840"/>
          <w:pgMar w:top="1060" w:bottom="1160" w:left="460" w:right="0"/>
          <w:cols w:num="7" w:equalWidth="0">
            <w:col w:w="1634" w:space="95"/>
            <w:col w:w="676" w:space="44"/>
            <w:col w:w="957" w:space="66"/>
            <w:col w:w="544" w:space="40"/>
            <w:col w:w="1595" w:space="104"/>
            <w:col w:w="3919" w:space="251"/>
            <w:col w:w="1525"/>
          </w:cols>
        </w:sectPr>
      </w:pPr>
    </w:p>
    <w:p>
      <w:pPr>
        <w:spacing w:line="240" w:lineRule="auto" w:before="6"/>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460" w:right="0"/>
        </w:sect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9"/>
        <w:ind w:left="135" w:right="-20"/>
        <w:jc w:val="left"/>
      </w:pPr>
      <w:r>
        <w:rPr/>
        <w:t>南京银行股份</w:t>
      </w:r>
    </w:p>
    <w:p>
      <w:pPr>
        <w:pStyle w:val="BodyText"/>
        <w:spacing w:line="314" w:lineRule="auto" w:before="44"/>
        <w:ind w:left="135" w:right="-20"/>
        <w:jc w:val="left"/>
      </w:pPr>
      <w:r>
        <w:rPr/>
        <w:br w:type="column"/>
      </w:r>
      <w:r>
        <w:rPr/>
        <w:t>结构性 存款</w:t>
      </w:r>
    </w:p>
    <w:p>
      <w:pPr>
        <w:spacing w:line="240" w:lineRule="auto" w:before="7"/>
        <w:rPr>
          <w:rFonts w:ascii="宋体" w:hAnsi="宋体" w:cs="宋体" w:eastAsia="宋体" w:hint="default"/>
          <w:sz w:val="18"/>
          <w:szCs w:val="18"/>
        </w:rPr>
      </w:pPr>
      <w:r>
        <w:rPr/>
        <w:br w:type="column"/>
      </w:r>
      <w:r>
        <w:rPr>
          <w:rFonts w:ascii="宋体"/>
          <w:sz w:val="18"/>
        </w:rPr>
      </w:r>
    </w:p>
    <w:p>
      <w:pPr>
        <w:pStyle w:val="BodyText"/>
        <w:spacing w:line="160" w:lineRule="exact"/>
        <w:ind w:left="696" w:right="-19"/>
        <w:jc w:val="left"/>
        <w:rPr>
          <w:rFonts w:ascii="Times New Roman" w:hAnsi="Times New Roman" w:cs="Times New Roman" w:eastAsia="Times New Roman" w:hint="default"/>
        </w:rPr>
      </w:pPr>
      <w:r>
        <w:rPr>
          <w:rFonts w:ascii="Times New Roman"/>
        </w:rPr>
        <w:t>2019</w:t>
      </w:r>
    </w:p>
    <w:p>
      <w:pPr>
        <w:pStyle w:val="BodyText"/>
        <w:spacing w:line="148" w:lineRule="exact"/>
        <w:ind w:left="135" w:right="-19"/>
        <w:jc w:val="left"/>
      </w:pPr>
      <w:r>
        <w:rPr/>
        <w:t>闲置</w:t>
      </w:r>
    </w:p>
    <w:p>
      <w:pPr>
        <w:pStyle w:val="BodyText"/>
        <w:spacing w:line="171" w:lineRule="exact"/>
        <w:ind w:left="696" w:right="-19"/>
        <w:jc w:val="left"/>
        <w:rPr>
          <w:rFonts w:ascii="Times New Roman" w:hAnsi="Times New Roman" w:cs="Times New Roman" w:eastAsia="Times New Roman" w:hint="default"/>
        </w:rPr>
      </w:pPr>
      <w:r>
        <w:rPr/>
        <w:t>年</w:t>
      </w:r>
      <w:r>
        <w:rPr>
          <w:spacing w:val="-43"/>
        </w:rPr>
        <w:t> </w:t>
      </w:r>
      <w:r>
        <w:rPr>
          <w:rFonts w:ascii="Times New Roman" w:hAnsi="Times New Roman" w:cs="Times New Roman" w:eastAsia="Times New Roman" w:hint="default"/>
        </w:rPr>
        <w:t>04</w:t>
      </w:r>
    </w:p>
    <w:p>
      <w:pPr>
        <w:spacing w:line="240" w:lineRule="auto" w:before="1"/>
        <w:rPr>
          <w:rFonts w:ascii="Times New Roman" w:hAnsi="Times New Roman" w:cs="Times New Roman" w:eastAsia="Times New Roman" w:hint="default"/>
          <w:sz w:val="21"/>
          <w:szCs w:val="21"/>
        </w:rPr>
      </w:pPr>
      <w:r>
        <w:rPr/>
        <w:br w:type="column"/>
      </w:r>
      <w:r>
        <w:rPr>
          <w:rFonts w:ascii="Times New Roman"/>
          <w:sz w:val="21"/>
        </w:rPr>
      </w:r>
    </w:p>
    <w:p>
      <w:pPr>
        <w:pStyle w:val="BodyText"/>
        <w:spacing w:line="160" w:lineRule="exact"/>
        <w:ind w:left="111" w:right="0"/>
        <w:jc w:val="left"/>
        <w:rPr>
          <w:rFonts w:ascii="Times New Roman" w:hAnsi="Times New Roman" w:cs="Times New Roman" w:eastAsia="Times New Roman" w:hint="default"/>
        </w:rPr>
      </w:pPr>
      <w:r>
        <w:rPr>
          <w:rFonts w:ascii="Times New Roman"/>
        </w:rPr>
        <w:t>2019</w:t>
      </w:r>
    </w:p>
    <w:p>
      <w:pPr>
        <w:pStyle w:val="BodyText"/>
        <w:spacing w:line="149" w:lineRule="exact"/>
        <w:ind w:left="110" w:right="0"/>
        <w:jc w:val="center"/>
      </w:pPr>
      <w:r>
        <w:rPr/>
        <w:t>结构</w:t>
      </w:r>
    </w:p>
    <w:p>
      <w:pPr>
        <w:pStyle w:val="BodyText"/>
        <w:tabs>
          <w:tab w:pos="1234" w:val="left" w:leader="none"/>
        </w:tabs>
        <w:spacing w:line="169" w:lineRule="exact"/>
        <w:ind w:left="111" w:right="0"/>
        <w:jc w:val="center"/>
      </w:pPr>
      <w:r>
        <w:rPr/>
        <w:t>年</w:t>
      </w:r>
      <w:r>
        <w:rPr>
          <w:spacing w:val="-44"/>
        </w:rPr>
        <w:t> </w:t>
      </w:r>
      <w:r>
        <w:rPr>
          <w:rFonts w:ascii="Times New Roman" w:hAnsi="Times New Roman" w:cs="Times New Roman" w:eastAsia="Times New Roman" w:hint="default"/>
        </w:rPr>
        <w:t>06</w:t>
        <w:tab/>
      </w:r>
      <w:r>
        <w:rPr/>
        <w:t>协议</w:t>
      </w:r>
    </w:p>
    <w:p>
      <w:pPr>
        <w:pStyle w:val="BodyText"/>
        <w:spacing w:line="314" w:lineRule="auto" w:before="44"/>
        <w:ind w:left="135" w:right="647"/>
        <w:jc w:val="left"/>
      </w:pPr>
      <w:r>
        <w:rPr/>
        <w:br w:type="column"/>
      </w:r>
      <w:r>
        <w:rPr/>
        <w:t>巨潮资讯 网，公告</w:t>
      </w:r>
    </w:p>
    <w:p>
      <w:pPr>
        <w:spacing w:after="0" w:line="314" w:lineRule="auto"/>
        <w:jc w:val="left"/>
        <w:sectPr>
          <w:type w:val="continuous"/>
          <w:pgSz w:w="11910" w:h="16840"/>
          <w:pgMar w:top="1060" w:bottom="1160" w:left="460" w:right="0"/>
          <w:cols w:num="5" w:equalWidth="0">
            <w:col w:w="1216" w:space="513"/>
            <w:col w:w="676" w:space="506"/>
            <w:col w:w="1105" w:space="40"/>
            <w:col w:w="1595" w:space="4274"/>
            <w:col w:w="1525"/>
          </w:cols>
        </w:sectPr>
      </w:pPr>
    </w:p>
    <w:p>
      <w:pPr>
        <w:pStyle w:val="BodyText"/>
        <w:spacing w:line="182" w:lineRule="exact"/>
        <w:ind w:left="135" w:right="-20"/>
        <w:jc w:val="left"/>
      </w:pPr>
      <w:r>
        <w:rPr/>
        <w:t>有限公司南京</w:t>
      </w:r>
      <w:r>
        <w:rPr>
          <w:spacing w:val="-32"/>
        </w:rPr>
        <w:t> </w:t>
      </w:r>
      <w:r>
        <w:rPr/>
        <w:t>银行</w:t>
      </w:r>
    </w:p>
    <w:p>
      <w:pPr>
        <w:pStyle w:val="BodyText"/>
        <w:spacing w:line="196" w:lineRule="exact"/>
        <w:ind w:left="135" w:right="-19"/>
        <w:jc w:val="left"/>
      </w:pPr>
      <w:r>
        <w:rPr/>
        <w:br w:type="column"/>
      </w:r>
      <w:r>
        <w:rPr/>
        <w:t>（利率 </w:t>
      </w:r>
      <w:r>
        <w:rPr>
          <w:rFonts w:ascii="Times New Roman" w:hAnsi="Times New Roman" w:cs="Times New Roman" w:eastAsia="Times New Roman" w:hint="default"/>
        </w:rPr>
        <w:t>20,000</w:t>
      </w:r>
      <w:r>
        <w:rPr>
          <w:rFonts w:ascii="Times New Roman" w:hAnsi="Times New Roman" w:cs="Times New Roman" w:eastAsia="Times New Roman" w:hint="default"/>
          <w:spacing w:val="10"/>
        </w:rPr>
        <w:t> </w:t>
      </w:r>
      <w:r>
        <w:rPr/>
        <w:t>募集</w:t>
      </w:r>
    </w:p>
    <w:p>
      <w:pPr>
        <w:pStyle w:val="BodyText"/>
        <w:spacing w:line="212" w:lineRule="exact" w:before="100"/>
        <w:ind w:left="135" w:right="-20"/>
        <w:jc w:val="left"/>
        <w:rPr>
          <w:rFonts w:ascii="Times New Roman" w:hAnsi="Times New Roman" w:cs="Times New Roman" w:eastAsia="Times New Roman" w:hint="default"/>
        </w:rPr>
      </w:pPr>
      <w:r>
        <w:rPr/>
        <w:br w:type="column"/>
      </w:r>
      <w:r>
        <w:rPr/>
        <w:t>月</w:t>
      </w:r>
      <w:r>
        <w:rPr>
          <w:spacing w:val="-45"/>
        </w:rPr>
        <w:t> </w:t>
      </w:r>
      <w:r>
        <w:rPr>
          <w:rFonts w:ascii="Times New Roman" w:hAnsi="Times New Roman" w:cs="Times New Roman" w:eastAsia="Times New Roman" w:hint="default"/>
          <w:spacing w:val="-6"/>
        </w:rPr>
        <w:t>11</w:t>
      </w:r>
      <w:r>
        <w:rPr>
          <w:rFonts w:ascii="Times New Roman" w:hAnsi="Times New Roman" w:cs="Times New Roman" w:eastAsia="Times New Roman" w:hint="default"/>
        </w:rPr>
      </w:r>
    </w:p>
    <w:p>
      <w:pPr>
        <w:spacing w:line="140" w:lineRule="exact" w:before="0"/>
        <w:ind w:left="125"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性存</w:t>
      </w:r>
    </w:p>
    <w:p>
      <w:pPr>
        <w:pStyle w:val="BodyText"/>
        <w:tabs>
          <w:tab w:pos="1249" w:val="left" w:leader="none"/>
        </w:tabs>
        <w:spacing w:line="172" w:lineRule="exact"/>
        <w:ind w:left="125" w:right="0"/>
        <w:jc w:val="center"/>
      </w:pPr>
      <w:r>
        <w:rPr/>
        <w:t>月</w:t>
      </w:r>
      <w:r>
        <w:rPr>
          <w:spacing w:val="-44"/>
        </w:rPr>
        <w:t> </w:t>
      </w:r>
      <w:r>
        <w:rPr>
          <w:rFonts w:ascii="Times New Roman" w:hAnsi="Times New Roman" w:cs="Times New Roman" w:eastAsia="Times New Roman" w:hint="default"/>
        </w:rPr>
        <w:t>28</w:t>
        <w:tab/>
      </w:r>
      <w:r>
        <w:rPr/>
        <w:t>约定</w:t>
      </w:r>
    </w:p>
    <w:p>
      <w:pPr>
        <w:pStyle w:val="BodyText"/>
        <w:tabs>
          <w:tab w:pos="3171" w:val="left" w:leader="none"/>
          <w:tab w:pos="3738" w:val="left" w:leader="none"/>
          <w:tab w:pos="4304" w:val="left" w:leader="none"/>
        </w:tabs>
        <w:spacing w:line="196" w:lineRule="exact"/>
        <w:ind w:left="135" w:right="0"/>
        <w:jc w:val="left"/>
      </w:pPr>
      <w:r>
        <w:rPr/>
        <w:br w:type="column"/>
      </w:r>
      <w:r>
        <w:rPr>
          <w:rFonts w:ascii="Times New Roman" w:hAnsi="Times New Roman" w:cs="Times New Roman" w:eastAsia="Times New Roman" w:hint="default"/>
        </w:rPr>
        <w:t>3.80% 165.33    165.33</w:t>
      </w:r>
      <w:r>
        <w:rPr>
          <w:rFonts w:ascii="Times New Roman" w:hAnsi="Times New Roman" w:cs="Times New Roman" w:eastAsia="Times New Roman" w:hint="default"/>
          <w:spacing w:val="27"/>
        </w:rPr>
        <w:t> </w:t>
      </w:r>
      <w:r>
        <w:rPr/>
        <w:t>已收回</w:t>
        <w:tab/>
        <w:t>是</w:t>
        <w:tab/>
        <w:t>是</w:t>
        <w:tab/>
        <w:t>编号</w:t>
      </w:r>
    </w:p>
    <w:p>
      <w:pPr>
        <w:spacing w:after="0" w:line="196" w:lineRule="exact"/>
        <w:jc w:val="left"/>
        <w:sectPr>
          <w:type w:val="continuous"/>
          <w:pgSz w:w="11910" w:h="16840"/>
          <w:pgMar w:top="1060" w:bottom="1160" w:left="460" w:right="0"/>
          <w:cols w:num="5" w:equalWidth="0">
            <w:col w:w="1634" w:space="95"/>
            <w:col w:w="1677" w:space="66"/>
            <w:col w:w="529" w:space="40"/>
            <w:col w:w="1610" w:space="104"/>
            <w:col w:w="5695"/>
          </w:cols>
        </w:sectPr>
      </w:pPr>
    </w:p>
    <w:p>
      <w:pPr>
        <w:pStyle w:val="BodyText"/>
        <w:tabs>
          <w:tab w:pos="1728" w:val="left" w:leader="none"/>
        </w:tabs>
        <w:spacing w:line="180" w:lineRule="exact"/>
        <w:ind w:left="0" w:right="0"/>
        <w:jc w:val="right"/>
      </w:pPr>
      <w:r>
        <w:rPr/>
        <w:t>分行</w:t>
        <w:tab/>
        <w:t>挂钩</w:t>
      </w:r>
    </w:p>
    <w:p>
      <w:pPr>
        <w:pStyle w:val="BodyText"/>
        <w:spacing w:line="240" w:lineRule="auto" w:before="76"/>
        <w:ind w:left="0" w:right="0"/>
        <w:jc w:val="right"/>
      </w:pPr>
      <w:r>
        <w:rPr/>
        <w:t>型）</w:t>
      </w:r>
    </w:p>
    <w:p>
      <w:pPr>
        <w:pStyle w:val="BodyText"/>
        <w:tabs>
          <w:tab w:pos="1817" w:val="left" w:leader="none"/>
        </w:tabs>
        <w:spacing w:line="140" w:lineRule="exact"/>
        <w:ind w:left="135" w:right="0"/>
        <w:jc w:val="center"/>
      </w:pPr>
      <w:r>
        <w:rPr/>
        <w:br w:type="column"/>
      </w:r>
      <w:r>
        <w:rPr/>
        <w:t>资金</w:t>
        <w:tab/>
        <w:t>款</w:t>
      </w:r>
    </w:p>
    <w:p>
      <w:pPr>
        <w:pStyle w:val="BodyText"/>
        <w:tabs>
          <w:tab w:pos="694" w:val="left" w:leader="none"/>
        </w:tabs>
        <w:spacing w:line="196" w:lineRule="exact"/>
        <w:ind w:left="135" w:right="0"/>
        <w:jc w:val="center"/>
      </w:pPr>
      <w:r>
        <w:rPr/>
        <w:t>日</w:t>
        <w:tab/>
        <w:t>日</w:t>
      </w:r>
    </w:p>
    <w:p>
      <w:pPr>
        <w:pStyle w:val="BodyText"/>
        <w:spacing w:line="194" w:lineRule="exact"/>
        <w:ind w:left="135" w:right="0"/>
        <w:jc w:val="left"/>
      </w:pPr>
      <w:r>
        <w:rPr/>
        <w:br w:type="column"/>
      </w:r>
      <w:r>
        <w:rPr>
          <w:rFonts w:ascii="Times New Roman" w:hAnsi="Times New Roman" w:cs="Times New Roman" w:eastAsia="Times New Roman" w:hint="default"/>
        </w:rPr>
        <w:t>2019-045</w:t>
      </w:r>
      <w:r>
        <w:rPr/>
        <w:t>、</w:t>
      </w:r>
    </w:p>
    <w:p>
      <w:pPr>
        <w:pStyle w:val="BodyText"/>
        <w:spacing w:line="240" w:lineRule="auto" w:before="105"/>
        <w:ind w:left="135" w:right="647"/>
        <w:jc w:val="left"/>
        <w:rPr>
          <w:rFonts w:ascii="Times New Roman" w:hAnsi="Times New Roman" w:cs="Times New Roman" w:eastAsia="Times New Roman" w:hint="default"/>
        </w:rPr>
      </w:pPr>
      <w:r>
        <w:rPr>
          <w:rFonts w:ascii="Times New Roman"/>
        </w:rPr>
        <w:t>2019-063</w:t>
      </w:r>
    </w:p>
    <w:p>
      <w:pPr>
        <w:spacing w:after="0" w:line="240" w:lineRule="auto"/>
        <w:jc w:val="left"/>
        <w:rPr>
          <w:rFonts w:ascii="Times New Roman" w:hAnsi="Times New Roman" w:cs="Times New Roman" w:eastAsia="Times New Roman" w:hint="default"/>
        </w:rPr>
        <w:sectPr>
          <w:type w:val="continuous"/>
          <w:pgSz w:w="11910" w:h="16840"/>
          <w:pgMar w:top="1060" w:bottom="1160" w:left="460" w:right="0"/>
          <w:cols w:num="3" w:equalWidth="0">
            <w:col w:w="2224" w:space="686"/>
            <w:col w:w="1998" w:space="5016"/>
            <w:col w:w="1526"/>
          </w:cols>
        </w:sectPr>
      </w:pPr>
    </w:p>
    <w:p>
      <w:pPr>
        <w:spacing w:line="240" w:lineRule="auto" w:before="6"/>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460" w:right="0"/>
        </w:sectPr>
      </w:pPr>
    </w:p>
    <w:p>
      <w:pPr>
        <w:pStyle w:val="BodyText"/>
        <w:spacing w:line="310" w:lineRule="atLeast" w:before="126"/>
        <w:ind w:left="135" w:right="398"/>
        <w:jc w:val="left"/>
      </w:pPr>
      <w:r>
        <w:rPr/>
        <w:t>上海浦东发展 银行股份有限</w:t>
      </w:r>
    </w:p>
    <w:p>
      <w:pPr>
        <w:pStyle w:val="BodyText"/>
        <w:spacing w:line="116" w:lineRule="exact"/>
        <w:ind w:left="0" w:right="0"/>
        <w:jc w:val="right"/>
      </w:pPr>
      <w:r>
        <w:rPr/>
        <w:t>银行</w:t>
      </w:r>
    </w:p>
    <w:p>
      <w:pPr>
        <w:pStyle w:val="BodyText"/>
        <w:spacing w:line="196" w:lineRule="exact"/>
        <w:ind w:left="135" w:right="-20"/>
        <w:jc w:val="left"/>
      </w:pPr>
      <w:r>
        <w:rPr/>
        <w:t>公司南京城西</w:t>
      </w:r>
    </w:p>
    <w:p>
      <w:pPr>
        <w:pStyle w:val="BodyText"/>
        <w:spacing w:line="240" w:lineRule="auto" w:before="76"/>
        <w:ind w:left="135" w:right="398"/>
        <w:jc w:val="left"/>
      </w:pPr>
      <w:r>
        <w:rPr/>
        <w:t>支行</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21"/>
          <w:szCs w:val="21"/>
        </w:rPr>
      </w:pPr>
    </w:p>
    <w:p>
      <w:pPr>
        <w:pStyle w:val="BodyText"/>
        <w:spacing w:line="316" w:lineRule="auto"/>
        <w:ind w:left="135" w:right="-20"/>
        <w:jc w:val="left"/>
      </w:pPr>
      <w:r>
        <w:rPr/>
        <w:t>结构性 存款</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21"/>
        <w:ind w:left="596" w:right="-20"/>
        <w:jc w:val="left"/>
      </w:pPr>
      <w:r>
        <w:rPr/>
        <w:t>闲置</w:t>
      </w:r>
    </w:p>
    <w:p>
      <w:pPr>
        <w:pStyle w:val="BodyText"/>
        <w:spacing w:line="240" w:lineRule="auto" w:before="76"/>
        <w:ind w:left="135" w:right="-19"/>
        <w:jc w:val="left"/>
      </w:pPr>
      <w:r>
        <w:rPr>
          <w:rFonts w:ascii="Times New Roman" w:hAnsi="Times New Roman" w:cs="Times New Roman" w:eastAsia="Times New Roman" w:hint="default"/>
        </w:rPr>
        <w:t>3,000</w:t>
      </w:r>
      <w:r>
        <w:rPr>
          <w:rFonts w:ascii="Times New Roman" w:hAnsi="Times New Roman" w:cs="Times New Roman" w:eastAsia="Times New Roman" w:hint="default"/>
          <w:spacing w:val="10"/>
        </w:rPr>
        <w:t> </w:t>
      </w:r>
      <w:r>
        <w:rPr/>
        <w:t>募集</w:t>
      </w:r>
    </w:p>
    <w:p>
      <w:pPr>
        <w:pStyle w:val="BodyText"/>
        <w:spacing w:line="240" w:lineRule="auto" w:before="63"/>
        <w:ind w:left="596" w:right="-20"/>
        <w:jc w:val="left"/>
      </w:pPr>
      <w:r>
        <w:rPr/>
        <w:t>资金</w:t>
      </w:r>
    </w:p>
    <w:p>
      <w:pPr>
        <w:spacing w:line="240" w:lineRule="auto" w:before="8"/>
        <w:rPr>
          <w:rFonts w:ascii="宋体" w:hAnsi="宋体" w:cs="宋体" w:eastAsia="宋体" w:hint="default"/>
          <w:sz w:val="18"/>
          <w:szCs w:val="18"/>
        </w:rPr>
      </w:pPr>
      <w:r>
        <w:rPr/>
        <w:br w:type="column"/>
      </w:r>
      <w:r>
        <w:rPr>
          <w:rFonts w:ascii="宋体"/>
          <w:sz w:val="18"/>
        </w:rPr>
      </w:r>
    </w:p>
    <w:p>
      <w:pPr>
        <w:pStyle w:val="BodyText"/>
        <w:spacing w:line="240" w:lineRule="auto"/>
        <w:ind w:left="135" w:right="-19"/>
        <w:jc w:val="left"/>
        <w:rPr>
          <w:rFonts w:ascii="Times New Roman" w:hAnsi="Times New Roman" w:cs="Times New Roman" w:eastAsia="Times New Roman" w:hint="default"/>
        </w:rPr>
      </w:pPr>
      <w:r>
        <w:rPr>
          <w:rFonts w:ascii="Times New Roman"/>
        </w:rPr>
        <w:t>2019</w:t>
      </w:r>
    </w:p>
    <w:p>
      <w:pPr>
        <w:pStyle w:val="BodyText"/>
        <w:spacing w:line="240" w:lineRule="auto" w:before="63"/>
        <w:ind w:left="135" w:right="-19"/>
        <w:jc w:val="left"/>
        <w:rPr>
          <w:rFonts w:ascii="Times New Roman" w:hAnsi="Times New Roman" w:cs="Times New Roman" w:eastAsia="Times New Roman" w:hint="default"/>
        </w:rPr>
      </w:pPr>
      <w:r>
        <w:rPr/>
        <w:t>年</w:t>
      </w:r>
      <w:r>
        <w:rPr>
          <w:spacing w:val="-43"/>
        </w:rPr>
        <w:t> </w:t>
      </w:r>
      <w:r>
        <w:rPr>
          <w:rFonts w:ascii="Times New Roman" w:hAnsi="Times New Roman" w:cs="Times New Roman" w:eastAsia="Times New Roman" w:hint="default"/>
        </w:rPr>
        <w:t>05</w:t>
      </w:r>
    </w:p>
    <w:p>
      <w:pPr>
        <w:pStyle w:val="BodyText"/>
        <w:spacing w:line="240" w:lineRule="auto" w:before="63"/>
        <w:ind w:left="135" w:right="-19"/>
        <w:jc w:val="left"/>
        <w:rPr>
          <w:rFonts w:ascii="Times New Roman" w:hAnsi="Times New Roman" w:cs="Times New Roman" w:eastAsia="Times New Roman" w:hint="default"/>
        </w:rPr>
      </w:pPr>
      <w:r>
        <w:rPr/>
        <w:t>月</w:t>
      </w:r>
      <w:r>
        <w:rPr>
          <w:spacing w:val="-43"/>
        </w:rPr>
        <w:t> </w:t>
      </w:r>
      <w:r>
        <w:rPr>
          <w:rFonts w:ascii="Times New Roman" w:hAnsi="Times New Roman" w:cs="Times New Roman" w:eastAsia="Times New Roman" w:hint="default"/>
        </w:rPr>
        <w:t>15</w:t>
      </w:r>
    </w:p>
    <w:p>
      <w:pPr>
        <w:pStyle w:val="BodyText"/>
        <w:spacing w:line="240" w:lineRule="auto" w:before="63"/>
        <w:ind w:left="135" w:right="-19"/>
        <w:jc w:val="left"/>
      </w:pPr>
      <w:r>
        <w:rPr/>
        <w:t>日</w:t>
      </w:r>
    </w:p>
    <w:p>
      <w:pPr>
        <w:spacing w:line="240" w:lineRule="auto" w:before="8"/>
        <w:rPr>
          <w:rFonts w:ascii="宋体" w:hAnsi="宋体" w:cs="宋体" w:eastAsia="宋体" w:hint="default"/>
          <w:sz w:val="18"/>
          <w:szCs w:val="18"/>
        </w:rPr>
      </w:pPr>
      <w:r>
        <w:rPr/>
        <w:br w:type="column"/>
      </w:r>
      <w:r>
        <w:rPr>
          <w:rFonts w:ascii="宋体"/>
          <w:sz w:val="18"/>
        </w:rPr>
      </w:r>
    </w:p>
    <w:p>
      <w:pPr>
        <w:pStyle w:val="BodyText"/>
        <w:spacing w:line="160" w:lineRule="exact"/>
        <w:ind w:left="111" w:right="0"/>
        <w:jc w:val="left"/>
        <w:rPr>
          <w:rFonts w:ascii="Times New Roman" w:hAnsi="Times New Roman" w:cs="Times New Roman" w:eastAsia="Times New Roman" w:hint="default"/>
        </w:rPr>
      </w:pPr>
      <w:r>
        <w:rPr>
          <w:rFonts w:ascii="Times New Roman"/>
        </w:rPr>
        <w:t>2019</w:t>
      </w:r>
    </w:p>
    <w:p>
      <w:pPr>
        <w:pStyle w:val="BodyText"/>
        <w:spacing w:line="149" w:lineRule="exact"/>
        <w:ind w:left="110" w:right="0"/>
        <w:jc w:val="center"/>
      </w:pPr>
      <w:r>
        <w:rPr/>
        <w:t>结构</w:t>
      </w:r>
    </w:p>
    <w:p>
      <w:pPr>
        <w:pStyle w:val="BodyText"/>
        <w:tabs>
          <w:tab w:pos="1234" w:val="left" w:leader="none"/>
        </w:tabs>
        <w:spacing w:line="151" w:lineRule="auto" w:before="38"/>
        <w:ind w:left="672" w:right="0" w:hanging="562"/>
        <w:jc w:val="left"/>
      </w:pPr>
      <w:r>
        <w:rPr/>
        <w:t>年</w:t>
      </w:r>
      <w:r>
        <w:rPr>
          <w:spacing w:val="-44"/>
        </w:rPr>
        <w:t> </w:t>
      </w:r>
      <w:r>
        <w:rPr>
          <w:rFonts w:ascii="Times New Roman" w:hAnsi="Times New Roman" w:cs="Times New Roman" w:eastAsia="Times New Roman" w:hint="default"/>
        </w:rPr>
        <w:t>06</w:t>
        <w:tab/>
        <w:tab/>
      </w:r>
      <w:r>
        <w:rPr/>
        <w:t>协议 性存</w:t>
      </w:r>
    </w:p>
    <w:p>
      <w:pPr>
        <w:pStyle w:val="BodyText"/>
        <w:tabs>
          <w:tab w:pos="1234" w:val="left" w:leader="none"/>
        </w:tabs>
        <w:spacing w:line="151" w:lineRule="auto" w:before="7"/>
        <w:ind w:left="672" w:right="0" w:hanging="562"/>
        <w:jc w:val="left"/>
      </w:pPr>
      <w:r>
        <w:rPr/>
        <w:t>月</w:t>
      </w:r>
      <w:r>
        <w:rPr>
          <w:spacing w:val="-44"/>
        </w:rPr>
        <w:t> </w:t>
      </w:r>
      <w:r>
        <w:rPr>
          <w:rFonts w:ascii="Times New Roman" w:hAnsi="Times New Roman" w:cs="Times New Roman" w:eastAsia="Times New Roman" w:hint="default"/>
        </w:rPr>
        <w:t>19</w:t>
        <w:tab/>
        <w:tab/>
      </w:r>
      <w:r>
        <w:rPr/>
        <w:t>约定 款</w:t>
      </w:r>
    </w:p>
    <w:p>
      <w:pPr>
        <w:pStyle w:val="BodyText"/>
        <w:spacing w:line="165" w:lineRule="exact"/>
        <w:ind w:left="111" w:right="0"/>
        <w:jc w:val="left"/>
      </w:pP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pStyle w:val="BodyText"/>
        <w:tabs>
          <w:tab w:pos="845" w:val="left" w:leader="none"/>
          <w:tab w:pos="1525" w:val="left" w:leader="none"/>
          <w:tab w:pos="3171" w:val="left" w:leader="none"/>
          <w:tab w:pos="3738" w:val="left" w:leader="none"/>
        </w:tabs>
        <w:spacing w:line="240" w:lineRule="auto"/>
        <w:ind w:left="135" w:right="-20"/>
        <w:jc w:val="left"/>
      </w:pPr>
      <w:r>
        <w:rPr>
          <w:rFonts w:ascii="Times New Roman" w:hAnsi="Times New Roman" w:cs="Times New Roman" w:eastAsia="Times New Roman" w:hint="default"/>
        </w:rPr>
        <w:t>3.40%</w:t>
        <w:tab/>
      </w:r>
      <w:r>
        <w:rPr>
          <w:rFonts w:ascii="Times New Roman" w:hAnsi="Times New Roman" w:cs="Times New Roman" w:eastAsia="Times New Roman" w:hint="default"/>
          <w:spacing w:val="-1"/>
        </w:rPr>
        <w:t>9.63</w:t>
        <w:tab/>
        <w:t>9.63</w:t>
      </w:r>
      <w:r>
        <w:rPr>
          <w:rFonts w:ascii="Times New Roman" w:hAnsi="Times New Roman" w:cs="Times New Roman" w:eastAsia="Times New Roman" w:hint="default"/>
          <w:spacing w:val="12"/>
        </w:rPr>
        <w:t> </w:t>
      </w:r>
      <w:r>
        <w:rPr/>
        <w:t>已收回</w:t>
        <w:tab/>
        <w:t>是</w:t>
        <w:tab/>
        <w:t>是</w:t>
      </w:r>
    </w:p>
    <w:p>
      <w:pPr>
        <w:pStyle w:val="BodyText"/>
        <w:spacing w:line="319" w:lineRule="auto" w:before="44"/>
        <w:ind w:left="135" w:right="665"/>
        <w:jc w:val="both"/>
      </w:pPr>
      <w:r>
        <w:rPr/>
        <w:br w:type="column"/>
      </w:r>
      <w:r>
        <w:rPr/>
        <w:t>巨潮资讯 网，公告 编号</w:t>
      </w:r>
    </w:p>
    <w:p>
      <w:pPr>
        <w:pStyle w:val="BodyText"/>
        <w:spacing w:line="240" w:lineRule="auto" w:before="17"/>
        <w:ind w:left="135" w:right="0"/>
        <w:jc w:val="both"/>
      </w:pPr>
      <w:r>
        <w:rPr>
          <w:rFonts w:ascii="Times New Roman" w:hAnsi="Times New Roman" w:cs="Times New Roman" w:eastAsia="Times New Roman" w:hint="default"/>
        </w:rPr>
        <w:t>2019-059</w:t>
      </w:r>
      <w:r>
        <w:rPr/>
        <w:t>、</w:t>
      </w:r>
    </w:p>
    <w:p>
      <w:pPr>
        <w:pStyle w:val="BodyText"/>
        <w:spacing w:line="240" w:lineRule="auto" w:before="105"/>
        <w:ind w:left="135" w:right="0"/>
        <w:jc w:val="both"/>
        <w:rPr>
          <w:rFonts w:ascii="Times New Roman" w:hAnsi="Times New Roman" w:cs="Times New Roman" w:eastAsia="Times New Roman" w:hint="default"/>
        </w:rPr>
      </w:pPr>
      <w:r>
        <w:rPr>
          <w:rFonts w:ascii="Times New Roman"/>
        </w:rPr>
        <w:t>2019-063</w:t>
      </w:r>
    </w:p>
    <w:p>
      <w:pPr>
        <w:spacing w:after="0" w:line="240" w:lineRule="auto"/>
        <w:jc w:val="both"/>
        <w:rPr>
          <w:rFonts w:ascii="Times New Roman" w:hAnsi="Times New Roman" w:cs="Times New Roman" w:eastAsia="Times New Roman" w:hint="default"/>
        </w:rPr>
        <w:sectPr>
          <w:type w:val="continuous"/>
          <w:pgSz w:w="11910" w:h="16840"/>
          <w:pgMar w:top="1060" w:bottom="1160" w:left="460" w:right="0"/>
          <w:cols w:num="7" w:equalWidth="0">
            <w:col w:w="1634" w:space="95"/>
            <w:col w:w="676" w:space="44"/>
            <w:col w:w="957" w:space="66"/>
            <w:col w:w="544" w:space="40"/>
            <w:col w:w="1595" w:space="104"/>
            <w:col w:w="3919" w:space="251"/>
            <w:col w:w="1525"/>
          </w:cols>
        </w:sectPr>
      </w:pPr>
    </w:p>
    <w:p>
      <w:pPr>
        <w:spacing w:line="240" w:lineRule="auto" w:before="6"/>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460" w:right="0"/>
        </w:sectPr>
      </w:pPr>
    </w:p>
    <w:p>
      <w:pPr>
        <w:spacing w:line="240" w:lineRule="auto" w:before="0"/>
        <w:rPr>
          <w:rFonts w:ascii="Times New Roman" w:hAnsi="Times New Roman" w:cs="Times New Roman" w:eastAsia="Times New Roman" w:hint="default"/>
          <w:sz w:val="18"/>
          <w:szCs w:val="18"/>
        </w:rPr>
      </w:pPr>
    </w:p>
    <w:p>
      <w:pPr>
        <w:pStyle w:val="BodyText"/>
        <w:spacing w:line="316" w:lineRule="auto" w:before="149"/>
        <w:ind w:left="135" w:right="-20"/>
        <w:jc w:val="left"/>
      </w:pPr>
      <w:r>
        <w:rPr/>
        <w:t>华夏银行股份 有限公司南京</w:t>
      </w:r>
      <w:r>
        <w:rPr>
          <w:spacing w:val="-32"/>
        </w:rPr>
        <w:t> </w:t>
      </w:r>
      <w:r>
        <w:rPr/>
        <w:t>银行</w:t>
      </w:r>
      <w:r>
        <w:rPr/>
        <w:t> 大行宫支行</w:t>
      </w:r>
    </w:p>
    <w:p>
      <w:pPr>
        <w:pStyle w:val="BodyText"/>
        <w:spacing w:line="314" w:lineRule="auto" w:before="44"/>
        <w:ind w:left="135" w:right="0"/>
        <w:jc w:val="both"/>
      </w:pPr>
      <w:r>
        <w:rPr/>
        <w:br w:type="column"/>
      </w:r>
      <w:r>
        <w:rPr/>
        <w:t>结构性 存款</w:t>
      </w:r>
    </w:p>
    <w:p>
      <w:pPr>
        <w:pStyle w:val="BodyText"/>
        <w:spacing w:line="316" w:lineRule="auto" w:before="20"/>
        <w:ind w:left="135" w:right="0"/>
        <w:jc w:val="both"/>
      </w:pPr>
      <w:r>
        <w:rPr/>
        <w:t>（保本 浮动收 益）</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21"/>
        <w:ind w:left="596" w:right="-20"/>
        <w:jc w:val="left"/>
      </w:pPr>
      <w:r>
        <w:rPr/>
        <w:t>闲置</w:t>
      </w:r>
    </w:p>
    <w:p>
      <w:pPr>
        <w:pStyle w:val="BodyText"/>
        <w:spacing w:line="240" w:lineRule="auto" w:before="76"/>
        <w:ind w:left="135" w:right="-19"/>
        <w:jc w:val="left"/>
      </w:pPr>
      <w:r>
        <w:rPr>
          <w:rFonts w:ascii="Times New Roman" w:hAnsi="Times New Roman" w:cs="Times New Roman" w:eastAsia="Times New Roman" w:hint="default"/>
        </w:rPr>
        <w:t>5,000</w:t>
      </w:r>
      <w:r>
        <w:rPr>
          <w:rFonts w:ascii="Times New Roman" w:hAnsi="Times New Roman" w:cs="Times New Roman" w:eastAsia="Times New Roman" w:hint="default"/>
          <w:spacing w:val="10"/>
        </w:rPr>
        <w:t> </w:t>
      </w:r>
      <w:r>
        <w:rPr/>
        <w:t>募集</w:t>
      </w:r>
    </w:p>
    <w:p>
      <w:pPr>
        <w:pStyle w:val="BodyText"/>
        <w:spacing w:line="240" w:lineRule="auto" w:before="60"/>
        <w:ind w:left="596" w:right="-20"/>
        <w:jc w:val="left"/>
      </w:pPr>
      <w:r>
        <w:rPr/>
        <w:t>资金</w:t>
      </w:r>
    </w:p>
    <w:p>
      <w:pPr>
        <w:spacing w:line="240" w:lineRule="auto" w:before="7"/>
        <w:rPr>
          <w:rFonts w:ascii="宋体" w:hAnsi="宋体" w:cs="宋体" w:eastAsia="宋体" w:hint="default"/>
          <w:sz w:val="18"/>
          <w:szCs w:val="18"/>
        </w:rPr>
      </w:pPr>
      <w:r>
        <w:rPr/>
        <w:br w:type="column"/>
      </w:r>
      <w:r>
        <w:rPr>
          <w:rFonts w:ascii="宋体"/>
          <w:sz w:val="18"/>
        </w:rPr>
      </w:r>
    </w:p>
    <w:p>
      <w:pPr>
        <w:pStyle w:val="BodyText"/>
        <w:spacing w:line="240" w:lineRule="auto"/>
        <w:ind w:left="135" w:right="-19"/>
        <w:jc w:val="left"/>
        <w:rPr>
          <w:rFonts w:ascii="Times New Roman" w:hAnsi="Times New Roman" w:cs="Times New Roman" w:eastAsia="Times New Roman" w:hint="default"/>
        </w:rPr>
      </w:pPr>
      <w:r>
        <w:rPr>
          <w:rFonts w:ascii="Times New Roman"/>
        </w:rPr>
        <w:t>2019</w:t>
      </w:r>
    </w:p>
    <w:p>
      <w:pPr>
        <w:pStyle w:val="BodyText"/>
        <w:spacing w:line="240" w:lineRule="auto" w:before="60"/>
        <w:ind w:left="135" w:right="-19"/>
        <w:jc w:val="left"/>
        <w:rPr>
          <w:rFonts w:ascii="Times New Roman" w:hAnsi="Times New Roman" w:cs="Times New Roman" w:eastAsia="Times New Roman" w:hint="default"/>
        </w:rPr>
      </w:pPr>
      <w:r>
        <w:rPr/>
        <w:t>年</w:t>
      </w:r>
      <w:r>
        <w:rPr>
          <w:spacing w:val="-43"/>
        </w:rPr>
        <w:t> </w:t>
      </w:r>
      <w:r>
        <w:rPr>
          <w:rFonts w:ascii="Times New Roman" w:hAnsi="Times New Roman" w:cs="Times New Roman" w:eastAsia="Times New Roman" w:hint="default"/>
        </w:rPr>
        <w:t>05</w:t>
      </w:r>
    </w:p>
    <w:p>
      <w:pPr>
        <w:pStyle w:val="BodyText"/>
        <w:spacing w:line="240" w:lineRule="auto" w:before="63"/>
        <w:ind w:left="135" w:right="-19"/>
        <w:jc w:val="left"/>
        <w:rPr>
          <w:rFonts w:ascii="Times New Roman" w:hAnsi="Times New Roman" w:cs="Times New Roman" w:eastAsia="Times New Roman" w:hint="default"/>
        </w:rPr>
      </w:pPr>
      <w:r>
        <w:rPr/>
        <w:t>月</w:t>
      </w:r>
      <w:r>
        <w:rPr>
          <w:spacing w:val="-43"/>
        </w:rPr>
        <w:t> </w:t>
      </w:r>
      <w:r>
        <w:rPr>
          <w:rFonts w:ascii="Times New Roman" w:hAnsi="Times New Roman" w:cs="Times New Roman" w:eastAsia="Times New Roman" w:hint="default"/>
        </w:rPr>
        <w:t>16</w:t>
      </w:r>
    </w:p>
    <w:p>
      <w:pPr>
        <w:pStyle w:val="BodyText"/>
        <w:spacing w:line="240" w:lineRule="auto" w:before="63"/>
        <w:ind w:left="135" w:right="-19"/>
        <w:jc w:val="left"/>
      </w:pPr>
      <w:r>
        <w:rPr/>
        <w:t>日</w:t>
      </w:r>
    </w:p>
    <w:p>
      <w:pPr>
        <w:spacing w:line="240" w:lineRule="auto" w:before="7"/>
        <w:rPr>
          <w:rFonts w:ascii="宋体" w:hAnsi="宋体" w:cs="宋体" w:eastAsia="宋体" w:hint="default"/>
          <w:sz w:val="18"/>
          <w:szCs w:val="18"/>
        </w:rPr>
      </w:pPr>
      <w:r>
        <w:rPr/>
        <w:br w:type="column"/>
      </w:r>
      <w:r>
        <w:rPr>
          <w:rFonts w:ascii="宋体"/>
          <w:sz w:val="18"/>
        </w:rPr>
      </w:r>
    </w:p>
    <w:p>
      <w:pPr>
        <w:pStyle w:val="BodyText"/>
        <w:spacing w:line="160" w:lineRule="exact"/>
        <w:ind w:left="111" w:right="0"/>
        <w:jc w:val="left"/>
        <w:rPr>
          <w:rFonts w:ascii="Times New Roman" w:hAnsi="Times New Roman" w:cs="Times New Roman" w:eastAsia="Times New Roman" w:hint="default"/>
        </w:rPr>
      </w:pPr>
      <w:r>
        <w:rPr>
          <w:rFonts w:ascii="Times New Roman"/>
        </w:rPr>
        <w:t>2019</w:t>
      </w:r>
    </w:p>
    <w:p>
      <w:pPr>
        <w:pStyle w:val="BodyText"/>
        <w:spacing w:line="149" w:lineRule="exact"/>
        <w:ind w:left="110" w:right="0"/>
        <w:jc w:val="center"/>
      </w:pPr>
      <w:r>
        <w:rPr/>
        <w:t>结构</w:t>
      </w:r>
    </w:p>
    <w:p>
      <w:pPr>
        <w:pStyle w:val="BodyText"/>
        <w:tabs>
          <w:tab w:pos="1234" w:val="left" w:leader="none"/>
        </w:tabs>
        <w:spacing w:line="148" w:lineRule="auto" w:before="40"/>
        <w:ind w:left="672" w:right="0" w:hanging="562"/>
        <w:jc w:val="left"/>
      </w:pPr>
      <w:r>
        <w:rPr/>
        <w:t>年</w:t>
      </w:r>
      <w:r>
        <w:rPr>
          <w:spacing w:val="-44"/>
        </w:rPr>
        <w:t> </w:t>
      </w:r>
      <w:r>
        <w:rPr>
          <w:rFonts w:ascii="Times New Roman" w:hAnsi="Times New Roman" w:cs="Times New Roman" w:eastAsia="Times New Roman" w:hint="default"/>
        </w:rPr>
        <w:t>08</w:t>
        <w:tab/>
        <w:tab/>
      </w:r>
      <w:r>
        <w:rPr/>
        <w:t>协议 性存</w:t>
      </w:r>
    </w:p>
    <w:p>
      <w:pPr>
        <w:pStyle w:val="BodyText"/>
        <w:tabs>
          <w:tab w:pos="1234" w:val="left" w:leader="none"/>
        </w:tabs>
        <w:spacing w:line="151" w:lineRule="auto" w:before="8"/>
        <w:ind w:left="672" w:right="0" w:hanging="562"/>
        <w:jc w:val="left"/>
      </w:pPr>
      <w:r>
        <w:rPr/>
        <w:t>月</w:t>
      </w:r>
      <w:r>
        <w:rPr>
          <w:spacing w:val="-44"/>
        </w:rPr>
        <w:t> </w:t>
      </w:r>
      <w:r>
        <w:rPr>
          <w:rFonts w:ascii="Times New Roman" w:hAnsi="Times New Roman" w:cs="Times New Roman" w:eastAsia="Times New Roman" w:hint="default"/>
        </w:rPr>
        <w:t>16</w:t>
        <w:tab/>
        <w:tab/>
      </w:r>
      <w:r>
        <w:rPr/>
        <w:t>约定 款</w:t>
      </w:r>
    </w:p>
    <w:p>
      <w:pPr>
        <w:pStyle w:val="BodyText"/>
        <w:spacing w:line="165" w:lineRule="exact"/>
        <w:ind w:left="111" w:right="0"/>
        <w:jc w:val="left"/>
      </w:pP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434" w:val="left" w:leader="none"/>
          <w:tab w:pos="3171" w:val="left" w:leader="none"/>
          <w:tab w:pos="3738" w:val="left" w:leader="none"/>
        </w:tabs>
        <w:spacing w:line="240" w:lineRule="auto"/>
        <w:ind w:left="135" w:right="-20"/>
        <w:jc w:val="left"/>
      </w:pPr>
      <w:r>
        <w:rPr>
          <w:rFonts w:ascii="Times New Roman" w:hAnsi="Times New Roman" w:cs="Times New Roman" w:eastAsia="Times New Roman" w:hint="default"/>
        </w:rPr>
        <w:t>3.90%  </w:t>
      </w:r>
      <w:r>
        <w:rPr>
          <w:rFonts w:ascii="Times New Roman" w:hAnsi="Times New Roman" w:cs="Times New Roman" w:eastAsia="Times New Roman" w:hint="default"/>
          <w:spacing w:val="19"/>
        </w:rPr>
        <w:t> </w:t>
      </w:r>
      <w:r>
        <w:rPr>
          <w:rFonts w:ascii="Times New Roman" w:hAnsi="Times New Roman" w:cs="Times New Roman" w:eastAsia="Times New Roman" w:hint="default"/>
        </w:rPr>
        <w:t>49.15</w:t>
        <w:tab/>
        <w:t>49.15</w:t>
      </w:r>
      <w:r>
        <w:rPr>
          <w:rFonts w:ascii="Times New Roman" w:hAnsi="Times New Roman" w:cs="Times New Roman" w:eastAsia="Times New Roman" w:hint="default"/>
          <w:spacing w:val="10"/>
        </w:rPr>
        <w:t> </w:t>
      </w:r>
      <w:r>
        <w:rPr/>
        <w:t>已收回</w:t>
        <w:tab/>
        <w:t>是</w:t>
        <w:tab/>
        <w:t>是</w:t>
      </w:r>
    </w:p>
    <w:p>
      <w:pPr>
        <w:pStyle w:val="BodyText"/>
        <w:spacing w:line="316" w:lineRule="auto" w:before="44"/>
        <w:ind w:left="135" w:right="665"/>
        <w:jc w:val="both"/>
      </w:pPr>
      <w:r>
        <w:rPr/>
        <w:br w:type="column"/>
      </w:r>
      <w:r>
        <w:rPr/>
        <w:t>巨潮资讯 网，公告 编号</w:t>
      </w:r>
    </w:p>
    <w:p>
      <w:pPr>
        <w:pStyle w:val="BodyText"/>
        <w:spacing w:line="240" w:lineRule="auto" w:before="19"/>
        <w:ind w:left="135" w:right="0"/>
        <w:jc w:val="both"/>
      </w:pPr>
      <w:r>
        <w:rPr>
          <w:rFonts w:ascii="Times New Roman" w:hAnsi="Times New Roman" w:cs="Times New Roman" w:eastAsia="Times New Roman" w:hint="default"/>
        </w:rPr>
        <w:t>2019-059</w:t>
      </w:r>
      <w:r>
        <w:rPr/>
        <w:t>、</w:t>
      </w:r>
    </w:p>
    <w:p>
      <w:pPr>
        <w:pStyle w:val="BodyText"/>
        <w:spacing w:line="240" w:lineRule="auto" w:before="105"/>
        <w:ind w:left="135" w:right="0"/>
        <w:jc w:val="both"/>
        <w:rPr>
          <w:rFonts w:ascii="Times New Roman" w:hAnsi="Times New Roman" w:cs="Times New Roman" w:eastAsia="Times New Roman" w:hint="default"/>
        </w:rPr>
      </w:pPr>
      <w:r>
        <w:rPr>
          <w:rFonts w:ascii="Times New Roman"/>
        </w:rPr>
        <w:t>2019-080</w:t>
      </w:r>
    </w:p>
    <w:p>
      <w:pPr>
        <w:spacing w:after="0" w:line="240" w:lineRule="auto"/>
        <w:jc w:val="both"/>
        <w:rPr>
          <w:rFonts w:ascii="Times New Roman" w:hAnsi="Times New Roman" w:cs="Times New Roman" w:eastAsia="Times New Roman" w:hint="default"/>
        </w:rPr>
        <w:sectPr>
          <w:type w:val="continuous"/>
          <w:pgSz w:w="11910" w:h="16840"/>
          <w:pgMar w:top="1060" w:bottom="1160" w:left="460" w:right="0"/>
          <w:cols w:num="7" w:equalWidth="0">
            <w:col w:w="1634" w:space="95"/>
            <w:col w:w="676" w:space="44"/>
            <w:col w:w="957" w:space="66"/>
            <w:col w:w="544" w:space="40"/>
            <w:col w:w="1595" w:space="104"/>
            <w:col w:w="3919" w:space="251"/>
            <w:col w:w="1525"/>
          </w:cols>
        </w:sectPr>
      </w:pPr>
    </w:p>
    <w:p>
      <w:pPr>
        <w:pStyle w:val="BodyText"/>
        <w:tabs>
          <w:tab w:pos="1863" w:val="left" w:leader="none"/>
          <w:tab w:pos="3606" w:val="left" w:leader="none"/>
          <w:tab w:pos="4727" w:val="left" w:leader="none"/>
          <w:tab w:pos="5289" w:val="left" w:leader="none"/>
          <w:tab w:pos="5889" w:val="left" w:leader="none"/>
          <w:tab w:pos="6599" w:val="left" w:leader="none"/>
          <w:tab w:pos="7279" w:val="left" w:leader="none"/>
          <w:tab w:pos="8925" w:val="left" w:leader="none"/>
          <w:tab w:pos="9492" w:val="left" w:leader="none"/>
          <w:tab w:pos="10059" w:val="left" w:leader="none"/>
        </w:tabs>
        <w:spacing w:line="240" w:lineRule="auto" w:before="109"/>
        <w:ind w:left="135" w:right="0"/>
        <w:jc w:val="left"/>
      </w:pPr>
      <w:r>
        <w:rPr/>
        <w:pict>
          <v:group style="position:absolute;margin-left:28.08pt;margin-top:71.759979pt;width:539.3pt;height:696.85pt;mso-position-horizontal-relative:page;mso-position-vertical-relative:page;z-index:-1329400" coordorigin="562,1435" coordsize="10786,13937">
            <v:group style="position:absolute;left:571;top:1445;width:1129;height:2" coordorigin="571,1445" coordsize="1129,2">
              <v:shape style="position:absolute;left:571;top:1445;width:1129;height:2" coordorigin="571,1445" coordsize="1129,0" path="m571,1445l1700,1445e" filled="false" stroked="true" strokeweight=".48pt" strokecolor="#000000">
                <v:path arrowok="t"/>
              </v:shape>
            </v:group>
            <v:group style="position:absolute;left:1709;top:1445;width:581;height:2" coordorigin="1709,1445" coordsize="581,2">
              <v:shape style="position:absolute;left:1709;top:1445;width:581;height:2" coordorigin="1709,1445" coordsize="581,0" path="m1709,1445l2290,1445e" filled="false" stroked="true" strokeweight=".48pt" strokecolor="#000000">
                <v:path arrowok="t"/>
              </v:shape>
            </v:group>
            <v:group style="position:absolute;left:2300;top:1445;width:598;height:2" coordorigin="2300,1445" coordsize="598,2">
              <v:shape style="position:absolute;left:2300;top:1445;width:598;height:2" coordorigin="2300,1445" coordsize="598,0" path="m2300,1445l2897,1445e" filled="false" stroked="true" strokeweight=".48pt" strokecolor="#000000">
                <v:path arrowok="t"/>
              </v:shape>
            </v:group>
            <v:group style="position:absolute;left:2907;top:1445;width:565;height:2" coordorigin="2907,1445" coordsize="565,2">
              <v:shape style="position:absolute;left:2907;top:1445;width:565;height:2" coordorigin="2907,1445" coordsize="565,0" path="m2907,1445l3471,1445e" filled="false" stroked="true" strokeweight=".48pt" strokecolor="#000000">
                <v:path arrowok="t"/>
              </v:shape>
            </v:group>
            <v:group style="position:absolute;left:3481;top:1445;width:552;height:2" coordorigin="3481,1445" coordsize="552,2">
              <v:shape style="position:absolute;left:3481;top:1445;width:552;height:2" coordorigin="3481,1445" coordsize="552,0" path="m3481,1445l4033,1445e" filled="false" stroked="true" strokeweight=".48pt" strokecolor="#000000">
                <v:path arrowok="t"/>
              </v:shape>
            </v:group>
            <v:group style="position:absolute;left:4043;top:1445;width:550;height:2" coordorigin="4043,1445" coordsize="550,2">
              <v:shape style="position:absolute;left:4043;top:1445;width:550;height:2" coordorigin="4043,1445" coordsize="550,0" path="m4043,1445l4592,1445e" filled="false" stroked="true" strokeweight=".48pt" strokecolor="#000000">
                <v:path arrowok="t"/>
              </v:shape>
            </v:group>
            <v:group style="position:absolute;left:4602;top:1445;width:552;height:2" coordorigin="4602,1445" coordsize="552,2">
              <v:shape style="position:absolute;left:4602;top:1445;width:552;height:2" coordorigin="4602,1445" coordsize="552,0" path="m4602,1445l5154,1445e" filled="false" stroked="true" strokeweight=".48pt" strokecolor="#000000">
                <v:path arrowok="t"/>
              </v:shape>
            </v:group>
            <v:group style="position:absolute;left:5163;top:1445;width:553;height:2" coordorigin="5163,1445" coordsize="553,2">
              <v:shape style="position:absolute;left:5163;top:1445;width:553;height:2" coordorigin="5163,1445" coordsize="553,0" path="m5163,1445l5716,1445e" filled="false" stroked="true" strokeweight=".48pt" strokecolor="#000000">
                <v:path arrowok="t"/>
              </v:shape>
            </v:group>
            <v:group style="position:absolute;left:5725;top:1445;width:552;height:2" coordorigin="5725,1445" coordsize="552,2">
              <v:shape style="position:absolute;left:5725;top:1445;width:552;height:2" coordorigin="5725,1445" coordsize="552,0" path="m5725,1445l6277,1445e" filled="false" stroked="true" strokeweight=".48pt" strokecolor="#000000">
                <v:path arrowok="t"/>
              </v:shape>
            </v:group>
            <v:group style="position:absolute;left:6287;top:1445;width:550;height:2" coordorigin="6287,1445" coordsize="550,2">
              <v:shape style="position:absolute;left:6287;top:1445;width:550;height:2" coordorigin="6287,1445" coordsize="550,0" path="m6287,1445l6837,1445e" filled="false" stroked="true" strokeweight=".48pt" strokecolor="#000000">
                <v:path arrowok="t"/>
              </v:shape>
            </v:group>
            <v:group style="position:absolute;left:6846;top:1445;width:552;height:2" coordorigin="6846,1445" coordsize="552,2">
              <v:shape style="position:absolute;left:6846;top:1445;width:552;height:2" coordorigin="6846,1445" coordsize="552,0" path="m6846,1445l7398,1445e" filled="false" stroked="true" strokeweight=".48pt" strokecolor="#000000">
                <v:path arrowok="t"/>
              </v:shape>
            </v:group>
            <v:group style="position:absolute;left:7408;top:1445;width:668;height:2" coordorigin="7408,1445" coordsize="668,2">
              <v:shape style="position:absolute;left:7408;top:1445;width:668;height:2" coordorigin="7408,1445" coordsize="668,0" path="m7408,1445l8075,1445e" filled="false" stroked="true" strokeweight=".48pt" strokecolor="#000000">
                <v:path arrowok="t"/>
              </v:shape>
            </v:group>
            <v:group style="position:absolute;left:8085;top:1445;width:701;height:2" coordorigin="8085,1445" coordsize="701,2">
              <v:shape style="position:absolute;left:8085;top:1445;width:701;height:2" coordorigin="8085,1445" coordsize="701,0" path="m8085,1445l8786,1445e" filled="false" stroked="true" strokeweight=".48pt" strokecolor="#000000">
                <v:path arrowok="t"/>
              </v:shape>
            </v:group>
            <v:group style="position:absolute;left:8796;top:1445;width:557;height:2" coordorigin="8796,1445" coordsize="557,2">
              <v:shape style="position:absolute;left:8796;top:1445;width:557;height:2" coordorigin="8796,1445" coordsize="557,0" path="m8796,1445l9352,1445e" filled="false" stroked="true" strokeweight=".48pt" strokecolor="#000000">
                <v:path arrowok="t"/>
              </v:shape>
            </v:group>
            <v:group style="position:absolute;left:9362;top:1445;width:558;height:2" coordorigin="9362,1445" coordsize="558,2">
              <v:shape style="position:absolute;left:9362;top:1445;width:558;height:2" coordorigin="9362,1445" coordsize="558,0" path="m9362,1445l9919,1445e" filled="false" stroked="true" strokeweight=".48pt" strokecolor="#000000">
                <v:path arrowok="t"/>
              </v:shape>
            </v:group>
            <v:group style="position:absolute;left:9929;top:1445;width:557;height:2" coordorigin="9929,1445" coordsize="557,2">
              <v:shape style="position:absolute;left:9929;top:1445;width:557;height:2" coordorigin="9929,1445" coordsize="557,0" path="m9929,1445l10486,1445e" filled="false" stroked="true" strokeweight=".48pt" strokecolor="#000000">
                <v:path arrowok="t"/>
              </v:shape>
            </v:group>
            <v:group style="position:absolute;left:10495;top:1445;width:843;height:2" coordorigin="10495,1445" coordsize="843,2">
              <v:shape style="position:absolute;left:10495;top:1445;width:843;height:2" coordorigin="10495,1445" coordsize="843,0" path="m10495,1445l11338,1445e" filled="false" stroked="true" strokeweight=".48pt" strokecolor="#000000">
                <v:path arrowok="t"/>
              </v:shape>
            </v:group>
            <v:group style="position:absolute;left:571;top:3094;width:1129;height:2" coordorigin="571,3094" coordsize="1129,2">
              <v:shape style="position:absolute;left:571;top:3094;width:1129;height:2" coordorigin="571,3094" coordsize="1129,0" path="m571,3094l1700,3094e" filled="false" stroked="true" strokeweight=".48pt" strokecolor="#000000">
                <v:path arrowok="t"/>
              </v:shape>
            </v:group>
            <v:group style="position:absolute;left:1709;top:3094;width:581;height:2" coordorigin="1709,3094" coordsize="581,2">
              <v:shape style="position:absolute;left:1709;top:3094;width:581;height:2" coordorigin="1709,3094" coordsize="581,0" path="m1709,3094l2290,3094e" filled="false" stroked="true" strokeweight=".48pt" strokecolor="#000000">
                <v:path arrowok="t"/>
              </v:shape>
            </v:group>
            <v:group style="position:absolute;left:2300;top:3094;width:598;height:2" coordorigin="2300,3094" coordsize="598,2">
              <v:shape style="position:absolute;left:2300;top:3094;width:598;height:2" coordorigin="2300,3094" coordsize="598,0" path="m2300,3094l2897,3094e" filled="false" stroked="true" strokeweight=".48pt" strokecolor="#000000">
                <v:path arrowok="t"/>
              </v:shape>
            </v:group>
            <v:group style="position:absolute;left:2907;top:3094;width:565;height:2" coordorigin="2907,3094" coordsize="565,2">
              <v:shape style="position:absolute;left:2907;top:3094;width:565;height:2" coordorigin="2907,3094" coordsize="565,0" path="m2907,3094l3471,3094e" filled="false" stroked="true" strokeweight=".48pt" strokecolor="#000000">
                <v:path arrowok="t"/>
              </v:shape>
            </v:group>
            <v:group style="position:absolute;left:3481;top:3094;width:552;height:2" coordorigin="3481,3094" coordsize="552,2">
              <v:shape style="position:absolute;left:3481;top:3094;width:552;height:2" coordorigin="3481,3094" coordsize="552,0" path="m3481,3094l4033,3094e" filled="false" stroked="true" strokeweight=".48pt" strokecolor="#000000">
                <v:path arrowok="t"/>
              </v:shape>
            </v:group>
            <v:group style="position:absolute;left:4043;top:3094;width:550;height:2" coordorigin="4043,3094" coordsize="550,2">
              <v:shape style="position:absolute;left:4043;top:3094;width:550;height:2" coordorigin="4043,3094" coordsize="550,0" path="m4043,3094l4592,3094e" filled="false" stroked="true" strokeweight=".48pt" strokecolor="#000000">
                <v:path arrowok="t"/>
              </v:shape>
            </v:group>
            <v:group style="position:absolute;left:4602;top:3094;width:552;height:2" coordorigin="4602,3094" coordsize="552,2">
              <v:shape style="position:absolute;left:4602;top:3094;width:552;height:2" coordorigin="4602,3094" coordsize="552,0" path="m4602,3094l5154,3094e" filled="false" stroked="true" strokeweight=".48pt" strokecolor="#000000">
                <v:path arrowok="t"/>
              </v:shape>
            </v:group>
            <v:group style="position:absolute;left:5163;top:3094;width:553;height:2" coordorigin="5163,3094" coordsize="553,2">
              <v:shape style="position:absolute;left:5163;top:3094;width:553;height:2" coordorigin="5163,3094" coordsize="553,0" path="m5163,3094l5716,3094e" filled="false" stroked="true" strokeweight=".48pt" strokecolor="#000000">
                <v:path arrowok="t"/>
              </v:shape>
            </v:group>
            <v:group style="position:absolute;left:5725;top:3094;width:552;height:2" coordorigin="5725,3094" coordsize="552,2">
              <v:shape style="position:absolute;left:5725;top:3094;width:552;height:2" coordorigin="5725,3094" coordsize="552,0" path="m5725,3094l6277,3094e" filled="false" stroked="true" strokeweight=".48pt" strokecolor="#000000">
                <v:path arrowok="t"/>
              </v:shape>
            </v:group>
            <v:group style="position:absolute;left:6287;top:3094;width:550;height:2" coordorigin="6287,3094" coordsize="550,2">
              <v:shape style="position:absolute;left:6287;top:3094;width:550;height:2" coordorigin="6287,3094" coordsize="550,0" path="m6287,3094l6837,3094e" filled="false" stroked="true" strokeweight=".48pt" strokecolor="#000000">
                <v:path arrowok="t"/>
              </v:shape>
            </v:group>
            <v:group style="position:absolute;left:6846;top:3094;width:552;height:2" coordorigin="6846,3094" coordsize="552,2">
              <v:shape style="position:absolute;left:6846;top:3094;width:552;height:2" coordorigin="6846,3094" coordsize="552,0" path="m6846,3094l7398,3094e" filled="false" stroked="true" strokeweight=".48pt" strokecolor="#000000">
                <v:path arrowok="t"/>
              </v:shape>
            </v:group>
            <v:group style="position:absolute;left:7408;top:3094;width:668;height:2" coordorigin="7408,3094" coordsize="668,2">
              <v:shape style="position:absolute;left:7408;top:3094;width:668;height:2" coordorigin="7408,3094" coordsize="668,0" path="m7408,3094l8075,3094e" filled="false" stroked="true" strokeweight=".48pt" strokecolor="#000000">
                <v:path arrowok="t"/>
              </v:shape>
            </v:group>
            <v:group style="position:absolute;left:8085;top:3094;width:701;height:2" coordorigin="8085,3094" coordsize="701,2">
              <v:shape style="position:absolute;left:8085;top:3094;width:701;height:2" coordorigin="8085,3094" coordsize="701,0" path="m8085,3094l8786,3094e" filled="false" stroked="true" strokeweight=".48pt" strokecolor="#000000">
                <v:path arrowok="t"/>
              </v:shape>
            </v:group>
            <v:group style="position:absolute;left:8796;top:3094;width:557;height:2" coordorigin="8796,3094" coordsize="557,2">
              <v:shape style="position:absolute;left:8796;top:3094;width:557;height:2" coordorigin="8796,3094" coordsize="557,0" path="m8796,3094l9352,3094e" filled="false" stroked="true" strokeweight=".48pt" strokecolor="#000000">
                <v:path arrowok="t"/>
              </v:shape>
            </v:group>
            <v:group style="position:absolute;left:9362;top:3094;width:558;height:2" coordorigin="9362,3094" coordsize="558,2">
              <v:shape style="position:absolute;left:9362;top:3094;width:558;height:2" coordorigin="9362,3094" coordsize="558,0" path="m9362,3094l9919,3094e" filled="false" stroked="true" strokeweight=".48pt" strokecolor="#000000">
                <v:path arrowok="t"/>
              </v:shape>
            </v:group>
            <v:group style="position:absolute;left:9929;top:3094;width:557;height:2" coordorigin="9929,3094" coordsize="557,2">
              <v:shape style="position:absolute;left:9929;top:3094;width:557;height:2" coordorigin="9929,3094" coordsize="557,0" path="m9929,3094l10486,3094e" filled="false" stroked="true" strokeweight=".48pt" strokecolor="#000000">
                <v:path arrowok="t"/>
              </v:shape>
            </v:group>
            <v:group style="position:absolute;left:10495;top:3094;width:843;height:2" coordorigin="10495,3094" coordsize="843,2">
              <v:shape style="position:absolute;left:10495;top:3094;width:843;height:2" coordorigin="10495,3094" coordsize="843,0" path="m10495,3094l11338,3094e" filled="false" stroked="true" strokeweight=".48pt" strokecolor="#000000">
                <v:path arrowok="t"/>
              </v:shape>
            </v:group>
            <v:group style="position:absolute;left:571;top:4745;width:1129;height:2" coordorigin="571,4745" coordsize="1129,2">
              <v:shape style="position:absolute;left:571;top:4745;width:1129;height:2" coordorigin="571,4745" coordsize="1129,0" path="m571,4745l1700,4745e" filled="false" stroked="true" strokeweight=".48pt" strokecolor="#000000">
                <v:path arrowok="t"/>
              </v:shape>
            </v:group>
            <v:group style="position:absolute;left:1709;top:4745;width:581;height:2" coordorigin="1709,4745" coordsize="581,2">
              <v:shape style="position:absolute;left:1709;top:4745;width:581;height:2" coordorigin="1709,4745" coordsize="581,0" path="m1709,4745l2290,4745e" filled="false" stroked="true" strokeweight=".48pt" strokecolor="#000000">
                <v:path arrowok="t"/>
              </v:shape>
            </v:group>
            <v:group style="position:absolute;left:2300;top:4745;width:598;height:2" coordorigin="2300,4745" coordsize="598,2">
              <v:shape style="position:absolute;left:2300;top:4745;width:598;height:2" coordorigin="2300,4745" coordsize="598,0" path="m2300,4745l2897,4745e" filled="false" stroked="true" strokeweight=".48pt" strokecolor="#000000">
                <v:path arrowok="t"/>
              </v:shape>
            </v:group>
            <v:group style="position:absolute;left:2907;top:4745;width:565;height:2" coordorigin="2907,4745" coordsize="565,2">
              <v:shape style="position:absolute;left:2907;top:4745;width:565;height:2" coordorigin="2907,4745" coordsize="565,0" path="m2907,4745l3471,4745e" filled="false" stroked="true" strokeweight=".48pt" strokecolor="#000000">
                <v:path arrowok="t"/>
              </v:shape>
            </v:group>
            <v:group style="position:absolute;left:3481;top:4745;width:552;height:2" coordorigin="3481,4745" coordsize="552,2">
              <v:shape style="position:absolute;left:3481;top:4745;width:552;height:2" coordorigin="3481,4745" coordsize="552,0" path="m3481,4745l4033,4745e" filled="false" stroked="true" strokeweight=".48pt" strokecolor="#000000">
                <v:path arrowok="t"/>
              </v:shape>
            </v:group>
            <v:group style="position:absolute;left:4043;top:4745;width:550;height:2" coordorigin="4043,4745" coordsize="550,2">
              <v:shape style="position:absolute;left:4043;top:4745;width:550;height:2" coordorigin="4043,4745" coordsize="550,0" path="m4043,4745l4592,4745e" filled="false" stroked="true" strokeweight=".48pt" strokecolor="#000000">
                <v:path arrowok="t"/>
              </v:shape>
            </v:group>
            <v:group style="position:absolute;left:4602;top:4745;width:552;height:2" coordorigin="4602,4745" coordsize="552,2">
              <v:shape style="position:absolute;left:4602;top:4745;width:552;height:2" coordorigin="4602,4745" coordsize="552,0" path="m4602,4745l5154,4745e" filled="false" stroked="true" strokeweight=".48pt" strokecolor="#000000">
                <v:path arrowok="t"/>
              </v:shape>
            </v:group>
            <v:group style="position:absolute;left:5163;top:4745;width:553;height:2" coordorigin="5163,4745" coordsize="553,2">
              <v:shape style="position:absolute;left:5163;top:4745;width:553;height:2" coordorigin="5163,4745" coordsize="553,0" path="m5163,4745l5716,4745e" filled="false" stroked="true" strokeweight=".48pt" strokecolor="#000000">
                <v:path arrowok="t"/>
              </v:shape>
            </v:group>
            <v:group style="position:absolute;left:5725;top:4745;width:552;height:2" coordorigin="5725,4745" coordsize="552,2">
              <v:shape style="position:absolute;left:5725;top:4745;width:552;height:2" coordorigin="5725,4745" coordsize="552,0" path="m5725,4745l6277,4745e" filled="false" stroked="true" strokeweight=".48pt" strokecolor="#000000">
                <v:path arrowok="t"/>
              </v:shape>
            </v:group>
            <v:group style="position:absolute;left:6287;top:4745;width:550;height:2" coordorigin="6287,4745" coordsize="550,2">
              <v:shape style="position:absolute;left:6287;top:4745;width:550;height:2" coordorigin="6287,4745" coordsize="550,0" path="m6287,4745l6837,4745e" filled="false" stroked="true" strokeweight=".48pt" strokecolor="#000000">
                <v:path arrowok="t"/>
              </v:shape>
            </v:group>
            <v:group style="position:absolute;left:6846;top:4745;width:552;height:2" coordorigin="6846,4745" coordsize="552,2">
              <v:shape style="position:absolute;left:6846;top:4745;width:552;height:2" coordorigin="6846,4745" coordsize="552,0" path="m6846,4745l7398,4745e" filled="false" stroked="true" strokeweight=".48pt" strokecolor="#000000">
                <v:path arrowok="t"/>
              </v:shape>
            </v:group>
            <v:group style="position:absolute;left:7408;top:4745;width:668;height:2" coordorigin="7408,4745" coordsize="668,2">
              <v:shape style="position:absolute;left:7408;top:4745;width:668;height:2" coordorigin="7408,4745" coordsize="668,0" path="m7408,4745l8075,4745e" filled="false" stroked="true" strokeweight=".48pt" strokecolor="#000000">
                <v:path arrowok="t"/>
              </v:shape>
            </v:group>
            <v:group style="position:absolute;left:8085;top:4745;width:701;height:2" coordorigin="8085,4745" coordsize="701,2">
              <v:shape style="position:absolute;left:8085;top:4745;width:701;height:2" coordorigin="8085,4745" coordsize="701,0" path="m8085,4745l8786,4745e" filled="false" stroked="true" strokeweight=".48pt" strokecolor="#000000">
                <v:path arrowok="t"/>
              </v:shape>
            </v:group>
            <v:group style="position:absolute;left:8796;top:4745;width:557;height:2" coordorigin="8796,4745" coordsize="557,2">
              <v:shape style="position:absolute;left:8796;top:4745;width:557;height:2" coordorigin="8796,4745" coordsize="557,0" path="m8796,4745l9352,4745e" filled="false" stroked="true" strokeweight=".48pt" strokecolor="#000000">
                <v:path arrowok="t"/>
              </v:shape>
            </v:group>
            <v:group style="position:absolute;left:9362;top:4745;width:558;height:2" coordorigin="9362,4745" coordsize="558,2">
              <v:shape style="position:absolute;left:9362;top:4745;width:558;height:2" coordorigin="9362,4745" coordsize="558,0" path="m9362,4745l9919,4745e" filled="false" stroked="true" strokeweight=".48pt" strokecolor="#000000">
                <v:path arrowok="t"/>
              </v:shape>
            </v:group>
            <v:group style="position:absolute;left:9929;top:4745;width:557;height:2" coordorigin="9929,4745" coordsize="557,2">
              <v:shape style="position:absolute;left:9929;top:4745;width:557;height:2" coordorigin="9929,4745" coordsize="557,0" path="m9929,4745l10486,4745e" filled="false" stroked="true" strokeweight=".48pt" strokecolor="#000000">
                <v:path arrowok="t"/>
              </v:shape>
            </v:group>
            <v:group style="position:absolute;left:10495;top:4745;width:843;height:2" coordorigin="10495,4745" coordsize="843,2">
              <v:shape style="position:absolute;left:10495;top:4745;width:843;height:2" coordorigin="10495,4745" coordsize="843,0" path="m10495,4745l11338,4745e" filled="false" stroked="true" strokeweight=".48pt" strokecolor="#000000">
                <v:path arrowok="t"/>
              </v:shape>
            </v:group>
            <v:group style="position:absolute;left:571;top:6395;width:1129;height:2" coordorigin="571,6395" coordsize="1129,2">
              <v:shape style="position:absolute;left:571;top:6395;width:1129;height:2" coordorigin="571,6395" coordsize="1129,0" path="m571,6395l1700,6395e" filled="false" stroked="true" strokeweight=".48001pt" strokecolor="#000000">
                <v:path arrowok="t"/>
              </v:shape>
            </v:group>
            <v:group style="position:absolute;left:1709;top:6395;width:581;height:2" coordorigin="1709,6395" coordsize="581,2">
              <v:shape style="position:absolute;left:1709;top:6395;width:581;height:2" coordorigin="1709,6395" coordsize="581,0" path="m1709,6395l2290,6395e" filled="false" stroked="true" strokeweight=".48001pt" strokecolor="#000000">
                <v:path arrowok="t"/>
              </v:shape>
            </v:group>
            <v:group style="position:absolute;left:2300;top:6395;width:598;height:2" coordorigin="2300,6395" coordsize="598,2">
              <v:shape style="position:absolute;left:2300;top:6395;width:598;height:2" coordorigin="2300,6395" coordsize="598,0" path="m2300,6395l2897,6395e" filled="false" stroked="true" strokeweight=".48001pt" strokecolor="#000000">
                <v:path arrowok="t"/>
              </v:shape>
            </v:group>
            <v:group style="position:absolute;left:2907;top:6395;width:565;height:2" coordorigin="2907,6395" coordsize="565,2">
              <v:shape style="position:absolute;left:2907;top:6395;width:565;height:2" coordorigin="2907,6395" coordsize="565,0" path="m2907,6395l3471,6395e" filled="false" stroked="true" strokeweight=".48001pt" strokecolor="#000000">
                <v:path arrowok="t"/>
              </v:shape>
            </v:group>
            <v:group style="position:absolute;left:3481;top:6395;width:552;height:2" coordorigin="3481,6395" coordsize="552,2">
              <v:shape style="position:absolute;left:3481;top:6395;width:552;height:2" coordorigin="3481,6395" coordsize="552,0" path="m3481,6395l4033,6395e" filled="false" stroked="true" strokeweight=".48001pt" strokecolor="#000000">
                <v:path arrowok="t"/>
              </v:shape>
            </v:group>
            <v:group style="position:absolute;left:4043;top:6395;width:550;height:2" coordorigin="4043,6395" coordsize="550,2">
              <v:shape style="position:absolute;left:4043;top:6395;width:550;height:2" coordorigin="4043,6395" coordsize="550,0" path="m4043,6395l4592,6395e" filled="false" stroked="true" strokeweight=".48001pt" strokecolor="#000000">
                <v:path arrowok="t"/>
              </v:shape>
            </v:group>
            <v:group style="position:absolute;left:4602;top:6395;width:552;height:2" coordorigin="4602,6395" coordsize="552,2">
              <v:shape style="position:absolute;left:4602;top:6395;width:552;height:2" coordorigin="4602,6395" coordsize="552,0" path="m4602,6395l5154,6395e" filled="false" stroked="true" strokeweight=".48001pt" strokecolor="#000000">
                <v:path arrowok="t"/>
              </v:shape>
            </v:group>
            <v:group style="position:absolute;left:5163;top:6395;width:553;height:2" coordorigin="5163,6395" coordsize="553,2">
              <v:shape style="position:absolute;left:5163;top:6395;width:553;height:2" coordorigin="5163,6395" coordsize="553,0" path="m5163,6395l5716,6395e" filled="false" stroked="true" strokeweight=".48001pt" strokecolor="#000000">
                <v:path arrowok="t"/>
              </v:shape>
            </v:group>
            <v:group style="position:absolute;left:5725;top:6395;width:552;height:2" coordorigin="5725,6395" coordsize="552,2">
              <v:shape style="position:absolute;left:5725;top:6395;width:552;height:2" coordorigin="5725,6395" coordsize="552,0" path="m5725,6395l6277,6395e" filled="false" stroked="true" strokeweight=".48001pt" strokecolor="#000000">
                <v:path arrowok="t"/>
              </v:shape>
            </v:group>
            <v:group style="position:absolute;left:6287;top:6395;width:550;height:2" coordorigin="6287,6395" coordsize="550,2">
              <v:shape style="position:absolute;left:6287;top:6395;width:550;height:2" coordorigin="6287,6395" coordsize="550,0" path="m6287,6395l6837,6395e" filled="false" stroked="true" strokeweight=".48001pt" strokecolor="#000000">
                <v:path arrowok="t"/>
              </v:shape>
            </v:group>
            <v:group style="position:absolute;left:6846;top:6395;width:552;height:2" coordorigin="6846,6395" coordsize="552,2">
              <v:shape style="position:absolute;left:6846;top:6395;width:552;height:2" coordorigin="6846,6395" coordsize="552,0" path="m6846,6395l7398,6395e" filled="false" stroked="true" strokeweight=".48001pt" strokecolor="#000000">
                <v:path arrowok="t"/>
              </v:shape>
            </v:group>
            <v:group style="position:absolute;left:7408;top:6395;width:668;height:2" coordorigin="7408,6395" coordsize="668,2">
              <v:shape style="position:absolute;left:7408;top:6395;width:668;height:2" coordorigin="7408,6395" coordsize="668,0" path="m7408,6395l8075,6395e" filled="false" stroked="true" strokeweight=".48001pt" strokecolor="#000000">
                <v:path arrowok="t"/>
              </v:shape>
            </v:group>
            <v:group style="position:absolute;left:8085;top:6395;width:701;height:2" coordorigin="8085,6395" coordsize="701,2">
              <v:shape style="position:absolute;left:8085;top:6395;width:701;height:2" coordorigin="8085,6395" coordsize="701,0" path="m8085,6395l8786,6395e" filled="false" stroked="true" strokeweight=".48001pt" strokecolor="#000000">
                <v:path arrowok="t"/>
              </v:shape>
            </v:group>
            <v:group style="position:absolute;left:8796;top:6395;width:557;height:2" coordorigin="8796,6395" coordsize="557,2">
              <v:shape style="position:absolute;left:8796;top:6395;width:557;height:2" coordorigin="8796,6395" coordsize="557,0" path="m8796,6395l9352,6395e" filled="false" stroked="true" strokeweight=".48001pt" strokecolor="#000000">
                <v:path arrowok="t"/>
              </v:shape>
            </v:group>
            <v:group style="position:absolute;left:9362;top:6395;width:558;height:2" coordorigin="9362,6395" coordsize="558,2">
              <v:shape style="position:absolute;left:9362;top:6395;width:558;height:2" coordorigin="9362,6395" coordsize="558,0" path="m9362,6395l9919,6395e" filled="false" stroked="true" strokeweight=".48001pt" strokecolor="#000000">
                <v:path arrowok="t"/>
              </v:shape>
            </v:group>
            <v:group style="position:absolute;left:9929;top:6395;width:557;height:2" coordorigin="9929,6395" coordsize="557,2">
              <v:shape style="position:absolute;left:9929;top:6395;width:557;height:2" coordorigin="9929,6395" coordsize="557,0" path="m9929,6395l10486,6395e" filled="false" stroked="true" strokeweight=".48001pt" strokecolor="#000000">
                <v:path arrowok="t"/>
              </v:shape>
            </v:group>
            <v:group style="position:absolute;left:10495;top:6395;width:843;height:2" coordorigin="10495,6395" coordsize="843,2">
              <v:shape style="position:absolute;left:10495;top:6395;width:843;height:2" coordorigin="10495,6395" coordsize="843,0" path="m10495,6395l11338,6395e" filled="false" stroked="true" strokeweight=".48001pt" strokecolor="#000000">
                <v:path arrowok="t"/>
              </v:shape>
            </v:group>
            <v:group style="position:absolute;left:571;top:8358;width:1129;height:2" coordorigin="571,8358" coordsize="1129,2">
              <v:shape style="position:absolute;left:571;top:8358;width:1129;height:2" coordorigin="571,8358" coordsize="1129,0" path="m571,8358l1700,8358e" filled="false" stroked="true" strokeweight=".47998pt" strokecolor="#000000">
                <v:path arrowok="t"/>
              </v:shape>
            </v:group>
            <v:group style="position:absolute;left:1709;top:8358;width:581;height:2" coordorigin="1709,8358" coordsize="581,2">
              <v:shape style="position:absolute;left:1709;top:8358;width:581;height:2" coordorigin="1709,8358" coordsize="581,0" path="m1709,8358l2290,8358e" filled="false" stroked="true" strokeweight=".47998pt" strokecolor="#000000">
                <v:path arrowok="t"/>
              </v:shape>
            </v:group>
            <v:group style="position:absolute;left:2300;top:8358;width:598;height:2" coordorigin="2300,8358" coordsize="598,2">
              <v:shape style="position:absolute;left:2300;top:8358;width:598;height:2" coordorigin="2300,8358" coordsize="598,0" path="m2300,8358l2897,8358e" filled="false" stroked="true" strokeweight=".47998pt" strokecolor="#000000">
                <v:path arrowok="t"/>
              </v:shape>
            </v:group>
            <v:group style="position:absolute;left:2907;top:8358;width:565;height:2" coordorigin="2907,8358" coordsize="565,2">
              <v:shape style="position:absolute;left:2907;top:8358;width:565;height:2" coordorigin="2907,8358" coordsize="565,0" path="m2907,8358l3471,8358e" filled="false" stroked="true" strokeweight=".47998pt" strokecolor="#000000">
                <v:path arrowok="t"/>
              </v:shape>
            </v:group>
            <v:group style="position:absolute;left:3481;top:8358;width:552;height:2" coordorigin="3481,8358" coordsize="552,2">
              <v:shape style="position:absolute;left:3481;top:8358;width:552;height:2" coordorigin="3481,8358" coordsize="552,0" path="m3481,8358l4033,8358e" filled="false" stroked="true" strokeweight=".47998pt" strokecolor="#000000">
                <v:path arrowok="t"/>
              </v:shape>
            </v:group>
            <v:group style="position:absolute;left:4043;top:8358;width:550;height:2" coordorigin="4043,8358" coordsize="550,2">
              <v:shape style="position:absolute;left:4043;top:8358;width:550;height:2" coordorigin="4043,8358" coordsize="550,0" path="m4043,8358l4592,8358e" filled="false" stroked="true" strokeweight=".47998pt" strokecolor="#000000">
                <v:path arrowok="t"/>
              </v:shape>
            </v:group>
            <v:group style="position:absolute;left:4602;top:8358;width:552;height:2" coordorigin="4602,8358" coordsize="552,2">
              <v:shape style="position:absolute;left:4602;top:8358;width:552;height:2" coordorigin="4602,8358" coordsize="552,0" path="m4602,8358l5154,8358e" filled="false" stroked="true" strokeweight=".47998pt" strokecolor="#000000">
                <v:path arrowok="t"/>
              </v:shape>
            </v:group>
            <v:group style="position:absolute;left:5163;top:8358;width:553;height:2" coordorigin="5163,8358" coordsize="553,2">
              <v:shape style="position:absolute;left:5163;top:8358;width:553;height:2" coordorigin="5163,8358" coordsize="553,0" path="m5163,8358l5716,8358e" filled="false" stroked="true" strokeweight=".47998pt" strokecolor="#000000">
                <v:path arrowok="t"/>
              </v:shape>
            </v:group>
            <v:group style="position:absolute;left:5725;top:8358;width:552;height:2" coordorigin="5725,8358" coordsize="552,2">
              <v:shape style="position:absolute;left:5725;top:8358;width:552;height:2" coordorigin="5725,8358" coordsize="552,0" path="m5725,8358l6277,8358e" filled="false" stroked="true" strokeweight=".47998pt" strokecolor="#000000">
                <v:path arrowok="t"/>
              </v:shape>
            </v:group>
            <v:group style="position:absolute;left:6287;top:8358;width:550;height:2" coordorigin="6287,8358" coordsize="550,2">
              <v:shape style="position:absolute;left:6287;top:8358;width:550;height:2" coordorigin="6287,8358" coordsize="550,0" path="m6287,8358l6837,8358e" filled="false" stroked="true" strokeweight=".47998pt" strokecolor="#000000">
                <v:path arrowok="t"/>
              </v:shape>
            </v:group>
            <v:group style="position:absolute;left:6846;top:8358;width:552;height:2" coordorigin="6846,8358" coordsize="552,2">
              <v:shape style="position:absolute;left:6846;top:8358;width:552;height:2" coordorigin="6846,8358" coordsize="552,0" path="m6846,8358l7398,8358e" filled="false" stroked="true" strokeweight=".47998pt" strokecolor="#000000">
                <v:path arrowok="t"/>
              </v:shape>
            </v:group>
            <v:group style="position:absolute;left:7408;top:8358;width:668;height:2" coordorigin="7408,8358" coordsize="668,2">
              <v:shape style="position:absolute;left:7408;top:8358;width:668;height:2" coordorigin="7408,8358" coordsize="668,0" path="m7408,8358l8075,8358e" filled="false" stroked="true" strokeweight=".47998pt" strokecolor="#000000">
                <v:path arrowok="t"/>
              </v:shape>
            </v:group>
            <v:group style="position:absolute;left:8085;top:8358;width:701;height:2" coordorigin="8085,8358" coordsize="701,2">
              <v:shape style="position:absolute;left:8085;top:8358;width:701;height:2" coordorigin="8085,8358" coordsize="701,0" path="m8085,8358l8786,8358e" filled="false" stroked="true" strokeweight=".47998pt" strokecolor="#000000">
                <v:path arrowok="t"/>
              </v:shape>
            </v:group>
            <v:group style="position:absolute;left:8796;top:8358;width:557;height:2" coordorigin="8796,8358" coordsize="557,2">
              <v:shape style="position:absolute;left:8796;top:8358;width:557;height:2" coordorigin="8796,8358" coordsize="557,0" path="m8796,8358l9352,8358e" filled="false" stroked="true" strokeweight=".47998pt" strokecolor="#000000">
                <v:path arrowok="t"/>
              </v:shape>
            </v:group>
            <v:group style="position:absolute;left:9362;top:8358;width:558;height:2" coordorigin="9362,8358" coordsize="558,2">
              <v:shape style="position:absolute;left:9362;top:8358;width:558;height:2" coordorigin="9362,8358" coordsize="558,0" path="m9362,8358l9919,8358e" filled="false" stroked="true" strokeweight=".47998pt" strokecolor="#000000">
                <v:path arrowok="t"/>
              </v:shape>
            </v:group>
            <v:group style="position:absolute;left:9929;top:8358;width:557;height:2" coordorigin="9929,8358" coordsize="557,2">
              <v:shape style="position:absolute;left:9929;top:8358;width:557;height:2" coordorigin="9929,8358" coordsize="557,0" path="m9929,8358l10486,8358e" filled="false" stroked="true" strokeweight=".47998pt" strokecolor="#000000">
                <v:path arrowok="t"/>
              </v:shape>
            </v:group>
            <v:group style="position:absolute;left:10495;top:8358;width:843;height:2" coordorigin="10495,8358" coordsize="843,2">
              <v:shape style="position:absolute;left:10495;top:8358;width:843;height:2" coordorigin="10495,8358" coordsize="843,0" path="m10495,8358l11338,8358e" filled="false" stroked="true" strokeweight=".47998pt" strokecolor="#000000">
                <v:path arrowok="t"/>
              </v:shape>
            </v:group>
            <v:group style="position:absolute;left:571;top:10007;width:1129;height:2" coordorigin="571,10007" coordsize="1129,2">
              <v:shape style="position:absolute;left:571;top:10007;width:1129;height:2" coordorigin="571,10007" coordsize="1129,0" path="m571,10007l1700,10007e" filled="false" stroked="true" strokeweight=".48001pt" strokecolor="#000000">
                <v:path arrowok="t"/>
              </v:shape>
            </v:group>
            <v:group style="position:absolute;left:1709;top:10007;width:581;height:2" coordorigin="1709,10007" coordsize="581,2">
              <v:shape style="position:absolute;left:1709;top:10007;width:581;height:2" coordorigin="1709,10007" coordsize="581,0" path="m1709,10007l2290,10007e" filled="false" stroked="true" strokeweight=".48001pt" strokecolor="#000000">
                <v:path arrowok="t"/>
              </v:shape>
            </v:group>
            <v:group style="position:absolute;left:2300;top:10007;width:598;height:2" coordorigin="2300,10007" coordsize="598,2">
              <v:shape style="position:absolute;left:2300;top:10007;width:598;height:2" coordorigin="2300,10007" coordsize="598,0" path="m2300,10007l2897,10007e" filled="false" stroked="true" strokeweight=".48001pt" strokecolor="#000000">
                <v:path arrowok="t"/>
              </v:shape>
            </v:group>
            <v:group style="position:absolute;left:2907;top:10007;width:565;height:2" coordorigin="2907,10007" coordsize="565,2">
              <v:shape style="position:absolute;left:2907;top:10007;width:565;height:2" coordorigin="2907,10007" coordsize="565,0" path="m2907,10007l3471,10007e" filled="false" stroked="true" strokeweight=".48001pt" strokecolor="#000000">
                <v:path arrowok="t"/>
              </v:shape>
            </v:group>
            <v:group style="position:absolute;left:3481;top:10007;width:552;height:2" coordorigin="3481,10007" coordsize="552,2">
              <v:shape style="position:absolute;left:3481;top:10007;width:552;height:2" coordorigin="3481,10007" coordsize="552,0" path="m3481,10007l4033,10007e" filled="false" stroked="true" strokeweight=".48001pt" strokecolor="#000000">
                <v:path arrowok="t"/>
              </v:shape>
            </v:group>
            <v:group style="position:absolute;left:4043;top:10007;width:550;height:2" coordorigin="4043,10007" coordsize="550,2">
              <v:shape style="position:absolute;left:4043;top:10007;width:550;height:2" coordorigin="4043,10007" coordsize="550,0" path="m4043,10007l4592,10007e" filled="false" stroked="true" strokeweight=".48001pt" strokecolor="#000000">
                <v:path arrowok="t"/>
              </v:shape>
            </v:group>
            <v:group style="position:absolute;left:4602;top:10007;width:552;height:2" coordorigin="4602,10007" coordsize="552,2">
              <v:shape style="position:absolute;left:4602;top:10007;width:552;height:2" coordorigin="4602,10007" coordsize="552,0" path="m4602,10007l5154,10007e" filled="false" stroked="true" strokeweight=".48001pt" strokecolor="#000000">
                <v:path arrowok="t"/>
              </v:shape>
            </v:group>
            <v:group style="position:absolute;left:5163;top:10007;width:553;height:2" coordorigin="5163,10007" coordsize="553,2">
              <v:shape style="position:absolute;left:5163;top:10007;width:553;height:2" coordorigin="5163,10007" coordsize="553,0" path="m5163,10007l5716,10007e" filled="false" stroked="true" strokeweight=".48001pt" strokecolor="#000000">
                <v:path arrowok="t"/>
              </v:shape>
            </v:group>
            <v:group style="position:absolute;left:5725;top:10007;width:552;height:2" coordorigin="5725,10007" coordsize="552,2">
              <v:shape style="position:absolute;left:5725;top:10007;width:552;height:2" coordorigin="5725,10007" coordsize="552,0" path="m5725,10007l6277,10007e" filled="false" stroked="true" strokeweight=".48001pt" strokecolor="#000000">
                <v:path arrowok="t"/>
              </v:shape>
            </v:group>
            <v:group style="position:absolute;left:6287;top:10007;width:550;height:2" coordorigin="6287,10007" coordsize="550,2">
              <v:shape style="position:absolute;left:6287;top:10007;width:550;height:2" coordorigin="6287,10007" coordsize="550,0" path="m6287,10007l6837,10007e" filled="false" stroked="true" strokeweight=".48001pt" strokecolor="#000000">
                <v:path arrowok="t"/>
              </v:shape>
            </v:group>
            <v:group style="position:absolute;left:6846;top:10007;width:552;height:2" coordorigin="6846,10007" coordsize="552,2">
              <v:shape style="position:absolute;left:6846;top:10007;width:552;height:2" coordorigin="6846,10007" coordsize="552,0" path="m6846,10007l7398,10007e" filled="false" stroked="true" strokeweight=".48001pt" strokecolor="#000000">
                <v:path arrowok="t"/>
              </v:shape>
            </v:group>
            <v:group style="position:absolute;left:7408;top:10007;width:668;height:2" coordorigin="7408,10007" coordsize="668,2">
              <v:shape style="position:absolute;left:7408;top:10007;width:668;height:2" coordorigin="7408,10007" coordsize="668,0" path="m7408,10007l8075,10007e" filled="false" stroked="true" strokeweight=".48001pt" strokecolor="#000000">
                <v:path arrowok="t"/>
              </v:shape>
            </v:group>
            <v:group style="position:absolute;left:8085;top:10007;width:701;height:2" coordorigin="8085,10007" coordsize="701,2">
              <v:shape style="position:absolute;left:8085;top:10007;width:701;height:2" coordorigin="8085,10007" coordsize="701,0" path="m8085,10007l8786,10007e" filled="false" stroked="true" strokeweight=".48001pt" strokecolor="#000000">
                <v:path arrowok="t"/>
              </v:shape>
            </v:group>
            <v:group style="position:absolute;left:8796;top:10007;width:557;height:2" coordorigin="8796,10007" coordsize="557,2">
              <v:shape style="position:absolute;left:8796;top:10007;width:557;height:2" coordorigin="8796,10007" coordsize="557,0" path="m8796,10007l9352,10007e" filled="false" stroked="true" strokeweight=".48001pt" strokecolor="#000000">
                <v:path arrowok="t"/>
              </v:shape>
            </v:group>
            <v:group style="position:absolute;left:9362;top:10007;width:558;height:2" coordorigin="9362,10007" coordsize="558,2">
              <v:shape style="position:absolute;left:9362;top:10007;width:558;height:2" coordorigin="9362,10007" coordsize="558,0" path="m9362,10007l9919,10007e" filled="false" stroked="true" strokeweight=".48001pt" strokecolor="#000000">
                <v:path arrowok="t"/>
              </v:shape>
            </v:group>
            <v:group style="position:absolute;left:9929;top:10007;width:557;height:2" coordorigin="9929,10007" coordsize="557,2">
              <v:shape style="position:absolute;left:9929;top:10007;width:557;height:2" coordorigin="9929,10007" coordsize="557,0" path="m9929,10007l10486,10007e" filled="false" stroked="true" strokeweight=".48001pt" strokecolor="#000000">
                <v:path arrowok="t"/>
              </v:shape>
            </v:group>
            <v:group style="position:absolute;left:10495;top:10007;width:843;height:2" coordorigin="10495,10007" coordsize="843,2">
              <v:shape style="position:absolute;left:10495;top:10007;width:843;height:2" coordorigin="10495,10007" coordsize="843,0" path="m10495,10007l11338,10007e" filled="false" stroked="true" strokeweight=".48001pt" strokecolor="#000000">
                <v:path arrowok="t"/>
              </v:shape>
            </v:group>
            <v:group style="position:absolute;left:571;top:11658;width:1129;height:2" coordorigin="571,11658" coordsize="1129,2">
              <v:shape style="position:absolute;left:571;top:11658;width:1129;height:2" coordorigin="571,11658" coordsize="1129,0" path="m571,11658l1700,11658e" filled="false" stroked="true" strokeweight=".47998pt" strokecolor="#000000">
                <v:path arrowok="t"/>
              </v:shape>
            </v:group>
            <v:group style="position:absolute;left:1709;top:11658;width:581;height:2" coordorigin="1709,11658" coordsize="581,2">
              <v:shape style="position:absolute;left:1709;top:11658;width:581;height:2" coordorigin="1709,11658" coordsize="581,0" path="m1709,11658l2290,11658e" filled="false" stroked="true" strokeweight=".47998pt" strokecolor="#000000">
                <v:path arrowok="t"/>
              </v:shape>
            </v:group>
            <v:group style="position:absolute;left:2300;top:11658;width:598;height:2" coordorigin="2300,11658" coordsize="598,2">
              <v:shape style="position:absolute;left:2300;top:11658;width:598;height:2" coordorigin="2300,11658" coordsize="598,0" path="m2300,11658l2897,11658e" filled="false" stroked="true" strokeweight=".47998pt" strokecolor="#000000">
                <v:path arrowok="t"/>
              </v:shape>
            </v:group>
            <v:group style="position:absolute;left:2907;top:11658;width:565;height:2" coordorigin="2907,11658" coordsize="565,2">
              <v:shape style="position:absolute;left:2907;top:11658;width:565;height:2" coordorigin="2907,11658" coordsize="565,0" path="m2907,11658l3471,11658e" filled="false" stroked="true" strokeweight=".47998pt" strokecolor="#000000">
                <v:path arrowok="t"/>
              </v:shape>
            </v:group>
            <v:group style="position:absolute;left:3481;top:11658;width:552;height:2" coordorigin="3481,11658" coordsize="552,2">
              <v:shape style="position:absolute;left:3481;top:11658;width:552;height:2" coordorigin="3481,11658" coordsize="552,0" path="m3481,11658l4033,11658e" filled="false" stroked="true" strokeweight=".47998pt" strokecolor="#000000">
                <v:path arrowok="t"/>
              </v:shape>
            </v:group>
            <v:group style="position:absolute;left:4043;top:11658;width:550;height:2" coordorigin="4043,11658" coordsize="550,2">
              <v:shape style="position:absolute;left:4043;top:11658;width:550;height:2" coordorigin="4043,11658" coordsize="550,0" path="m4043,11658l4592,11658e" filled="false" stroked="true" strokeweight=".47998pt" strokecolor="#000000">
                <v:path arrowok="t"/>
              </v:shape>
            </v:group>
            <v:group style="position:absolute;left:4602;top:11658;width:552;height:2" coordorigin="4602,11658" coordsize="552,2">
              <v:shape style="position:absolute;left:4602;top:11658;width:552;height:2" coordorigin="4602,11658" coordsize="552,0" path="m4602,11658l5154,11658e" filled="false" stroked="true" strokeweight=".47998pt" strokecolor="#000000">
                <v:path arrowok="t"/>
              </v:shape>
            </v:group>
            <v:group style="position:absolute;left:5163;top:11658;width:553;height:2" coordorigin="5163,11658" coordsize="553,2">
              <v:shape style="position:absolute;left:5163;top:11658;width:553;height:2" coordorigin="5163,11658" coordsize="553,0" path="m5163,11658l5716,11658e" filled="false" stroked="true" strokeweight=".47998pt" strokecolor="#000000">
                <v:path arrowok="t"/>
              </v:shape>
            </v:group>
            <v:group style="position:absolute;left:5725;top:11658;width:552;height:2" coordorigin="5725,11658" coordsize="552,2">
              <v:shape style="position:absolute;left:5725;top:11658;width:552;height:2" coordorigin="5725,11658" coordsize="552,0" path="m5725,11658l6277,11658e" filled="false" stroked="true" strokeweight=".47998pt" strokecolor="#000000">
                <v:path arrowok="t"/>
              </v:shape>
            </v:group>
            <v:group style="position:absolute;left:6287;top:11658;width:550;height:2" coordorigin="6287,11658" coordsize="550,2">
              <v:shape style="position:absolute;left:6287;top:11658;width:550;height:2" coordorigin="6287,11658" coordsize="550,0" path="m6287,11658l6837,11658e" filled="false" stroked="true" strokeweight=".47998pt" strokecolor="#000000">
                <v:path arrowok="t"/>
              </v:shape>
            </v:group>
            <v:group style="position:absolute;left:6846;top:11658;width:552;height:2" coordorigin="6846,11658" coordsize="552,2">
              <v:shape style="position:absolute;left:6846;top:11658;width:552;height:2" coordorigin="6846,11658" coordsize="552,0" path="m6846,11658l7398,11658e" filled="false" stroked="true" strokeweight=".47998pt" strokecolor="#000000">
                <v:path arrowok="t"/>
              </v:shape>
            </v:group>
            <v:group style="position:absolute;left:7408;top:11658;width:668;height:2" coordorigin="7408,11658" coordsize="668,2">
              <v:shape style="position:absolute;left:7408;top:11658;width:668;height:2" coordorigin="7408,11658" coordsize="668,0" path="m7408,11658l8075,11658e" filled="false" stroked="true" strokeweight=".47998pt" strokecolor="#000000">
                <v:path arrowok="t"/>
              </v:shape>
            </v:group>
            <v:group style="position:absolute;left:8085;top:11658;width:701;height:2" coordorigin="8085,11658" coordsize="701,2">
              <v:shape style="position:absolute;left:8085;top:11658;width:701;height:2" coordorigin="8085,11658" coordsize="701,0" path="m8085,11658l8786,11658e" filled="false" stroked="true" strokeweight=".47998pt" strokecolor="#000000">
                <v:path arrowok="t"/>
              </v:shape>
            </v:group>
            <v:group style="position:absolute;left:8796;top:11658;width:557;height:2" coordorigin="8796,11658" coordsize="557,2">
              <v:shape style="position:absolute;left:8796;top:11658;width:557;height:2" coordorigin="8796,11658" coordsize="557,0" path="m8796,11658l9352,11658e" filled="false" stroked="true" strokeweight=".47998pt" strokecolor="#000000">
                <v:path arrowok="t"/>
              </v:shape>
            </v:group>
            <v:group style="position:absolute;left:9362;top:11658;width:558;height:2" coordorigin="9362,11658" coordsize="558,2">
              <v:shape style="position:absolute;left:9362;top:11658;width:558;height:2" coordorigin="9362,11658" coordsize="558,0" path="m9362,11658l9919,11658e" filled="false" stroked="true" strokeweight=".47998pt" strokecolor="#000000">
                <v:path arrowok="t"/>
              </v:shape>
            </v:group>
            <v:group style="position:absolute;left:9929;top:11658;width:557;height:2" coordorigin="9929,11658" coordsize="557,2">
              <v:shape style="position:absolute;left:9929;top:11658;width:557;height:2" coordorigin="9929,11658" coordsize="557,0" path="m9929,11658l10486,11658e" filled="false" stroked="true" strokeweight=".47998pt" strokecolor="#000000">
                <v:path arrowok="t"/>
              </v:shape>
            </v:group>
            <v:group style="position:absolute;left:10495;top:11658;width:843;height:2" coordorigin="10495,11658" coordsize="843,2">
              <v:shape style="position:absolute;left:10495;top:11658;width:843;height:2" coordorigin="10495,11658" coordsize="843,0" path="m10495,11658l11338,11658e" filled="false" stroked="true" strokeweight=".47998pt" strokecolor="#000000">
                <v:path arrowok="t"/>
              </v:shape>
            </v:group>
            <v:group style="position:absolute;left:571;top:13308;width:1129;height:2" coordorigin="571,13308" coordsize="1129,2">
              <v:shape style="position:absolute;left:571;top:13308;width:1129;height:2" coordorigin="571,13308" coordsize="1129,0" path="m571,13308l1700,13308e" filled="false" stroked="true" strokeweight=".48004pt" strokecolor="#000000">
                <v:path arrowok="t"/>
              </v:shape>
            </v:group>
            <v:group style="position:absolute;left:1709;top:13308;width:581;height:2" coordorigin="1709,13308" coordsize="581,2">
              <v:shape style="position:absolute;left:1709;top:13308;width:581;height:2" coordorigin="1709,13308" coordsize="581,0" path="m1709,13308l2290,13308e" filled="false" stroked="true" strokeweight=".48004pt" strokecolor="#000000">
                <v:path arrowok="t"/>
              </v:shape>
            </v:group>
            <v:group style="position:absolute;left:2300;top:13308;width:598;height:2" coordorigin="2300,13308" coordsize="598,2">
              <v:shape style="position:absolute;left:2300;top:13308;width:598;height:2" coordorigin="2300,13308" coordsize="598,0" path="m2300,13308l2897,13308e" filled="false" stroked="true" strokeweight=".48004pt" strokecolor="#000000">
                <v:path arrowok="t"/>
              </v:shape>
            </v:group>
            <v:group style="position:absolute;left:2907;top:13308;width:565;height:2" coordorigin="2907,13308" coordsize="565,2">
              <v:shape style="position:absolute;left:2907;top:13308;width:565;height:2" coordorigin="2907,13308" coordsize="565,0" path="m2907,13308l3471,13308e" filled="false" stroked="true" strokeweight=".48004pt" strokecolor="#000000">
                <v:path arrowok="t"/>
              </v:shape>
            </v:group>
            <v:group style="position:absolute;left:3481;top:13308;width:552;height:2" coordorigin="3481,13308" coordsize="552,2">
              <v:shape style="position:absolute;left:3481;top:13308;width:552;height:2" coordorigin="3481,13308" coordsize="552,0" path="m3481,13308l4033,13308e" filled="false" stroked="true" strokeweight=".48004pt" strokecolor="#000000">
                <v:path arrowok="t"/>
              </v:shape>
            </v:group>
            <v:group style="position:absolute;left:4043;top:13308;width:550;height:2" coordorigin="4043,13308" coordsize="550,2">
              <v:shape style="position:absolute;left:4043;top:13308;width:550;height:2" coordorigin="4043,13308" coordsize="550,0" path="m4043,13308l4592,13308e" filled="false" stroked="true" strokeweight=".48004pt" strokecolor="#000000">
                <v:path arrowok="t"/>
              </v:shape>
            </v:group>
            <v:group style="position:absolute;left:4602;top:13308;width:552;height:2" coordorigin="4602,13308" coordsize="552,2">
              <v:shape style="position:absolute;left:4602;top:13308;width:552;height:2" coordorigin="4602,13308" coordsize="552,0" path="m4602,13308l5154,13308e" filled="false" stroked="true" strokeweight=".48004pt" strokecolor="#000000">
                <v:path arrowok="t"/>
              </v:shape>
            </v:group>
            <v:group style="position:absolute;left:5163;top:13308;width:553;height:2" coordorigin="5163,13308" coordsize="553,2">
              <v:shape style="position:absolute;left:5163;top:13308;width:553;height:2" coordorigin="5163,13308" coordsize="553,0" path="m5163,13308l5716,13308e" filled="false" stroked="true" strokeweight=".48004pt" strokecolor="#000000">
                <v:path arrowok="t"/>
              </v:shape>
            </v:group>
            <v:group style="position:absolute;left:5725;top:13308;width:552;height:2" coordorigin="5725,13308" coordsize="552,2">
              <v:shape style="position:absolute;left:5725;top:13308;width:552;height:2" coordorigin="5725,13308" coordsize="552,0" path="m5725,13308l6277,13308e" filled="false" stroked="true" strokeweight=".48004pt" strokecolor="#000000">
                <v:path arrowok="t"/>
              </v:shape>
            </v:group>
            <v:group style="position:absolute;left:6287;top:13308;width:550;height:2" coordorigin="6287,13308" coordsize="550,2">
              <v:shape style="position:absolute;left:6287;top:13308;width:550;height:2" coordorigin="6287,13308" coordsize="550,0" path="m6287,13308l6837,13308e" filled="false" stroked="true" strokeweight=".48004pt" strokecolor="#000000">
                <v:path arrowok="t"/>
              </v:shape>
            </v:group>
            <v:group style="position:absolute;left:6846;top:13308;width:552;height:2" coordorigin="6846,13308" coordsize="552,2">
              <v:shape style="position:absolute;left:6846;top:13308;width:552;height:2" coordorigin="6846,13308" coordsize="552,0" path="m6846,13308l7398,13308e" filled="false" stroked="true" strokeweight=".48004pt" strokecolor="#000000">
                <v:path arrowok="t"/>
              </v:shape>
            </v:group>
            <v:group style="position:absolute;left:7408;top:13308;width:668;height:2" coordorigin="7408,13308" coordsize="668,2">
              <v:shape style="position:absolute;left:7408;top:13308;width:668;height:2" coordorigin="7408,13308" coordsize="668,0" path="m7408,13308l8075,13308e" filled="false" stroked="true" strokeweight=".48004pt" strokecolor="#000000">
                <v:path arrowok="t"/>
              </v:shape>
            </v:group>
            <v:group style="position:absolute;left:8085;top:13308;width:701;height:2" coordorigin="8085,13308" coordsize="701,2">
              <v:shape style="position:absolute;left:8085;top:13308;width:701;height:2" coordorigin="8085,13308" coordsize="701,0" path="m8085,13308l8786,13308e" filled="false" stroked="true" strokeweight=".48004pt" strokecolor="#000000">
                <v:path arrowok="t"/>
              </v:shape>
            </v:group>
            <v:group style="position:absolute;left:8796;top:13308;width:557;height:2" coordorigin="8796,13308" coordsize="557,2">
              <v:shape style="position:absolute;left:8796;top:13308;width:557;height:2" coordorigin="8796,13308" coordsize="557,0" path="m8796,13308l9352,13308e" filled="false" stroked="true" strokeweight=".48004pt" strokecolor="#000000">
                <v:path arrowok="t"/>
              </v:shape>
            </v:group>
            <v:group style="position:absolute;left:9362;top:13308;width:558;height:2" coordorigin="9362,13308" coordsize="558,2">
              <v:shape style="position:absolute;left:9362;top:13308;width:558;height:2" coordorigin="9362,13308" coordsize="558,0" path="m9362,13308l9919,13308e" filled="false" stroked="true" strokeweight=".48004pt" strokecolor="#000000">
                <v:path arrowok="t"/>
              </v:shape>
            </v:group>
            <v:group style="position:absolute;left:9929;top:13308;width:557;height:2" coordorigin="9929,13308" coordsize="557,2">
              <v:shape style="position:absolute;left:9929;top:13308;width:557;height:2" coordorigin="9929,13308" coordsize="557,0" path="m9929,13308l10486,13308e" filled="false" stroked="true" strokeweight=".48004pt" strokecolor="#000000">
                <v:path arrowok="t"/>
              </v:shape>
            </v:group>
            <v:group style="position:absolute;left:10495;top:13308;width:843;height:2" coordorigin="10495,13308" coordsize="843,2">
              <v:shape style="position:absolute;left:10495;top:13308;width:843;height:2" coordorigin="10495,13308" coordsize="843,0" path="m10495,13308l11338,13308e" filled="false" stroked="true" strokeweight=".48004pt" strokecolor="#000000">
                <v:path arrowok="t"/>
              </v:shape>
            </v:group>
            <v:group style="position:absolute;left:571;top:14959;width:1129;height:2" coordorigin="571,14959" coordsize="1129,2">
              <v:shape style="position:absolute;left:571;top:14959;width:1129;height:2" coordorigin="571,14959" coordsize="1129,0" path="m571,14959l1700,14959e" filled="false" stroked="true" strokeweight=".48004pt" strokecolor="#000000">
                <v:path arrowok="t"/>
              </v:shape>
            </v:group>
            <v:group style="position:absolute;left:1709;top:14959;width:581;height:2" coordorigin="1709,14959" coordsize="581,2">
              <v:shape style="position:absolute;left:1709;top:14959;width:581;height:2" coordorigin="1709,14959" coordsize="581,0" path="m1709,14959l2290,14959e" filled="false" stroked="true" strokeweight=".48004pt" strokecolor="#000000">
                <v:path arrowok="t"/>
              </v:shape>
            </v:group>
            <v:group style="position:absolute;left:2300;top:14959;width:598;height:2" coordorigin="2300,14959" coordsize="598,2">
              <v:shape style="position:absolute;left:2300;top:14959;width:598;height:2" coordorigin="2300,14959" coordsize="598,0" path="m2300,14959l2897,14959e" filled="false" stroked="true" strokeweight=".48004pt" strokecolor="#000000">
                <v:path arrowok="t"/>
              </v:shape>
            </v:group>
            <v:group style="position:absolute;left:2907;top:14959;width:565;height:2" coordorigin="2907,14959" coordsize="565,2">
              <v:shape style="position:absolute;left:2907;top:14959;width:565;height:2" coordorigin="2907,14959" coordsize="565,0" path="m2907,14959l3471,14959e" filled="false" stroked="true" strokeweight=".48004pt" strokecolor="#000000">
                <v:path arrowok="t"/>
              </v:shape>
            </v:group>
            <v:group style="position:absolute;left:3481;top:14959;width:552;height:2" coordorigin="3481,14959" coordsize="552,2">
              <v:shape style="position:absolute;left:3481;top:14959;width:552;height:2" coordorigin="3481,14959" coordsize="552,0" path="m3481,14959l4033,14959e" filled="false" stroked="true" strokeweight=".48004pt" strokecolor="#000000">
                <v:path arrowok="t"/>
              </v:shape>
            </v:group>
            <v:group style="position:absolute;left:4043;top:14959;width:550;height:2" coordorigin="4043,14959" coordsize="550,2">
              <v:shape style="position:absolute;left:4043;top:14959;width:550;height:2" coordorigin="4043,14959" coordsize="550,0" path="m4043,14959l4592,14959e" filled="false" stroked="true" strokeweight=".48004pt" strokecolor="#000000">
                <v:path arrowok="t"/>
              </v:shape>
            </v:group>
            <v:group style="position:absolute;left:4602;top:14959;width:552;height:2" coordorigin="4602,14959" coordsize="552,2">
              <v:shape style="position:absolute;left:4602;top:14959;width:552;height:2" coordorigin="4602,14959" coordsize="552,0" path="m4602,14959l5154,14959e" filled="false" stroked="true" strokeweight=".48004pt" strokecolor="#000000">
                <v:path arrowok="t"/>
              </v:shape>
            </v:group>
            <v:group style="position:absolute;left:5163;top:14959;width:553;height:2" coordorigin="5163,14959" coordsize="553,2">
              <v:shape style="position:absolute;left:5163;top:14959;width:553;height:2" coordorigin="5163,14959" coordsize="553,0" path="m5163,14959l5716,14959e" filled="false" stroked="true" strokeweight=".48004pt" strokecolor="#000000">
                <v:path arrowok="t"/>
              </v:shape>
            </v:group>
            <v:group style="position:absolute;left:5725;top:14959;width:552;height:2" coordorigin="5725,14959" coordsize="552,2">
              <v:shape style="position:absolute;left:5725;top:14959;width:552;height:2" coordorigin="5725,14959" coordsize="552,0" path="m5725,14959l6277,14959e" filled="false" stroked="true" strokeweight=".48004pt" strokecolor="#000000">
                <v:path arrowok="t"/>
              </v:shape>
            </v:group>
            <v:group style="position:absolute;left:6287;top:14959;width:550;height:2" coordorigin="6287,14959" coordsize="550,2">
              <v:shape style="position:absolute;left:6287;top:14959;width:550;height:2" coordorigin="6287,14959" coordsize="550,0" path="m6287,14959l6837,14959e" filled="false" stroked="true" strokeweight=".48004pt" strokecolor="#000000">
                <v:path arrowok="t"/>
              </v:shape>
            </v:group>
            <v:group style="position:absolute;left:6846;top:14959;width:552;height:2" coordorigin="6846,14959" coordsize="552,2">
              <v:shape style="position:absolute;left:6846;top:14959;width:552;height:2" coordorigin="6846,14959" coordsize="552,0" path="m6846,14959l7398,14959e" filled="false" stroked="true" strokeweight=".48004pt" strokecolor="#000000">
                <v:path arrowok="t"/>
              </v:shape>
            </v:group>
            <v:group style="position:absolute;left:7408;top:14959;width:668;height:2" coordorigin="7408,14959" coordsize="668,2">
              <v:shape style="position:absolute;left:7408;top:14959;width:668;height:2" coordorigin="7408,14959" coordsize="668,0" path="m7408,14959l8075,14959e" filled="false" stroked="true" strokeweight=".48004pt" strokecolor="#000000">
                <v:path arrowok="t"/>
              </v:shape>
            </v:group>
            <v:group style="position:absolute;left:8085;top:14959;width:701;height:2" coordorigin="8085,14959" coordsize="701,2">
              <v:shape style="position:absolute;left:8085;top:14959;width:701;height:2" coordorigin="8085,14959" coordsize="701,0" path="m8085,14959l8786,14959e" filled="false" stroked="true" strokeweight=".48004pt" strokecolor="#000000">
                <v:path arrowok="t"/>
              </v:shape>
            </v:group>
            <v:group style="position:absolute;left:8796;top:14959;width:557;height:2" coordorigin="8796,14959" coordsize="557,2">
              <v:shape style="position:absolute;left:8796;top:14959;width:557;height:2" coordorigin="8796,14959" coordsize="557,0" path="m8796,14959l9352,14959e" filled="false" stroked="true" strokeweight=".48004pt" strokecolor="#000000">
                <v:path arrowok="t"/>
              </v:shape>
            </v:group>
            <v:group style="position:absolute;left:9362;top:14959;width:558;height:2" coordorigin="9362,14959" coordsize="558,2">
              <v:shape style="position:absolute;left:9362;top:14959;width:558;height:2" coordorigin="9362,14959" coordsize="558,0" path="m9362,14959l9919,14959e" filled="false" stroked="true" strokeweight=".48004pt" strokecolor="#000000">
                <v:path arrowok="t"/>
              </v:shape>
            </v:group>
            <v:group style="position:absolute;left:9929;top:14959;width:557;height:2" coordorigin="9929,14959" coordsize="557,2">
              <v:shape style="position:absolute;left:9929;top:14959;width:557;height:2" coordorigin="9929,14959" coordsize="557,0" path="m9929,14959l10486,14959e" filled="false" stroked="true" strokeweight=".48004pt" strokecolor="#000000">
                <v:path arrowok="t"/>
              </v:shape>
            </v:group>
            <v:group style="position:absolute;left:10495;top:14959;width:843;height:2" coordorigin="10495,14959" coordsize="843,2">
              <v:shape style="position:absolute;left:10495;top:14959;width:843;height:2" coordorigin="10495,14959" coordsize="843,0" path="m10495,14959l11338,14959e" filled="false" stroked="true" strokeweight=".48004pt" strokecolor="#000000">
                <v:path arrowok="t"/>
              </v:shape>
            </v:group>
            <v:group style="position:absolute;left:566;top:1440;width:2;height:13927" coordorigin="566,1440" coordsize="2,13927">
              <v:shape style="position:absolute;left:566;top:1440;width:2;height:13927" coordorigin="566,1440" coordsize="0,13927" path="m566,1440l566,15367e" filled="false" stroked="true" strokeweight=".48pt" strokecolor="#000000">
                <v:path arrowok="t"/>
              </v:shape>
            </v:group>
            <v:group style="position:absolute;left:571;top:15362;width:1129;height:2" coordorigin="571,15362" coordsize="1129,2">
              <v:shape style="position:absolute;left:571;top:15362;width:1129;height:2" coordorigin="571,15362" coordsize="1129,0" path="m571,15362l1700,15362e" filled="false" stroked="true" strokeweight=".47998pt" strokecolor="#000000">
                <v:path arrowok="t"/>
              </v:shape>
            </v:group>
            <v:group style="position:absolute;left:1704;top:1440;width:2;height:13927" coordorigin="1704,1440" coordsize="2,13927">
              <v:shape style="position:absolute;left:1704;top:1440;width:2;height:13927" coordorigin="1704,1440" coordsize="0,13927" path="m1704,1440l1704,15367e" filled="false" stroked="true" strokeweight=".48pt" strokecolor="#000000">
                <v:path arrowok="t"/>
              </v:shape>
            </v:group>
            <v:group style="position:absolute;left:1709;top:15362;width:581;height:2" coordorigin="1709,15362" coordsize="581,2">
              <v:shape style="position:absolute;left:1709;top:15362;width:581;height:2" coordorigin="1709,15362" coordsize="581,0" path="m1709,15362l2290,15362e" filled="false" stroked="true" strokeweight=".47998pt" strokecolor="#000000">
                <v:path arrowok="t"/>
              </v:shape>
            </v:group>
            <v:group style="position:absolute;left:2295;top:1440;width:2;height:13927" coordorigin="2295,1440" coordsize="2,13927">
              <v:shape style="position:absolute;left:2295;top:1440;width:2;height:13927" coordorigin="2295,1440" coordsize="0,13927" path="m2295,1440l2295,15367e" filled="false" stroked="true" strokeweight=".48pt" strokecolor="#000000">
                <v:path arrowok="t"/>
              </v:shape>
            </v:group>
            <v:group style="position:absolute;left:2300;top:15362;width:598;height:2" coordorigin="2300,15362" coordsize="598,2">
              <v:shape style="position:absolute;left:2300;top:15362;width:598;height:2" coordorigin="2300,15362" coordsize="598,0" path="m2300,15362l2897,15362e" filled="false" stroked="true" strokeweight=".47998pt" strokecolor="#000000">
                <v:path arrowok="t"/>
              </v:shape>
            </v:group>
            <v:group style="position:absolute;left:2902;top:1440;width:2;height:13927" coordorigin="2902,1440" coordsize="2,13927">
              <v:shape style="position:absolute;left:2902;top:1440;width:2;height:13927" coordorigin="2902,1440" coordsize="0,13927" path="m2902,1440l2902,15367e" filled="false" stroked="true" strokeweight=".48pt" strokecolor="#000000">
                <v:path arrowok="t"/>
              </v:shape>
            </v:group>
            <v:group style="position:absolute;left:2907;top:15362;width:565;height:2" coordorigin="2907,15362" coordsize="565,2">
              <v:shape style="position:absolute;left:2907;top:15362;width:565;height:2" coordorigin="2907,15362" coordsize="565,0" path="m2907,15362l3471,15362e" filled="false" stroked="true" strokeweight=".47998pt" strokecolor="#000000">
                <v:path arrowok="t"/>
              </v:shape>
            </v:group>
            <v:group style="position:absolute;left:3476;top:1440;width:2;height:13927" coordorigin="3476,1440" coordsize="2,13927">
              <v:shape style="position:absolute;left:3476;top:1440;width:2;height:13927" coordorigin="3476,1440" coordsize="0,13927" path="m3476,1440l3476,15367e" filled="false" stroked="true" strokeweight=".48pt" strokecolor="#000000">
                <v:path arrowok="t"/>
              </v:shape>
            </v:group>
            <v:group style="position:absolute;left:3481;top:15362;width:552;height:2" coordorigin="3481,15362" coordsize="552,2">
              <v:shape style="position:absolute;left:3481;top:15362;width:552;height:2" coordorigin="3481,15362" coordsize="552,0" path="m3481,15362l4033,15362e" filled="false" stroked="true" strokeweight=".47998pt" strokecolor="#000000">
                <v:path arrowok="t"/>
              </v:shape>
            </v:group>
            <v:group style="position:absolute;left:4038;top:1440;width:2;height:13927" coordorigin="4038,1440" coordsize="2,13927">
              <v:shape style="position:absolute;left:4038;top:1440;width:2;height:13927" coordorigin="4038,1440" coordsize="0,13927" path="m4038,1440l4038,15367e" filled="false" stroked="true" strokeweight=".48001pt" strokecolor="#000000">
                <v:path arrowok="t"/>
              </v:shape>
            </v:group>
            <v:group style="position:absolute;left:4043;top:15362;width:550;height:2" coordorigin="4043,15362" coordsize="550,2">
              <v:shape style="position:absolute;left:4043;top:15362;width:550;height:2" coordorigin="4043,15362" coordsize="550,0" path="m4043,15362l4592,15362e" filled="false" stroked="true" strokeweight=".47998pt" strokecolor="#000000">
                <v:path arrowok="t"/>
              </v:shape>
            </v:group>
            <v:group style="position:absolute;left:4597;top:1440;width:2;height:13927" coordorigin="4597,1440" coordsize="2,13927">
              <v:shape style="position:absolute;left:4597;top:1440;width:2;height:13927" coordorigin="4597,1440" coordsize="0,13927" path="m4597,1440l4597,15367e" filled="false" stroked="true" strokeweight=".48pt" strokecolor="#000000">
                <v:path arrowok="t"/>
              </v:shape>
            </v:group>
            <v:group style="position:absolute;left:4602;top:15362;width:552;height:2" coordorigin="4602,15362" coordsize="552,2">
              <v:shape style="position:absolute;left:4602;top:15362;width:552;height:2" coordorigin="4602,15362" coordsize="552,0" path="m4602,15362l5154,15362e" filled="false" stroked="true" strokeweight=".47998pt" strokecolor="#000000">
                <v:path arrowok="t"/>
              </v:shape>
            </v:group>
            <v:group style="position:absolute;left:5159;top:1440;width:2;height:13927" coordorigin="5159,1440" coordsize="2,13927">
              <v:shape style="position:absolute;left:5159;top:1440;width:2;height:13927" coordorigin="5159,1440" coordsize="0,13927" path="m5159,1440l5159,15367e" filled="false" stroked="true" strokeweight=".48001pt" strokecolor="#000000">
                <v:path arrowok="t"/>
              </v:shape>
            </v:group>
            <v:group style="position:absolute;left:5163;top:15362;width:553;height:2" coordorigin="5163,15362" coordsize="553,2">
              <v:shape style="position:absolute;left:5163;top:15362;width:553;height:2" coordorigin="5163,15362" coordsize="553,0" path="m5163,15362l5716,15362e" filled="false" stroked="true" strokeweight=".47998pt" strokecolor="#000000">
                <v:path arrowok="t"/>
              </v:shape>
            </v:group>
            <v:group style="position:absolute;left:5721;top:1440;width:2;height:13927" coordorigin="5721,1440" coordsize="2,13927">
              <v:shape style="position:absolute;left:5721;top:1440;width:2;height:13927" coordorigin="5721,1440" coordsize="0,13927" path="m5721,1440l5721,15367e" filled="false" stroked="true" strokeweight=".48001pt" strokecolor="#000000">
                <v:path arrowok="t"/>
              </v:shape>
            </v:group>
            <v:group style="position:absolute;left:5725;top:15362;width:552;height:2" coordorigin="5725,15362" coordsize="552,2">
              <v:shape style="position:absolute;left:5725;top:15362;width:552;height:2" coordorigin="5725,15362" coordsize="552,0" path="m5725,15362l6277,15362e" filled="false" stroked="true" strokeweight=".47998pt" strokecolor="#000000">
                <v:path arrowok="t"/>
              </v:shape>
            </v:group>
            <v:group style="position:absolute;left:6282;top:1440;width:2;height:13927" coordorigin="6282,1440" coordsize="2,13927">
              <v:shape style="position:absolute;left:6282;top:1440;width:2;height:13927" coordorigin="6282,1440" coordsize="0,13927" path="m6282,1440l6282,15367e" filled="false" stroked="true" strokeweight=".47998pt" strokecolor="#000000">
                <v:path arrowok="t"/>
              </v:shape>
            </v:group>
            <v:group style="position:absolute;left:6287;top:15362;width:550;height:2" coordorigin="6287,15362" coordsize="550,2">
              <v:shape style="position:absolute;left:6287;top:15362;width:550;height:2" coordorigin="6287,15362" coordsize="550,0" path="m6287,15362l6837,15362e" filled="false" stroked="true" strokeweight=".47998pt" strokecolor="#000000">
                <v:path arrowok="t"/>
              </v:shape>
            </v:group>
            <v:group style="position:absolute;left:6841;top:1440;width:2;height:13927" coordorigin="6841,1440" coordsize="2,13927">
              <v:shape style="position:absolute;left:6841;top:1440;width:2;height:13927" coordorigin="6841,1440" coordsize="0,13927" path="m6841,1440l6841,15367e" filled="false" stroked="true" strokeweight=".48001pt" strokecolor="#000000">
                <v:path arrowok="t"/>
              </v:shape>
            </v:group>
            <v:group style="position:absolute;left:6846;top:15362;width:552;height:2" coordorigin="6846,15362" coordsize="552,2">
              <v:shape style="position:absolute;left:6846;top:15362;width:552;height:2" coordorigin="6846,15362" coordsize="552,0" path="m6846,15362l7398,15362e" filled="false" stroked="true" strokeweight=".47998pt" strokecolor="#000000">
                <v:path arrowok="t"/>
              </v:shape>
            </v:group>
            <v:group style="position:absolute;left:7403;top:1440;width:2;height:13927" coordorigin="7403,1440" coordsize="2,13927">
              <v:shape style="position:absolute;left:7403;top:1440;width:2;height:13927" coordorigin="7403,1440" coordsize="0,13927" path="m7403,1440l7403,15367e" filled="false" stroked="true" strokeweight=".47998pt" strokecolor="#000000">
                <v:path arrowok="t"/>
              </v:shape>
            </v:group>
            <v:group style="position:absolute;left:7408;top:15362;width:668;height:2" coordorigin="7408,15362" coordsize="668,2">
              <v:shape style="position:absolute;left:7408;top:15362;width:668;height:2" coordorigin="7408,15362" coordsize="668,0" path="m7408,15362l8075,15362e" filled="false" stroked="true" strokeweight=".47998pt" strokecolor="#000000">
                <v:path arrowok="t"/>
              </v:shape>
            </v:group>
            <v:group style="position:absolute;left:8080;top:1440;width:2;height:13927" coordorigin="8080,1440" coordsize="2,13927">
              <v:shape style="position:absolute;left:8080;top:1440;width:2;height:13927" coordorigin="8080,1440" coordsize="0,13927" path="m8080,1440l8080,15367e" filled="false" stroked="true" strokeweight=".48001pt" strokecolor="#000000">
                <v:path arrowok="t"/>
              </v:shape>
            </v:group>
            <v:group style="position:absolute;left:8085;top:15362;width:701;height:2" coordorigin="8085,15362" coordsize="701,2">
              <v:shape style="position:absolute;left:8085;top:15362;width:701;height:2" coordorigin="8085,15362" coordsize="701,0" path="m8085,15362l8786,15362e" filled="false" stroked="true" strokeweight=".47998pt" strokecolor="#000000">
                <v:path arrowok="t"/>
              </v:shape>
            </v:group>
            <v:group style="position:absolute;left:8791;top:1440;width:2;height:13927" coordorigin="8791,1440" coordsize="2,13927">
              <v:shape style="position:absolute;left:8791;top:1440;width:2;height:13927" coordorigin="8791,1440" coordsize="0,13927" path="m8791,1440l8791,15367e" filled="false" stroked="true" strokeweight=".48001pt" strokecolor="#000000">
                <v:path arrowok="t"/>
              </v:shape>
            </v:group>
            <v:group style="position:absolute;left:8796;top:15362;width:557;height:2" coordorigin="8796,15362" coordsize="557,2">
              <v:shape style="position:absolute;left:8796;top:15362;width:557;height:2" coordorigin="8796,15362" coordsize="557,0" path="m8796,15362l9352,15362e" filled="false" stroked="true" strokeweight=".47998pt" strokecolor="#000000">
                <v:path arrowok="t"/>
              </v:shape>
            </v:group>
            <v:group style="position:absolute;left:9357;top:1440;width:2;height:13927" coordorigin="9357,1440" coordsize="2,13927">
              <v:shape style="position:absolute;left:9357;top:1440;width:2;height:13927" coordorigin="9357,1440" coordsize="0,13927" path="m9357,1440l9357,15367e" filled="false" stroked="true" strokeweight=".48001pt" strokecolor="#000000">
                <v:path arrowok="t"/>
              </v:shape>
            </v:group>
            <v:group style="position:absolute;left:9362;top:15362;width:558;height:2" coordorigin="9362,15362" coordsize="558,2">
              <v:shape style="position:absolute;left:9362;top:15362;width:558;height:2" coordorigin="9362,15362" coordsize="558,0" path="m9362,15362l9919,15362e" filled="false" stroked="true" strokeweight=".47998pt" strokecolor="#000000">
                <v:path arrowok="t"/>
              </v:shape>
            </v:group>
            <v:group style="position:absolute;left:9924;top:1440;width:2;height:13927" coordorigin="9924,1440" coordsize="2,13927">
              <v:shape style="position:absolute;left:9924;top:1440;width:2;height:13927" coordorigin="9924,1440" coordsize="0,13927" path="m9924,1440l9924,15367e" filled="false" stroked="true" strokeweight=".48001pt" strokecolor="#000000">
                <v:path arrowok="t"/>
              </v:shape>
            </v:group>
            <v:group style="position:absolute;left:9929;top:15362;width:557;height:2" coordorigin="9929,15362" coordsize="557,2">
              <v:shape style="position:absolute;left:9929;top:15362;width:557;height:2" coordorigin="9929,15362" coordsize="557,0" path="m9929,15362l10486,15362e" filled="false" stroked="true" strokeweight=".47998pt" strokecolor="#000000">
                <v:path arrowok="t"/>
              </v:shape>
            </v:group>
            <v:group style="position:absolute;left:10490;top:1440;width:2;height:13927" coordorigin="10490,1440" coordsize="2,13927">
              <v:shape style="position:absolute;left:10490;top:1440;width:2;height:13927" coordorigin="10490,1440" coordsize="0,13927" path="m10490,1440l10490,15367e" filled="false" stroked="true" strokeweight=".47998pt" strokecolor="#000000">
                <v:path arrowok="t"/>
              </v:shape>
            </v:group>
            <v:group style="position:absolute;left:10495;top:15362;width:843;height:2" coordorigin="10495,15362" coordsize="843,2">
              <v:shape style="position:absolute;left:10495;top:15362;width:843;height:2" coordorigin="10495,15362" coordsize="843,0" path="m10495,15362l11338,15362e" filled="false" stroked="true" strokeweight=".47998pt" strokecolor="#000000">
                <v:path arrowok="t"/>
              </v:shape>
            </v:group>
            <v:group style="position:absolute;left:11342;top:1440;width:2;height:13927" coordorigin="11342,1440" coordsize="2,13927">
              <v:shape style="position:absolute;left:11342;top:1440;width:2;height:13927" coordorigin="11342,1440" coordsize="0,13927" path="m11342,1440l11342,15367e" filled="false" stroked="true" strokeweight=".47998pt" strokecolor="#000000">
                <v:path arrowok="t"/>
              </v:shape>
            </v:group>
            <w10:wrap type="none"/>
          </v:group>
        </w:pict>
      </w:r>
      <w:r>
        <w:rPr/>
        <w:t>上海浦东发展</w:t>
      </w:r>
      <w:r>
        <w:rPr>
          <w:spacing w:val="-32"/>
        </w:rPr>
        <w:t> </w:t>
      </w:r>
      <w:r>
        <w:rPr>
          <w:position w:val="2"/>
        </w:rPr>
        <w:t>银行</w:t>
        <w:tab/>
      </w:r>
      <w:r>
        <w:rPr/>
        <w:t>保本浮  </w:t>
      </w:r>
      <w:r>
        <w:rPr>
          <w:rFonts w:ascii="Times New Roman" w:hAnsi="Times New Roman" w:cs="Times New Roman" w:eastAsia="Times New Roman" w:hint="default"/>
          <w:position w:val="2"/>
        </w:rPr>
        <w:t>3,000</w:t>
      </w:r>
      <w:r>
        <w:rPr>
          <w:rFonts w:ascii="Times New Roman" w:hAnsi="Times New Roman" w:cs="Times New Roman" w:eastAsia="Times New Roman" w:hint="default"/>
          <w:spacing w:val="10"/>
          <w:position w:val="2"/>
        </w:rPr>
        <w:t> </w:t>
      </w:r>
      <w:r>
        <w:rPr/>
        <w:t>闲置</w:t>
        <w:tab/>
      </w:r>
      <w:r>
        <w:rPr>
          <w:rFonts w:ascii="Times New Roman" w:hAnsi="Times New Roman" w:cs="Times New Roman" w:eastAsia="Times New Roman" w:hint="default"/>
        </w:rPr>
        <w:t>2019   </w:t>
      </w:r>
      <w:r>
        <w:rPr>
          <w:rFonts w:ascii="Times New Roman" w:hAnsi="Times New Roman" w:cs="Times New Roman" w:eastAsia="Times New Roman" w:hint="default"/>
          <w:spacing w:val="18"/>
        </w:rPr>
        <w:t> </w:t>
      </w:r>
      <w:r>
        <w:rPr>
          <w:rFonts w:ascii="Times New Roman" w:hAnsi="Times New Roman" w:cs="Times New Roman" w:eastAsia="Times New Roman" w:hint="default"/>
        </w:rPr>
        <w:t>2019</w:t>
        <w:tab/>
      </w:r>
      <w:r>
        <w:rPr/>
        <w:t>结构</w:t>
        <w:tab/>
        <w:t>协议</w:t>
        <w:tab/>
      </w:r>
      <w:r>
        <w:rPr>
          <w:rFonts w:ascii="Times New Roman" w:hAnsi="Times New Roman" w:cs="Times New Roman" w:eastAsia="Times New Roman" w:hint="default"/>
          <w:position w:val="2"/>
        </w:rPr>
        <w:t>2.75%</w:t>
        <w:tab/>
      </w:r>
      <w:r>
        <w:rPr>
          <w:rFonts w:ascii="Times New Roman" w:hAnsi="Times New Roman" w:cs="Times New Roman" w:eastAsia="Times New Roman" w:hint="default"/>
          <w:spacing w:val="-1"/>
          <w:position w:val="2"/>
        </w:rPr>
        <w:t>3.21</w:t>
        <w:tab/>
        <w:t>3.21</w:t>
      </w:r>
      <w:r>
        <w:rPr>
          <w:rFonts w:ascii="Times New Roman" w:hAnsi="Times New Roman" w:cs="Times New Roman" w:eastAsia="Times New Roman" w:hint="default"/>
          <w:spacing w:val="12"/>
          <w:position w:val="2"/>
        </w:rPr>
        <w:t> </w:t>
      </w:r>
      <w:r>
        <w:rPr>
          <w:position w:val="2"/>
        </w:rPr>
        <w:t>已收回</w:t>
        <w:tab/>
        <w:t>是</w:t>
        <w:tab/>
        <w:t>是</w:t>
        <w:tab/>
      </w:r>
      <w:r>
        <w:rPr/>
        <w:t>巨潮资讯</w:t>
      </w:r>
    </w:p>
    <w:p>
      <w:pPr>
        <w:spacing w:after="0" w:line="240" w:lineRule="auto"/>
        <w:jc w:val="left"/>
        <w:sectPr>
          <w:type w:val="continuous"/>
          <w:pgSz w:w="11910" w:h="16840"/>
          <w:pgMar w:top="1060" w:bottom="1160" w:left="4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before="44"/>
        <w:ind w:left="0" w:right="514"/>
        <w:jc w:val="right"/>
      </w:pPr>
      <w:r>
        <w:rPr/>
        <w:pict>
          <v:shape style="position:absolute;margin-left:28.32pt;margin-top:-29.668293pt;width:538.8pt;height:117.25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8"/>
                    <w:gridCol w:w="590"/>
                    <w:gridCol w:w="607"/>
                    <w:gridCol w:w="574"/>
                    <w:gridCol w:w="562"/>
                    <w:gridCol w:w="559"/>
                    <w:gridCol w:w="562"/>
                    <w:gridCol w:w="562"/>
                    <w:gridCol w:w="562"/>
                    <w:gridCol w:w="559"/>
                    <w:gridCol w:w="562"/>
                    <w:gridCol w:w="677"/>
                    <w:gridCol w:w="710"/>
                    <w:gridCol w:w="566"/>
                    <w:gridCol w:w="567"/>
                    <w:gridCol w:w="566"/>
                    <w:gridCol w:w="852"/>
                  </w:tblGrid>
                  <w:tr>
                    <w:trPr>
                      <w:trHeight w:val="949" w:hRule="exact"/>
                    </w:trPr>
                    <w:tc>
                      <w:tcPr>
                        <w:tcW w:w="1138" w:type="dxa"/>
                        <w:tcBorders>
                          <w:top w:val="single" w:sz="4" w:space="0" w:color="000000"/>
                          <w:left w:val="nil" w:sz="6" w:space="0" w:color="auto"/>
                          <w:bottom w:val="nil" w:sz="6" w:space="0" w:color="auto"/>
                          <w:right w:val="nil" w:sz="6" w:space="0" w:color="auto"/>
                        </w:tcBorders>
                      </w:tcPr>
                      <w:p>
                        <w:pPr>
                          <w:pStyle w:val="TableParagraph"/>
                          <w:spacing w:line="316" w:lineRule="auto" w:before="8"/>
                          <w:ind w:left="28" w:right="27"/>
                          <w:jc w:val="both"/>
                          <w:rPr>
                            <w:rFonts w:ascii="宋体" w:hAnsi="宋体" w:cs="宋体" w:eastAsia="宋体" w:hint="default"/>
                            <w:sz w:val="18"/>
                            <w:szCs w:val="18"/>
                          </w:rPr>
                        </w:pPr>
                        <w:r>
                          <w:rPr>
                            <w:rFonts w:ascii="宋体" w:hAnsi="宋体" w:cs="宋体" w:eastAsia="宋体" w:hint="default"/>
                            <w:sz w:val="18"/>
                            <w:szCs w:val="18"/>
                          </w:rPr>
                          <w:t>银行股份有限 公司南京城西 支行</w:t>
                        </w:r>
                      </w:p>
                    </w:tc>
                    <w:tc>
                      <w:tcPr>
                        <w:tcW w:w="590" w:type="dxa"/>
                        <w:tcBorders>
                          <w:top w:val="single" w:sz="4" w:space="0" w:color="000000"/>
                          <w:left w:val="nil" w:sz="6" w:space="0" w:color="auto"/>
                          <w:bottom w:val="nil" w:sz="6" w:space="0" w:color="auto"/>
                          <w:right w:val="nil" w:sz="6" w:space="0" w:color="auto"/>
                        </w:tcBorders>
                      </w:tcPr>
                      <w:p>
                        <w:pPr/>
                      </w:p>
                    </w:tc>
                    <w:tc>
                      <w:tcPr>
                        <w:tcW w:w="607" w:type="dxa"/>
                        <w:tcBorders>
                          <w:top w:val="single" w:sz="4" w:space="0" w:color="000000"/>
                          <w:left w:val="nil" w:sz="6" w:space="0" w:color="auto"/>
                          <w:bottom w:val="nil" w:sz="6" w:space="0" w:color="auto"/>
                          <w:right w:val="nil" w:sz="6" w:space="0" w:color="auto"/>
                        </w:tcBorders>
                      </w:tcPr>
                      <w:p>
                        <w:pPr>
                          <w:pStyle w:val="TableParagraph"/>
                          <w:spacing w:line="316" w:lineRule="auto" w:before="8"/>
                          <w:ind w:left="28" w:right="36"/>
                          <w:jc w:val="left"/>
                          <w:rPr>
                            <w:rFonts w:ascii="宋体" w:hAnsi="宋体" w:cs="宋体" w:eastAsia="宋体" w:hint="default"/>
                            <w:sz w:val="18"/>
                            <w:szCs w:val="18"/>
                          </w:rPr>
                        </w:pPr>
                        <w:r>
                          <w:rPr>
                            <w:rFonts w:ascii="宋体" w:hAnsi="宋体" w:cs="宋体" w:eastAsia="宋体" w:hint="default"/>
                            <w:sz w:val="18"/>
                            <w:szCs w:val="18"/>
                          </w:rPr>
                          <w:t>动收益 型</w:t>
                        </w:r>
                      </w:p>
                    </w:tc>
                    <w:tc>
                      <w:tcPr>
                        <w:tcW w:w="574" w:type="dxa"/>
                        <w:tcBorders>
                          <w:top w:val="single" w:sz="4" w:space="0" w:color="000000"/>
                          <w:left w:val="nil" w:sz="6" w:space="0" w:color="auto"/>
                          <w:bottom w:val="nil" w:sz="6" w:space="0" w:color="auto"/>
                          <w:right w:val="nil" w:sz="6" w:space="0" w:color="auto"/>
                        </w:tcBorders>
                      </w:tcPr>
                      <w:p>
                        <w:pPr/>
                      </w:p>
                    </w:tc>
                    <w:tc>
                      <w:tcPr>
                        <w:tcW w:w="562" w:type="dxa"/>
                        <w:tcBorders>
                          <w:top w:val="single" w:sz="4" w:space="0" w:color="000000"/>
                          <w:left w:val="nil" w:sz="6" w:space="0" w:color="auto"/>
                          <w:bottom w:val="nil" w:sz="6" w:space="0" w:color="auto"/>
                          <w:right w:val="nil" w:sz="6" w:space="0" w:color="auto"/>
                        </w:tcBorders>
                      </w:tcPr>
                      <w:p>
                        <w:pPr>
                          <w:pStyle w:val="TableParagraph"/>
                          <w:spacing w:line="316" w:lineRule="auto" w:before="8"/>
                          <w:ind w:left="28" w:right="170"/>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nil" w:sz="6" w:space="0" w:color="auto"/>
                          <w:bottom w:val="nil" w:sz="6" w:space="0" w:color="auto"/>
                          <w:right w:val="nil" w:sz="6" w:space="0" w:color="auto"/>
                        </w:tcBorders>
                      </w:tcPr>
                      <w:p>
                        <w:pPr>
                          <w:pStyle w:val="TableParagraph"/>
                          <w:spacing w:line="316" w:lineRule="auto" w:before="8"/>
                          <w:ind w:left="28" w:right="171"/>
                          <w:jc w:val="left"/>
                          <w:rPr>
                            <w:rFonts w:ascii="宋体" w:hAnsi="宋体" w:cs="宋体" w:eastAsia="宋体" w:hint="default"/>
                            <w:sz w:val="18"/>
                            <w:szCs w:val="18"/>
                          </w:rPr>
                        </w:pPr>
                        <w:r>
                          <w:rPr>
                            <w:rFonts w:ascii="宋体" w:hAnsi="宋体" w:cs="宋体" w:eastAsia="宋体" w:hint="default"/>
                            <w:sz w:val="18"/>
                            <w:szCs w:val="18"/>
                          </w:rPr>
                          <w:t>性存 款</w:t>
                        </w:r>
                      </w:p>
                    </w:tc>
                    <w:tc>
                      <w:tcPr>
                        <w:tcW w:w="56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559" w:type="dxa"/>
                        <w:tcBorders>
                          <w:top w:val="single" w:sz="4" w:space="0" w:color="000000"/>
                          <w:left w:val="nil" w:sz="6" w:space="0" w:color="auto"/>
                          <w:bottom w:val="nil" w:sz="6" w:space="0" w:color="auto"/>
                          <w:right w:val="nil" w:sz="6" w:space="0" w:color="auto"/>
                        </w:tcBorders>
                      </w:tcPr>
                      <w:p>
                        <w:pPr/>
                      </w:p>
                    </w:tc>
                    <w:tc>
                      <w:tcPr>
                        <w:tcW w:w="562" w:type="dxa"/>
                        <w:tcBorders>
                          <w:top w:val="single" w:sz="4" w:space="0" w:color="000000"/>
                          <w:left w:val="nil" w:sz="6" w:space="0" w:color="auto"/>
                          <w:bottom w:val="nil" w:sz="6" w:space="0" w:color="auto"/>
                          <w:right w:val="nil" w:sz="6" w:space="0" w:color="auto"/>
                        </w:tcBorders>
                      </w:tcPr>
                      <w:p>
                        <w:pPr/>
                      </w:p>
                    </w:tc>
                    <w:tc>
                      <w:tcPr>
                        <w:tcW w:w="677" w:type="dxa"/>
                        <w:tcBorders>
                          <w:top w:val="single" w:sz="4" w:space="0" w:color="000000"/>
                          <w:left w:val="nil" w:sz="6" w:space="0" w:color="auto"/>
                          <w:bottom w:val="nil" w:sz="6" w:space="0" w:color="auto"/>
                          <w:right w:val="nil" w:sz="6" w:space="0" w:color="auto"/>
                        </w:tcBorders>
                      </w:tcPr>
                      <w:p>
                        <w:pPr/>
                      </w:p>
                    </w:tc>
                    <w:tc>
                      <w:tcPr>
                        <w:tcW w:w="710" w:type="dxa"/>
                        <w:tcBorders>
                          <w:top w:val="single" w:sz="4" w:space="0" w:color="000000"/>
                          <w:left w:val="nil" w:sz="6" w:space="0" w:color="auto"/>
                          <w:bottom w:val="nil" w:sz="6" w:space="0" w:color="auto"/>
                          <w:right w:val="nil" w:sz="6" w:space="0" w:color="auto"/>
                        </w:tcBorders>
                      </w:tcPr>
                      <w:p>
                        <w:pPr/>
                      </w:p>
                    </w:tc>
                    <w:tc>
                      <w:tcPr>
                        <w:tcW w:w="566" w:type="dxa"/>
                        <w:tcBorders>
                          <w:top w:val="single" w:sz="4" w:space="0" w:color="000000"/>
                          <w:left w:val="nil" w:sz="6" w:space="0" w:color="auto"/>
                          <w:bottom w:val="nil" w:sz="6" w:space="0" w:color="auto"/>
                          <w:right w:val="nil" w:sz="6" w:space="0" w:color="auto"/>
                        </w:tcBorders>
                      </w:tcPr>
                      <w:p>
                        <w:pPr/>
                      </w:p>
                    </w:tc>
                    <w:tc>
                      <w:tcPr>
                        <w:tcW w:w="567" w:type="dxa"/>
                        <w:tcBorders>
                          <w:top w:val="single" w:sz="4" w:space="0" w:color="000000"/>
                          <w:left w:val="nil" w:sz="6" w:space="0" w:color="auto"/>
                          <w:bottom w:val="nil" w:sz="6" w:space="0" w:color="auto"/>
                          <w:right w:val="nil" w:sz="6" w:space="0" w:color="auto"/>
                        </w:tcBorders>
                      </w:tcPr>
                      <w:p>
                        <w:pPr/>
                      </w:p>
                    </w:tc>
                    <w:tc>
                      <w:tcPr>
                        <w:tcW w:w="566" w:type="dxa"/>
                        <w:tcBorders>
                          <w:top w:val="single" w:sz="4" w:space="0" w:color="000000"/>
                          <w:left w:val="nil" w:sz="6" w:space="0" w:color="auto"/>
                          <w:bottom w:val="nil" w:sz="6" w:space="0" w:color="auto"/>
                          <w:right w:val="nil" w:sz="6" w:space="0" w:color="auto"/>
                        </w:tcBorders>
                      </w:tcPr>
                      <w:p>
                        <w:pPr/>
                      </w:p>
                    </w:tc>
                    <w:tc>
                      <w:tcPr>
                        <w:tcW w:w="852" w:type="dxa"/>
                        <w:tcBorders>
                          <w:top w:val="single" w:sz="4" w:space="0" w:color="000000"/>
                          <w:left w:val="nil" w:sz="6" w:space="0" w:color="auto"/>
                          <w:bottom w:val="nil" w:sz="6" w:space="0" w:color="auto"/>
                          <w:right w:val="nil" w:sz="6" w:space="0" w:color="auto"/>
                        </w:tcBorders>
                      </w:tcPr>
                      <w:p>
                        <w:pPr>
                          <w:pStyle w:val="TableParagraph"/>
                          <w:spacing w:line="338" w:lineRule="auto" w:before="8"/>
                          <w:ind w:left="28"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网，公告 编号 </w:t>
                        </w:r>
                        <w:r>
                          <w:rPr>
                            <w:rFonts w:ascii="Times New Roman" w:hAnsi="Times New Roman" w:cs="Times New Roman" w:eastAsia="Times New Roman" w:hint="default"/>
                            <w:sz w:val="18"/>
                            <w:szCs w:val="18"/>
                          </w:rPr>
                          <w:t>2019-063</w:t>
                        </w:r>
                      </w:p>
                    </w:tc>
                  </w:tr>
                  <w:tr>
                    <w:trPr>
                      <w:trHeight w:val="350" w:hRule="exact"/>
                    </w:trPr>
                    <w:tc>
                      <w:tcPr>
                        <w:tcW w:w="1138" w:type="dxa"/>
                        <w:tcBorders>
                          <w:top w:val="nil" w:sz="6" w:space="0" w:color="auto"/>
                          <w:left w:val="nil" w:sz="6" w:space="0" w:color="auto"/>
                          <w:bottom w:val="single" w:sz="4" w:space="0" w:color="000000"/>
                          <w:right w:val="nil" w:sz="6" w:space="0" w:color="auto"/>
                        </w:tcBorders>
                      </w:tcPr>
                      <w:p>
                        <w:pPr/>
                      </w:p>
                    </w:tc>
                    <w:tc>
                      <w:tcPr>
                        <w:tcW w:w="590" w:type="dxa"/>
                        <w:tcBorders>
                          <w:top w:val="nil" w:sz="6" w:space="0" w:color="auto"/>
                          <w:left w:val="nil" w:sz="6" w:space="0" w:color="auto"/>
                          <w:bottom w:val="single" w:sz="4" w:space="0" w:color="000000"/>
                          <w:right w:val="nil" w:sz="6" w:space="0" w:color="auto"/>
                        </w:tcBorders>
                      </w:tcPr>
                      <w:p>
                        <w:pPr/>
                      </w:p>
                    </w:tc>
                    <w:tc>
                      <w:tcPr>
                        <w:tcW w:w="607" w:type="dxa"/>
                        <w:tcBorders>
                          <w:top w:val="nil" w:sz="6" w:space="0" w:color="auto"/>
                          <w:left w:val="nil" w:sz="6" w:space="0" w:color="auto"/>
                          <w:bottom w:val="single" w:sz="4" w:space="0" w:color="000000"/>
                          <w:right w:val="nil" w:sz="6" w:space="0" w:color="auto"/>
                        </w:tcBorders>
                      </w:tcPr>
                      <w:p>
                        <w:pPr/>
                      </w:p>
                    </w:tc>
                    <w:tc>
                      <w:tcPr>
                        <w:tcW w:w="574" w:type="dxa"/>
                        <w:tcBorders>
                          <w:top w:val="nil" w:sz="6" w:space="0" w:color="auto"/>
                          <w:left w:val="nil" w:sz="6" w:space="0" w:color="auto"/>
                          <w:bottom w:val="single" w:sz="4" w:space="0" w:color="000000"/>
                          <w:right w:val="nil" w:sz="6" w:space="0" w:color="auto"/>
                        </w:tcBorders>
                      </w:tcPr>
                      <w:p>
                        <w:pPr/>
                      </w:p>
                    </w:tc>
                    <w:tc>
                      <w:tcPr>
                        <w:tcW w:w="562" w:type="dxa"/>
                        <w:tcBorders>
                          <w:top w:val="nil" w:sz="6" w:space="0" w:color="auto"/>
                          <w:left w:val="nil" w:sz="6" w:space="0" w:color="auto"/>
                          <w:bottom w:val="single" w:sz="4" w:space="0" w:color="000000"/>
                          <w:right w:val="nil" w:sz="6" w:space="0" w:color="auto"/>
                        </w:tcBorders>
                      </w:tcPr>
                      <w:p>
                        <w:pPr/>
                      </w:p>
                    </w:tc>
                    <w:tc>
                      <w:tcPr>
                        <w:tcW w:w="559" w:type="dxa"/>
                        <w:tcBorders>
                          <w:top w:val="nil" w:sz="6" w:space="0" w:color="auto"/>
                          <w:left w:val="nil" w:sz="6" w:space="0" w:color="auto"/>
                          <w:bottom w:val="single" w:sz="4" w:space="0" w:color="000000"/>
                          <w:right w:val="nil" w:sz="6" w:space="0" w:color="auto"/>
                        </w:tcBorders>
                      </w:tcPr>
                      <w:p>
                        <w:pPr/>
                      </w:p>
                    </w:tc>
                    <w:tc>
                      <w:tcPr>
                        <w:tcW w:w="562" w:type="dxa"/>
                        <w:tcBorders>
                          <w:top w:val="nil" w:sz="6" w:space="0" w:color="auto"/>
                          <w:left w:val="nil" w:sz="6" w:space="0" w:color="auto"/>
                          <w:bottom w:val="single" w:sz="4" w:space="0" w:color="000000"/>
                          <w:right w:val="nil" w:sz="6" w:space="0" w:color="auto"/>
                        </w:tcBorders>
                      </w:tcPr>
                      <w:p>
                        <w:pPr/>
                      </w:p>
                    </w:tc>
                    <w:tc>
                      <w:tcPr>
                        <w:tcW w:w="562" w:type="dxa"/>
                        <w:tcBorders>
                          <w:top w:val="nil" w:sz="6" w:space="0" w:color="auto"/>
                          <w:left w:val="nil" w:sz="6" w:space="0" w:color="auto"/>
                          <w:bottom w:val="single" w:sz="4" w:space="0" w:color="000000"/>
                          <w:right w:val="nil" w:sz="6" w:space="0" w:color="auto"/>
                        </w:tcBorders>
                      </w:tcPr>
                      <w:p>
                        <w:pPr/>
                      </w:p>
                    </w:tc>
                    <w:tc>
                      <w:tcPr>
                        <w:tcW w:w="562" w:type="dxa"/>
                        <w:tcBorders>
                          <w:top w:val="nil" w:sz="6" w:space="0" w:color="auto"/>
                          <w:left w:val="nil" w:sz="6" w:space="0" w:color="auto"/>
                          <w:bottom w:val="single" w:sz="4" w:space="0" w:color="000000"/>
                          <w:right w:val="nil" w:sz="6" w:space="0" w:color="auto"/>
                        </w:tcBorders>
                      </w:tcPr>
                      <w:p>
                        <w:pPr/>
                      </w:p>
                    </w:tc>
                    <w:tc>
                      <w:tcPr>
                        <w:tcW w:w="559" w:type="dxa"/>
                        <w:tcBorders>
                          <w:top w:val="nil" w:sz="6" w:space="0" w:color="auto"/>
                          <w:left w:val="nil" w:sz="6" w:space="0" w:color="auto"/>
                          <w:bottom w:val="single" w:sz="4" w:space="0" w:color="000000"/>
                          <w:right w:val="nil" w:sz="6" w:space="0" w:color="auto"/>
                        </w:tcBorders>
                      </w:tcPr>
                      <w:p>
                        <w:pPr/>
                      </w:p>
                    </w:tc>
                    <w:tc>
                      <w:tcPr>
                        <w:tcW w:w="562" w:type="dxa"/>
                        <w:tcBorders>
                          <w:top w:val="nil" w:sz="6" w:space="0" w:color="auto"/>
                          <w:left w:val="nil" w:sz="6" w:space="0" w:color="auto"/>
                          <w:bottom w:val="single" w:sz="4" w:space="0" w:color="000000"/>
                          <w:right w:val="nil" w:sz="6" w:space="0" w:color="auto"/>
                        </w:tcBorders>
                      </w:tcPr>
                      <w:p>
                        <w:pPr/>
                      </w:p>
                    </w:tc>
                    <w:tc>
                      <w:tcPr>
                        <w:tcW w:w="677" w:type="dxa"/>
                        <w:tcBorders>
                          <w:top w:val="nil" w:sz="6" w:space="0" w:color="auto"/>
                          <w:left w:val="nil" w:sz="6" w:space="0" w:color="auto"/>
                          <w:bottom w:val="single" w:sz="4" w:space="0" w:color="000000"/>
                          <w:right w:val="nil" w:sz="6" w:space="0" w:color="auto"/>
                        </w:tcBorders>
                      </w:tcPr>
                      <w:p>
                        <w:pPr/>
                      </w:p>
                    </w:tc>
                    <w:tc>
                      <w:tcPr>
                        <w:tcW w:w="710" w:type="dxa"/>
                        <w:tcBorders>
                          <w:top w:val="nil" w:sz="6" w:space="0" w:color="auto"/>
                          <w:left w:val="nil" w:sz="6" w:space="0" w:color="auto"/>
                          <w:bottom w:val="single" w:sz="4" w:space="0" w:color="000000"/>
                          <w:right w:val="nil" w:sz="6" w:space="0" w:color="auto"/>
                        </w:tcBorders>
                      </w:tcPr>
                      <w:p>
                        <w:pPr/>
                      </w:p>
                    </w:tc>
                    <w:tc>
                      <w:tcPr>
                        <w:tcW w:w="566" w:type="dxa"/>
                        <w:tcBorders>
                          <w:top w:val="nil" w:sz="6" w:space="0" w:color="auto"/>
                          <w:left w:val="nil" w:sz="6" w:space="0" w:color="auto"/>
                          <w:bottom w:val="single" w:sz="4" w:space="0" w:color="000000"/>
                          <w:right w:val="nil" w:sz="6" w:space="0" w:color="auto"/>
                        </w:tcBorders>
                      </w:tcPr>
                      <w:p>
                        <w:pPr/>
                      </w:p>
                    </w:tc>
                    <w:tc>
                      <w:tcPr>
                        <w:tcW w:w="567" w:type="dxa"/>
                        <w:tcBorders>
                          <w:top w:val="nil" w:sz="6" w:space="0" w:color="auto"/>
                          <w:left w:val="nil" w:sz="6" w:space="0" w:color="auto"/>
                          <w:bottom w:val="single" w:sz="4" w:space="0" w:color="000000"/>
                          <w:right w:val="nil" w:sz="6" w:space="0" w:color="auto"/>
                        </w:tcBorders>
                      </w:tcPr>
                      <w:p>
                        <w:pPr/>
                      </w:p>
                    </w:tc>
                    <w:tc>
                      <w:tcPr>
                        <w:tcW w:w="566" w:type="dxa"/>
                        <w:tcBorders>
                          <w:top w:val="nil" w:sz="6" w:space="0" w:color="auto"/>
                          <w:left w:val="nil" w:sz="6" w:space="0" w:color="auto"/>
                          <w:bottom w:val="single" w:sz="4" w:space="0" w:color="000000"/>
                          <w:right w:val="nil" w:sz="6" w:space="0" w:color="auto"/>
                        </w:tcBorders>
                      </w:tcPr>
                      <w:p>
                        <w:pPr/>
                      </w:p>
                    </w:tc>
                    <w:tc>
                      <w:tcPr>
                        <w:tcW w:w="852"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left="28" w:right="0"/>
                          <w:jc w:val="left"/>
                          <w:rPr>
                            <w:rFonts w:ascii="Times New Roman" w:hAnsi="Times New Roman" w:cs="Times New Roman" w:eastAsia="Times New Roman" w:hint="default"/>
                            <w:sz w:val="18"/>
                            <w:szCs w:val="18"/>
                          </w:rPr>
                        </w:pPr>
                        <w:r>
                          <w:rPr>
                            <w:rFonts w:ascii="Times New Roman"/>
                            <w:sz w:val="18"/>
                          </w:rPr>
                          <w:t>2019-064</w:t>
                        </w:r>
                      </w:p>
                    </w:tc>
                  </w:tr>
                  <w:tr>
                    <w:trPr>
                      <w:trHeight w:val="1045" w:hRule="exact"/>
                    </w:trPr>
                    <w:tc>
                      <w:tcPr>
                        <w:tcW w:w="113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8" w:right="27"/>
                          <w:jc w:val="left"/>
                          <w:rPr>
                            <w:rFonts w:ascii="宋体" w:hAnsi="宋体" w:cs="宋体" w:eastAsia="宋体" w:hint="default"/>
                            <w:sz w:val="18"/>
                            <w:szCs w:val="18"/>
                          </w:rPr>
                        </w:pPr>
                        <w:r>
                          <w:rPr>
                            <w:rFonts w:ascii="宋体" w:hAnsi="宋体" w:cs="宋体" w:eastAsia="宋体" w:hint="default"/>
                            <w:sz w:val="18"/>
                            <w:szCs w:val="18"/>
                          </w:rPr>
                          <w:t>南京银行股份 有限公司南京</w:t>
                        </w:r>
                      </w:p>
                    </w:tc>
                    <w:tc>
                      <w:tcPr>
                        <w:tcW w:w="59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nil" w:sz="6" w:space="0" w:color="auto"/>
                          <w:bottom w:val="nil" w:sz="6" w:space="0" w:color="auto"/>
                          <w:right w:val="nil" w:sz="6" w:space="0" w:color="auto"/>
                        </w:tcBorders>
                      </w:tcPr>
                      <w:p>
                        <w:pPr>
                          <w:pStyle w:val="TableParagraph"/>
                          <w:spacing w:line="316" w:lineRule="auto" w:before="49"/>
                          <w:ind w:left="28" w:right="36"/>
                          <w:jc w:val="left"/>
                          <w:rPr>
                            <w:rFonts w:ascii="宋体" w:hAnsi="宋体" w:cs="宋体" w:eastAsia="宋体" w:hint="default"/>
                            <w:sz w:val="18"/>
                            <w:szCs w:val="18"/>
                          </w:rPr>
                        </w:pPr>
                        <w:r>
                          <w:rPr>
                            <w:rFonts w:ascii="宋体" w:hAnsi="宋体" w:cs="宋体" w:eastAsia="宋体" w:hint="default"/>
                            <w:sz w:val="18"/>
                            <w:szCs w:val="18"/>
                          </w:rPr>
                          <w:t>结构性 存款</w:t>
                        </w:r>
                      </w:p>
                      <w:p>
                        <w:pPr>
                          <w:pStyle w:val="TableParagraph"/>
                          <w:spacing w:line="240" w:lineRule="auto" w:before="19"/>
                          <w:ind w:left="28"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57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20,000</w:t>
                        </w:r>
                      </w:p>
                    </w:tc>
                    <w:tc>
                      <w:tcPr>
                        <w:tcW w:w="56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8" w:right="170"/>
                          <w:jc w:val="left"/>
                          <w:rPr>
                            <w:rFonts w:ascii="宋体" w:hAnsi="宋体" w:cs="宋体" w:eastAsia="宋体" w:hint="default"/>
                            <w:sz w:val="18"/>
                            <w:szCs w:val="18"/>
                          </w:rPr>
                        </w:pPr>
                        <w:r>
                          <w:rPr>
                            <w:rFonts w:ascii="宋体" w:hAnsi="宋体" w:cs="宋体" w:eastAsia="宋体" w:hint="default"/>
                            <w:sz w:val="18"/>
                            <w:szCs w:val="18"/>
                          </w:rPr>
                          <w:t>闲置 募集</w:t>
                        </w:r>
                      </w:p>
                    </w:tc>
                    <w:tc>
                      <w:tcPr>
                        <w:tcW w:w="559"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tc>
                    <w:tc>
                      <w:tcPr>
                        <w:tcW w:w="56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tc>
                    <w:tc>
                      <w:tcPr>
                        <w:tcW w:w="56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8" w:right="171"/>
                          <w:jc w:val="left"/>
                          <w:rPr>
                            <w:rFonts w:ascii="宋体" w:hAnsi="宋体" w:cs="宋体" w:eastAsia="宋体" w:hint="default"/>
                            <w:sz w:val="18"/>
                            <w:szCs w:val="18"/>
                          </w:rPr>
                        </w:pPr>
                        <w:r>
                          <w:rPr>
                            <w:rFonts w:ascii="宋体" w:hAnsi="宋体" w:cs="宋体" w:eastAsia="宋体" w:hint="default"/>
                            <w:sz w:val="18"/>
                            <w:szCs w:val="18"/>
                          </w:rPr>
                          <w:t>结构 性存</w:t>
                        </w:r>
                      </w:p>
                    </w:tc>
                    <w:tc>
                      <w:tcPr>
                        <w:tcW w:w="56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0" w:lineRule="atLeast"/>
                          <w:ind w:left="28" w:right="170"/>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5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3.80%</w:t>
                        </w:r>
                      </w:p>
                    </w:tc>
                    <w:tc>
                      <w:tcPr>
                        <w:tcW w:w="56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192.11</w:t>
                        </w:r>
                      </w:p>
                    </w:tc>
                    <w:tc>
                      <w:tcPr>
                        <w:tcW w:w="67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192.33</w:t>
                        </w:r>
                      </w:p>
                    </w:tc>
                    <w:tc>
                      <w:tcPr>
                        <w:tcW w:w="71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566" w:type="dxa"/>
                        <w:tcBorders>
                          <w:top w:val="single" w:sz="4" w:space="0" w:color="000000"/>
                          <w:left w:val="nil" w:sz="6" w:space="0" w:color="auto"/>
                          <w:bottom w:val="nil" w:sz="6" w:space="0" w:color="auto"/>
                          <w:right w:val="nil" w:sz="6" w:space="0" w:color="auto"/>
                        </w:tcBorders>
                      </w:tcPr>
                      <w:p>
                        <w:pPr/>
                      </w:p>
                    </w:tc>
                    <w:tc>
                      <w:tcPr>
                        <w:tcW w:w="56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nil" w:sz="6" w:space="0" w:color="auto"/>
                          <w:bottom w:val="nil" w:sz="6" w:space="0" w:color="auto"/>
                          <w:right w:val="nil" w:sz="6" w:space="0" w:color="auto"/>
                        </w:tcBorders>
                      </w:tcPr>
                      <w:p>
                        <w:pPr>
                          <w:pStyle w:val="TableParagraph"/>
                          <w:spacing w:line="316" w:lineRule="auto" w:before="49"/>
                          <w:ind w:left="28" w:right="101"/>
                          <w:jc w:val="both"/>
                          <w:rPr>
                            <w:rFonts w:ascii="宋体" w:hAnsi="宋体" w:cs="宋体" w:eastAsia="宋体" w:hint="default"/>
                            <w:sz w:val="18"/>
                            <w:szCs w:val="18"/>
                          </w:rPr>
                        </w:pPr>
                        <w:r>
                          <w:rPr>
                            <w:rFonts w:ascii="宋体" w:hAnsi="宋体" w:cs="宋体" w:eastAsia="宋体" w:hint="default"/>
                            <w:sz w:val="18"/>
                            <w:szCs w:val="18"/>
                          </w:rPr>
                          <w:t>巨潮资讯 网，公告 编号</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5" w:footer="979" w:top="1060" w:bottom="1160" w:left="460" w:right="0"/>
        </w:sectPr>
      </w:pPr>
    </w:p>
    <w:p>
      <w:pPr>
        <w:pStyle w:val="BodyText"/>
        <w:tabs>
          <w:tab w:pos="1728" w:val="left" w:leader="none"/>
        </w:tabs>
        <w:spacing w:line="240" w:lineRule="auto" w:before="44"/>
        <w:ind w:left="0" w:right="0"/>
        <w:jc w:val="right"/>
      </w:pPr>
      <w:r>
        <w:rPr/>
        <w:t>分行</w:t>
        <w:tab/>
        <w:t>挂钩</w:t>
      </w:r>
    </w:p>
    <w:p>
      <w:pPr>
        <w:pStyle w:val="BodyText"/>
        <w:spacing w:line="240" w:lineRule="auto" w:before="76"/>
        <w:ind w:left="0" w:right="0"/>
        <w:jc w:val="right"/>
      </w:pPr>
      <w:r>
        <w:rPr/>
        <w:t>型）</w:t>
      </w:r>
    </w:p>
    <w:p>
      <w:pPr>
        <w:pStyle w:val="BodyText"/>
        <w:tabs>
          <w:tab w:pos="1817" w:val="left" w:leader="none"/>
        </w:tabs>
        <w:spacing w:line="196" w:lineRule="exact" w:before="44"/>
        <w:ind w:left="135" w:right="0"/>
        <w:jc w:val="center"/>
      </w:pPr>
      <w:r>
        <w:rPr/>
        <w:br w:type="column"/>
      </w:r>
      <w:r>
        <w:rPr/>
        <w:t>资金</w:t>
        <w:tab/>
        <w:t>款</w:t>
      </w:r>
    </w:p>
    <w:p>
      <w:pPr>
        <w:pStyle w:val="BodyText"/>
        <w:tabs>
          <w:tab w:pos="694" w:val="left" w:leader="none"/>
        </w:tabs>
        <w:spacing w:line="196" w:lineRule="exact"/>
        <w:ind w:left="135" w:right="0"/>
        <w:jc w:val="center"/>
      </w:pPr>
      <w:r>
        <w:rPr/>
        <w:t>日</w:t>
        <w:tab/>
        <w:t>日</w:t>
      </w:r>
    </w:p>
    <w:p>
      <w:pPr>
        <w:pStyle w:val="BodyText"/>
        <w:spacing w:line="240" w:lineRule="auto" w:before="44"/>
        <w:ind w:left="135" w:right="0"/>
        <w:jc w:val="left"/>
      </w:pPr>
      <w:r>
        <w:rPr/>
        <w:br w:type="column"/>
      </w:r>
      <w:r>
        <w:rPr>
          <w:rFonts w:ascii="Times New Roman" w:hAnsi="Times New Roman" w:cs="Times New Roman" w:eastAsia="Times New Roman" w:hint="default"/>
        </w:rPr>
        <w:t>2019-063</w:t>
      </w:r>
      <w:r>
        <w:rPr/>
        <w:t>、</w:t>
      </w:r>
    </w:p>
    <w:p>
      <w:pPr>
        <w:pStyle w:val="BodyText"/>
        <w:spacing w:line="240" w:lineRule="auto" w:before="105"/>
        <w:ind w:left="135" w:right="647"/>
        <w:jc w:val="left"/>
        <w:rPr>
          <w:rFonts w:ascii="Times New Roman" w:hAnsi="Times New Roman" w:cs="Times New Roman" w:eastAsia="Times New Roman" w:hint="default"/>
        </w:rPr>
      </w:pPr>
      <w:r>
        <w:rPr>
          <w:rFonts w:ascii="Times New Roman"/>
        </w:rPr>
        <w:t>2019-096</w:t>
      </w:r>
    </w:p>
    <w:p>
      <w:pPr>
        <w:spacing w:after="0" w:line="240" w:lineRule="auto"/>
        <w:jc w:val="left"/>
        <w:rPr>
          <w:rFonts w:ascii="Times New Roman" w:hAnsi="Times New Roman" w:cs="Times New Roman" w:eastAsia="Times New Roman" w:hint="default"/>
        </w:rPr>
        <w:sectPr>
          <w:type w:val="continuous"/>
          <w:pgSz w:w="11910" w:h="16840"/>
          <w:pgMar w:top="1060" w:bottom="1160" w:left="460" w:right="0"/>
          <w:cols w:num="3" w:equalWidth="0">
            <w:col w:w="2224" w:space="686"/>
            <w:col w:w="1998" w:space="5016"/>
            <w:col w:w="1526"/>
          </w:cols>
        </w:sectPr>
      </w:pPr>
    </w:p>
    <w:p>
      <w:pPr>
        <w:spacing w:line="240" w:lineRule="auto" w:before="4"/>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460" w:right="0"/>
        </w:sectPr>
      </w:pPr>
    </w:p>
    <w:p>
      <w:pPr>
        <w:spacing w:line="240" w:lineRule="auto" w:before="0"/>
        <w:rPr>
          <w:rFonts w:ascii="Times New Roman" w:hAnsi="Times New Roman" w:cs="Times New Roman" w:eastAsia="Times New Roman" w:hint="default"/>
          <w:sz w:val="18"/>
          <w:szCs w:val="18"/>
        </w:rPr>
      </w:pPr>
    </w:p>
    <w:p>
      <w:pPr>
        <w:pStyle w:val="BodyText"/>
        <w:spacing w:line="319" w:lineRule="auto" w:before="149"/>
        <w:ind w:left="135" w:right="-20"/>
        <w:jc w:val="left"/>
      </w:pPr>
      <w:r>
        <w:rPr/>
        <w:t>江苏银行股份 有限公司南京</w:t>
      </w:r>
      <w:r>
        <w:rPr>
          <w:spacing w:val="-32"/>
        </w:rPr>
        <w:t> </w:t>
      </w:r>
      <w:r>
        <w:rPr/>
        <w:t>银行</w:t>
      </w:r>
      <w:r>
        <w:rPr/>
        <w:t> 城西支行</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319" w:lineRule="auto" w:before="121"/>
        <w:ind w:left="135" w:right="0"/>
        <w:jc w:val="both"/>
      </w:pPr>
      <w:r>
        <w:rPr/>
        <w:t>保本浮 动收益 型</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21"/>
        <w:ind w:left="596" w:right="-20"/>
        <w:jc w:val="left"/>
      </w:pPr>
      <w:r>
        <w:rPr/>
        <w:t>闲置</w:t>
      </w:r>
    </w:p>
    <w:p>
      <w:pPr>
        <w:pStyle w:val="BodyText"/>
        <w:spacing w:line="240" w:lineRule="auto" w:before="77"/>
        <w:ind w:left="135" w:right="-19"/>
        <w:jc w:val="left"/>
      </w:pPr>
      <w:r>
        <w:rPr>
          <w:rFonts w:ascii="Times New Roman" w:hAnsi="Times New Roman" w:cs="Times New Roman" w:eastAsia="Times New Roman" w:hint="default"/>
        </w:rPr>
        <w:t>3,800</w:t>
      </w:r>
      <w:r>
        <w:rPr>
          <w:rFonts w:ascii="Times New Roman" w:hAnsi="Times New Roman" w:cs="Times New Roman" w:eastAsia="Times New Roman" w:hint="default"/>
          <w:spacing w:val="10"/>
        </w:rPr>
        <w:t> </w:t>
      </w:r>
      <w:r>
        <w:rPr/>
        <w:t>募集</w:t>
      </w:r>
    </w:p>
    <w:p>
      <w:pPr>
        <w:pStyle w:val="BodyText"/>
        <w:spacing w:line="240" w:lineRule="auto" w:before="63"/>
        <w:ind w:left="596" w:right="-20"/>
        <w:jc w:val="left"/>
      </w:pPr>
      <w:r>
        <w:rPr/>
        <w:t>资金</w:t>
      </w:r>
    </w:p>
    <w:p>
      <w:pPr>
        <w:spacing w:line="240" w:lineRule="auto" w:before="7"/>
        <w:rPr>
          <w:rFonts w:ascii="宋体" w:hAnsi="宋体" w:cs="宋体" w:eastAsia="宋体" w:hint="default"/>
          <w:sz w:val="18"/>
          <w:szCs w:val="18"/>
        </w:rPr>
      </w:pPr>
      <w:r>
        <w:rPr/>
        <w:br w:type="column"/>
      </w:r>
      <w:r>
        <w:rPr>
          <w:rFonts w:ascii="宋体"/>
          <w:sz w:val="18"/>
        </w:rPr>
      </w:r>
    </w:p>
    <w:p>
      <w:pPr>
        <w:pStyle w:val="BodyText"/>
        <w:spacing w:line="240" w:lineRule="auto"/>
        <w:ind w:left="135" w:right="-19"/>
        <w:jc w:val="left"/>
        <w:rPr>
          <w:rFonts w:ascii="Times New Roman" w:hAnsi="Times New Roman" w:cs="Times New Roman" w:eastAsia="Times New Roman" w:hint="default"/>
        </w:rPr>
      </w:pPr>
      <w:r>
        <w:rPr>
          <w:rFonts w:ascii="Times New Roman"/>
        </w:rPr>
        <w:t>2019</w:t>
      </w:r>
    </w:p>
    <w:p>
      <w:pPr>
        <w:pStyle w:val="BodyText"/>
        <w:spacing w:line="240" w:lineRule="auto" w:before="63"/>
        <w:ind w:left="135" w:right="-19"/>
        <w:jc w:val="left"/>
        <w:rPr>
          <w:rFonts w:ascii="Times New Roman" w:hAnsi="Times New Roman" w:cs="Times New Roman" w:eastAsia="Times New Roman" w:hint="default"/>
        </w:rPr>
      </w:pPr>
      <w:r>
        <w:rPr/>
        <w:t>年</w:t>
      </w:r>
      <w:r>
        <w:rPr>
          <w:spacing w:val="-43"/>
        </w:rPr>
        <w:t> </w:t>
      </w:r>
      <w:r>
        <w:rPr>
          <w:rFonts w:ascii="Times New Roman" w:hAnsi="Times New Roman" w:cs="Times New Roman" w:eastAsia="Times New Roman" w:hint="default"/>
        </w:rPr>
        <w:t>07</w:t>
      </w:r>
    </w:p>
    <w:p>
      <w:pPr>
        <w:pStyle w:val="BodyText"/>
        <w:spacing w:line="240" w:lineRule="auto" w:before="63"/>
        <w:ind w:left="135" w:right="-19"/>
        <w:jc w:val="left"/>
        <w:rPr>
          <w:rFonts w:ascii="Times New Roman" w:hAnsi="Times New Roman" w:cs="Times New Roman" w:eastAsia="Times New Roman" w:hint="default"/>
        </w:rPr>
      </w:pPr>
      <w:r>
        <w:rPr/>
        <w:t>月</w:t>
      </w:r>
      <w:r>
        <w:rPr>
          <w:spacing w:val="-43"/>
        </w:rPr>
        <w:t> </w:t>
      </w:r>
      <w:r>
        <w:rPr>
          <w:rFonts w:ascii="Times New Roman" w:hAnsi="Times New Roman" w:cs="Times New Roman" w:eastAsia="Times New Roman" w:hint="default"/>
        </w:rPr>
        <w:t>09</w:t>
      </w:r>
    </w:p>
    <w:p>
      <w:pPr>
        <w:pStyle w:val="BodyText"/>
        <w:spacing w:line="240" w:lineRule="auto" w:before="63"/>
        <w:ind w:left="135" w:right="-19"/>
        <w:jc w:val="left"/>
      </w:pPr>
      <w:r>
        <w:rPr/>
        <w:t>日</w:t>
      </w:r>
    </w:p>
    <w:p>
      <w:pPr>
        <w:spacing w:line="240" w:lineRule="auto" w:before="7"/>
        <w:rPr>
          <w:rFonts w:ascii="宋体" w:hAnsi="宋体" w:cs="宋体" w:eastAsia="宋体" w:hint="default"/>
          <w:sz w:val="18"/>
          <w:szCs w:val="18"/>
        </w:rPr>
      </w:pPr>
      <w:r>
        <w:rPr/>
        <w:br w:type="column"/>
      </w:r>
      <w:r>
        <w:rPr>
          <w:rFonts w:ascii="宋体"/>
          <w:sz w:val="18"/>
        </w:rPr>
      </w:r>
    </w:p>
    <w:p>
      <w:pPr>
        <w:pStyle w:val="BodyText"/>
        <w:spacing w:line="160" w:lineRule="exact"/>
        <w:ind w:left="111" w:right="0"/>
        <w:jc w:val="left"/>
        <w:rPr>
          <w:rFonts w:ascii="Times New Roman" w:hAnsi="Times New Roman" w:cs="Times New Roman" w:eastAsia="Times New Roman" w:hint="default"/>
        </w:rPr>
      </w:pPr>
      <w:r>
        <w:rPr>
          <w:rFonts w:ascii="Times New Roman"/>
        </w:rPr>
        <w:t>2019</w:t>
      </w:r>
    </w:p>
    <w:p>
      <w:pPr>
        <w:pStyle w:val="BodyText"/>
        <w:spacing w:line="149" w:lineRule="exact"/>
        <w:ind w:left="110" w:right="0"/>
        <w:jc w:val="center"/>
      </w:pPr>
      <w:r>
        <w:rPr/>
        <w:t>结构</w:t>
      </w:r>
    </w:p>
    <w:p>
      <w:pPr>
        <w:pStyle w:val="BodyText"/>
        <w:tabs>
          <w:tab w:pos="1234" w:val="left" w:leader="none"/>
        </w:tabs>
        <w:spacing w:line="151" w:lineRule="auto" w:before="38"/>
        <w:ind w:left="672" w:right="0" w:hanging="562"/>
        <w:jc w:val="left"/>
      </w:pPr>
      <w:r>
        <w:rPr/>
        <w:t>年</w:t>
      </w:r>
      <w:r>
        <w:rPr>
          <w:spacing w:val="-44"/>
        </w:rPr>
        <w:t> </w:t>
      </w:r>
      <w:r>
        <w:rPr>
          <w:rFonts w:ascii="Times New Roman" w:hAnsi="Times New Roman" w:cs="Times New Roman" w:eastAsia="Times New Roman" w:hint="default"/>
        </w:rPr>
        <w:t>10</w:t>
        <w:tab/>
        <w:tab/>
      </w:r>
      <w:r>
        <w:rPr/>
        <w:t>协议 性存</w:t>
      </w:r>
    </w:p>
    <w:p>
      <w:pPr>
        <w:pStyle w:val="BodyText"/>
        <w:tabs>
          <w:tab w:pos="1234" w:val="left" w:leader="none"/>
        </w:tabs>
        <w:spacing w:line="151" w:lineRule="auto" w:before="7"/>
        <w:ind w:left="672" w:right="0" w:hanging="562"/>
        <w:jc w:val="left"/>
      </w:pPr>
      <w:r>
        <w:rPr/>
        <w:t>月</w:t>
      </w:r>
      <w:r>
        <w:rPr>
          <w:spacing w:val="-44"/>
        </w:rPr>
        <w:t> </w:t>
      </w:r>
      <w:r>
        <w:rPr>
          <w:rFonts w:ascii="Times New Roman" w:hAnsi="Times New Roman" w:cs="Times New Roman" w:eastAsia="Times New Roman" w:hint="default"/>
        </w:rPr>
        <w:t>09</w:t>
        <w:tab/>
        <w:tab/>
      </w:r>
      <w:r>
        <w:rPr/>
        <w:t>约定 款</w:t>
      </w:r>
    </w:p>
    <w:p>
      <w:pPr>
        <w:pStyle w:val="BodyText"/>
        <w:spacing w:line="165" w:lineRule="exact"/>
        <w:ind w:left="111" w:right="0"/>
        <w:jc w:val="left"/>
      </w:pP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pStyle w:val="BodyText"/>
        <w:tabs>
          <w:tab w:pos="1434" w:val="left" w:leader="none"/>
          <w:tab w:pos="3171" w:val="left" w:leader="none"/>
          <w:tab w:pos="3738" w:val="left" w:leader="none"/>
        </w:tabs>
        <w:spacing w:line="240" w:lineRule="auto"/>
        <w:ind w:left="135" w:right="-20"/>
        <w:jc w:val="left"/>
      </w:pPr>
      <w:r>
        <w:rPr>
          <w:rFonts w:ascii="Times New Roman" w:hAnsi="Times New Roman" w:cs="Times New Roman" w:eastAsia="Times New Roman" w:hint="default"/>
        </w:rPr>
        <w:t>3.50%  </w:t>
      </w:r>
      <w:r>
        <w:rPr>
          <w:rFonts w:ascii="Times New Roman" w:hAnsi="Times New Roman" w:cs="Times New Roman" w:eastAsia="Times New Roman" w:hint="default"/>
          <w:spacing w:val="19"/>
        </w:rPr>
        <w:t> </w:t>
      </w:r>
      <w:r>
        <w:rPr>
          <w:rFonts w:ascii="Times New Roman" w:hAnsi="Times New Roman" w:cs="Times New Roman" w:eastAsia="Times New Roman" w:hint="default"/>
        </w:rPr>
        <w:t>33.29</w:t>
        <w:tab/>
        <w:t>33.29</w:t>
      </w:r>
      <w:r>
        <w:rPr>
          <w:rFonts w:ascii="Times New Roman" w:hAnsi="Times New Roman" w:cs="Times New Roman" w:eastAsia="Times New Roman" w:hint="default"/>
          <w:spacing w:val="10"/>
        </w:rPr>
        <w:t> </w:t>
      </w:r>
      <w:r>
        <w:rPr/>
        <w:t>已收回</w:t>
        <w:tab/>
        <w:t>是</w:t>
        <w:tab/>
        <w:t>是</w:t>
      </w:r>
    </w:p>
    <w:p>
      <w:pPr>
        <w:pStyle w:val="BodyText"/>
        <w:spacing w:line="319" w:lineRule="auto" w:before="44"/>
        <w:ind w:left="135" w:right="665"/>
        <w:jc w:val="both"/>
      </w:pPr>
      <w:r>
        <w:rPr/>
        <w:br w:type="column"/>
      </w:r>
      <w:r>
        <w:rPr/>
        <w:t>巨潮资讯 网，公告 编号</w:t>
      </w:r>
    </w:p>
    <w:p>
      <w:pPr>
        <w:pStyle w:val="BodyText"/>
        <w:spacing w:line="240" w:lineRule="auto" w:before="17"/>
        <w:ind w:left="135" w:right="0"/>
        <w:jc w:val="both"/>
      </w:pPr>
      <w:r>
        <w:rPr>
          <w:rFonts w:ascii="Times New Roman" w:hAnsi="Times New Roman" w:cs="Times New Roman" w:eastAsia="Times New Roman" w:hint="default"/>
        </w:rPr>
        <w:t>2019-064</w:t>
      </w:r>
      <w:r>
        <w:rPr/>
        <w:t>、</w:t>
      </w:r>
    </w:p>
    <w:p>
      <w:pPr>
        <w:pStyle w:val="BodyText"/>
        <w:spacing w:line="240" w:lineRule="auto" w:before="105"/>
        <w:ind w:left="135" w:right="0"/>
        <w:jc w:val="both"/>
        <w:rPr>
          <w:rFonts w:ascii="Times New Roman" w:hAnsi="Times New Roman" w:cs="Times New Roman" w:eastAsia="Times New Roman" w:hint="default"/>
        </w:rPr>
      </w:pPr>
      <w:r>
        <w:rPr>
          <w:rFonts w:ascii="Times New Roman"/>
        </w:rPr>
        <w:t>2019-096</w:t>
      </w:r>
    </w:p>
    <w:p>
      <w:pPr>
        <w:spacing w:after="0" w:line="240" w:lineRule="auto"/>
        <w:jc w:val="both"/>
        <w:rPr>
          <w:rFonts w:ascii="Times New Roman" w:hAnsi="Times New Roman" w:cs="Times New Roman" w:eastAsia="Times New Roman" w:hint="default"/>
        </w:rPr>
        <w:sectPr>
          <w:type w:val="continuous"/>
          <w:pgSz w:w="11910" w:h="16840"/>
          <w:pgMar w:top="1060" w:bottom="1160" w:left="460" w:right="0"/>
          <w:cols w:num="7" w:equalWidth="0">
            <w:col w:w="1634" w:space="95"/>
            <w:col w:w="676" w:space="44"/>
            <w:col w:w="957" w:space="66"/>
            <w:col w:w="544" w:space="40"/>
            <w:col w:w="1595" w:space="104"/>
            <w:col w:w="3919" w:space="251"/>
            <w:col w:w="1525"/>
          </w:cols>
        </w:sectPr>
      </w:pPr>
    </w:p>
    <w:p>
      <w:pPr>
        <w:spacing w:line="240" w:lineRule="auto" w:before="6"/>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460" w:right="0"/>
        </w:sectPr>
      </w:pPr>
    </w:p>
    <w:p>
      <w:pPr>
        <w:pStyle w:val="BodyText"/>
        <w:spacing w:line="310" w:lineRule="atLeast" w:before="126"/>
        <w:ind w:left="135" w:right="398"/>
        <w:jc w:val="left"/>
      </w:pPr>
      <w:r>
        <w:rPr/>
        <w:t>上海浦东发展 银行股份有限</w:t>
      </w:r>
    </w:p>
    <w:p>
      <w:pPr>
        <w:pStyle w:val="BodyText"/>
        <w:spacing w:line="116" w:lineRule="exact"/>
        <w:ind w:left="0" w:right="0"/>
        <w:jc w:val="right"/>
      </w:pPr>
      <w:r>
        <w:rPr/>
        <w:t>银行</w:t>
      </w:r>
    </w:p>
    <w:p>
      <w:pPr>
        <w:pStyle w:val="BodyText"/>
        <w:spacing w:line="196" w:lineRule="exact"/>
        <w:ind w:left="135" w:right="-20"/>
        <w:jc w:val="left"/>
      </w:pPr>
      <w:r>
        <w:rPr/>
        <w:t>公司南京城西</w:t>
      </w:r>
    </w:p>
    <w:p>
      <w:pPr>
        <w:pStyle w:val="BodyText"/>
        <w:spacing w:line="240" w:lineRule="auto" w:before="76"/>
        <w:ind w:left="135" w:right="398"/>
        <w:jc w:val="left"/>
      </w:pPr>
      <w:r>
        <w:rPr/>
        <w:t>支行</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316" w:lineRule="auto" w:before="121"/>
        <w:ind w:left="135" w:right="0"/>
        <w:jc w:val="both"/>
      </w:pPr>
      <w:r>
        <w:rPr/>
        <w:t>保本浮 动收益 型</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21"/>
        <w:ind w:left="596" w:right="-20"/>
        <w:jc w:val="left"/>
      </w:pPr>
      <w:r>
        <w:rPr/>
        <w:t>闲置</w:t>
      </w:r>
    </w:p>
    <w:p>
      <w:pPr>
        <w:pStyle w:val="BodyText"/>
        <w:spacing w:line="240" w:lineRule="auto" w:before="76"/>
        <w:ind w:left="135" w:right="-19"/>
        <w:jc w:val="left"/>
      </w:pPr>
      <w:r>
        <w:rPr>
          <w:rFonts w:ascii="Times New Roman" w:hAnsi="Times New Roman" w:cs="Times New Roman" w:eastAsia="Times New Roman" w:hint="default"/>
        </w:rPr>
        <w:t>3,000</w:t>
      </w:r>
      <w:r>
        <w:rPr>
          <w:rFonts w:ascii="Times New Roman" w:hAnsi="Times New Roman" w:cs="Times New Roman" w:eastAsia="Times New Roman" w:hint="default"/>
          <w:spacing w:val="10"/>
        </w:rPr>
        <w:t> </w:t>
      </w:r>
      <w:r>
        <w:rPr/>
        <w:t>募集</w:t>
      </w:r>
    </w:p>
    <w:p>
      <w:pPr>
        <w:pStyle w:val="BodyText"/>
        <w:spacing w:line="240" w:lineRule="auto" w:before="63"/>
        <w:ind w:left="596" w:right="-20"/>
        <w:jc w:val="left"/>
      </w:pPr>
      <w:r>
        <w:rPr/>
        <w:t>资金</w:t>
      </w:r>
    </w:p>
    <w:p>
      <w:pPr>
        <w:spacing w:line="240" w:lineRule="auto" w:before="7"/>
        <w:rPr>
          <w:rFonts w:ascii="宋体" w:hAnsi="宋体" w:cs="宋体" w:eastAsia="宋体" w:hint="default"/>
          <w:sz w:val="18"/>
          <w:szCs w:val="18"/>
        </w:rPr>
      </w:pPr>
      <w:r>
        <w:rPr/>
        <w:br w:type="column"/>
      </w:r>
      <w:r>
        <w:rPr>
          <w:rFonts w:ascii="宋体"/>
          <w:sz w:val="18"/>
        </w:rPr>
      </w:r>
    </w:p>
    <w:p>
      <w:pPr>
        <w:pStyle w:val="BodyText"/>
        <w:spacing w:line="240" w:lineRule="auto"/>
        <w:ind w:left="135" w:right="-19"/>
        <w:jc w:val="left"/>
        <w:rPr>
          <w:rFonts w:ascii="Times New Roman" w:hAnsi="Times New Roman" w:cs="Times New Roman" w:eastAsia="Times New Roman" w:hint="default"/>
        </w:rPr>
      </w:pPr>
      <w:r>
        <w:rPr>
          <w:rFonts w:ascii="Times New Roman"/>
        </w:rPr>
        <w:t>2019</w:t>
      </w:r>
    </w:p>
    <w:p>
      <w:pPr>
        <w:pStyle w:val="BodyText"/>
        <w:spacing w:line="240" w:lineRule="auto" w:before="63"/>
        <w:ind w:left="135" w:right="-19"/>
        <w:jc w:val="left"/>
        <w:rPr>
          <w:rFonts w:ascii="Times New Roman" w:hAnsi="Times New Roman" w:cs="Times New Roman" w:eastAsia="Times New Roman" w:hint="default"/>
        </w:rPr>
      </w:pPr>
      <w:r>
        <w:rPr/>
        <w:t>年</w:t>
      </w:r>
      <w:r>
        <w:rPr>
          <w:spacing w:val="-43"/>
        </w:rPr>
        <w:t> </w:t>
      </w:r>
      <w:r>
        <w:rPr>
          <w:rFonts w:ascii="Times New Roman" w:hAnsi="Times New Roman" w:cs="Times New Roman" w:eastAsia="Times New Roman" w:hint="default"/>
        </w:rPr>
        <w:t>07</w:t>
      </w:r>
    </w:p>
    <w:p>
      <w:pPr>
        <w:pStyle w:val="BodyText"/>
        <w:spacing w:line="240" w:lineRule="auto" w:before="63"/>
        <w:ind w:left="135" w:right="-19"/>
        <w:jc w:val="left"/>
        <w:rPr>
          <w:rFonts w:ascii="Times New Roman" w:hAnsi="Times New Roman" w:cs="Times New Roman" w:eastAsia="Times New Roman" w:hint="default"/>
        </w:rPr>
      </w:pPr>
      <w:r>
        <w:rPr/>
        <w:t>月</w:t>
      </w:r>
      <w:r>
        <w:rPr>
          <w:spacing w:val="-43"/>
        </w:rPr>
        <w:t> </w:t>
      </w:r>
      <w:r>
        <w:rPr>
          <w:rFonts w:ascii="Times New Roman" w:hAnsi="Times New Roman" w:cs="Times New Roman" w:eastAsia="Times New Roman" w:hint="default"/>
        </w:rPr>
        <w:t>10</w:t>
      </w:r>
    </w:p>
    <w:p>
      <w:pPr>
        <w:pStyle w:val="BodyText"/>
        <w:spacing w:line="240" w:lineRule="auto" w:before="63"/>
        <w:ind w:left="135" w:right="-19"/>
        <w:jc w:val="left"/>
      </w:pPr>
      <w:r>
        <w:rPr/>
        <w:t>日</w:t>
      </w:r>
    </w:p>
    <w:p>
      <w:pPr>
        <w:spacing w:line="240" w:lineRule="auto" w:before="7"/>
        <w:rPr>
          <w:rFonts w:ascii="宋体" w:hAnsi="宋体" w:cs="宋体" w:eastAsia="宋体" w:hint="default"/>
          <w:sz w:val="18"/>
          <w:szCs w:val="18"/>
        </w:rPr>
      </w:pPr>
      <w:r>
        <w:rPr/>
        <w:br w:type="column"/>
      </w:r>
      <w:r>
        <w:rPr>
          <w:rFonts w:ascii="宋体"/>
          <w:sz w:val="18"/>
        </w:rPr>
      </w:r>
    </w:p>
    <w:p>
      <w:pPr>
        <w:pStyle w:val="BodyText"/>
        <w:spacing w:line="160" w:lineRule="exact"/>
        <w:ind w:left="111" w:right="0"/>
        <w:jc w:val="left"/>
        <w:rPr>
          <w:rFonts w:ascii="Times New Roman" w:hAnsi="Times New Roman" w:cs="Times New Roman" w:eastAsia="Times New Roman" w:hint="default"/>
        </w:rPr>
      </w:pPr>
      <w:r>
        <w:rPr>
          <w:rFonts w:ascii="Times New Roman"/>
        </w:rPr>
        <w:t>2019</w:t>
      </w:r>
    </w:p>
    <w:p>
      <w:pPr>
        <w:pStyle w:val="BodyText"/>
        <w:spacing w:line="149" w:lineRule="exact"/>
        <w:ind w:left="110" w:right="0"/>
        <w:jc w:val="center"/>
      </w:pPr>
      <w:r>
        <w:rPr/>
        <w:t>结构</w:t>
      </w:r>
    </w:p>
    <w:p>
      <w:pPr>
        <w:pStyle w:val="BodyText"/>
        <w:tabs>
          <w:tab w:pos="1234" w:val="left" w:leader="none"/>
        </w:tabs>
        <w:spacing w:line="151" w:lineRule="auto" w:before="38"/>
        <w:ind w:left="672" w:right="0" w:hanging="562"/>
        <w:jc w:val="left"/>
      </w:pPr>
      <w:r>
        <w:rPr/>
        <w:t>年</w:t>
      </w:r>
      <w:r>
        <w:rPr>
          <w:spacing w:val="-44"/>
        </w:rPr>
        <w:t> </w:t>
      </w:r>
      <w:r>
        <w:rPr>
          <w:rFonts w:ascii="Times New Roman" w:hAnsi="Times New Roman" w:cs="Times New Roman" w:eastAsia="Times New Roman" w:hint="default"/>
        </w:rPr>
        <w:t>10</w:t>
        <w:tab/>
        <w:tab/>
      </w:r>
      <w:r>
        <w:rPr/>
        <w:t>协议 性存</w:t>
      </w:r>
    </w:p>
    <w:p>
      <w:pPr>
        <w:pStyle w:val="BodyText"/>
        <w:tabs>
          <w:tab w:pos="1234" w:val="left" w:leader="none"/>
        </w:tabs>
        <w:spacing w:line="151" w:lineRule="auto" w:before="7"/>
        <w:ind w:left="672" w:right="0" w:hanging="562"/>
        <w:jc w:val="left"/>
      </w:pPr>
      <w:r>
        <w:rPr/>
        <w:t>月</w:t>
      </w:r>
      <w:r>
        <w:rPr>
          <w:spacing w:val="-44"/>
        </w:rPr>
        <w:t> </w:t>
      </w:r>
      <w:r>
        <w:rPr>
          <w:rFonts w:ascii="Times New Roman" w:hAnsi="Times New Roman" w:cs="Times New Roman" w:eastAsia="Times New Roman" w:hint="default"/>
        </w:rPr>
        <w:t>08</w:t>
        <w:tab/>
        <w:tab/>
      </w:r>
      <w:r>
        <w:rPr/>
        <w:t>约定 款</w:t>
      </w:r>
    </w:p>
    <w:p>
      <w:pPr>
        <w:pStyle w:val="BodyText"/>
        <w:spacing w:line="165" w:lineRule="exact"/>
        <w:ind w:left="111" w:right="0"/>
        <w:jc w:val="left"/>
      </w:pP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845" w:val="left" w:leader="none"/>
          <w:tab w:pos="1525" w:val="left" w:leader="none"/>
          <w:tab w:pos="3171" w:val="left" w:leader="none"/>
          <w:tab w:pos="3738" w:val="left" w:leader="none"/>
        </w:tabs>
        <w:spacing w:line="240" w:lineRule="auto"/>
        <w:ind w:left="135" w:right="-20"/>
        <w:jc w:val="left"/>
      </w:pPr>
      <w:r>
        <w:rPr>
          <w:rFonts w:ascii="Times New Roman" w:hAnsi="Times New Roman" w:cs="Times New Roman" w:eastAsia="Times New Roman" w:hint="default"/>
        </w:rPr>
        <w:t>3.75%</w:t>
        <w:tab/>
        <w:t>27.5</w:t>
        <w:tab/>
        <w:t>27.5</w:t>
      </w:r>
      <w:r>
        <w:rPr>
          <w:rFonts w:ascii="Times New Roman" w:hAnsi="Times New Roman" w:cs="Times New Roman" w:eastAsia="Times New Roman" w:hint="default"/>
          <w:spacing w:val="9"/>
        </w:rPr>
        <w:t> </w:t>
      </w:r>
      <w:r>
        <w:rPr/>
        <w:t>已收回</w:t>
        <w:tab/>
        <w:t>是</w:t>
        <w:tab/>
        <w:t>是</w:t>
      </w:r>
    </w:p>
    <w:p>
      <w:pPr>
        <w:pStyle w:val="BodyText"/>
        <w:spacing w:line="316" w:lineRule="auto" w:before="44"/>
        <w:ind w:left="135" w:right="665"/>
        <w:jc w:val="both"/>
      </w:pPr>
      <w:r>
        <w:rPr/>
        <w:br w:type="column"/>
      </w:r>
      <w:r>
        <w:rPr/>
        <w:t>巨潮资讯 网，公告 编号</w:t>
      </w:r>
    </w:p>
    <w:p>
      <w:pPr>
        <w:pStyle w:val="BodyText"/>
        <w:spacing w:line="240" w:lineRule="auto" w:before="19"/>
        <w:ind w:left="135" w:right="0"/>
        <w:jc w:val="both"/>
      </w:pPr>
      <w:r>
        <w:rPr>
          <w:rFonts w:ascii="Times New Roman" w:hAnsi="Times New Roman" w:cs="Times New Roman" w:eastAsia="Times New Roman" w:hint="default"/>
        </w:rPr>
        <w:t>2019-064</w:t>
      </w:r>
      <w:r>
        <w:rPr/>
        <w:t>、</w:t>
      </w:r>
    </w:p>
    <w:p>
      <w:pPr>
        <w:pStyle w:val="BodyText"/>
        <w:spacing w:line="240" w:lineRule="auto" w:before="105"/>
        <w:ind w:left="135" w:right="0"/>
        <w:jc w:val="both"/>
        <w:rPr>
          <w:rFonts w:ascii="Times New Roman" w:hAnsi="Times New Roman" w:cs="Times New Roman" w:eastAsia="Times New Roman" w:hint="default"/>
        </w:rPr>
      </w:pPr>
      <w:r>
        <w:rPr>
          <w:rFonts w:ascii="Times New Roman"/>
        </w:rPr>
        <w:t>2019-096</w:t>
      </w:r>
    </w:p>
    <w:p>
      <w:pPr>
        <w:spacing w:after="0" w:line="240" w:lineRule="auto"/>
        <w:jc w:val="both"/>
        <w:rPr>
          <w:rFonts w:ascii="Times New Roman" w:hAnsi="Times New Roman" w:cs="Times New Roman" w:eastAsia="Times New Roman" w:hint="default"/>
        </w:rPr>
        <w:sectPr>
          <w:type w:val="continuous"/>
          <w:pgSz w:w="11910" w:h="16840"/>
          <w:pgMar w:top="1060" w:bottom="1160" w:left="460" w:right="0"/>
          <w:cols w:num="7" w:equalWidth="0">
            <w:col w:w="1634" w:space="95"/>
            <w:col w:w="676" w:space="44"/>
            <w:col w:w="957" w:space="66"/>
            <w:col w:w="544" w:space="40"/>
            <w:col w:w="1595" w:space="104"/>
            <w:col w:w="3919" w:space="251"/>
            <w:col w:w="1525"/>
          </w:cols>
        </w:sectPr>
      </w:pPr>
    </w:p>
    <w:p>
      <w:pPr>
        <w:spacing w:line="240" w:lineRule="auto" w:before="4"/>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460" w:right="0"/>
        </w:sectPr>
      </w:pPr>
    </w:p>
    <w:p>
      <w:pPr>
        <w:spacing w:line="240" w:lineRule="auto" w:before="0"/>
        <w:rPr>
          <w:rFonts w:ascii="Times New Roman" w:hAnsi="Times New Roman" w:cs="Times New Roman" w:eastAsia="Times New Roman" w:hint="default"/>
          <w:sz w:val="18"/>
          <w:szCs w:val="18"/>
        </w:rPr>
      </w:pPr>
    </w:p>
    <w:p>
      <w:pPr>
        <w:pStyle w:val="BodyText"/>
        <w:spacing w:line="319" w:lineRule="auto" w:before="149"/>
        <w:ind w:left="135" w:right="-20"/>
        <w:jc w:val="left"/>
      </w:pPr>
      <w:r>
        <w:rPr/>
        <w:t>招商银行股份 有限公司南京</w:t>
      </w:r>
      <w:r>
        <w:rPr>
          <w:spacing w:val="-32"/>
        </w:rPr>
        <w:t> </w:t>
      </w:r>
      <w:r>
        <w:rPr/>
        <w:t>银行</w:t>
      </w:r>
      <w:r>
        <w:rPr/>
        <w:t> 奥体支行</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pStyle w:val="BodyText"/>
        <w:spacing w:line="319" w:lineRule="auto"/>
        <w:ind w:left="135" w:right="-20"/>
        <w:jc w:val="left"/>
      </w:pPr>
      <w:r>
        <w:rPr/>
        <w:t>结构性 存款</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21"/>
        <w:ind w:left="596" w:right="-20"/>
        <w:jc w:val="left"/>
      </w:pPr>
      <w:r>
        <w:rPr/>
        <w:t>闲置</w:t>
      </w:r>
    </w:p>
    <w:p>
      <w:pPr>
        <w:pStyle w:val="BodyText"/>
        <w:spacing w:line="240" w:lineRule="auto" w:before="77"/>
        <w:ind w:left="135" w:right="-19"/>
        <w:jc w:val="left"/>
      </w:pPr>
      <w:r>
        <w:rPr>
          <w:rFonts w:ascii="Times New Roman" w:hAnsi="Times New Roman" w:cs="Times New Roman" w:eastAsia="Times New Roman" w:hint="default"/>
        </w:rPr>
        <w:t>6,500</w:t>
      </w:r>
      <w:r>
        <w:rPr>
          <w:rFonts w:ascii="Times New Roman" w:hAnsi="Times New Roman" w:cs="Times New Roman" w:eastAsia="Times New Roman" w:hint="default"/>
          <w:spacing w:val="10"/>
        </w:rPr>
        <w:t> </w:t>
      </w:r>
      <w:r>
        <w:rPr/>
        <w:t>募集</w:t>
      </w:r>
    </w:p>
    <w:p>
      <w:pPr>
        <w:pStyle w:val="BodyText"/>
        <w:spacing w:line="240" w:lineRule="auto" w:before="63"/>
        <w:ind w:left="596" w:right="-20"/>
        <w:jc w:val="left"/>
      </w:pPr>
      <w:r>
        <w:rPr/>
        <w:t>资金</w:t>
      </w:r>
    </w:p>
    <w:p>
      <w:pPr>
        <w:spacing w:line="240" w:lineRule="auto" w:before="7"/>
        <w:rPr>
          <w:rFonts w:ascii="宋体" w:hAnsi="宋体" w:cs="宋体" w:eastAsia="宋体" w:hint="default"/>
          <w:sz w:val="18"/>
          <w:szCs w:val="18"/>
        </w:rPr>
      </w:pPr>
      <w:r>
        <w:rPr/>
        <w:br w:type="column"/>
      </w:r>
      <w:r>
        <w:rPr>
          <w:rFonts w:ascii="宋体"/>
          <w:sz w:val="18"/>
        </w:rPr>
      </w:r>
    </w:p>
    <w:p>
      <w:pPr>
        <w:pStyle w:val="BodyText"/>
        <w:spacing w:line="240" w:lineRule="auto"/>
        <w:ind w:left="135" w:right="-19"/>
        <w:jc w:val="left"/>
        <w:rPr>
          <w:rFonts w:ascii="Times New Roman" w:hAnsi="Times New Roman" w:cs="Times New Roman" w:eastAsia="Times New Roman" w:hint="default"/>
        </w:rPr>
      </w:pPr>
      <w:r>
        <w:rPr>
          <w:rFonts w:ascii="Times New Roman"/>
        </w:rPr>
        <w:t>2019</w:t>
      </w:r>
    </w:p>
    <w:p>
      <w:pPr>
        <w:pStyle w:val="BodyText"/>
        <w:spacing w:line="240" w:lineRule="auto" w:before="63"/>
        <w:ind w:left="135" w:right="-19"/>
        <w:jc w:val="left"/>
        <w:rPr>
          <w:rFonts w:ascii="Times New Roman" w:hAnsi="Times New Roman" w:cs="Times New Roman" w:eastAsia="Times New Roman" w:hint="default"/>
        </w:rPr>
      </w:pPr>
      <w:r>
        <w:rPr/>
        <w:t>年</w:t>
      </w:r>
      <w:r>
        <w:rPr>
          <w:spacing w:val="-43"/>
        </w:rPr>
        <w:t> </w:t>
      </w:r>
      <w:r>
        <w:rPr>
          <w:rFonts w:ascii="Times New Roman" w:hAnsi="Times New Roman" w:cs="Times New Roman" w:eastAsia="Times New Roman" w:hint="default"/>
        </w:rPr>
        <w:t>07</w:t>
      </w:r>
    </w:p>
    <w:p>
      <w:pPr>
        <w:pStyle w:val="BodyText"/>
        <w:spacing w:line="240" w:lineRule="auto" w:before="63"/>
        <w:ind w:left="135" w:right="-5"/>
        <w:jc w:val="left"/>
        <w:rPr>
          <w:rFonts w:ascii="Times New Roman" w:hAnsi="Times New Roman" w:cs="Times New Roman" w:eastAsia="Times New Roman" w:hint="default"/>
        </w:rPr>
      </w:pPr>
      <w:r>
        <w:rPr/>
        <w:t>月</w:t>
      </w:r>
      <w:r>
        <w:rPr>
          <w:spacing w:val="-45"/>
        </w:rPr>
        <w:t> </w:t>
      </w:r>
      <w:r>
        <w:rPr>
          <w:rFonts w:ascii="Times New Roman" w:hAnsi="Times New Roman" w:cs="Times New Roman" w:eastAsia="Times New Roman" w:hint="default"/>
          <w:spacing w:val="-6"/>
        </w:rPr>
        <w:t>11</w:t>
      </w:r>
      <w:r>
        <w:rPr>
          <w:rFonts w:ascii="Times New Roman" w:hAnsi="Times New Roman" w:cs="Times New Roman" w:eastAsia="Times New Roman" w:hint="default"/>
        </w:rPr>
      </w:r>
    </w:p>
    <w:p>
      <w:pPr>
        <w:pStyle w:val="BodyText"/>
        <w:spacing w:line="240" w:lineRule="auto" w:before="63"/>
        <w:ind w:left="135" w:right="-19"/>
        <w:jc w:val="left"/>
      </w:pPr>
      <w:r>
        <w:rPr/>
        <w:t>日</w:t>
      </w:r>
    </w:p>
    <w:p>
      <w:pPr>
        <w:spacing w:line="240" w:lineRule="auto" w:before="7"/>
        <w:rPr>
          <w:rFonts w:ascii="宋体" w:hAnsi="宋体" w:cs="宋体" w:eastAsia="宋体" w:hint="default"/>
          <w:sz w:val="18"/>
          <w:szCs w:val="18"/>
        </w:rPr>
      </w:pPr>
      <w:r>
        <w:rPr/>
        <w:br w:type="column"/>
      </w:r>
      <w:r>
        <w:rPr>
          <w:rFonts w:ascii="宋体"/>
          <w:sz w:val="18"/>
        </w:rPr>
      </w:r>
    </w:p>
    <w:p>
      <w:pPr>
        <w:pStyle w:val="BodyText"/>
        <w:spacing w:line="160" w:lineRule="exact"/>
        <w:ind w:left="111" w:right="0"/>
        <w:jc w:val="left"/>
        <w:rPr>
          <w:rFonts w:ascii="Times New Roman" w:hAnsi="Times New Roman" w:cs="Times New Roman" w:eastAsia="Times New Roman" w:hint="default"/>
        </w:rPr>
      </w:pPr>
      <w:r>
        <w:rPr>
          <w:rFonts w:ascii="Times New Roman"/>
        </w:rPr>
        <w:t>2019</w:t>
      </w:r>
    </w:p>
    <w:p>
      <w:pPr>
        <w:pStyle w:val="BodyText"/>
        <w:spacing w:line="149" w:lineRule="exact"/>
        <w:ind w:left="110" w:right="0"/>
        <w:jc w:val="center"/>
      </w:pPr>
      <w:r>
        <w:rPr/>
        <w:t>结构</w:t>
      </w:r>
    </w:p>
    <w:p>
      <w:pPr>
        <w:pStyle w:val="BodyText"/>
        <w:tabs>
          <w:tab w:pos="1234" w:val="left" w:leader="none"/>
        </w:tabs>
        <w:spacing w:line="151" w:lineRule="auto" w:before="38"/>
        <w:ind w:left="672" w:right="0" w:hanging="562"/>
        <w:jc w:val="left"/>
      </w:pPr>
      <w:r>
        <w:rPr/>
        <w:t>年</w:t>
      </w:r>
      <w:r>
        <w:rPr>
          <w:spacing w:val="-44"/>
        </w:rPr>
        <w:t> </w:t>
      </w:r>
      <w:r>
        <w:rPr>
          <w:rFonts w:ascii="Times New Roman" w:hAnsi="Times New Roman" w:cs="Times New Roman" w:eastAsia="Times New Roman" w:hint="default"/>
        </w:rPr>
        <w:t>10</w:t>
        <w:tab/>
        <w:tab/>
      </w:r>
      <w:r>
        <w:rPr/>
        <w:t>协议 性存</w:t>
      </w:r>
    </w:p>
    <w:p>
      <w:pPr>
        <w:pStyle w:val="BodyText"/>
        <w:tabs>
          <w:tab w:pos="1234" w:val="left" w:leader="none"/>
        </w:tabs>
        <w:spacing w:line="151" w:lineRule="auto" w:before="7"/>
        <w:ind w:left="672" w:right="0" w:hanging="562"/>
        <w:jc w:val="left"/>
      </w:pPr>
      <w:r>
        <w:rPr/>
        <w:t>月</w:t>
      </w:r>
      <w:r>
        <w:rPr>
          <w:spacing w:val="-45"/>
        </w:rPr>
        <w:t> </w:t>
      </w:r>
      <w:r>
        <w:rPr>
          <w:rFonts w:ascii="Times New Roman" w:hAnsi="Times New Roman" w:cs="Times New Roman" w:eastAsia="Times New Roman" w:hint="default"/>
          <w:spacing w:val="-3"/>
        </w:rPr>
        <w:t>11</w:t>
        <w:tab/>
        <w:tab/>
      </w:r>
      <w:r>
        <w:rPr/>
        <w:t>约定 款</w:t>
      </w:r>
    </w:p>
    <w:p>
      <w:pPr>
        <w:pStyle w:val="BodyText"/>
        <w:spacing w:line="165" w:lineRule="exact"/>
        <w:ind w:left="111" w:right="0"/>
        <w:jc w:val="left"/>
      </w:pP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434" w:val="left" w:leader="none"/>
          <w:tab w:pos="3171" w:val="left" w:leader="none"/>
          <w:tab w:pos="3738" w:val="left" w:leader="none"/>
        </w:tabs>
        <w:spacing w:line="240" w:lineRule="auto"/>
        <w:ind w:left="135" w:right="-20"/>
        <w:jc w:val="left"/>
      </w:pPr>
      <w:r>
        <w:rPr>
          <w:rFonts w:ascii="Times New Roman" w:hAnsi="Times New Roman" w:cs="Times New Roman" w:eastAsia="Times New Roman" w:hint="default"/>
        </w:rPr>
        <w:t>3.85%  </w:t>
      </w:r>
      <w:r>
        <w:rPr>
          <w:rFonts w:ascii="Times New Roman" w:hAnsi="Times New Roman" w:cs="Times New Roman" w:eastAsia="Times New Roman" w:hint="default"/>
          <w:spacing w:val="19"/>
        </w:rPr>
        <w:t> </w:t>
      </w:r>
      <w:r>
        <w:rPr>
          <w:rFonts w:ascii="Times New Roman" w:hAnsi="Times New Roman" w:cs="Times New Roman" w:eastAsia="Times New Roman" w:hint="default"/>
        </w:rPr>
        <w:t>63.08</w:t>
        <w:tab/>
        <w:t>63.08</w:t>
      </w:r>
      <w:r>
        <w:rPr>
          <w:rFonts w:ascii="Times New Roman" w:hAnsi="Times New Roman" w:cs="Times New Roman" w:eastAsia="Times New Roman" w:hint="default"/>
          <w:spacing w:val="10"/>
        </w:rPr>
        <w:t> </w:t>
      </w:r>
      <w:r>
        <w:rPr/>
        <w:t>已收回</w:t>
        <w:tab/>
        <w:t>是</w:t>
        <w:tab/>
        <w:t>是</w:t>
      </w:r>
    </w:p>
    <w:p>
      <w:pPr>
        <w:pStyle w:val="BodyText"/>
        <w:spacing w:line="319" w:lineRule="auto" w:before="44"/>
        <w:ind w:left="135" w:right="665"/>
        <w:jc w:val="both"/>
      </w:pPr>
      <w:r>
        <w:rPr/>
        <w:br w:type="column"/>
      </w:r>
      <w:r>
        <w:rPr/>
        <w:t>巨潮资讯 网，公告 编号</w:t>
      </w:r>
    </w:p>
    <w:p>
      <w:pPr>
        <w:pStyle w:val="BodyText"/>
        <w:spacing w:line="240" w:lineRule="auto" w:before="17"/>
        <w:ind w:left="135" w:right="0"/>
        <w:jc w:val="both"/>
      </w:pPr>
      <w:r>
        <w:rPr>
          <w:rFonts w:ascii="Times New Roman" w:hAnsi="Times New Roman" w:cs="Times New Roman" w:eastAsia="Times New Roman" w:hint="default"/>
        </w:rPr>
        <w:t>2019-064</w:t>
      </w:r>
      <w:r>
        <w:rPr/>
        <w:t>、</w:t>
      </w:r>
    </w:p>
    <w:p>
      <w:pPr>
        <w:pStyle w:val="BodyText"/>
        <w:spacing w:line="240" w:lineRule="auto" w:before="105"/>
        <w:ind w:left="135" w:right="0"/>
        <w:jc w:val="both"/>
        <w:rPr>
          <w:rFonts w:ascii="Times New Roman" w:hAnsi="Times New Roman" w:cs="Times New Roman" w:eastAsia="Times New Roman" w:hint="default"/>
        </w:rPr>
      </w:pPr>
      <w:r>
        <w:rPr>
          <w:rFonts w:ascii="Times New Roman"/>
        </w:rPr>
        <w:t>2019-096</w:t>
      </w:r>
    </w:p>
    <w:p>
      <w:pPr>
        <w:spacing w:after="0" w:line="240" w:lineRule="auto"/>
        <w:jc w:val="both"/>
        <w:rPr>
          <w:rFonts w:ascii="Times New Roman" w:hAnsi="Times New Roman" w:cs="Times New Roman" w:eastAsia="Times New Roman" w:hint="default"/>
        </w:rPr>
        <w:sectPr>
          <w:type w:val="continuous"/>
          <w:pgSz w:w="11910" w:h="16840"/>
          <w:pgMar w:top="1060" w:bottom="1160" w:left="460" w:right="0"/>
          <w:cols w:num="7" w:equalWidth="0">
            <w:col w:w="1634" w:space="95"/>
            <w:col w:w="676" w:space="44"/>
            <w:col w:w="957" w:space="66"/>
            <w:col w:w="544" w:space="40"/>
            <w:col w:w="1595" w:space="104"/>
            <w:col w:w="3919" w:space="251"/>
            <w:col w:w="1525"/>
          </w:cols>
        </w:sectPr>
      </w:pPr>
    </w:p>
    <w:p>
      <w:pPr>
        <w:spacing w:line="240" w:lineRule="auto" w:before="6"/>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460" w:right="0"/>
        </w:sectPr>
      </w:pPr>
    </w:p>
    <w:p>
      <w:pPr>
        <w:pStyle w:val="BodyText"/>
        <w:spacing w:line="310" w:lineRule="atLeast" w:before="126"/>
        <w:ind w:left="135" w:right="398"/>
        <w:jc w:val="left"/>
      </w:pPr>
      <w:r>
        <w:rPr/>
        <w:t>江苏紫金农村 商业银行股份</w:t>
      </w:r>
    </w:p>
    <w:p>
      <w:pPr>
        <w:pStyle w:val="BodyText"/>
        <w:spacing w:line="116" w:lineRule="exact"/>
        <w:ind w:left="0" w:right="0"/>
        <w:jc w:val="right"/>
      </w:pPr>
      <w:r>
        <w:rPr/>
        <w:t>银行</w:t>
      </w:r>
    </w:p>
    <w:p>
      <w:pPr>
        <w:pStyle w:val="BodyText"/>
        <w:spacing w:line="196" w:lineRule="exact"/>
        <w:ind w:left="135" w:right="-20"/>
        <w:jc w:val="left"/>
      </w:pPr>
      <w:r>
        <w:rPr/>
        <w:t>有限公司江宁</w:t>
      </w:r>
    </w:p>
    <w:p>
      <w:pPr>
        <w:pStyle w:val="BodyText"/>
        <w:spacing w:line="240" w:lineRule="auto" w:before="76"/>
        <w:ind w:left="135" w:right="398"/>
        <w:jc w:val="left"/>
      </w:pPr>
      <w:r>
        <w:rPr/>
        <w:t>支行</w:t>
      </w:r>
    </w:p>
    <w:p>
      <w:pPr>
        <w:pStyle w:val="BodyText"/>
        <w:spacing w:line="316" w:lineRule="auto" w:before="44"/>
        <w:ind w:left="135" w:right="-20"/>
        <w:jc w:val="left"/>
      </w:pPr>
      <w:r>
        <w:rPr/>
        <w:br w:type="column"/>
      </w:r>
      <w:r>
        <w:rPr/>
        <w:t>结构性 存款</w:t>
      </w:r>
    </w:p>
    <w:p>
      <w:pPr>
        <w:pStyle w:val="BodyText"/>
        <w:spacing w:line="316" w:lineRule="auto" w:before="19"/>
        <w:ind w:left="135" w:right="-20"/>
        <w:jc w:val="left"/>
      </w:pPr>
      <w:r>
        <w:rPr/>
        <w:t>（保证 收益 型）</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21"/>
        <w:ind w:left="596" w:right="-20"/>
        <w:jc w:val="left"/>
      </w:pPr>
      <w:r>
        <w:rPr/>
        <w:t>闲置</w:t>
      </w:r>
    </w:p>
    <w:p>
      <w:pPr>
        <w:pStyle w:val="BodyText"/>
        <w:spacing w:line="240" w:lineRule="auto" w:before="76"/>
        <w:ind w:left="135" w:right="-19"/>
        <w:jc w:val="left"/>
      </w:pPr>
      <w:r>
        <w:rPr>
          <w:rFonts w:ascii="Times New Roman" w:hAnsi="Times New Roman" w:cs="Times New Roman" w:eastAsia="Times New Roman" w:hint="default"/>
        </w:rPr>
        <w:t>5,000</w:t>
      </w:r>
      <w:r>
        <w:rPr>
          <w:rFonts w:ascii="Times New Roman" w:hAnsi="Times New Roman" w:cs="Times New Roman" w:eastAsia="Times New Roman" w:hint="default"/>
          <w:spacing w:val="10"/>
        </w:rPr>
        <w:t> </w:t>
      </w:r>
      <w:r>
        <w:rPr/>
        <w:t>募集</w:t>
      </w:r>
    </w:p>
    <w:p>
      <w:pPr>
        <w:pStyle w:val="BodyText"/>
        <w:spacing w:line="240" w:lineRule="auto" w:before="63"/>
        <w:ind w:left="596" w:right="-20"/>
        <w:jc w:val="left"/>
      </w:pPr>
      <w:r>
        <w:rPr/>
        <w:t>资金</w:t>
      </w:r>
    </w:p>
    <w:p>
      <w:pPr>
        <w:spacing w:line="240" w:lineRule="auto" w:before="7"/>
        <w:rPr>
          <w:rFonts w:ascii="宋体" w:hAnsi="宋体" w:cs="宋体" w:eastAsia="宋体" w:hint="default"/>
          <w:sz w:val="18"/>
          <w:szCs w:val="18"/>
        </w:rPr>
      </w:pPr>
      <w:r>
        <w:rPr/>
        <w:br w:type="column"/>
      </w:r>
      <w:r>
        <w:rPr>
          <w:rFonts w:ascii="宋体"/>
          <w:sz w:val="18"/>
        </w:rPr>
      </w:r>
    </w:p>
    <w:p>
      <w:pPr>
        <w:pStyle w:val="BodyText"/>
        <w:spacing w:line="240" w:lineRule="auto"/>
        <w:ind w:left="135" w:right="-19"/>
        <w:jc w:val="left"/>
        <w:rPr>
          <w:rFonts w:ascii="Times New Roman" w:hAnsi="Times New Roman" w:cs="Times New Roman" w:eastAsia="Times New Roman" w:hint="default"/>
        </w:rPr>
      </w:pPr>
      <w:r>
        <w:rPr>
          <w:rFonts w:ascii="Times New Roman"/>
        </w:rPr>
        <w:t>2019</w:t>
      </w:r>
    </w:p>
    <w:p>
      <w:pPr>
        <w:pStyle w:val="BodyText"/>
        <w:spacing w:line="240" w:lineRule="auto" w:before="63"/>
        <w:ind w:left="135" w:right="-19"/>
        <w:jc w:val="left"/>
        <w:rPr>
          <w:rFonts w:ascii="Times New Roman" w:hAnsi="Times New Roman" w:cs="Times New Roman" w:eastAsia="Times New Roman" w:hint="default"/>
        </w:rPr>
      </w:pPr>
      <w:r>
        <w:rPr/>
        <w:t>年</w:t>
      </w:r>
      <w:r>
        <w:rPr>
          <w:spacing w:val="-43"/>
        </w:rPr>
        <w:t> </w:t>
      </w:r>
      <w:r>
        <w:rPr>
          <w:rFonts w:ascii="Times New Roman" w:hAnsi="Times New Roman" w:cs="Times New Roman" w:eastAsia="Times New Roman" w:hint="default"/>
        </w:rPr>
        <w:t>08</w:t>
      </w:r>
    </w:p>
    <w:p>
      <w:pPr>
        <w:pStyle w:val="BodyText"/>
        <w:spacing w:line="240" w:lineRule="auto" w:before="63"/>
        <w:ind w:left="135" w:right="-19"/>
        <w:jc w:val="left"/>
        <w:rPr>
          <w:rFonts w:ascii="Times New Roman" w:hAnsi="Times New Roman" w:cs="Times New Roman" w:eastAsia="Times New Roman" w:hint="default"/>
        </w:rPr>
      </w:pPr>
      <w:r>
        <w:rPr/>
        <w:t>月</w:t>
      </w:r>
      <w:r>
        <w:rPr>
          <w:spacing w:val="-43"/>
        </w:rPr>
        <w:t> </w:t>
      </w:r>
      <w:r>
        <w:rPr>
          <w:rFonts w:ascii="Times New Roman" w:hAnsi="Times New Roman" w:cs="Times New Roman" w:eastAsia="Times New Roman" w:hint="default"/>
        </w:rPr>
        <w:t>15</w:t>
      </w:r>
    </w:p>
    <w:p>
      <w:pPr>
        <w:pStyle w:val="BodyText"/>
        <w:spacing w:line="240" w:lineRule="auto" w:before="63"/>
        <w:ind w:left="135" w:right="-19"/>
        <w:jc w:val="left"/>
      </w:pPr>
      <w:r>
        <w:rPr/>
        <w:t>日</w:t>
      </w:r>
    </w:p>
    <w:p>
      <w:pPr>
        <w:spacing w:line="240" w:lineRule="auto" w:before="7"/>
        <w:rPr>
          <w:rFonts w:ascii="宋体" w:hAnsi="宋体" w:cs="宋体" w:eastAsia="宋体" w:hint="default"/>
          <w:sz w:val="18"/>
          <w:szCs w:val="18"/>
        </w:rPr>
      </w:pPr>
      <w:r>
        <w:rPr/>
        <w:br w:type="column"/>
      </w:r>
      <w:r>
        <w:rPr>
          <w:rFonts w:ascii="宋体"/>
          <w:sz w:val="18"/>
        </w:rPr>
      </w:r>
    </w:p>
    <w:p>
      <w:pPr>
        <w:pStyle w:val="BodyText"/>
        <w:spacing w:line="160" w:lineRule="exact"/>
        <w:ind w:left="111" w:right="0"/>
        <w:jc w:val="left"/>
        <w:rPr>
          <w:rFonts w:ascii="Times New Roman" w:hAnsi="Times New Roman" w:cs="Times New Roman" w:eastAsia="Times New Roman" w:hint="default"/>
        </w:rPr>
      </w:pPr>
      <w:r>
        <w:rPr>
          <w:rFonts w:ascii="Times New Roman"/>
        </w:rPr>
        <w:t>2019</w:t>
      </w:r>
    </w:p>
    <w:p>
      <w:pPr>
        <w:pStyle w:val="BodyText"/>
        <w:spacing w:line="149" w:lineRule="exact"/>
        <w:ind w:left="110" w:right="0"/>
        <w:jc w:val="center"/>
      </w:pPr>
      <w:r>
        <w:rPr/>
        <w:t>结构</w:t>
      </w:r>
    </w:p>
    <w:p>
      <w:pPr>
        <w:pStyle w:val="BodyText"/>
        <w:tabs>
          <w:tab w:pos="1234" w:val="left" w:leader="none"/>
        </w:tabs>
        <w:spacing w:line="151" w:lineRule="auto" w:before="38"/>
        <w:ind w:left="672" w:right="0" w:hanging="562"/>
        <w:jc w:val="left"/>
      </w:pPr>
      <w:r>
        <w:rPr/>
        <w:t>年</w:t>
      </w:r>
      <w:r>
        <w:rPr>
          <w:spacing w:val="-45"/>
        </w:rPr>
        <w:t> </w:t>
      </w:r>
      <w:r>
        <w:rPr>
          <w:rFonts w:ascii="Times New Roman" w:hAnsi="Times New Roman" w:cs="Times New Roman" w:eastAsia="Times New Roman" w:hint="default"/>
          <w:spacing w:val="-3"/>
        </w:rPr>
        <w:t>11</w:t>
        <w:tab/>
        <w:tab/>
      </w:r>
      <w:r>
        <w:rPr/>
        <w:t>协议 性存</w:t>
      </w:r>
    </w:p>
    <w:p>
      <w:pPr>
        <w:pStyle w:val="BodyText"/>
        <w:tabs>
          <w:tab w:pos="1234" w:val="left" w:leader="none"/>
        </w:tabs>
        <w:spacing w:line="151" w:lineRule="auto" w:before="7"/>
        <w:ind w:left="672" w:right="0" w:hanging="562"/>
        <w:jc w:val="left"/>
      </w:pPr>
      <w:r>
        <w:rPr/>
        <w:t>月</w:t>
      </w:r>
      <w:r>
        <w:rPr>
          <w:spacing w:val="-44"/>
        </w:rPr>
        <w:t> </w:t>
      </w:r>
      <w:r>
        <w:rPr>
          <w:rFonts w:ascii="Times New Roman" w:hAnsi="Times New Roman" w:cs="Times New Roman" w:eastAsia="Times New Roman" w:hint="default"/>
        </w:rPr>
        <w:t>15</w:t>
        <w:tab/>
        <w:tab/>
      </w:r>
      <w:r>
        <w:rPr/>
        <w:t>约定 款</w:t>
      </w:r>
    </w:p>
    <w:p>
      <w:pPr>
        <w:pStyle w:val="BodyText"/>
        <w:spacing w:line="165" w:lineRule="exact"/>
        <w:ind w:left="111" w:right="0"/>
        <w:jc w:val="left"/>
      </w:pP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434" w:val="left" w:leader="none"/>
          <w:tab w:pos="3171" w:val="left" w:leader="none"/>
          <w:tab w:pos="3738" w:val="left" w:leader="none"/>
        </w:tabs>
        <w:spacing w:line="240" w:lineRule="auto"/>
        <w:ind w:left="135" w:right="-20"/>
        <w:jc w:val="left"/>
      </w:pPr>
      <w:r>
        <w:rPr>
          <w:rFonts w:ascii="Times New Roman" w:hAnsi="Times New Roman" w:cs="Times New Roman" w:eastAsia="Times New Roman" w:hint="default"/>
        </w:rPr>
        <w:t>3.70%  </w:t>
      </w:r>
      <w:r>
        <w:rPr>
          <w:rFonts w:ascii="Times New Roman" w:hAnsi="Times New Roman" w:cs="Times New Roman" w:eastAsia="Times New Roman" w:hint="default"/>
          <w:spacing w:val="19"/>
        </w:rPr>
        <w:t> </w:t>
      </w:r>
      <w:r>
        <w:rPr>
          <w:rFonts w:ascii="Times New Roman" w:hAnsi="Times New Roman" w:cs="Times New Roman" w:eastAsia="Times New Roman" w:hint="default"/>
        </w:rPr>
        <w:t>47.28</w:t>
        <w:tab/>
        <w:t>47.28</w:t>
      </w:r>
      <w:r>
        <w:rPr>
          <w:rFonts w:ascii="Times New Roman" w:hAnsi="Times New Roman" w:cs="Times New Roman" w:eastAsia="Times New Roman" w:hint="default"/>
          <w:spacing w:val="10"/>
        </w:rPr>
        <w:t> </w:t>
      </w:r>
      <w:r>
        <w:rPr/>
        <w:t>已收回</w:t>
        <w:tab/>
        <w:t>是</w:t>
        <w:tab/>
        <w:t>是</w:t>
      </w:r>
    </w:p>
    <w:p>
      <w:pPr>
        <w:pStyle w:val="BodyText"/>
        <w:spacing w:line="316" w:lineRule="auto" w:before="44"/>
        <w:ind w:left="135" w:right="665"/>
        <w:jc w:val="both"/>
      </w:pPr>
      <w:r>
        <w:rPr/>
        <w:br w:type="column"/>
      </w:r>
      <w:r>
        <w:rPr/>
        <w:t>巨潮资讯 网，公告 编号</w:t>
      </w:r>
    </w:p>
    <w:p>
      <w:pPr>
        <w:pStyle w:val="BodyText"/>
        <w:spacing w:line="240" w:lineRule="auto" w:before="19"/>
        <w:ind w:left="135" w:right="0"/>
        <w:jc w:val="both"/>
      </w:pPr>
      <w:r>
        <w:rPr>
          <w:rFonts w:ascii="Times New Roman" w:hAnsi="Times New Roman" w:cs="Times New Roman" w:eastAsia="Times New Roman" w:hint="default"/>
        </w:rPr>
        <w:t>2019-080</w:t>
      </w:r>
      <w:r>
        <w:rPr/>
        <w:t>、</w:t>
      </w:r>
    </w:p>
    <w:p>
      <w:pPr>
        <w:pStyle w:val="BodyText"/>
        <w:spacing w:line="240" w:lineRule="auto" w:before="105"/>
        <w:ind w:left="135" w:right="0"/>
        <w:jc w:val="both"/>
        <w:rPr>
          <w:rFonts w:ascii="Times New Roman" w:hAnsi="Times New Roman" w:cs="Times New Roman" w:eastAsia="Times New Roman" w:hint="default"/>
        </w:rPr>
      </w:pPr>
      <w:r>
        <w:rPr>
          <w:rFonts w:ascii="Times New Roman"/>
        </w:rPr>
        <w:t>2019-103</w:t>
      </w:r>
    </w:p>
    <w:p>
      <w:pPr>
        <w:spacing w:after="0" w:line="240" w:lineRule="auto"/>
        <w:jc w:val="both"/>
        <w:rPr>
          <w:rFonts w:ascii="Times New Roman" w:hAnsi="Times New Roman" w:cs="Times New Roman" w:eastAsia="Times New Roman" w:hint="default"/>
        </w:rPr>
        <w:sectPr>
          <w:type w:val="continuous"/>
          <w:pgSz w:w="11910" w:h="16840"/>
          <w:pgMar w:top="1060" w:bottom="1160" w:left="460" w:right="0"/>
          <w:cols w:num="7" w:equalWidth="0">
            <w:col w:w="1634" w:space="95"/>
            <w:col w:w="676" w:space="44"/>
            <w:col w:w="957" w:space="66"/>
            <w:col w:w="544" w:space="40"/>
            <w:col w:w="1595" w:space="104"/>
            <w:col w:w="3919" w:space="251"/>
            <w:col w:w="1525"/>
          </w:cols>
        </w:sectPr>
      </w:pPr>
    </w:p>
    <w:p>
      <w:pPr>
        <w:spacing w:line="240" w:lineRule="auto" w:before="5"/>
        <w:rPr>
          <w:rFonts w:ascii="Times New Roman" w:hAnsi="Times New Roman" w:cs="Times New Roman" w:eastAsia="Times New Roman" w:hint="default"/>
          <w:sz w:val="16"/>
          <w:szCs w:val="16"/>
        </w:rPr>
      </w:pPr>
    </w:p>
    <w:p>
      <w:pPr>
        <w:pStyle w:val="BodyText"/>
        <w:spacing w:line="310" w:lineRule="atLeast"/>
        <w:ind w:left="135" w:right="398"/>
        <w:jc w:val="left"/>
      </w:pPr>
      <w:r>
        <w:rPr/>
        <w:t>上海浦东发展 银行股份有限</w:t>
      </w:r>
    </w:p>
    <w:p>
      <w:pPr>
        <w:pStyle w:val="BodyText"/>
        <w:spacing w:line="117" w:lineRule="exact"/>
        <w:ind w:left="0" w:right="0"/>
        <w:jc w:val="right"/>
      </w:pPr>
      <w:r>
        <w:rPr/>
        <w:t>银行</w:t>
      </w:r>
    </w:p>
    <w:p>
      <w:pPr>
        <w:pStyle w:val="BodyText"/>
        <w:spacing w:line="196" w:lineRule="exact"/>
        <w:ind w:left="135" w:right="-20"/>
        <w:jc w:val="left"/>
      </w:pPr>
      <w:r>
        <w:rPr/>
        <w:t>公司南京城西</w:t>
      </w:r>
    </w:p>
    <w:p>
      <w:pPr>
        <w:pStyle w:val="BodyText"/>
        <w:spacing w:line="240" w:lineRule="auto" w:before="76"/>
        <w:ind w:left="135" w:right="398"/>
        <w:jc w:val="left"/>
      </w:pPr>
      <w:r>
        <w:rPr/>
        <w:t>支行</w:t>
      </w:r>
    </w:p>
    <w:p>
      <w:pPr>
        <w:pStyle w:val="BodyText"/>
        <w:spacing w:line="316" w:lineRule="auto" w:before="107"/>
        <w:ind w:left="135" w:right="0"/>
        <w:jc w:val="both"/>
      </w:pPr>
      <w:r>
        <w:rPr/>
        <w:br w:type="column"/>
      </w:r>
      <w:r>
        <w:rPr/>
        <w:t>结构性 存款</w:t>
      </w:r>
    </w:p>
    <w:p>
      <w:pPr>
        <w:pStyle w:val="BodyText"/>
        <w:spacing w:line="319" w:lineRule="auto" w:before="19"/>
        <w:ind w:left="135" w:right="0"/>
        <w:jc w:val="both"/>
      </w:pPr>
      <w:r>
        <w:rPr/>
        <w:t>（保本 浮动收 益型）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4"/>
          <w:szCs w:val="14"/>
        </w:rPr>
      </w:pPr>
    </w:p>
    <w:p>
      <w:pPr>
        <w:pStyle w:val="BodyText"/>
        <w:spacing w:line="240" w:lineRule="auto"/>
        <w:ind w:left="596" w:right="-20"/>
        <w:jc w:val="left"/>
      </w:pPr>
      <w:r>
        <w:rPr/>
        <w:t>闲置</w:t>
      </w:r>
    </w:p>
    <w:p>
      <w:pPr>
        <w:pStyle w:val="BodyText"/>
        <w:spacing w:line="240" w:lineRule="auto" w:before="76"/>
        <w:ind w:left="135" w:right="-19"/>
        <w:jc w:val="left"/>
      </w:pPr>
      <w:r>
        <w:rPr>
          <w:rFonts w:ascii="Times New Roman" w:hAnsi="Times New Roman" w:cs="Times New Roman" w:eastAsia="Times New Roman" w:hint="default"/>
        </w:rPr>
        <w:t>2,000</w:t>
      </w:r>
      <w:r>
        <w:rPr>
          <w:rFonts w:ascii="Times New Roman" w:hAnsi="Times New Roman" w:cs="Times New Roman" w:eastAsia="Times New Roman" w:hint="default"/>
          <w:spacing w:val="10"/>
        </w:rPr>
        <w:t> </w:t>
      </w:r>
      <w:r>
        <w:rPr/>
        <w:t>募集</w:t>
      </w:r>
    </w:p>
    <w:p>
      <w:pPr>
        <w:pStyle w:val="BodyText"/>
        <w:spacing w:line="240" w:lineRule="auto" w:before="63"/>
        <w:ind w:left="596" w:right="-20"/>
        <w:jc w:val="left"/>
      </w:pPr>
      <w:r>
        <w:rPr/>
        <w:t>资金</w:t>
      </w:r>
    </w:p>
    <w:p>
      <w:pPr>
        <w:spacing w:line="240" w:lineRule="auto" w:before="5"/>
        <w:rPr>
          <w:rFonts w:ascii="宋体" w:hAnsi="宋体" w:cs="宋体" w:eastAsia="宋体" w:hint="default"/>
          <w:sz w:val="23"/>
          <w:szCs w:val="23"/>
        </w:rPr>
      </w:pPr>
      <w:r>
        <w:rPr/>
        <w:br w:type="column"/>
      </w:r>
      <w:r>
        <w:rPr>
          <w:rFonts w:ascii="宋体"/>
          <w:sz w:val="23"/>
        </w:rPr>
      </w:r>
    </w:p>
    <w:p>
      <w:pPr>
        <w:pStyle w:val="BodyText"/>
        <w:spacing w:line="240" w:lineRule="auto"/>
        <w:ind w:left="135" w:right="-19"/>
        <w:jc w:val="left"/>
        <w:rPr>
          <w:rFonts w:ascii="Times New Roman" w:hAnsi="Times New Roman" w:cs="Times New Roman" w:eastAsia="Times New Roman" w:hint="default"/>
        </w:rPr>
      </w:pPr>
      <w:r>
        <w:rPr>
          <w:rFonts w:ascii="Times New Roman"/>
        </w:rPr>
        <w:t>2019</w:t>
      </w:r>
    </w:p>
    <w:p>
      <w:pPr>
        <w:pStyle w:val="BodyText"/>
        <w:spacing w:line="240" w:lineRule="auto" w:before="63"/>
        <w:ind w:left="135" w:right="-19"/>
        <w:jc w:val="left"/>
        <w:rPr>
          <w:rFonts w:ascii="Times New Roman" w:hAnsi="Times New Roman" w:cs="Times New Roman" w:eastAsia="Times New Roman" w:hint="default"/>
        </w:rPr>
      </w:pPr>
      <w:r>
        <w:rPr/>
        <w:t>年</w:t>
      </w:r>
      <w:r>
        <w:rPr>
          <w:spacing w:val="-43"/>
        </w:rPr>
        <w:t> </w:t>
      </w:r>
      <w:r>
        <w:rPr>
          <w:rFonts w:ascii="Times New Roman" w:hAnsi="Times New Roman" w:cs="Times New Roman" w:eastAsia="Times New Roman" w:hint="default"/>
        </w:rPr>
        <w:t>08</w:t>
      </w:r>
    </w:p>
    <w:p>
      <w:pPr>
        <w:pStyle w:val="BodyText"/>
        <w:spacing w:line="240" w:lineRule="auto" w:before="63"/>
        <w:ind w:left="135" w:right="-19"/>
        <w:jc w:val="left"/>
        <w:rPr>
          <w:rFonts w:ascii="Times New Roman" w:hAnsi="Times New Roman" w:cs="Times New Roman" w:eastAsia="Times New Roman" w:hint="default"/>
        </w:rPr>
      </w:pPr>
      <w:r>
        <w:rPr/>
        <w:t>月</w:t>
      </w:r>
      <w:r>
        <w:rPr>
          <w:spacing w:val="-43"/>
        </w:rPr>
        <w:t> </w:t>
      </w:r>
      <w:r>
        <w:rPr>
          <w:rFonts w:ascii="Times New Roman" w:hAnsi="Times New Roman" w:cs="Times New Roman" w:eastAsia="Times New Roman" w:hint="default"/>
        </w:rPr>
        <w:t>23</w:t>
      </w:r>
    </w:p>
    <w:p>
      <w:pPr>
        <w:pStyle w:val="BodyText"/>
        <w:spacing w:line="240" w:lineRule="auto" w:before="63"/>
        <w:ind w:left="135" w:right="-19"/>
        <w:jc w:val="left"/>
      </w:pPr>
      <w:r>
        <w:rPr/>
        <w:t>日</w:t>
      </w:r>
    </w:p>
    <w:p>
      <w:pPr>
        <w:spacing w:line="240" w:lineRule="auto" w:before="5"/>
        <w:rPr>
          <w:rFonts w:ascii="宋体" w:hAnsi="宋体" w:cs="宋体" w:eastAsia="宋体" w:hint="default"/>
          <w:sz w:val="23"/>
          <w:szCs w:val="23"/>
        </w:rPr>
      </w:pPr>
      <w:r>
        <w:rPr/>
        <w:br w:type="column"/>
      </w:r>
      <w:r>
        <w:rPr>
          <w:rFonts w:ascii="宋体"/>
          <w:sz w:val="23"/>
        </w:rPr>
      </w:r>
    </w:p>
    <w:p>
      <w:pPr>
        <w:pStyle w:val="BodyText"/>
        <w:spacing w:line="160" w:lineRule="exact"/>
        <w:ind w:left="111" w:right="0"/>
        <w:jc w:val="left"/>
        <w:rPr>
          <w:rFonts w:ascii="Times New Roman" w:hAnsi="Times New Roman" w:cs="Times New Roman" w:eastAsia="Times New Roman" w:hint="default"/>
        </w:rPr>
      </w:pPr>
      <w:r>
        <w:rPr>
          <w:rFonts w:ascii="Times New Roman"/>
        </w:rPr>
        <w:t>2019</w:t>
      </w:r>
    </w:p>
    <w:p>
      <w:pPr>
        <w:pStyle w:val="BodyText"/>
        <w:spacing w:line="149" w:lineRule="exact"/>
        <w:ind w:left="110" w:right="0"/>
        <w:jc w:val="center"/>
      </w:pPr>
      <w:r>
        <w:rPr/>
        <w:t>结构</w:t>
      </w:r>
    </w:p>
    <w:p>
      <w:pPr>
        <w:pStyle w:val="BodyText"/>
        <w:tabs>
          <w:tab w:pos="1234" w:val="left" w:leader="none"/>
        </w:tabs>
        <w:spacing w:line="151" w:lineRule="auto" w:before="38"/>
        <w:ind w:left="672" w:right="0" w:hanging="562"/>
        <w:jc w:val="left"/>
      </w:pPr>
      <w:r>
        <w:rPr/>
        <w:t>年</w:t>
      </w:r>
      <w:r>
        <w:rPr>
          <w:spacing w:val="-45"/>
        </w:rPr>
        <w:t> </w:t>
      </w:r>
      <w:r>
        <w:rPr>
          <w:rFonts w:ascii="Times New Roman" w:hAnsi="Times New Roman" w:cs="Times New Roman" w:eastAsia="Times New Roman" w:hint="default"/>
          <w:spacing w:val="-3"/>
        </w:rPr>
        <w:t>11</w:t>
        <w:tab/>
        <w:tab/>
      </w:r>
      <w:r>
        <w:rPr/>
        <w:t>协议 性存</w:t>
      </w:r>
    </w:p>
    <w:p>
      <w:pPr>
        <w:pStyle w:val="BodyText"/>
        <w:tabs>
          <w:tab w:pos="1234" w:val="left" w:leader="none"/>
        </w:tabs>
        <w:spacing w:line="151" w:lineRule="auto" w:before="8"/>
        <w:ind w:left="672" w:right="0" w:hanging="562"/>
        <w:jc w:val="left"/>
      </w:pPr>
      <w:r>
        <w:rPr/>
        <w:t>月</w:t>
      </w:r>
      <w:r>
        <w:rPr>
          <w:spacing w:val="-44"/>
        </w:rPr>
        <w:t> </w:t>
      </w:r>
      <w:r>
        <w:rPr>
          <w:rFonts w:ascii="Times New Roman" w:hAnsi="Times New Roman" w:cs="Times New Roman" w:eastAsia="Times New Roman" w:hint="default"/>
        </w:rPr>
        <w:t>21</w:t>
        <w:tab/>
        <w:tab/>
      </w:r>
      <w:r>
        <w:rPr/>
        <w:t>约定 款</w:t>
      </w:r>
    </w:p>
    <w:p>
      <w:pPr>
        <w:pStyle w:val="BodyText"/>
        <w:spacing w:line="165" w:lineRule="exact"/>
        <w:ind w:left="111" w:right="0"/>
        <w:jc w:val="left"/>
      </w:pP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pStyle w:val="BodyText"/>
        <w:tabs>
          <w:tab w:pos="845" w:val="left" w:leader="none"/>
          <w:tab w:pos="1525" w:val="left" w:leader="none"/>
          <w:tab w:pos="3171" w:val="left" w:leader="none"/>
          <w:tab w:pos="3738" w:val="left" w:leader="none"/>
        </w:tabs>
        <w:spacing w:line="240" w:lineRule="auto"/>
        <w:ind w:left="135" w:right="-20"/>
        <w:jc w:val="left"/>
      </w:pPr>
      <w:r>
        <w:rPr>
          <w:rFonts w:ascii="Times New Roman" w:hAnsi="Times New Roman" w:cs="Times New Roman" w:eastAsia="Times New Roman" w:hint="default"/>
        </w:rPr>
        <w:t>3.60%</w:t>
        <w:tab/>
        <w:t>17.8</w:t>
        <w:tab/>
        <w:t>17.8</w:t>
      </w:r>
      <w:r>
        <w:rPr>
          <w:rFonts w:ascii="Times New Roman" w:hAnsi="Times New Roman" w:cs="Times New Roman" w:eastAsia="Times New Roman" w:hint="default"/>
          <w:spacing w:val="9"/>
        </w:rPr>
        <w:t> </w:t>
      </w:r>
      <w:r>
        <w:rPr/>
        <w:t>已收回</w:t>
        <w:tab/>
        <w:t>是</w:t>
        <w:tab/>
        <w:t>是</w:t>
      </w:r>
    </w:p>
    <w:p>
      <w:pPr>
        <w:pStyle w:val="BodyText"/>
        <w:spacing w:line="316" w:lineRule="auto" w:before="107"/>
        <w:ind w:left="135" w:right="665"/>
        <w:jc w:val="both"/>
      </w:pPr>
      <w:r>
        <w:rPr/>
        <w:br w:type="column"/>
      </w:r>
      <w:r>
        <w:rPr/>
        <w:t>巨潮资讯 网，公告 编号</w:t>
      </w:r>
    </w:p>
    <w:p>
      <w:pPr>
        <w:pStyle w:val="BodyText"/>
        <w:spacing w:line="240" w:lineRule="auto" w:before="19"/>
        <w:ind w:left="135" w:right="0"/>
        <w:jc w:val="both"/>
      </w:pPr>
      <w:r>
        <w:rPr>
          <w:rFonts w:ascii="Times New Roman" w:hAnsi="Times New Roman" w:cs="Times New Roman" w:eastAsia="Times New Roman" w:hint="default"/>
        </w:rPr>
        <w:t>2019-080</w:t>
      </w:r>
      <w:r>
        <w:rPr/>
        <w:t>、</w:t>
      </w:r>
    </w:p>
    <w:p>
      <w:pPr>
        <w:pStyle w:val="BodyText"/>
        <w:spacing w:line="240" w:lineRule="auto" w:before="105"/>
        <w:ind w:left="135" w:right="0"/>
        <w:jc w:val="both"/>
        <w:rPr>
          <w:rFonts w:ascii="Times New Roman" w:hAnsi="Times New Roman" w:cs="Times New Roman" w:eastAsia="Times New Roman" w:hint="default"/>
        </w:rPr>
      </w:pPr>
      <w:r>
        <w:rPr>
          <w:rFonts w:ascii="Times New Roman"/>
        </w:rPr>
        <w:t>2019-103</w:t>
      </w:r>
    </w:p>
    <w:p>
      <w:pPr>
        <w:spacing w:after="0" w:line="240" w:lineRule="auto"/>
        <w:jc w:val="both"/>
        <w:rPr>
          <w:rFonts w:ascii="Times New Roman" w:hAnsi="Times New Roman" w:cs="Times New Roman" w:eastAsia="Times New Roman" w:hint="default"/>
        </w:rPr>
        <w:sectPr>
          <w:type w:val="continuous"/>
          <w:pgSz w:w="11910" w:h="16840"/>
          <w:pgMar w:top="1060" w:bottom="1160" w:left="460" w:right="0"/>
          <w:cols w:num="7" w:equalWidth="0">
            <w:col w:w="1634" w:space="95"/>
            <w:col w:w="676" w:space="44"/>
            <w:col w:w="957" w:space="66"/>
            <w:col w:w="544" w:space="40"/>
            <w:col w:w="1595" w:space="104"/>
            <w:col w:w="3919" w:space="251"/>
            <w:col w:w="1525"/>
          </w:cols>
        </w:sectPr>
      </w:pPr>
    </w:p>
    <w:p>
      <w:pPr>
        <w:spacing w:line="240" w:lineRule="auto" w:before="6"/>
        <w:rPr>
          <w:rFonts w:ascii="Times New Roman" w:hAnsi="Times New Roman" w:cs="Times New Roman" w:eastAsia="Times New Roman" w:hint="default"/>
          <w:sz w:val="16"/>
          <w:szCs w:val="16"/>
        </w:rPr>
      </w:pPr>
    </w:p>
    <w:p>
      <w:pPr>
        <w:pStyle w:val="BodyText"/>
        <w:spacing w:line="310" w:lineRule="atLeast"/>
        <w:ind w:left="135" w:right="398"/>
        <w:jc w:val="left"/>
      </w:pPr>
      <w:r>
        <w:rPr/>
        <w:t>江苏紫金农村 商业银行股份</w:t>
      </w:r>
    </w:p>
    <w:p>
      <w:pPr>
        <w:pStyle w:val="BodyText"/>
        <w:spacing w:line="116" w:lineRule="exact"/>
        <w:ind w:left="0" w:right="0"/>
        <w:jc w:val="right"/>
      </w:pPr>
      <w:r>
        <w:rPr/>
        <w:t>银行</w:t>
      </w:r>
    </w:p>
    <w:p>
      <w:pPr>
        <w:pStyle w:val="BodyText"/>
        <w:spacing w:line="196" w:lineRule="exact"/>
        <w:ind w:left="135" w:right="-20"/>
        <w:jc w:val="left"/>
      </w:pPr>
      <w:r>
        <w:rPr/>
        <w:t>有限公司江宁</w:t>
      </w:r>
    </w:p>
    <w:p>
      <w:pPr>
        <w:pStyle w:val="BodyText"/>
        <w:spacing w:line="240" w:lineRule="auto" w:before="76"/>
        <w:ind w:left="135" w:right="398"/>
        <w:jc w:val="left"/>
      </w:pPr>
      <w:r>
        <w:rPr/>
        <w:t>支行</w:t>
      </w:r>
    </w:p>
    <w:p>
      <w:pPr>
        <w:spacing w:line="240" w:lineRule="auto" w:before="7"/>
        <w:rPr>
          <w:rFonts w:ascii="宋体" w:hAnsi="宋体" w:cs="宋体" w:eastAsia="宋体" w:hint="default"/>
          <w:sz w:val="24"/>
          <w:szCs w:val="24"/>
        </w:rPr>
      </w:pPr>
    </w:p>
    <w:p>
      <w:pPr>
        <w:pStyle w:val="BodyText"/>
        <w:spacing w:line="240" w:lineRule="auto"/>
        <w:ind w:left="135" w:right="-20"/>
        <w:jc w:val="left"/>
      </w:pPr>
      <w:r>
        <w:rPr/>
        <w:t>江苏银行股份</w:t>
      </w:r>
    </w:p>
    <w:p>
      <w:pPr>
        <w:pStyle w:val="BodyText"/>
        <w:spacing w:line="316" w:lineRule="auto" w:before="108"/>
        <w:ind w:left="135" w:right="-20"/>
        <w:jc w:val="left"/>
      </w:pPr>
      <w:r>
        <w:rPr/>
        <w:br w:type="column"/>
      </w:r>
      <w:r>
        <w:rPr/>
        <w:t>结构性 存款</w:t>
      </w:r>
    </w:p>
    <w:p>
      <w:pPr>
        <w:pStyle w:val="BodyText"/>
        <w:spacing w:line="316" w:lineRule="auto" w:before="19"/>
        <w:ind w:left="135" w:right="-20"/>
        <w:jc w:val="left"/>
      </w:pPr>
      <w:r>
        <w:rPr/>
        <w:t>（保证 收益 型）</w:t>
      </w:r>
    </w:p>
    <w:p>
      <w:pPr>
        <w:pStyle w:val="BodyText"/>
        <w:spacing w:line="240" w:lineRule="auto" w:before="129"/>
        <w:ind w:left="135" w:right="-20"/>
        <w:jc w:val="left"/>
      </w:pPr>
      <w:r>
        <w:rPr/>
        <w:t>结构性</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4"/>
          <w:szCs w:val="14"/>
        </w:rPr>
      </w:pPr>
    </w:p>
    <w:p>
      <w:pPr>
        <w:pStyle w:val="BodyText"/>
        <w:spacing w:line="240" w:lineRule="auto"/>
        <w:ind w:left="596" w:right="-20"/>
        <w:jc w:val="left"/>
      </w:pPr>
      <w:r>
        <w:rPr/>
        <w:t>闲置</w:t>
      </w:r>
    </w:p>
    <w:p>
      <w:pPr>
        <w:pStyle w:val="BodyText"/>
        <w:spacing w:line="240" w:lineRule="auto" w:before="76"/>
        <w:ind w:left="135" w:right="-19"/>
        <w:jc w:val="left"/>
      </w:pPr>
      <w:r>
        <w:rPr>
          <w:rFonts w:ascii="Times New Roman" w:hAnsi="Times New Roman" w:cs="Times New Roman" w:eastAsia="Times New Roman" w:hint="default"/>
        </w:rPr>
        <w:t>6,000</w:t>
      </w:r>
      <w:r>
        <w:rPr>
          <w:rFonts w:ascii="Times New Roman" w:hAnsi="Times New Roman" w:cs="Times New Roman" w:eastAsia="Times New Roman" w:hint="default"/>
          <w:spacing w:val="10"/>
        </w:rPr>
        <w:t> </w:t>
      </w:r>
      <w:r>
        <w:rPr/>
        <w:t>募集</w:t>
      </w:r>
    </w:p>
    <w:p>
      <w:pPr>
        <w:pStyle w:val="BodyText"/>
        <w:spacing w:line="240" w:lineRule="auto" w:before="63"/>
        <w:ind w:left="596" w:right="-20"/>
        <w:jc w:val="left"/>
      </w:pPr>
      <w:r>
        <w:rPr/>
        <w:t>资金</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8"/>
          <w:szCs w:val="18"/>
        </w:rPr>
      </w:pPr>
    </w:p>
    <w:p>
      <w:pPr>
        <w:pStyle w:val="BodyText"/>
        <w:spacing w:line="240" w:lineRule="auto"/>
        <w:ind w:left="596" w:right="-20"/>
        <w:jc w:val="left"/>
      </w:pPr>
      <w:r>
        <w:rPr/>
        <w:t>闲置</w:t>
      </w:r>
    </w:p>
    <w:p>
      <w:pPr>
        <w:spacing w:line="240" w:lineRule="auto" w:before="5"/>
        <w:rPr>
          <w:rFonts w:ascii="宋体" w:hAnsi="宋体" w:cs="宋体" w:eastAsia="宋体" w:hint="default"/>
          <w:sz w:val="23"/>
          <w:szCs w:val="23"/>
        </w:rPr>
      </w:pPr>
      <w:r>
        <w:rPr/>
        <w:br w:type="column"/>
      </w:r>
      <w:r>
        <w:rPr>
          <w:rFonts w:ascii="宋体"/>
          <w:sz w:val="23"/>
        </w:rPr>
      </w:r>
    </w:p>
    <w:p>
      <w:pPr>
        <w:pStyle w:val="BodyText"/>
        <w:spacing w:line="240" w:lineRule="auto"/>
        <w:ind w:left="135" w:right="-19"/>
        <w:jc w:val="left"/>
        <w:rPr>
          <w:rFonts w:ascii="Times New Roman" w:hAnsi="Times New Roman" w:cs="Times New Roman" w:eastAsia="Times New Roman" w:hint="default"/>
        </w:rPr>
      </w:pPr>
      <w:r>
        <w:rPr>
          <w:rFonts w:ascii="Times New Roman"/>
        </w:rPr>
        <w:t>2019</w:t>
      </w:r>
    </w:p>
    <w:p>
      <w:pPr>
        <w:pStyle w:val="BodyText"/>
        <w:spacing w:line="240" w:lineRule="auto" w:before="63"/>
        <w:ind w:left="135" w:right="-19"/>
        <w:jc w:val="left"/>
        <w:rPr>
          <w:rFonts w:ascii="Times New Roman" w:hAnsi="Times New Roman" w:cs="Times New Roman" w:eastAsia="Times New Roman" w:hint="default"/>
        </w:rPr>
      </w:pPr>
      <w:r>
        <w:rPr/>
        <w:t>年</w:t>
      </w:r>
      <w:r>
        <w:rPr>
          <w:spacing w:val="-43"/>
        </w:rPr>
        <w:t> </w:t>
      </w:r>
      <w:r>
        <w:rPr>
          <w:rFonts w:ascii="Times New Roman" w:hAnsi="Times New Roman" w:cs="Times New Roman" w:eastAsia="Times New Roman" w:hint="default"/>
        </w:rPr>
        <w:t>09</w:t>
      </w:r>
    </w:p>
    <w:p>
      <w:pPr>
        <w:pStyle w:val="BodyText"/>
        <w:spacing w:line="240" w:lineRule="auto" w:before="63"/>
        <w:ind w:left="135" w:right="-19"/>
        <w:jc w:val="left"/>
        <w:rPr>
          <w:rFonts w:ascii="Times New Roman" w:hAnsi="Times New Roman" w:cs="Times New Roman" w:eastAsia="Times New Roman" w:hint="default"/>
        </w:rPr>
      </w:pPr>
      <w:r>
        <w:rPr/>
        <w:t>月</w:t>
      </w:r>
      <w:r>
        <w:rPr>
          <w:spacing w:val="-43"/>
        </w:rPr>
        <w:t> </w:t>
      </w:r>
      <w:r>
        <w:rPr>
          <w:rFonts w:ascii="Times New Roman" w:hAnsi="Times New Roman" w:cs="Times New Roman" w:eastAsia="Times New Roman" w:hint="default"/>
        </w:rPr>
        <w:t>10</w:t>
      </w:r>
    </w:p>
    <w:p>
      <w:pPr>
        <w:pStyle w:val="BodyText"/>
        <w:spacing w:line="240" w:lineRule="auto" w:before="63"/>
        <w:ind w:left="135" w:right="-19"/>
        <w:jc w:val="left"/>
      </w:pPr>
      <w:r>
        <w:rPr/>
        <w:t>日</w:t>
      </w:r>
    </w:p>
    <w:p>
      <w:pPr>
        <w:spacing w:line="240" w:lineRule="auto" w:before="0"/>
        <w:rPr>
          <w:rFonts w:ascii="宋体" w:hAnsi="宋体" w:cs="宋体" w:eastAsia="宋体" w:hint="default"/>
          <w:sz w:val="18"/>
          <w:szCs w:val="18"/>
        </w:rPr>
      </w:pPr>
    </w:p>
    <w:p>
      <w:pPr>
        <w:pStyle w:val="BodyText"/>
        <w:spacing w:line="240" w:lineRule="auto" w:before="149"/>
        <w:ind w:left="135" w:right="-19"/>
        <w:jc w:val="left"/>
        <w:rPr>
          <w:rFonts w:ascii="Times New Roman" w:hAnsi="Times New Roman" w:cs="Times New Roman" w:eastAsia="Times New Roman" w:hint="default"/>
        </w:rPr>
      </w:pPr>
      <w:r>
        <w:rPr>
          <w:rFonts w:ascii="Times New Roman"/>
        </w:rPr>
        <w:t>2019</w:t>
      </w:r>
    </w:p>
    <w:p>
      <w:pPr>
        <w:spacing w:line="240" w:lineRule="auto" w:before="7"/>
        <w:rPr>
          <w:rFonts w:ascii="Times New Roman" w:hAnsi="Times New Roman" w:cs="Times New Roman" w:eastAsia="Times New Roman" w:hint="default"/>
          <w:sz w:val="26"/>
          <w:szCs w:val="26"/>
        </w:rPr>
      </w:pPr>
      <w:r>
        <w:rPr/>
        <w:br w:type="column"/>
      </w:r>
      <w:r>
        <w:rPr>
          <w:rFonts w:ascii="Times New Roman"/>
          <w:sz w:val="26"/>
        </w:rPr>
      </w:r>
    </w:p>
    <w:p>
      <w:pPr>
        <w:pStyle w:val="BodyText"/>
        <w:spacing w:line="160" w:lineRule="exact"/>
        <w:ind w:left="111" w:right="0"/>
        <w:jc w:val="left"/>
        <w:rPr>
          <w:rFonts w:ascii="Times New Roman" w:hAnsi="Times New Roman" w:cs="Times New Roman" w:eastAsia="Times New Roman" w:hint="default"/>
        </w:rPr>
      </w:pPr>
      <w:r>
        <w:rPr>
          <w:rFonts w:ascii="Times New Roman"/>
        </w:rPr>
        <w:t>2019</w:t>
      </w:r>
    </w:p>
    <w:p>
      <w:pPr>
        <w:pStyle w:val="BodyText"/>
        <w:spacing w:line="149" w:lineRule="exact"/>
        <w:ind w:left="110" w:right="0"/>
        <w:jc w:val="center"/>
      </w:pPr>
      <w:r>
        <w:rPr/>
        <w:t>结构</w:t>
      </w:r>
    </w:p>
    <w:p>
      <w:pPr>
        <w:pStyle w:val="BodyText"/>
        <w:tabs>
          <w:tab w:pos="1234" w:val="left" w:leader="none"/>
        </w:tabs>
        <w:spacing w:line="151" w:lineRule="auto" w:before="38"/>
        <w:ind w:left="672" w:right="0" w:hanging="562"/>
        <w:jc w:val="left"/>
      </w:pPr>
      <w:r>
        <w:rPr/>
        <w:t>年</w:t>
      </w:r>
      <w:r>
        <w:rPr>
          <w:spacing w:val="-44"/>
        </w:rPr>
        <w:t> </w:t>
      </w:r>
      <w:r>
        <w:rPr>
          <w:rFonts w:ascii="Times New Roman" w:hAnsi="Times New Roman" w:cs="Times New Roman" w:eastAsia="Times New Roman" w:hint="default"/>
        </w:rPr>
        <w:t>12</w:t>
        <w:tab/>
        <w:tab/>
      </w:r>
      <w:r>
        <w:rPr/>
        <w:t>协议 性存</w:t>
      </w:r>
    </w:p>
    <w:p>
      <w:pPr>
        <w:pStyle w:val="BodyText"/>
        <w:tabs>
          <w:tab w:pos="1234" w:val="left" w:leader="none"/>
        </w:tabs>
        <w:spacing w:line="151" w:lineRule="auto" w:before="7"/>
        <w:ind w:left="672" w:right="0" w:hanging="562"/>
        <w:jc w:val="left"/>
      </w:pPr>
      <w:r>
        <w:rPr/>
        <w:t>月</w:t>
      </w:r>
      <w:r>
        <w:rPr>
          <w:spacing w:val="-44"/>
        </w:rPr>
        <w:t> </w:t>
      </w:r>
      <w:r>
        <w:rPr>
          <w:rFonts w:ascii="Times New Roman" w:hAnsi="Times New Roman" w:cs="Times New Roman" w:eastAsia="Times New Roman" w:hint="default"/>
        </w:rPr>
        <w:t>10</w:t>
        <w:tab/>
        <w:tab/>
      </w:r>
      <w:r>
        <w:rPr/>
        <w:t>约定 款</w:t>
      </w:r>
    </w:p>
    <w:p>
      <w:pPr>
        <w:pStyle w:val="BodyText"/>
        <w:spacing w:line="165" w:lineRule="exact"/>
        <w:ind w:left="111" w:right="0"/>
        <w:jc w:val="left"/>
      </w:pPr>
      <w:r>
        <w:rPr/>
        <w:t>日</w:t>
      </w:r>
    </w:p>
    <w:p>
      <w:pPr>
        <w:spacing w:line="240" w:lineRule="auto" w:before="9"/>
        <w:rPr>
          <w:rFonts w:ascii="宋体" w:hAnsi="宋体" w:cs="宋体" w:eastAsia="宋体" w:hint="default"/>
          <w:sz w:val="24"/>
          <w:szCs w:val="24"/>
        </w:rPr>
      </w:pPr>
    </w:p>
    <w:p>
      <w:pPr>
        <w:pStyle w:val="BodyText"/>
        <w:tabs>
          <w:tab w:pos="672" w:val="left" w:leader="none"/>
        </w:tabs>
        <w:spacing w:line="212" w:lineRule="exact"/>
        <w:ind w:left="111" w:right="0"/>
        <w:jc w:val="left"/>
      </w:pPr>
      <w:r>
        <w:rPr>
          <w:rFonts w:ascii="Times New Roman" w:hAnsi="Times New Roman" w:cs="Times New Roman" w:eastAsia="Times New Roman" w:hint="default"/>
        </w:rPr>
        <w:t>2020</w:t>
        <w:tab/>
      </w:r>
      <w:r>
        <w:rPr>
          <w:position w:val="2"/>
        </w:rPr>
        <w:t>结构</w:t>
      </w:r>
      <w:r>
        <w:rPr/>
      </w:r>
    </w:p>
    <w:p>
      <w:pPr>
        <w:pStyle w:val="BodyText"/>
        <w:spacing w:line="154" w:lineRule="exact"/>
        <w:ind w:left="0" w:right="0"/>
        <w:jc w:val="right"/>
      </w:pPr>
      <w:r>
        <w:rPr/>
        <w:t>协议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pStyle w:val="BodyText"/>
        <w:tabs>
          <w:tab w:pos="1434" w:val="left" w:leader="none"/>
          <w:tab w:pos="3171" w:val="left" w:leader="none"/>
          <w:tab w:pos="3738" w:val="left" w:leader="none"/>
        </w:tabs>
        <w:spacing w:line="240" w:lineRule="auto"/>
        <w:ind w:left="135" w:right="-20"/>
        <w:jc w:val="left"/>
      </w:pPr>
      <w:r>
        <w:rPr>
          <w:rFonts w:ascii="Times New Roman" w:hAnsi="Times New Roman" w:cs="Times New Roman" w:eastAsia="Times New Roman" w:hint="default"/>
        </w:rPr>
        <w:t>3.80%  </w:t>
      </w:r>
      <w:r>
        <w:rPr>
          <w:rFonts w:ascii="Times New Roman" w:hAnsi="Times New Roman" w:cs="Times New Roman" w:eastAsia="Times New Roman" w:hint="default"/>
          <w:spacing w:val="19"/>
        </w:rPr>
        <w:t> </w:t>
      </w:r>
      <w:r>
        <w:rPr>
          <w:rFonts w:ascii="Times New Roman" w:hAnsi="Times New Roman" w:cs="Times New Roman" w:eastAsia="Times New Roman" w:hint="default"/>
        </w:rPr>
        <w:t>57.63</w:t>
        <w:tab/>
        <w:t>57.63</w:t>
      </w:r>
      <w:r>
        <w:rPr>
          <w:rFonts w:ascii="Times New Roman" w:hAnsi="Times New Roman" w:cs="Times New Roman" w:eastAsia="Times New Roman" w:hint="default"/>
          <w:spacing w:val="10"/>
        </w:rPr>
        <w:t> </w:t>
      </w:r>
      <w:r>
        <w:rPr/>
        <w:t>已收回</w:t>
        <w:tab/>
        <w:t>是</w:t>
        <w:tab/>
        <w:t>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3"/>
          <w:szCs w:val="23"/>
        </w:rPr>
      </w:pPr>
    </w:p>
    <w:p>
      <w:pPr>
        <w:pStyle w:val="BodyText"/>
        <w:spacing w:line="240" w:lineRule="auto"/>
        <w:ind w:left="1875" w:right="1416"/>
        <w:jc w:val="center"/>
      </w:pP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p>
    <w:p>
      <w:pPr>
        <w:pStyle w:val="BodyText"/>
        <w:spacing w:line="316" w:lineRule="auto" w:before="108"/>
        <w:ind w:left="135" w:right="665"/>
        <w:jc w:val="both"/>
      </w:pPr>
      <w:r>
        <w:rPr/>
        <w:br w:type="column"/>
      </w:r>
      <w:r>
        <w:rPr/>
        <w:t>巨潮资讯 网，公告 编号</w:t>
      </w:r>
    </w:p>
    <w:p>
      <w:pPr>
        <w:pStyle w:val="BodyText"/>
        <w:spacing w:line="240" w:lineRule="auto" w:before="19"/>
        <w:ind w:left="135" w:right="0"/>
        <w:jc w:val="both"/>
      </w:pPr>
      <w:r>
        <w:rPr>
          <w:rFonts w:ascii="Times New Roman" w:hAnsi="Times New Roman" w:cs="Times New Roman" w:eastAsia="Times New Roman" w:hint="default"/>
        </w:rPr>
        <w:t>2019-083</w:t>
      </w:r>
      <w:r>
        <w:rPr/>
        <w:t>、</w:t>
      </w:r>
    </w:p>
    <w:p>
      <w:pPr>
        <w:pStyle w:val="BodyText"/>
        <w:spacing w:line="240" w:lineRule="auto" w:before="105"/>
        <w:ind w:left="135" w:right="0"/>
        <w:jc w:val="both"/>
        <w:rPr>
          <w:rFonts w:ascii="Times New Roman" w:hAnsi="Times New Roman" w:cs="Times New Roman" w:eastAsia="Times New Roman" w:hint="default"/>
        </w:rPr>
      </w:pPr>
      <w:r>
        <w:rPr>
          <w:rFonts w:ascii="Times New Roman"/>
        </w:rPr>
        <w:t>2019-107</w:t>
      </w:r>
    </w:p>
    <w:p>
      <w:pPr>
        <w:spacing w:line="240" w:lineRule="auto" w:before="1"/>
        <w:rPr>
          <w:rFonts w:ascii="Times New Roman" w:hAnsi="Times New Roman" w:cs="Times New Roman" w:eastAsia="Times New Roman" w:hint="default"/>
          <w:sz w:val="15"/>
          <w:szCs w:val="15"/>
        </w:rPr>
      </w:pPr>
    </w:p>
    <w:p>
      <w:pPr>
        <w:pStyle w:val="BodyText"/>
        <w:spacing w:line="240" w:lineRule="auto"/>
        <w:ind w:left="135" w:right="0"/>
        <w:jc w:val="both"/>
      </w:pPr>
      <w:r>
        <w:rPr/>
        <w:t>巨潮资讯</w:t>
      </w:r>
    </w:p>
    <w:p>
      <w:pPr>
        <w:spacing w:after="0" w:line="240" w:lineRule="auto"/>
        <w:jc w:val="both"/>
        <w:sectPr>
          <w:type w:val="continuous"/>
          <w:pgSz w:w="11910" w:h="16840"/>
          <w:pgMar w:top="1060" w:bottom="1160" w:left="460" w:right="0"/>
          <w:cols w:num="7" w:equalWidth="0">
            <w:col w:w="1634" w:space="95"/>
            <w:col w:w="676" w:space="44"/>
            <w:col w:w="957" w:space="66"/>
            <w:col w:w="544" w:space="40"/>
            <w:col w:w="1595" w:space="104"/>
            <w:col w:w="3919" w:space="251"/>
            <w:col w:w="1525"/>
          </w:cols>
        </w:sectPr>
      </w:pPr>
    </w:p>
    <w:p>
      <w:pPr>
        <w:pStyle w:val="BodyText"/>
        <w:spacing w:line="180" w:lineRule="exact"/>
        <w:ind w:left="135" w:right="-20"/>
        <w:jc w:val="left"/>
      </w:pPr>
      <w:r>
        <w:rPr/>
        <w:pict>
          <v:group style="position:absolute;margin-left:28.08pt;margin-top:71.759979pt;width:539.3pt;height:694.8pt;mso-position-horizontal-relative:page;mso-position-vertical-relative:page;z-index:-1329376" coordorigin="562,1435" coordsize="10786,13896">
            <v:group style="position:absolute;left:571;top:4392;width:1129;height:2" coordorigin="571,4392" coordsize="1129,2">
              <v:shape style="position:absolute;left:571;top:4392;width:1129;height:2" coordorigin="571,4392" coordsize="1129,0" path="m571,4392l1700,4392e" filled="false" stroked="true" strokeweight=".48pt" strokecolor="#000000">
                <v:path arrowok="t"/>
              </v:shape>
            </v:group>
            <v:group style="position:absolute;left:1709;top:4392;width:581;height:2" coordorigin="1709,4392" coordsize="581,2">
              <v:shape style="position:absolute;left:1709;top:4392;width:581;height:2" coordorigin="1709,4392" coordsize="581,0" path="m1709,4392l2290,4392e" filled="false" stroked="true" strokeweight=".48pt" strokecolor="#000000">
                <v:path arrowok="t"/>
              </v:shape>
            </v:group>
            <v:group style="position:absolute;left:2300;top:4392;width:598;height:2" coordorigin="2300,4392" coordsize="598,2">
              <v:shape style="position:absolute;left:2300;top:4392;width:598;height:2" coordorigin="2300,4392" coordsize="598,0" path="m2300,4392l2897,4392e" filled="false" stroked="true" strokeweight=".48pt" strokecolor="#000000">
                <v:path arrowok="t"/>
              </v:shape>
            </v:group>
            <v:group style="position:absolute;left:2907;top:4392;width:565;height:2" coordorigin="2907,4392" coordsize="565,2">
              <v:shape style="position:absolute;left:2907;top:4392;width:565;height:2" coordorigin="2907,4392" coordsize="565,0" path="m2907,4392l3471,4392e" filled="false" stroked="true" strokeweight=".48pt" strokecolor="#000000">
                <v:path arrowok="t"/>
              </v:shape>
            </v:group>
            <v:group style="position:absolute;left:3481;top:4392;width:552;height:2" coordorigin="3481,4392" coordsize="552,2">
              <v:shape style="position:absolute;left:3481;top:4392;width:552;height:2" coordorigin="3481,4392" coordsize="552,0" path="m3481,4392l4033,4392e" filled="false" stroked="true" strokeweight=".48pt" strokecolor="#000000">
                <v:path arrowok="t"/>
              </v:shape>
            </v:group>
            <v:group style="position:absolute;left:4043;top:4392;width:550;height:2" coordorigin="4043,4392" coordsize="550,2">
              <v:shape style="position:absolute;left:4043;top:4392;width:550;height:2" coordorigin="4043,4392" coordsize="550,0" path="m4043,4392l4592,4392e" filled="false" stroked="true" strokeweight=".48pt" strokecolor="#000000">
                <v:path arrowok="t"/>
              </v:shape>
            </v:group>
            <v:group style="position:absolute;left:4602;top:4392;width:552;height:2" coordorigin="4602,4392" coordsize="552,2">
              <v:shape style="position:absolute;left:4602;top:4392;width:552;height:2" coordorigin="4602,4392" coordsize="552,0" path="m4602,4392l5154,4392e" filled="false" stroked="true" strokeweight=".48pt" strokecolor="#000000">
                <v:path arrowok="t"/>
              </v:shape>
            </v:group>
            <v:group style="position:absolute;left:5163;top:4392;width:553;height:2" coordorigin="5163,4392" coordsize="553,2">
              <v:shape style="position:absolute;left:5163;top:4392;width:553;height:2" coordorigin="5163,4392" coordsize="553,0" path="m5163,4392l5716,4392e" filled="false" stroked="true" strokeweight=".48pt" strokecolor="#000000">
                <v:path arrowok="t"/>
              </v:shape>
            </v:group>
            <v:group style="position:absolute;left:5725;top:4392;width:552;height:2" coordorigin="5725,4392" coordsize="552,2">
              <v:shape style="position:absolute;left:5725;top:4392;width:552;height:2" coordorigin="5725,4392" coordsize="552,0" path="m5725,4392l6277,4392e" filled="false" stroked="true" strokeweight=".48pt" strokecolor="#000000">
                <v:path arrowok="t"/>
              </v:shape>
            </v:group>
            <v:group style="position:absolute;left:6287;top:4392;width:550;height:2" coordorigin="6287,4392" coordsize="550,2">
              <v:shape style="position:absolute;left:6287;top:4392;width:550;height:2" coordorigin="6287,4392" coordsize="550,0" path="m6287,4392l6837,4392e" filled="false" stroked="true" strokeweight=".48pt" strokecolor="#000000">
                <v:path arrowok="t"/>
              </v:shape>
            </v:group>
            <v:group style="position:absolute;left:6846;top:4392;width:552;height:2" coordorigin="6846,4392" coordsize="552,2">
              <v:shape style="position:absolute;left:6846;top:4392;width:552;height:2" coordorigin="6846,4392" coordsize="552,0" path="m6846,4392l7398,4392e" filled="false" stroked="true" strokeweight=".48pt" strokecolor="#000000">
                <v:path arrowok="t"/>
              </v:shape>
            </v:group>
            <v:group style="position:absolute;left:7408;top:4392;width:668;height:2" coordorigin="7408,4392" coordsize="668,2">
              <v:shape style="position:absolute;left:7408;top:4392;width:668;height:2" coordorigin="7408,4392" coordsize="668,0" path="m7408,4392l8075,4392e" filled="false" stroked="true" strokeweight=".48pt" strokecolor="#000000">
                <v:path arrowok="t"/>
              </v:shape>
            </v:group>
            <v:group style="position:absolute;left:8085;top:4392;width:701;height:2" coordorigin="8085,4392" coordsize="701,2">
              <v:shape style="position:absolute;left:8085;top:4392;width:701;height:2" coordorigin="8085,4392" coordsize="701,0" path="m8085,4392l8786,4392e" filled="false" stroked="true" strokeweight=".48pt" strokecolor="#000000">
                <v:path arrowok="t"/>
              </v:shape>
            </v:group>
            <v:group style="position:absolute;left:8796;top:4392;width:557;height:2" coordorigin="8796,4392" coordsize="557,2">
              <v:shape style="position:absolute;left:8796;top:4392;width:557;height:2" coordorigin="8796,4392" coordsize="557,0" path="m8796,4392l9352,4392e" filled="false" stroked="true" strokeweight=".48pt" strokecolor="#000000">
                <v:path arrowok="t"/>
              </v:shape>
            </v:group>
            <v:group style="position:absolute;left:9362;top:4392;width:558;height:2" coordorigin="9362,4392" coordsize="558,2">
              <v:shape style="position:absolute;left:9362;top:4392;width:558;height:2" coordorigin="9362,4392" coordsize="558,0" path="m9362,4392l9919,4392e" filled="false" stroked="true" strokeweight=".48pt" strokecolor="#000000">
                <v:path arrowok="t"/>
              </v:shape>
            </v:group>
            <v:group style="position:absolute;left:9929;top:4392;width:557;height:2" coordorigin="9929,4392" coordsize="557,2">
              <v:shape style="position:absolute;left:9929;top:4392;width:557;height:2" coordorigin="9929,4392" coordsize="557,0" path="m9929,4392l10486,4392e" filled="false" stroked="true" strokeweight=".48pt" strokecolor="#000000">
                <v:path arrowok="t"/>
              </v:shape>
            </v:group>
            <v:group style="position:absolute;left:10495;top:4392;width:843;height:2" coordorigin="10495,4392" coordsize="843,2">
              <v:shape style="position:absolute;left:10495;top:4392;width:843;height:2" coordorigin="10495,4392" coordsize="843,0" path="m10495,4392l11338,4392e" filled="false" stroked="true" strokeweight=".48pt" strokecolor="#000000">
                <v:path arrowok="t"/>
              </v:shape>
            </v:group>
            <v:group style="position:absolute;left:571;top:6044;width:1129;height:2" coordorigin="571,6044" coordsize="1129,2">
              <v:shape style="position:absolute;left:571;top:6044;width:1129;height:2" coordorigin="571,6044" coordsize="1129,0" path="m571,6044l1700,6044e" filled="false" stroked="true" strokeweight=".47998pt" strokecolor="#000000">
                <v:path arrowok="t"/>
              </v:shape>
            </v:group>
            <v:group style="position:absolute;left:1709;top:6044;width:581;height:2" coordorigin="1709,6044" coordsize="581,2">
              <v:shape style="position:absolute;left:1709;top:6044;width:581;height:2" coordorigin="1709,6044" coordsize="581,0" path="m1709,6044l2290,6044e" filled="false" stroked="true" strokeweight=".47998pt" strokecolor="#000000">
                <v:path arrowok="t"/>
              </v:shape>
            </v:group>
            <v:group style="position:absolute;left:2300;top:6044;width:598;height:2" coordorigin="2300,6044" coordsize="598,2">
              <v:shape style="position:absolute;left:2300;top:6044;width:598;height:2" coordorigin="2300,6044" coordsize="598,0" path="m2300,6044l2897,6044e" filled="false" stroked="true" strokeweight=".47998pt" strokecolor="#000000">
                <v:path arrowok="t"/>
              </v:shape>
            </v:group>
            <v:group style="position:absolute;left:2907;top:6044;width:565;height:2" coordorigin="2907,6044" coordsize="565,2">
              <v:shape style="position:absolute;left:2907;top:6044;width:565;height:2" coordorigin="2907,6044" coordsize="565,0" path="m2907,6044l3471,6044e" filled="false" stroked="true" strokeweight=".47998pt" strokecolor="#000000">
                <v:path arrowok="t"/>
              </v:shape>
            </v:group>
            <v:group style="position:absolute;left:3481;top:6044;width:552;height:2" coordorigin="3481,6044" coordsize="552,2">
              <v:shape style="position:absolute;left:3481;top:6044;width:552;height:2" coordorigin="3481,6044" coordsize="552,0" path="m3481,6044l4033,6044e" filled="false" stroked="true" strokeweight=".47998pt" strokecolor="#000000">
                <v:path arrowok="t"/>
              </v:shape>
            </v:group>
            <v:group style="position:absolute;left:4043;top:6044;width:550;height:2" coordorigin="4043,6044" coordsize="550,2">
              <v:shape style="position:absolute;left:4043;top:6044;width:550;height:2" coordorigin="4043,6044" coordsize="550,0" path="m4043,6044l4592,6044e" filled="false" stroked="true" strokeweight=".47998pt" strokecolor="#000000">
                <v:path arrowok="t"/>
              </v:shape>
            </v:group>
            <v:group style="position:absolute;left:4602;top:6044;width:552;height:2" coordorigin="4602,6044" coordsize="552,2">
              <v:shape style="position:absolute;left:4602;top:6044;width:552;height:2" coordorigin="4602,6044" coordsize="552,0" path="m4602,6044l5154,6044e" filled="false" stroked="true" strokeweight=".47998pt" strokecolor="#000000">
                <v:path arrowok="t"/>
              </v:shape>
            </v:group>
            <v:group style="position:absolute;left:5163;top:6044;width:553;height:2" coordorigin="5163,6044" coordsize="553,2">
              <v:shape style="position:absolute;left:5163;top:6044;width:553;height:2" coordorigin="5163,6044" coordsize="553,0" path="m5163,6044l5716,6044e" filled="false" stroked="true" strokeweight=".47998pt" strokecolor="#000000">
                <v:path arrowok="t"/>
              </v:shape>
            </v:group>
            <v:group style="position:absolute;left:5725;top:6044;width:552;height:2" coordorigin="5725,6044" coordsize="552,2">
              <v:shape style="position:absolute;left:5725;top:6044;width:552;height:2" coordorigin="5725,6044" coordsize="552,0" path="m5725,6044l6277,6044e" filled="false" stroked="true" strokeweight=".47998pt" strokecolor="#000000">
                <v:path arrowok="t"/>
              </v:shape>
            </v:group>
            <v:group style="position:absolute;left:6287;top:6044;width:550;height:2" coordorigin="6287,6044" coordsize="550,2">
              <v:shape style="position:absolute;left:6287;top:6044;width:550;height:2" coordorigin="6287,6044" coordsize="550,0" path="m6287,6044l6837,6044e" filled="false" stroked="true" strokeweight=".47998pt" strokecolor="#000000">
                <v:path arrowok="t"/>
              </v:shape>
            </v:group>
            <v:group style="position:absolute;left:6846;top:6044;width:552;height:2" coordorigin="6846,6044" coordsize="552,2">
              <v:shape style="position:absolute;left:6846;top:6044;width:552;height:2" coordorigin="6846,6044" coordsize="552,0" path="m6846,6044l7398,6044e" filled="false" stroked="true" strokeweight=".47998pt" strokecolor="#000000">
                <v:path arrowok="t"/>
              </v:shape>
            </v:group>
            <v:group style="position:absolute;left:7408;top:6044;width:668;height:2" coordorigin="7408,6044" coordsize="668,2">
              <v:shape style="position:absolute;left:7408;top:6044;width:668;height:2" coordorigin="7408,6044" coordsize="668,0" path="m7408,6044l8075,6044e" filled="false" stroked="true" strokeweight=".47998pt" strokecolor="#000000">
                <v:path arrowok="t"/>
              </v:shape>
            </v:group>
            <v:group style="position:absolute;left:8085;top:6044;width:701;height:2" coordorigin="8085,6044" coordsize="701,2">
              <v:shape style="position:absolute;left:8085;top:6044;width:701;height:2" coordorigin="8085,6044" coordsize="701,0" path="m8085,6044l8786,6044e" filled="false" stroked="true" strokeweight=".47998pt" strokecolor="#000000">
                <v:path arrowok="t"/>
              </v:shape>
            </v:group>
            <v:group style="position:absolute;left:8796;top:6044;width:557;height:2" coordorigin="8796,6044" coordsize="557,2">
              <v:shape style="position:absolute;left:8796;top:6044;width:557;height:2" coordorigin="8796,6044" coordsize="557,0" path="m8796,6044l9352,6044e" filled="false" stroked="true" strokeweight=".47998pt" strokecolor="#000000">
                <v:path arrowok="t"/>
              </v:shape>
            </v:group>
            <v:group style="position:absolute;left:9362;top:6044;width:558;height:2" coordorigin="9362,6044" coordsize="558,2">
              <v:shape style="position:absolute;left:9362;top:6044;width:558;height:2" coordorigin="9362,6044" coordsize="558,0" path="m9362,6044l9919,6044e" filled="false" stroked="true" strokeweight=".47998pt" strokecolor="#000000">
                <v:path arrowok="t"/>
              </v:shape>
            </v:group>
            <v:group style="position:absolute;left:9929;top:6044;width:557;height:2" coordorigin="9929,6044" coordsize="557,2">
              <v:shape style="position:absolute;left:9929;top:6044;width:557;height:2" coordorigin="9929,6044" coordsize="557,0" path="m9929,6044l10486,6044e" filled="false" stroked="true" strokeweight=".47998pt" strokecolor="#000000">
                <v:path arrowok="t"/>
              </v:shape>
            </v:group>
            <v:group style="position:absolute;left:10495;top:6044;width:843;height:2" coordorigin="10495,6044" coordsize="843,2">
              <v:shape style="position:absolute;left:10495;top:6044;width:843;height:2" coordorigin="10495,6044" coordsize="843,0" path="m10495,6044l11338,6044e" filled="false" stroked="true" strokeweight=".47998pt" strokecolor="#000000">
                <v:path arrowok="t"/>
              </v:shape>
            </v:group>
            <v:group style="position:absolute;left:571;top:7693;width:1129;height:2" coordorigin="571,7693" coordsize="1129,2">
              <v:shape style="position:absolute;left:571;top:7693;width:1129;height:2" coordorigin="571,7693" coordsize="1129,0" path="m571,7693l1700,7693e" filled="false" stroked="true" strokeweight=".48001pt" strokecolor="#000000">
                <v:path arrowok="t"/>
              </v:shape>
            </v:group>
            <v:group style="position:absolute;left:1709;top:7693;width:581;height:2" coordorigin="1709,7693" coordsize="581,2">
              <v:shape style="position:absolute;left:1709;top:7693;width:581;height:2" coordorigin="1709,7693" coordsize="581,0" path="m1709,7693l2290,7693e" filled="false" stroked="true" strokeweight=".48001pt" strokecolor="#000000">
                <v:path arrowok="t"/>
              </v:shape>
            </v:group>
            <v:group style="position:absolute;left:2300;top:7693;width:598;height:2" coordorigin="2300,7693" coordsize="598,2">
              <v:shape style="position:absolute;left:2300;top:7693;width:598;height:2" coordorigin="2300,7693" coordsize="598,0" path="m2300,7693l2897,7693e" filled="false" stroked="true" strokeweight=".48001pt" strokecolor="#000000">
                <v:path arrowok="t"/>
              </v:shape>
            </v:group>
            <v:group style="position:absolute;left:2907;top:7693;width:565;height:2" coordorigin="2907,7693" coordsize="565,2">
              <v:shape style="position:absolute;left:2907;top:7693;width:565;height:2" coordorigin="2907,7693" coordsize="565,0" path="m2907,7693l3471,7693e" filled="false" stroked="true" strokeweight=".48001pt" strokecolor="#000000">
                <v:path arrowok="t"/>
              </v:shape>
            </v:group>
            <v:group style="position:absolute;left:3481;top:7693;width:552;height:2" coordorigin="3481,7693" coordsize="552,2">
              <v:shape style="position:absolute;left:3481;top:7693;width:552;height:2" coordorigin="3481,7693" coordsize="552,0" path="m3481,7693l4033,7693e" filled="false" stroked="true" strokeweight=".48001pt" strokecolor="#000000">
                <v:path arrowok="t"/>
              </v:shape>
            </v:group>
            <v:group style="position:absolute;left:4043;top:7693;width:550;height:2" coordorigin="4043,7693" coordsize="550,2">
              <v:shape style="position:absolute;left:4043;top:7693;width:550;height:2" coordorigin="4043,7693" coordsize="550,0" path="m4043,7693l4592,7693e" filled="false" stroked="true" strokeweight=".48001pt" strokecolor="#000000">
                <v:path arrowok="t"/>
              </v:shape>
            </v:group>
            <v:group style="position:absolute;left:4602;top:7693;width:552;height:2" coordorigin="4602,7693" coordsize="552,2">
              <v:shape style="position:absolute;left:4602;top:7693;width:552;height:2" coordorigin="4602,7693" coordsize="552,0" path="m4602,7693l5154,7693e" filled="false" stroked="true" strokeweight=".48001pt" strokecolor="#000000">
                <v:path arrowok="t"/>
              </v:shape>
            </v:group>
            <v:group style="position:absolute;left:5163;top:7693;width:553;height:2" coordorigin="5163,7693" coordsize="553,2">
              <v:shape style="position:absolute;left:5163;top:7693;width:553;height:2" coordorigin="5163,7693" coordsize="553,0" path="m5163,7693l5716,7693e" filled="false" stroked="true" strokeweight=".48001pt" strokecolor="#000000">
                <v:path arrowok="t"/>
              </v:shape>
            </v:group>
            <v:group style="position:absolute;left:5725;top:7693;width:552;height:2" coordorigin="5725,7693" coordsize="552,2">
              <v:shape style="position:absolute;left:5725;top:7693;width:552;height:2" coordorigin="5725,7693" coordsize="552,0" path="m5725,7693l6277,7693e" filled="false" stroked="true" strokeweight=".48001pt" strokecolor="#000000">
                <v:path arrowok="t"/>
              </v:shape>
            </v:group>
            <v:group style="position:absolute;left:6287;top:7693;width:550;height:2" coordorigin="6287,7693" coordsize="550,2">
              <v:shape style="position:absolute;left:6287;top:7693;width:550;height:2" coordorigin="6287,7693" coordsize="550,0" path="m6287,7693l6837,7693e" filled="false" stroked="true" strokeweight=".48001pt" strokecolor="#000000">
                <v:path arrowok="t"/>
              </v:shape>
            </v:group>
            <v:group style="position:absolute;left:6846;top:7693;width:552;height:2" coordorigin="6846,7693" coordsize="552,2">
              <v:shape style="position:absolute;left:6846;top:7693;width:552;height:2" coordorigin="6846,7693" coordsize="552,0" path="m6846,7693l7398,7693e" filled="false" stroked="true" strokeweight=".48001pt" strokecolor="#000000">
                <v:path arrowok="t"/>
              </v:shape>
            </v:group>
            <v:group style="position:absolute;left:7408;top:7693;width:668;height:2" coordorigin="7408,7693" coordsize="668,2">
              <v:shape style="position:absolute;left:7408;top:7693;width:668;height:2" coordorigin="7408,7693" coordsize="668,0" path="m7408,7693l8075,7693e" filled="false" stroked="true" strokeweight=".48001pt" strokecolor="#000000">
                <v:path arrowok="t"/>
              </v:shape>
            </v:group>
            <v:group style="position:absolute;left:8085;top:7693;width:701;height:2" coordorigin="8085,7693" coordsize="701,2">
              <v:shape style="position:absolute;left:8085;top:7693;width:701;height:2" coordorigin="8085,7693" coordsize="701,0" path="m8085,7693l8786,7693e" filled="false" stroked="true" strokeweight=".48001pt" strokecolor="#000000">
                <v:path arrowok="t"/>
              </v:shape>
            </v:group>
            <v:group style="position:absolute;left:8796;top:7693;width:557;height:2" coordorigin="8796,7693" coordsize="557,2">
              <v:shape style="position:absolute;left:8796;top:7693;width:557;height:2" coordorigin="8796,7693" coordsize="557,0" path="m8796,7693l9352,7693e" filled="false" stroked="true" strokeweight=".48001pt" strokecolor="#000000">
                <v:path arrowok="t"/>
              </v:shape>
            </v:group>
            <v:group style="position:absolute;left:9362;top:7693;width:558;height:2" coordorigin="9362,7693" coordsize="558,2">
              <v:shape style="position:absolute;left:9362;top:7693;width:558;height:2" coordorigin="9362,7693" coordsize="558,0" path="m9362,7693l9919,7693e" filled="false" stroked="true" strokeweight=".48001pt" strokecolor="#000000">
                <v:path arrowok="t"/>
              </v:shape>
            </v:group>
            <v:group style="position:absolute;left:9929;top:7693;width:557;height:2" coordorigin="9929,7693" coordsize="557,2">
              <v:shape style="position:absolute;left:9929;top:7693;width:557;height:2" coordorigin="9929,7693" coordsize="557,0" path="m9929,7693l10486,7693e" filled="false" stroked="true" strokeweight=".48001pt" strokecolor="#000000">
                <v:path arrowok="t"/>
              </v:shape>
            </v:group>
            <v:group style="position:absolute;left:10495;top:7693;width:843;height:2" coordorigin="10495,7693" coordsize="843,2">
              <v:shape style="position:absolute;left:10495;top:7693;width:843;height:2" coordorigin="10495,7693" coordsize="843,0" path="m10495,7693l11338,7693e" filled="false" stroked="true" strokeweight=".48001pt" strokecolor="#000000">
                <v:path arrowok="t"/>
              </v:shape>
            </v:group>
            <v:group style="position:absolute;left:571;top:9345;width:1129;height:2" coordorigin="571,9345" coordsize="1129,2">
              <v:shape style="position:absolute;left:571;top:9345;width:1129;height:2" coordorigin="571,9345" coordsize="1129,0" path="m571,9345l1700,9345e" filled="false" stroked="true" strokeweight=".48001pt" strokecolor="#000000">
                <v:path arrowok="t"/>
              </v:shape>
            </v:group>
            <v:group style="position:absolute;left:1709;top:9345;width:581;height:2" coordorigin="1709,9345" coordsize="581,2">
              <v:shape style="position:absolute;left:1709;top:9345;width:581;height:2" coordorigin="1709,9345" coordsize="581,0" path="m1709,9345l2290,9345e" filled="false" stroked="true" strokeweight=".48001pt" strokecolor="#000000">
                <v:path arrowok="t"/>
              </v:shape>
            </v:group>
            <v:group style="position:absolute;left:2300;top:9345;width:598;height:2" coordorigin="2300,9345" coordsize="598,2">
              <v:shape style="position:absolute;left:2300;top:9345;width:598;height:2" coordorigin="2300,9345" coordsize="598,0" path="m2300,9345l2897,9345e" filled="false" stroked="true" strokeweight=".48001pt" strokecolor="#000000">
                <v:path arrowok="t"/>
              </v:shape>
            </v:group>
            <v:group style="position:absolute;left:2907;top:9345;width:565;height:2" coordorigin="2907,9345" coordsize="565,2">
              <v:shape style="position:absolute;left:2907;top:9345;width:565;height:2" coordorigin="2907,9345" coordsize="565,0" path="m2907,9345l3471,9345e" filled="false" stroked="true" strokeweight=".48001pt" strokecolor="#000000">
                <v:path arrowok="t"/>
              </v:shape>
            </v:group>
            <v:group style="position:absolute;left:3481;top:9345;width:552;height:2" coordorigin="3481,9345" coordsize="552,2">
              <v:shape style="position:absolute;left:3481;top:9345;width:552;height:2" coordorigin="3481,9345" coordsize="552,0" path="m3481,9345l4033,9345e" filled="false" stroked="true" strokeweight=".48001pt" strokecolor="#000000">
                <v:path arrowok="t"/>
              </v:shape>
            </v:group>
            <v:group style="position:absolute;left:4043;top:9345;width:550;height:2" coordorigin="4043,9345" coordsize="550,2">
              <v:shape style="position:absolute;left:4043;top:9345;width:550;height:2" coordorigin="4043,9345" coordsize="550,0" path="m4043,9345l4592,9345e" filled="false" stroked="true" strokeweight=".48001pt" strokecolor="#000000">
                <v:path arrowok="t"/>
              </v:shape>
            </v:group>
            <v:group style="position:absolute;left:4602;top:9345;width:552;height:2" coordorigin="4602,9345" coordsize="552,2">
              <v:shape style="position:absolute;left:4602;top:9345;width:552;height:2" coordorigin="4602,9345" coordsize="552,0" path="m4602,9345l5154,9345e" filled="false" stroked="true" strokeweight=".48001pt" strokecolor="#000000">
                <v:path arrowok="t"/>
              </v:shape>
            </v:group>
            <v:group style="position:absolute;left:5163;top:9345;width:553;height:2" coordorigin="5163,9345" coordsize="553,2">
              <v:shape style="position:absolute;left:5163;top:9345;width:553;height:2" coordorigin="5163,9345" coordsize="553,0" path="m5163,9345l5716,9345e" filled="false" stroked="true" strokeweight=".48001pt" strokecolor="#000000">
                <v:path arrowok="t"/>
              </v:shape>
            </v:group>
            <v:group style="position:absolute;left:5725;top:9345;width:552;height:2" coordorigin="5725,9345" coordsize="552,2">
              <v:shape style="position:absolute;left:5725;top:9345;width:552;height:2" coordorigin="5725,9345" coordsize="552,0" path="m5725,9345l6277,9345e" filled="false" stroked="true" strokeweight=".48001pt" strokecolor="#000000">
                <v:path arrowok="t"/>
              </v:shape>
            </v:group>
            <v:group style="position:absolute;left:6287;top:9345;width:550;height:2" coordorigin="6287,9345" coordsize="550,2">
              <v:shape style="position:absolute;left:6287;top:9345;width:550;height:2" coordorigin="6287,9345" coordsize="550,0" path="m6287,9345l6837,9345e" filled="false" stroked="true" strokeweight=".48001pt" strokecolor="#000000">
                <v:path arrowok="t"/>
              </v:shape>
            </v:group>
            <v:group style="position:absolute;left:6846;top:9345;width:552;height:2" coordorigin="6846,9345" coordsize="552,2">
              <v:shape style="position:absolute;left:6846;top:9345;width:552;height:2" coordorigin="6846,9345" coordsize="552,0" path="m6846,9345l7398,9345e" filled="false" stroked="true" strokeweight=".48001pt" strokecolor="#000000">
                <v:path arrowok="t"/>
              </v:shape>
            </v:group>
            <v:group style="position:absolute;left:7408;top:9345;width:668;height:2" coordorigin="7408,9345" coordsize="668,2">
              <v:shape style="position:absolute;left:7408;top:9345;width:668;height:2" coordorigin="7408,9345" coordsize="668,0" path="m7408,9345l8075,9345e" filled="false" stroked="true" strokeweight=".48001pt" strokecolor="#000000">
                <v:path arrowok="t"/>
              </v:shape>
            </v:group>
            <v:group style="position:absolute;left:8085;top:9345;width:701;height:2" coordorigin="8085,9345" coordsize="701,2">
              <v:shape style="position:absolute;left:8085;top:9345;width:701;height:2" coordorigin="8085,9345" coordsize="701,0" path="m8085,9345l8786,9345e" filled="false" stroked="true" strokeweight=".48001pt" strokecolor="#000000">
                <v:path arrowok="t"/>
              </v:shape>
            </v:group>
            <v:group style="position:absolute;left:8796;top:9345;width:557;height:2" coordorigin="8796,9345" coordsize="557,2">
              <v:shape style="position:absolute;left:8796;top:9345;width:557;height:2" coordorigin="8796,9345" coordsize="557,0" path="m8796,9345l9352,9345e" filled="false" stroked="true" strokeweight=".48001pt" strokecolor="#000000">
                <v:path arrowok="t"/>
              </v:shape>
            </v:group>
            <v:group style="position:absolute;left:9362;top:9345;width:558;height:2" coordorigin="9362,9345" coordsize="558,2">
              <v:shape style="position:absolute;left:9362;top:9345;width:558;height:2" coordorigin="9362,9345" coordsize="558,0" path="m9362,9345l9919,9345e" filled="false" stroked="true" strokeweight=".48001pt" strokecolor="#000000">
                <v:path arrowok="t"/>
              </v:shape>
            </v:group>
            <v:group style="position:absolute;left:9929;top:9345;width:557;height:2" coordorigin="9929,9345" coordsize="557,2">
              <v:shape style="position:absolute;left:9929;top:9345;width:557;height:2" coordorigin="9929,9345" coordsize="557,0" path="m9929,9345l10486,9345e" filled="false" stroked="true" strokeweight=".48001pt" strokecolor="#000000">
                <v:path arrowok="t"/>
              </v:shape>
            </v:group>
            <v:group style="position:absolute;left:10495;top:9345;width:843;height:2" coordorigin="10495,9345" coordsize="843,2">
              <v:shape style="position:absolute;left:10495;top:9345;width:843;height:2" coordorigin="10495,9345" coordsize="843,0" path="m10495,9345l11338,9345e" filled="false" stroked="true" strokeweight=".48001pt" strokecolor="#000000">
                <v:path arrowok="t"/>
              </v:shape>
            </v:group>
            <v:group style="position:absolute;left:571;top:10993;width:1129;height:2" coordorigin="571,10993" coordsize="1129,2">
              <v:shape style="position:absolute;left:571;top:10993;width:1129;height:2" coordorigin="571,10993" coordsize="1129,0" path="m571,10993l1700,10993e" filled="false" stroked="true" strokeweight=".47998pt" strokecolor="#000000">
                <v:path arrowok="t"/>
              </v:shape>
            </v:group>
            <v:group style="position:absolute;left:1709;top:10993;width:581;height:2" coordorigin="1709,10993" coordsize="581,2">
              <v:shape style="position:absolute;left:1709;top:10993;width:581;height:2" coordorigin="1709,10993" coordsize="581,0" path="m1709,10993l2290,10993e" filled="false" stroked="true" strokeweight=".47998pt" strokecolor="#000000">
                <v:path arrowok="t"/>
              </v:shape>
            </v:group>
            <v:group style="position:absolute;left:2300;top:10993;width:598;height:2" coordorigin="2300,10993" coordsize="598,2">
              <v:shape style="position:absolute;left:2300;top:10993;width:598;height:2" coordorigin="2300,10993" coordsize="598,0" path="m2300,10993l2897,10993e" filled="false" stroked="true" strokeweight=".47998pt" strokecolor="#000000">
                <v:path arrowok="t"/>
              </v:shape>
            </v:group>
            <v:group style="position:absolute;left:2907;top:10993;width:565;height:2" coordorigin="2907,10993" coordsize="565,2">
              <v:shape style="position:absolute;left:2907;top:10993;width:565;height:2" coordorigin="2907,10993" coordsize="565,0" path="m2907,10993l3471,10993e" filled="false" stroked="true" strokeweight=".47998pt" strokecolor="#000000">
                <v:path arrowok="t"/>
              </v:shape>
            </v:group>
            <v:group style="position:absolute;left:3481;top:10993;width:552;height:2" coordorigin="3481,10993" coordsize="552,2">
              <v:shape style="position:absolute;left:3481;top:10993;width:552;height:2" coordorigin="3481,10993" coordsize="552,0" path="m3481,10993l4033,10993e" filled="false" stroked="true" strokeweight=".47998pt" strokecolor="#000000">
                <v:path arrowok="t"/>
              </v:shape>
            </v:group>
            <v:group style="position:absolute;left:4043;top:10993;width:550;height:2" coordorigin="4043,10993" coordsize="550,2">
              <v:shape style="position:absolute;left:4043;top:10993;width:550;height:2" coordorigin="4043,10993" coordsize="550,0" path="m4043,10993l4592,10993e" filled="false" stroked="true" strokeweight=".47998pt" strokecolor="#000000">
                <v:path arrowok="t"/>
              </v:shape>
            </v:group>
            <v:group style="position:absolute;left:4602;top:10993;width:552;height:2" coordorigin="4602,10993" coordsize="552,2">
              <v:shape style="position:absolute;left:4602;top:10993;width:552;height:2" coordorigin="4602,10993" coordsize="552,0" path="m4602,10993l5154,10993e" filled="false" stroked="true" strokeweight=".47998pt" strokecolor="#000000">
                <v:path arrowok="t"/>
              </v:shape>
            </v:group>
            <v:group style="position:absolute;left:5163;top:10993;width:553;height:2" coordorigin="5163,10993" coordsize="553,2">
              <v:shape style="position:absolute;left:5163;top:10993;width:553;height:2" coordorigin="5163,10993" coordsize="553,0" path="m5163,10993l5716,10993e" filled="false" stroked="true" strokeweight=".47998pt" strokecolor="#000000">
                <v:path arrowok="t"/>
              </v:shape>
            </v:group>
            <v:group style="position:absolute;left:5725;top:10993;width:552;height:2" coordorigin="5725,10993" coordsize="552,2">
              <v:shape style="position:absolute;left:5725;top:10993;width:552;height:2" coordorigin="5725,10993" coordsize="552,0" path="m5725,10993l6277,10993e" filled="false" stroked="true" strokeweight=".47998pt" strokecolor="#000000">
                <v:path arrowok="t"/>
              </v:shape>
            </v:group>
            <v:group style="position:absolute;left:6287;top:10993;width:550;height:2" coordorigin="6287,10993" coordsize="550,2">
              <v:shape style="position:absolute;left:6287;top:10993;width:550;height:2" coordorigin="6287,10993" coordsize="550,0" path="m6287,10993l6837,10993e" filled="false" stroked="true" strokeweight=".47998pt" strokecolor="#000000">
                <v:path arrowok="t"/>
              </v:shape>
            </v:group>
            <v:group style="position:absolute;left:6846;top:10993;width:552;height:2" coordorigin="6846,10993" coordsize="552,2">
              <v:shape style="position:absolute;left:6846;top:10993;width:552;height:2" coordorigin="6846,10993" coordsize="552,0" path="m6846,10993l7398,10993e" filled="false" stroked="true" strokeweight=".47998pt" strokecolor="#000000">
                <v:path arrowok="t"/>
              </v:shape>
            </v:group>
            <v:group style="position:absolute;left:7408;top:10993;width:668;height:2" coordorigin="7408,10993" coordsize="668,2">
              <v:shape style="position:absolute;left:7408;top:10993;width:668;height:2" coordorigin="7408,10993" coordsize="668,0" path="m7408,10993l8075,10993e" filled="false" stroked="true" strokeweight=".47998pt" strokecolor="#000000">
                <v:path arrowok="t"/>
              </v:shape>
            </v:group>
            <v:group style="position:absolute;left:8085;top:10993;width:701;height:2" coordorigin="8085,10993" coordsize="701,2">
              <v:shape style="position:absolute;left:8085;top:10993;width:701;height:2" coordorigin="8085,10993" coordsize="701,0" path="m8085,10993l8786,10993e" filled="false" stroked="true" strokeweight=".47998pt" strokecolor="#000000">
                <v:path arrowok="t"/>
              </v:shape>
            </v:group>
            <v:group style="position:absolute;left:8796;top:10993;width:557;height:2" coordorigin="8796,10993" coordsize="557,2">
              <v:shape style="position:absolute;left:8796;top:10993;width:557;height:2" coordorigin="8796,10993" coordsize="557,0" path="m8796,10993l9352,10993e" filled="false" stroked="true" strokeweight=".47998pt" strokecolor="#000000">
                <v:path arrowok="t"/>
              </v:shape>
            </v:group>
            <v:group style="position:absolute;left:9362;top:10993;width:558;height:2" coordorigin="9362,10993" coordsize="558,2">
              <v:shape style="position:absolute;left:9362;top:10993;width:558;height:2" coordorigin="9362,10993" coordsize="558,0" path="m9362,10993l9919,10993e" filled="false" stroked="true" strokeweight=".47998pt" strokecolor="#000000">
                <v:path arrowok="t"/>
              </v:shape>
            </v:group>
            <v:group style="position:absolute;left:9929;top:10993;width:557;height:2" coordorigin="9929,10993" coordsize="557,2">
              <v:shape style="position:absolute;left:9929;top:10993;width:557;height:2" coordorigin="9929,10993" coordsize="557,0" path="m9929,10993l10486,10993e" filled="false" stroked="true" strokeweight=".47998pt" strokecolor="#000000">
                <v:path arrowok="t"/>
              </v:shape>
            </v:group>
            <v:group style="position:absolute;left:10495;top:10993;width:843;height:2" coordorigin="10495,10993" coordsize="843,2">
              <v:shape style="position:absolute;left:10495;top:10993;width:843;height:2" coordorigin="10495,10993" coordsize="843,0" path="m10495,10993l11338,10993e" filled="false" stroked="true" strokeweight=".47998pt" strokecolor="#000000">
                <v:path arrowok="t"/>
              </v:shape>
            </v:group>
            <v:group style="position:absolute;left:571;top:12645;width:1129;height:2" coordorigin="571,12645" coordsize="1129,2">
              <v:shape style="position:absolute;left:571;top:12645;width:1129;height:2" coordorigin="571,12645" coordsize="1129,0" path="m571,12645l1700,12645e" filled="false" stroked="true" strokeweight=".48004pt" strokecolor="#000000">
                <v:path arrowok="t"/>
              </v:shape>
            </v:group>
            <v:group style="position:absolute;left:1709;top:12645;width:581;height:2" coordorigin="1709,12645" coordsize="581,2">
              <v:shape style="position:absolute;left:1709;top:12645;width:581;height:2" coordorigin="1709,12645" coordsize="581,0" path="m1709,12645l2290,12645e" filled="false" stroked="true" strokeweight=".48004pt" strokecolor="#000000">
                <v:path arrowok="t"/>
              </v:shape>
            </v:group>
            <v:group style="position:absolute;left:2300;top:12645;width:598;height:2" coordorigin="2300,12645" coordsize="598,2">
              <v:shape style="position:absolute;left:2300;top:12645;width:598;height:2" coordorigin="2300,12645" coordsize="598,0" path="m2300,12645l2897,12645e" filled="false" stroked="true" strokeweight=".48004pt" strokecolor="#000000">
                <v:path arrowok="t"/>
              </v:shape>
            </v:group>
            <v:group style="position:absolute;left:2907;top:12645;width:565;height:2" coordorigin="2907,12645" coordsize="565,2">
              <v:shape style="position:absolute;left:2907;top:12645;width:565;height:2" coordorigin="2907,12645" coordsize="565,0" path="m2907,12645l3471,12645e" filled="false" stroked="true" strokeweight=".48004pt" strokecolor="#000000">
                <v:path arrowok="t"/>
              </v:shape>
            </v:group>
            <v:group style="position:absolute;left:3481;top:12645;width:552;height:2" coordorigin="3481,12645" coordsize="552,2">
              <v:shape style="position:absolute;left:3481;top:12645;width:552;height:2" coordorigin="3481,12645" coordsize="552,0" path="m3481,12645l4033,12645e" filled="false" stroked="true" strokeweight=".48004pt" strokecolor="#000000">
                <v:path arrowok="t"/>
              </v:shape>
            </v:group>
            <v:group style="position:absolute;left:4043;top:12645;width:550;height:2" coordorigin="4043,12645" coordsize="550,2">
              <v:shape style="position:absolute;left:4043;top:12645;width:550;height:2" coordorigin="4043,12645" coordsize="550,0" path="m4043,12645l4592,12645e" filled="false" stroked="true" strokeweight=".48004pt" strokecolor="#000000">
                <v:path arrowok="t"/>
              </v:shape>
            </v:group>
            <v:group style="position:absolute;left:4602;top:12645;width:552;height:2" coordorigin="4602,12645" coordsize="552,2">
              <v:shape style="position:absolute;left:4602;top:12645;width:552;height:2" coordorigin="4602,12645" coordsize="552,0" path="m4602,12645l5154,12645e" filled="false" stroked="true" strokeweight=".48004pt" strokecolor="#000000">
                <v:path arrowok="t"/>
              </v:shape>
            </v:group>
            <v:group style="position:absolute;left:5163;top:12645;width:553;height:2" coordorigin="5163,12645" coordsize="553,2">
              <v:shape style="position:absolute;left:5163;top:12645;width:553;height:2" coordorigin="5163,12645" coordsize="553,0" path="m5163,12645l5716,12645e" filled="false" stroked="true" strokeweight=".48004pt" strokecolor="#000000">
                <v:path arrowok="t"/>
              </v:shape>
            </v:group>
            <v:group style="position:absolute;left:5725;top:12645;width:552;height:2" coordorigin="5725,12645" coordsize="552,2">
              <v:shape style="position:absolute;left:5725;top:12645;width:552;height:2" coordorigin="5725,12645" coordsize="552,0" path="m5725,12645l6277,12645e" filled="false" stroked="true" strokeweight=".48004pt" strokecolor="#000000">
                <v:path arrowok="t"/>
              </v:shape>
            </v:group>
            <v:group style="position:absolute;left:6287;top:12645;width:550;height:2" coordorigin="6287,12645" coordsize="550,2">
              <v:shape style="position:absolute;left:6287;top:12645;width:550;height:2" coordorigin="6287,12645" coordsize="550,0" path="m6287,12645l6837,12645e" filled="false" stroked="true" strokeweight=".48004pt" strokecolor="#000000">
                <v:path arrowok="t"/>
              </v:shape>
            </v:group>
            <v:group style="position:absolute;left:6846;top:12645;width:552;height:2" coordorigin="6846,12645" coordsize="552,2">
              <v:shape style="position:absolute;left:6846;top:12645;width:552;height:2" coordorigin="6846,12645" coordsize="552,0" path="m6846,12645l7398,12645e" filled="false" stroked="true" strokeweight=".48004pt" strokecolor="#000000">
                <v:path arrowok="t"/>
              </v:shape>
            </v:group>
            <v:group style="position:absolute;left:7408;top:12645;width:668;height:2" coordorigin="7408,12645" coordsize="668,2">
              <v:shape style="position:absolute;left:7408;top:12645;width:668;height:2" coordorigin="7408,12645" coordsize="668,0" path="m7408,12645l8075,12645e" filled="false" stroked="true" strokeweight=".48004pt" strokecolor="#000000">
                <v:path arrowok="t"/>
              </v:shape>
            </v:group>
            <v:group style="position:absolute;left:8085;top:12645;width:701;height:2" coordorigin="8085,12645" coordsize="701,2">
              <v:shape style="position:absolute;left:8085;top:12645;width:701;height:2" coordorigin="8085,12645" coordsize="701,0" path="m8085,12645l8786,12645e" filled="false" stroked="true" strokeweight=".48004pt" strokecolor="#000000">
                <v:path arrowok="t"/>
              </v:shape>
            </v:group>
            <v:group style="position:absolute;left:8796;top:12645;width:557;height:2" coordorigin="8796,12645" coordsize="557,2">
              <v:shape style="position:absolute;left:8796;top:12645;width:557;height:2" coordorigin="8796,12645" coordsize="557,0" path="m8796,12645l9352,12645e" filled="false" stroked="true" strokeweight=".48004pt" strokecolor="#000000">
                <v:path arrowok="t"/>
              </v:shape>
            </v:group>
            <v:group style="position:absolute;left:9362;top:12645;width:558;height:2" coordorigin="9362,12645" coordsize="558,2">
              <v:shape style="position:absolute;left:9362;top:12645;width:558;height:2" coordorigin="9362,12645" coordsize="558,0" path="m9362,12645l9919,12645e" filled="false" stroked="true" strokeweight=".48004pt" strokecolor="#000000">
                <v:path arrowok="t"/>
              </v:shape>
            </v:group>
            <v:group style="position:absolute;left:9929;top:12645;width:557;height:2" coordorigin="9929,12645" coordsize="557,2">
              <v:shape style="position:absolute;left:9929;top:12645;width:557;height:2" coordorigin="9929,12645" coordsize="557,0" path="m9929,12645l10486,12645e" filled="false" stroked="true" strokeweight=".48004pt" strokecolor="#000000">
                <v:path arrowok="t"/>
              </v:shape>
            </v:group>
            <v:group style="position:absolute;left:10495;top:12645;width:843;height:2" coordorigin="10495,12645" coordsize="843,2">
              <v:shape style="position:absolute;left:10495;top:12645;width:843;height:2" coordorigin="10495,12645" coordsize="843,0" path="m10495,12645l11338,12645e" filled="false" stroked="true" strokeweight=".48004pt" strokecolor="#000000">
                <v:path arrowok="t"/>
              </v:shape>
            </v:group>
            <v:group style="position:absolute;left:571;top:14294;width:1129;height:2" coordorigin="571,14294" coordsize="1129,2">
              <v:shape style="position:absolute;left:571;top:14294;width:1129;height:2" coordorigin="571,14294" coordsize="1129,0" path="m571,14294l1700,14294e" filled="false" stroked="true" strokeweight=".48004pt" strokecolor="#000000">
                <v:path arrowok="t"/>
              </v:shape>
            </v:group>
            <v:group style="position:absolute;left:1709;top:14294;width:581;height:2" coordorigin="1709,14294" coordsize="581,2">
              <v:shape style="position:absolute;left:1709;top:14294;width:581;height:2" coordorigin="1709,14294" coordsize="581,0" path="m1709,14294l2290,14294e" filled="false" stroked="true" strokeweight=".48004pt" strokecolor="#000000">
                <v:path arrowok="t"/>
              </v:shape>
            </v:group>
            <v:group style="position:absolute;left:2300;top:14294;width:598;height:2" coordorigin="2300,14294" coordsize="598,2">
              <v:shape style="position:absolute;left:2300;top:14294;width:598;height:2" coordorigin="2300,14294" coordsize="598,0" path="m2300,14294l2897,14294e" filled="false" stroked="true" strokeweight=".48004pt" strokecolor="#000000">
                <v:path arrowok="t"/>
              </v:shape>
            </v:group>
            <v:group style="position:absolute;left:2907;top:14294;width:565;height:2" coordorigin="2907,14294" coordsize="565,2">
              <v:shape style="position:absolute;left:2907;top:14294;width:565;height:2" coordorigin="2907,14294" coordsize="565,0" path="m2907,14294l3471,14294e" filled="false" stroked="true" strokeweight=".48004pt" strokecolor="#000000">
                <v:path arrowok="t"/>
              </v:shape>
            </v:group>
            <v:group style="position:absolute;left:3481;top:14294;width:552;height:2" coordorigin="3481,14294" coordsize="552,2">
              <v:shape style="position:absolute;left:3481;top:14294;width:552;height:2" coordorigin="3481,14294" coordsize="552,0" path="m3481,14294l4033,14294e" filled="false" stroked="true" strokeweight=".48004pt" strokecolor="#000000">
                <v:path arrowok="t"/>
              </v:shape>
            </v:group>
            <v:group style="position:absolute;left:4043;top:14294;width:550;height:2" coordorigin="4043,14294" coordsize="550,2">
              <v:shape style="position:absolute;left:4043;top:14294;width:550;height:2" coordorigin="4043,14294" coordsize="550,0" path="m4043,14294l4592,14294e" filled="false" stroked="true" strokeweight=".48004pt" strokecolor="#000000">
                <v:path arrowok="t"/>
              </v:shape>
            </v:group>
            <v:group style="position:absolute;left:4602;top:14294;width:552;height:2" coordorigin="4602,14294" coordsize="552,2">
              <v:shape style="position:absolute;left:4602;top:14294;width:552;height:2" coordorigin="4602,14294" coordsize="552,0" path="m4602,14294l5154,14294e" filled="false" stroked="true" strokeweight=".48004pt" strokecolor="#000000">
                <v:path arrowok="t"/>
              </v:shape>
            </v:group>
            <v:group style="position:absolute;left:5163;top:14294;width:553;height:2" coordorigin="5163,14294" coordsize="553,2">
              <v:shape style="position:absolute;left:5163;top:14294;width:553;height:2" coordorigin="5163,14294" coordsize="553,0" path="m5163,14294l5716,14294e" filled="false" stroked="true" strokeweight=".48004pt" strokecolor="#000000">
                <v:path arrowok="t"/>
              </v:shape>
            </v:group>
            <v:group style="position:absolute;left:5725;top:14294;width:552;height:2" coordorigin="5725,14294" coordsize="552,2">
              <v:shape style="position:absolute;left:5725;top:14294;width:552;height:2" coordorigin="5725,14294" coordsize="552,0" path="m5725,14294l6277,14294e" filled="false" stroked="true" strokeweight=".48004pt" strokecolor="#000000">
                <v:path arrowok="t"/>
              </v:shape>
            </v:group>
            <v:group style="position:absolute;left:6287;top:14294;width:550;height:2" coordorigin="6287,14294" coordsize="550,2">
              <v:shape style="position:absolute;left:6287;top:14294;width:550;height:2" coordorigin="6287,14294" coordsize="550,0" path="m6287,14294l6837,14294e" filled="false" stroked="true" strokeweight=".48004pt" strokecolor="#000000">
                <v:path arrowok="t"/>
              </v:shape>
            </v:group>
            <v:group style="position:absolute;left:6846;top:14294;width:552;height:2" coordorigin="6846,14294" coordsize="552,2">
              <v:shape style="position:absolute;left:6846;top:14294;width:552;height:2" coordorigin="6846,14294" coordsize="552,0" path="m6846,14294l7398,14294e" filled="false" stroked="true" strokeweight=".48004pt" strokecolor="#000000">
                <v:path arrowok="t"/>
              </v:shape>
            </v:group>
            <v:group style="position:absolute;left:7408;top:14294;width:668;height:2" coordorigin="7408,14294" coordsize="668,2">
              <v:shape style="position:absolute;left:7408;top:14294;width:668;height:2" coordorigin="7408,14294" coordsize="668,0" path="m7408,14294l8075,14294e" filled="false" stroked="true" strokeweight=".48004pt" strokecolor="#000000">
                <v:path arrowok="t"/>
              </v:shape>
            </v:group>
            <v:group style="position:absolute;left:8085;top:14294;width:701;height:2" coordorigin="8085,14294" coordsize="701,2">
              <v:shape style="position:absolute;left:8085;top:14294;width:701;height:2" coordorigin="8085,14294" coordsize="701,0" path="m8085,14294l8786,14294e" filled="false" stroked="true" strokeweight=".48004pt" strokecolor="#000000">
                <v:path arrowok="t"/>
              </v:shape>
            </v:group>
            <v:group style="position:absolute;left:8796;top:14294;width:557;height:2" coordorigin="8796,14294" coordsize="557,2">
              <v:shape style="position:absolute;left:8796;top:14294;width:557;height:2" coordorigin="8796,14294" coordsize="557,0" path="m8796,14294l9352,14294e" filled="false" stroked="true" strokeweight=".48004pt" strokecolor="#000000">
                <v:path arrowok="t"/>
              </v:shape>
            </v:group>
            <v:group style="position:absolute;left:9362;top:14294;width:558;height:2" coordorigin="9362,14294" coordsize="558,2">
              <v:shape style="position:absolute;left:9362;top:14294;width:558;height:2" coordorigin="9362,14294" coordsize="558,0" path="m9362,14294l9919,14294e" filled="false" stroked="true" strokeweight=".48004pt" strokecolor="#000000">
                <v:path arrowok="t"/>
              </v:shape>
            </v:group>
            <v:group style="position:absolute;left:9929;top:14294;width:557;height:2" coordorigin="9929,14294" coordsize="557,2">
              <v:shape style="position:absolute;left:9929;top:14294;width:557;height:2" coordorigin="9929,14294" coordsize="557,0" path="m9929,14294l10486,14294e" filled="false" stroked="true" strokeweight=".48004pt" strokecolor="#000000">
                <v:path arrowok="t"/>
              </v:shape>
            </v:group>
            <v:group style="position:absolute;left:10495;top:14294;width:843;height:2" coordorigin="10495,14294" coordsize="843,2">
              <v:shape style="position:absolute;left:10495;top:14294;width:843;height:2" coordorigin="10495,14294" coordsize="843,0" path="m10495,14294l11338,14294e" filled="false" stroked="true" strokeweight=".48004pt" strokecolor="#000000">
                <v:path arrowok="t"/>
              </v:shape>
            </v:group>
            <v:group style="position:absolute;left:566;top:1440;width:2;height:13886" coordorigin="566,1440" coordsize="2,13886">
              <v:shape style="position:absolute;left:566;top:1440;width:2;height:13886" coordorigin="566,1440" coordsize="0,13886" path="m566,1440l566,15326e" filled="false" stroked="true" strokeweight=".48pt" strokecolor="#000000">
                <v:path arrowok="t"/>
              </v:shape>
            </v:group>
            <v:group style="position:absolute;left:571;top:15321;width:1129;height:2" coordorigin="571,15321" coordsize="1129,2">
              <v:shape style="position:absolute;left:571;top:15321;width:1129;height:2" coordorigin="571,15321" coordsize="1129,0" path="m571,15321l1700,15321e" filled="false" stroked="true" strokeweight=".48004pt" strokecolor="#000000">
                <v:path arrowok="t"/>
              </v:shape>
            </v:group>
            <v:group style="position:absolute;left:1704;top:1440;width:2;height:13886" coordorigin="1704,1440" coordsize="2,13886">
              <v:shape style="position:absolute;left:1704;top:1440;width:2;height:13886" coordorigin="1704,1440" coordsize="0,13886" path="m1704,1440l1704,15326e" filled="false" stroked="true" strokeweight=".48pt" strokecolor="#000000">
                <v:path arrowok="t"/>
              </v:shape>
            </v:group>
            <v:group style="position:absolute;left:1709;top:15321;width:581;height:2" coordorigin="1709,15321" coordsize="581,2">
              <v:shape style="position:absolute;left:1709;top:15321;width:581;height:2" coordorigin="1709,15321" coordsize="581,0" path="m1709,15321l2290,15321e" filled="false" stroked="true" strokeweight=".48004pt" strokecolor="#000000">
                <v:path arrowok="t"/>
              </v:shape>
            </v:group>
            <v:group style="position:absolute;left:2295;top:1440;width:2;height:13886" coordorigin="2295,1440" coordsize="2,13886">
              <v:shape style="position:absolute;left:2295;top:1440;width:2;height:13886" coordorigin="2295,1440" coordsize="0,13886" path="m2295,1440l2295,15326e" filled="false" stroked="true" strokeweight=".48pt" strokecolor="#000000">
                <v:path arrowok="t"/>
              </v:shape>
            </v:group>
            <v:group style="position:absolute;left:2300;top:15321;width:598;height:2" coordorigin="2300,15321" coordsize="598,2">
              <v:shape style="position:absolute;left:2300;top:15321;width:598;height:2" coordorigin="2300,15321" coordsize="598,0" path="m2300,15321l2897,15321e" filled="false" stroked="true" strokeweight=".48004pt" strokecolor="#000000">
                <v:path arrowok="t"/>
              </v:shape>
            </v:group>
            <v:group style="position:absolute;left:2902;top:1440;width:2;height:13886" coordorigin="2902,1440" coordsize="2,13886">
              <v:shape style="position:absolute;left:2902;top:1440;width:2;height:13886" coordorigin="2902,1440" coordsize="0,13886" path="m2902,1440l2902,15326e" filled="false" stroked="true" strokeweight=".48pt" strokecolor="#000000">
                <v:path arrowok="t"/>
              </v:shape>
            </v:group>
            <v:group style="position:absolute;left:2907;top:15321;width:565;height:2" coordorigin="2907,15321" coordsize="565,2">
              <v:shape style="position:absolute;left:2907;top:15321;width:565;height:2" coordorigin="2907,15321" coordsize="565,0" path="m2907,15321l3471,15321e" filled="false" stroked="true" strokeweight=".48004pt" strokecolor="#000000">
                <v:path arrowok="t"/>
              </v:shape>
            </v:group>
            <v:group style="position:absolute;left:3476;top:1440;width:2;height:13886" coordorigin="3476,1440" coordsize="2,13886">
              <v:shape style="position:absolute;left:3476;top:1440;width:2;height:13886" coordorigin="3476,1440" coordsize="0,13886" path="m3476,1440l3476,15326e" filled="false" stroked="true" strokeweight=".48pt" strokecolor="#000000">
                <v:path arrowok="t"/>
              </v:shape>
            </v:group>
            <v:group style="position:absolute;left:3481;top:15321;width:552;height:2" coordorigin="3481,15321" coordsize="552,2">
              <v:shape style="position:absolute;left:3481;top:15321;width:552;height:2" coordorigin="3481,15321" coordsize="552,0" path="m3481,15321l4033,15321e" filled="false" stroked="true" strokeweight=".48004pt" strokecolor="#000000">
                <v:path arrowok="t"/>
              </v:shape>
            </v:group>
            <v:group style="position:absolute;left:4038;top:1440;width:2;height:13886" coordorigin="4038,1440" coordsize="2,13886">
              <v:shape style="position:absolute;left:4038;top:1440;width:2;height:13886" coordorigin="4038,1440" coordsize="0,13886" path="m4038,1440l4038,15326e" filled="false" stroked="true" strokeweight=".48001pt" strokecolor="#000000">
                <v:path arrowok="t"/>
              </v:shape>
            </v:group>
            <v:group style="position:absolute;left:4043;top:15321;width:550;height:2" coordorigin="4043,15321" coordsize="550,2">
              <v:shape style="position:absolute;left:4043;top:15321;width:550;height:2" coordorigin="4043,15321" coordsize="550,0" path="m4043,15321l4592,15321e" filled="false" stroked="true" strokeweight=".48004pt" strokecolor="#000000">
                <v:path arrowok="t"/>
              </v:shape>
            </v:group>
            <v:group style="position:absolute;left:4597;top:1440;width:2;height:13886" coordorigin="4597,1440" coordsize="2,13886">
              <v:shape style="position:absolute;left:4597;top:1440;width:2;height:13886" coordorigin="4597,1440" coordsize="0,13886" path="m4597,1440l4597,15326e" filled="false" stroked="true" strokeweight=".48pt" strokecolor="#000000">
                <v:path arrowok="t"/>
              </v:shape>
            </v:group>
            <v:group style="position:absolute;left:4602;top:15321;width:552;height:2" coordorigin="4602,15321" coordsize="552,2">
              <v:shape style="position:absolute;left:4602;top:15321;width:552;height:2" coordorigin="4602,15321" coordsize="552,0" path="m4602,15321l5154,15321e" filled="false" stroked="true" strokeweight=".48004pt" strokecolor="#000000">
                <v:path arrowok="t"/>
              </v:shape>
            </v:group>
            <v:group style="position:absolute;left:5159;top:1440;width:2;height:13886" coordorigin="5159,1440" coordsize="2,13886">
              <v:shape style="position:absolute;left:5159;top:1440;width:2;height:13886" coordorigin="5159,1440" coordsize="0,13886" path="m5159,1440l5159,15326e" filled="false" stroked="true" strokeweight=".48001pt" strokecolor="#000000">
                <v:path arrowok="t"/>
              </v:shape>
            </v:group>
            <v:group style="position:absolute;left:5163;top:15321;width:553;height:2" coordorigin="5163,15321" coordsize="553,2">
              <v:shape style="position:absolute;left:5163;top:15321;width:553;height:2" coordorigin="5163,15321" coordsize="553,0" path="m5163,15321l5716,15321e" filled="false" stroked="true" strokeweight=".48004pt" strokecolor="#000000">
                <v:path arrowok="t"/>
              </v:shape>
            </v:group>
            <v:group style="position:absolute;left:5721;top:1440;width:2;height:13886" coordorigin="5721,1440" coordsize="2,13886">
              <v:shape style="position:absolute;left:5721;top:1440;width:2;height:13886" coordorigin="5721,1440" coordsize="0,13886" path="m5721,1440l5721,15326e" filled="false" stroked="true" strokeweight=".48001pt" strokecolor="#000000">
                <v:path arrowok="t"/>
              </v:shape>
            </v:group>
            <v:group style="position:absolute;left:5725;top:15321;width:552;height:2" coordorigin="5725,15321" coordsize="552,2">
              <v:shape style="position:absolute;left:5725;top:15321;width:552;height:2" coordorigin="5725,15321" coordsize="552,0" path="m5725,15321l6277,15321e" filled="false" stroked="true" strokeweight=".48004pt" strokecolor="#000000">
                <v:path arrowok="t"/>
              </v:shape>
            </v:group>
            <v:group style="position:absolute;left:6282;top:1440;width:2;height:13886" coordorigin="6282,1440" coordsize="2,13886">
              <v:shape style="position:absolute;left:6282;top:1440;width:2;height:13886" coordorigin="6282,1440" coordsize="0,13886" path="m6282,1440l6282,15326e" filled="false" stroked="true" strokeweight=".47998pt" strokecolor="#000000">
                <v:path arrowok="t"/>
              </v:shape>
            </v:group>
            <v:group style="position:absolute;left:6287;top:15321;width:550;height:2" coordorigin="6287,15321" coordsize="550,2">
              <v:shape style="position:absolute;left:6287;top:15321;width:550;height:2" coordorigin="6287,15321" coordsize="550,0" path="m6287,15321l6837,15321e" filled="false" stroked="true" strokeweight=".48004pt" strokecolor="#000000">
                <v:path arrowok="t"/>
              </v:shape>
            </v:group>
            <v:group style="position:absolute;left:6841;top:1440;width:2;height:13886" coordorigin="6841,1440" coordsize="2,13886">
              <v:shape style="position:absolute;left:6841;top:1440;width:2;height:13886" coordorigin="6841,1440" coordsize="0,13886" path="m6841,1440l6841,15326e" filled="false" stroked="true" strokeweight=".48001pt" strokecolor="#000000">
                <v:path arrowok="t"/>
              </v:shape>
            </v:group>
            <v:group style="position:absolute;left:6846;top:15321;width:552;height:2" coordorigin="6846,15321" coordsize="552,2">
              <v:shape style="position:absolute;left:6846;top:15321;width:552;height:2" coordorigin="6846,15321" coordsize="552,0" path="m6846,15321l7398,15321e" filled="false" stroked="true" strokeweight=".48004pt" strokecolor="#000000">
                <v:path arrowok="t"/>
              </v:shape>
            </v:group>
            <v:group style="position:absolute;left:7403;top:1440;width:2;height:13886" coordorigin="7403,1440" coordsize="2,13886">
              <v:shape style="position:absolute;left:7403;top:1440;width:2;height:13886" coordorigin="7403,1440" coordsize="0,13886" path="m7403,1440l7403,15326e" filled="false" stroked="true" strokeweight=".47998pt" strokecolor="#000000">
                <v:path arrowok="t"/>
              </v:shape>
            </v:group>
            <v:group style="position:absolute;left:7408;top:15321;width:668;height:2" coordorigin="7408,15321" coordsize="668,2">
              <v:shape style="position:absolute;left:7408;top:15321;width:668;height:2" coordorigin="7408,15321" coordsize="668,0" path="m7408,15321l8075,15321e" filled="false" stroked="true" strokeweight=".48004pt" strokecolor="#000000">
                <v:path arrowok="t"/>
              </v:shape>
            </v:group>
            <v:group style="position:absolute;left:8080;top:1440;width:2;height:13886" coordorigin="8080,1440" coordsize="2,13886">
              <v:shape style="position:absolute;left:8080;top:1440;width:2;height:13886" coordorigin="8080,1440" coordsize="0,13886" path="m8080,1440l8080,15326e" filled="false" stroked="true" strokeweight=".48001pt" strokecolor="#000000">
                <v:path arrowok="t"/>
              </v:shape>
            </v:group>
            <v:group style="position:absolute;left:8085;top:15321;width:701;height:2" coordorigin="8085,15321" coordsize="701,2">
              <v:shape style="position:absolute;left:8085;top:15321;width:701;height:2" coordorigin="8085,15321" coordsize="701,0" path="m8085,15321l8786,15321e" filled="false" stroked="true" strokeweight=".48004pt" strokecolor="#000000">
                <v:path arrowok="t"/>
              </v:shape>
            </v:group>
            <v:group style="position:absolute;left:8791;top:1440;width:2;height:13886" coordorigin="8791,1440" coordsize="2,13886">
              <v:shape style="position:absolute;left:8791;top:1440;width:2;height:13886" coordorigin="8791,1440" coordsize="0,13886" path="m8791,1440l8791,15326e" filled="false" stroked="true" strokeweight=".48001pt" strokecolor="#000000">
                <v:path arrowok="t"/>
              </v:shape>
            </v:group>
            <v:group style="position:absolute;left:8796;top:15321;width:557;height:2" coordorigin="8796,15321" coordsize="557,2">
              <v:shape style="position:absolute;left:8796;top:15321;width:557;height:2" coordorigin="8796,15321" coordsize="557,0" path="m8796,15321l9352,15321e" filled="false" stroked="true" strokeweight=".48004pt" strokecolor="#000000">
                <v:path arrowok="t"/>
              </v:shape>
            </v:group>
            <v:group style="position:absolute;left:9357;top:1440;width:2;height:13886" coordorigin="9357,1440" coordsize="2,13886">
              <v:shape style="position:absolute;left:9357;top:1440;width:2;height:13886" coordorigin="9357,1440" coordsize="0,13886" path="m9357,1440l9357,15326e" filled="false" stroked="true" strokeweight=".48001pt" strokecolor="#000000">
                <v:path arrowok="t"/>
              </v:shape>
            </v:group>
            <v:group style="position:absolute;left:9362;top:15321;width:558;height:2" coordorigin="9362,15321" coordsize="558,2">
              <v:shape style="position:absolute;left:9362;top:15321;width:558;height:2" coordorigin="9362,15321" coordsize="558,0" path="m9362,15321l9919,15321e" filled="false" stroked="true" strokeweight=".48004pt" strokecolor="#000000">
                <v:path arrowok="t"/>
              </v:shape>
            </v:group>
            <v:group style="position:absolute;left:9924;top:1440;width:2;height:13886" coordorigin="9924,1440" coordsize="2,13886">
              <v:shape style="position:absolute;left:9924;top:1440;width:2;height:13886" coordorigin="9924,1440" coordsize="0,13886" path="m9924,1440l9924,15326e" filled="false" stroked="true" strokeweight=".48001pt" strokecolor="#000000">
                <v:path arrowok="t"/>
              </v:shape>
            </v:group>
            <v:group style="position:absolute;left:9929;top:15321;width:557;height:2" coordorigin="9929,15321" coordsize="557,2">
              <v:shape style="position:absolute;left:9929;top:15321;width:557;height:2" coordorigin="9929,15321" coordsize="557,0" path="m9929,15321l10486,15321e" filled="false" stroked="true" strokeweight=".48004pt" strokecolor="#000000">
                <v:path arrowok="t"/>
              </v:shape>
            </v:group>
            <v:group style="position:absolute;left:10490;top:1440;width:2;height:13886" coordorigin="10490,1440" coordsize="2,13886">
              <v:shape style="position:absolute;left:10490;top:1440;width:2;height:13886" coordorigin="10490,1440" coordsize="0,13886" path="m10490,1440l10490,15326e" filled="false" stroked="true" strokeweight=".47998pt" strokecolor="#000000">
                <v:path arrowok="t"/>
              </v:shape>
            </v:group>
            <v:group style="position:absolute;left:10495;top:15321;width:843;height:2" coordorigin="10495,15321" coordsize="843,2">
              <v:shape style="position:absolute;left:10495;top:15321;width:843;height:2" coordorigin="10495,15321" coordsize="843,0" path="m10495,15321l11338,15321e" filled="false" stroked="true" strokeweight=".48004pt" strokecolor="#000000">
                <v:path arrowok="t"/>
              </v:shape>
            </v:group>
            <v:group style="position:absolute;left:11342;top:1440;width:2;height:13886" coordorigin="11342,1440" coordsize="2,13886">
              <v:shape style="position:absolute;left:11342;top:1440;width:2;height:13886" coordorigin="11342,1440" coordsize="0,13886" path="m11342,1440l11342,15326e" filled="false" stroked="true" strokeweight=".47998pt" strokecolor="#000000">
                <v:path arrowok="t"/>
              </v:shape>
            </v:group>
            <w10:wrap type="none"/>
          </v:group>
        </w:pict>
      </w:r>
      <w:r>
        <w:rPr/>
        <w:t>有限公司南京</w:t>
      </w:r>
      <w:r>
        <w:rPr>
          <w:spacing w:val="-32"/>
        </w:rPr>
        <w:t> </w:t>
      </w:r>
      <w:r>
        <w:rPr/>
        <w:t>银行</w:t>
      </w:r>
    </w:p>
    <w:p>
      <w:pPr>
        <w:pStyle w:val="BodyText"/>
        <w:spacing w:line="240" w:lineRule="auto" w:before="76"/>
        <w:ind w:left="135" w:right="398"/>
        <w:jc w:val="left"/>
      </w:pPr>
      <w:r>
        <w:rPr/>
        <w:t>城西支行</w:t>
      </w:r>
    </w:p>
    <w:p>
      <w:pPr>
        <w:spacing w:line="199" w:lineRule="exact" w:before="0"/>
        <w:ind w:left="135"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存款</w:t>
      </w:r>
    </w:p>
    <w:p>
      <w:pPr>
        <w:pStyle w:val="BodyText"/>
        <w:spacing w:line="240" w:lineRule="auto" w:before="76"/>
        <w:ind w:left="135" w:right="-20"/>
        <w:jc w:val="left"/>
      </w:pPr>
      <w:r>
        <w:rPr/>
        <w:t>（保本</w:t>
      </w:r>
    </w:p>
    <w:p>
      <w:pPr>
        <w:pStyle w:val="BodyText"/>
        <w:spacing w:line="194" w:lineRule="exact"/>
        <w:ind w:left="135" w:right="-19"/>
        <w:jc w:val="left"/>
      </w:pPr>
      <w:r>
        <w:rPr/>
        <w:br w:type="column"/>
      </w:r>
      <w:r>
        <w:rPr>
          <w:rFonts w:ascii="Times New Roman" w:hAnsi="Times New Roman" w:cs="Times New Roman" w:eastAsia="Times New Roman" w:hint="default"/>
        </w:rPr>
        <w:t>3,800</w:t>
      </w:r>
      <w:r>
        <w:rPr>
          <w:rFonts w:ascii="Times New Roman" w:hAnsi="Times New Roman" w:cs="Times New Roman" w:eastAsia="Times New Roman" w:hint="default"/>
          <w:spacing w:val="10"/>
        </w:rPr>
        <w:t> </w:t>
      </w:r>
      <w:r>
        <w:rPr/>
        <w:t>募集</w:t>
      </w:r>
    </w:p>
    <w:p>
      <w:pPr>
        <w:pStyle w:val="BodyText"/>
        <w:spacing w:line="240" w:lineRule="auto" w:before="63"/>
        <w:ind w:left="596" w:right="-20"/>
        <w:jc w:val="left"/>
      </w:pPr>
      <w:r>
        <w:rPr/>
        <w:t>资金</w:t>
      </w:r>
    </w:p>
    <w:p>
      <w:pPr>
        <w:pStyle w:val="BodyText"/>
        <w:spacing w:line="213" w:lineRule="exact"/>
        <w:ind w:left="135" w:right="-19"/>
        <w:jc w:val="left"/>
        <w:rPr>
          <w:rFonts w:ascii="Times New Roman" w:hAnsi="Times New Roman" w:cs="Times New Roman" w:eastAsia="Times New Roman" w:hint="default"/>
        </w:rPr>
      </w:pPr>
      <w:r>
        <w:rPr/>
        <w:br w:type="column"/>
      </w:r>
      <w:r>
        <w:rPr/>
        <w:t>年</w:t>
      </w:r>
      <w:r>
        <w:rPr>
          <w:spacing w:val="-43"/>
        </w:rPr>
        <w:t> </w:t>
      </w:r>
      <w:r>
        <w:rPr>
          <w:rFonts w:ascii="Times New Roman" w:hAnsi="Times New Roman" w:cs="Times New Roman" w:eastAsia="Times New Roman" w:hint="default"/>
        </w:rPr>
        <w:t>10</w:t>
      </w:r>
    </w:p>
    <w:p>
      <w:pPr>
        <w:pStyle w:val="BodyText"/>
        <w:spacing w:line="240" w:lineRule="auto" w:before="63"/>
        <w:ind w:left="135" w:right="-19"/>
        <w:jc w:val="left"/>
        <w:rPr>
          <w:rFonts w:ascii="Times New Roman" w:hAnsi="Times New Roman" w:cs="Times New Roman" w:eastAsia="Times New Roman" w:hint="default"/>
        </w:rPr>
      </w:pPr>
      <w:r>
        <w:rPr/>
        <w:t>月</w:t>
      </w:r>
      <w:r>
        <w:rPr>
          <w:spacing w:val="-43"/>
        </w:rPr>
        <w:t> </w:t>
      </w:r>
      <w:r>
        <w:rPr>
          <w:rFonts w:ascii="Times New Roman" w:hAnsi="Times New Roman" w:cs="Times New Roman" w:eastAsia="Times New Roman" w:hint="default"/>
        </w:rPr>
        <w:t>10</w:t>
      </w:r>
    </w:p>
    <w:p>
      <w:pPr>
        <w:pStyle w:val="BodyText"/>
        <w:spacing w:line="157" w:lineRule="exact"/>
        <w:ind w:left="111" w:right="0"/>
        <w:jc w:val="left"/>
      </w:pPr>
      <w:r>
        <w:rPr/>
        <w:br w:type="column"/>
      </w:r>
      <w:r>
        <w:rPr/>
        <w:t>年 </w:t>
      </w:r>
      <w:r>
        <w:rPr>
          <w:rFonts w:ascii="Times New Roman" w:hAnsi="Times New Roman" w:cs="Times New Roman" w:eastAsia="Times New Roman" w:hint="default"/>
        </w:rPr>
        <w:t>01 </w:t>
      </w:r>
      <w:r>
        <w:rPr>
          <w:rFonts w:ascii="Times New Roman" w:hAnsi="Times New Roman" w:cs="Times New Roman" w:eastAsia="Times New Roman" w:hint="default"/>
          <w:spacing w:val="20"/>
        </w:rPr>
        <w:t> </w:t>
      </w:r>
      <w:r>
        <w:rPr>
          <w:position w:val="2"/>
        </w:rPr>
        <w:t>性存</w:t>
      </w:r>
      <w:r>
        <w:rPr/>
      </w:r>
    </w:p>
    <w:p>
      <w:pPr>
        <w:pStyle w:val="BodyText"/>
        <w:spacing w:line="139" w:lineRule="exact"/>
        <w:ind w:left="0" w:right="0"/>
        <w:jc w:val="right"/>
      </w:pPr>
      <w:r>
        <w:rPr/>
        <w:t>约定</w:t>
      </w:r>
    </w:p>
    <w:p>
      <w:pPr>
        <w:pStyle w:val="BodyText"/>
        <w:spacing w:line="229" w:lineRule="exact"/>
        <w:ind w:left="111" w:right="0"/>
        <w:jc w:val="left"/>
      </w:pPr>
      <w:r>
        <w:rPr/>
        <w:t>月 </w:t>
      </w:r>
      <w:r>
        <w:rPr>
          <w:rFonts w:ascii="Times New Roman" w:hAnsi="Times New Roman" w:cs="Times New Roman" w:eastAsia="Times New Roman" w:hint="default"/>
        </w:rPr>
        <w:t>10 </w:t>
      </w:r>
      <w:r>
        <w:rPr>
          <w:rFonts w:ascii="Times New Roman" w:hAnsi="Times New Roman" w:cs="Times New Roman" w:eastAsia="Times New Roman" w:hint="default"/>
          <w:spacing w:val="20"/>
        </w:rPr>
        <w:t> </w:t>
      </w:r>
      <w:r>
        <w:rPr>
          <w:position w:val="2"/>
        </w:rPr>
        <w:t>款</w:t>
      </w:r>
      <w:r>
        <w:rPr/>
      </w:r>
    </w:p>
    <w:p>
      <w:pPr>
        <w:pStyle w:val="BodyText"/>
        <w:tabs>
          <w:tab w:pos="845" w:val="left" w:leader="none"/>
        </w:tabs>
        <w:spacing w:line="194" w:lineRule="exact"/>
        <w:ind w:left="135" w:right="-20"/>
        <w:jc w:val="left"/>
        <w:rPr>
          <w:rFonts w:ascii="Times New Roman" w:hAnsi="Times New Roman" w:cs="Times New Roman" w:eastAsia="Times New Roman" w:hint="default"/>
        </w:rPr>
      </w:pPr>
      <w:r>
        <w:rPr/>
        <w:br w:type="column"/>
      </w:r>
      <w:r>
        <w:rPr>
          <w:rFonts w:ascii="Times New Roman"/>
        </w:rPr>
        <w:t>3.60%</w:t>
        <w:tab/>
        <w:t>34.2</w:t>
      </w:r>
    </w:p>
    <w:p>
      <w:pPr>
        <w:pStyle w:val="BodyText"/>
        <w:spacing w:line="194" w:lineRule="exact"/>
        <w:ind w:left="135" w:right="-17"/>
        <w:jc w:val="left"/>
        <w:rPr>
          <w:rFonts w:ascii="Times New Roman" w:hAnsi="Times New Roman" w:cs="Times New Roman" w:eastAsia="Times New Roman" w:hint="default"/>
        </w:rPr>
      </w:pPr>
      <w:r>
        <w:rPr/>
        <w:br w:type="column"/>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10</w:t>
      </w:r>
    </w:p>
    <w:p>
      <w:pPr>
        <w:pStyle w:val="BodyText"/>
        <w:spacing w:line="240" w:lineRule="auto" w:before="63"/>
        <w:ind w:left="135" w:right="-20"/>
        <w:jc w:val="left"/>
      </w:pPr>
      <w:r>
        <w:rPr/>
        <w:t>日收回</w:t>
      </w:r>
    </w:p>
    <w:p>
      <w:pPr>
        <w:pStyle w:val="BodyText"/>
        <w:tabs>
          <w:tab w:pos="701" w:val="left" w:leader="none"/>
          <w:tab w:pos="1268" w:val="left" w:leader="none"/>
        </w:tabs>
        <w:spacing w:line="199" w:lineRule="exact"/>
        <w:ind w:left="135" w:right="0"/>
        <w:jc w:val="left"/>
      </w:pPr>
      <w:r>
        <w:rPr/>
        <w:br w:type="column"/>
      </w:r>
      <w:r>
        <w:rPr>
          <w:position w:val="2"/>
        </w:rPr>
        <w:t>是</w:t>
        <w:tab/>
        <w:t>是</w:t>
        <w:tab/>
      </w:r>
      <w:r>
        <w:rPr/>
        <w:t>网，公告</w:t>
      </w:r>
    </w:p>
    <w:p>
      <w:pPr>
        <w:pStyle w:val="BodyText"/>
        <w:spacing w:line="240" w:lineRule="auto" w:before="76"/>
        <w:ind w:left="1248" w:right="1007"/>
        <w:jc w:val="center"/>
      </w:pPr>
      <w:r>
        <w:rPr/>
        <w:t>编号</w:t>
      </w:r>
    </w:p>
    <w:p>
      <w:pPr>
        <w:spacing w:after="0" w:line="240" w:lineRule="auto"/>
        <w:jc w:val="center"/>
        <w:sectPr>
          <w:type w:val="continuous"/>
          <w:pgSz w:w="11910" w:h="16840"/>
          <w:pgMar w:top="1060" w:bottom="1160" w:left="460" w:right="0"/>
          <w:cols w:num="8" w:equalWidth="0">
            <w:col w:w="1634" w:space="95"/>
            <w:col w:w="676" w:space="44"/>
            <w:col w:w="957" w:space="66"/>
            <w:col w:w="544" w:space="40"/>
            <w:col w:w="1595" w:space="104"/>
            <w:col w:w="1161" w:space="598"/>
            <w:col w:w="676" w:space="601"/>
            <w:col w:w="2659"/>
          </w:cols>
        </w:sectPr>
      </w:pPr>
    </w:p>
    <w:p>
      <w:pPr>
        <w:spacing w:line="240" w:lineRule="auto" w:before="6"/>
        <w:rPr>
          <w:rFonts w:ascii="宋体" w:hAnsi="宋体" w:cs="宋体" w:eastAsia="宋体" w:hint="default"/>
          <w:sz w:val="26"/>
          <w:szCs w:val="26"/>
        </w:rPr>
      </w:pPr>
      <w:r>
        <w:rPr/>
        <w:pict>
          <v:shape style="position:absolute;margin-left:28.08pt;margin-top:71.999985pt;width:539.550pt;height:694.3pt;mso-position-horizontal-relative:page;mso-position-vertical-relative:page;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8"/>
                    <w:gridCol w:w="590"/>
                    <w:gridCol w:w="607"/>
                    <w:gridCol w:w="574"/>
                    <w:gridCol w:w="562"/>
                    <w:gridCol w:w="559"/>
                    <w:gridCol w:w="562"/>
                    <w:gridCol w:w="562"/>
                    <w:gridCol w:w="562"/>
                    <w:gridCol w:w="559"/>
                    <w:gridCol w:w="562"/>
                    <w:gridCol w:w="677"/>
                    <w:gridCol w:w="710"/>
                    <w:gridCol w:w="566"/>
                    <w:gridCol w:w="567"/>
                    <w:gridCol w:w="566"/>
                    <w:gridCol w:w="852"/>
                  </w:tblGrid>
                  <w:tr>
                    <w:trPr>
                      <w:trHeight w:val="675" w:hRule="exact"/>
                    </w:trPr>
                    <w:tc>
                      <w:tcPr>
                        <w:tcW w:w="113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1"/>
                          <w:jc w:val="left"/>
                          <w:rPr>
                            <w:rFonts w:ascii="宋体" w:hAnsi="宋体" w:cs="宋体" w:eastAsia="宋体" w:hint="default"/>
                            <w:sz w:val="18"/>
                            <w:szCs w:val="18"/>
                          </w:rPr>
                        </w:pPr>
                        <w:r>
                          <w:rPr>
                            <w:rFonts w:ascii="宋体" w:hAnsi="宋体" w:cs="宋体" w:eastAsia="宋体" w:hint="default"/>
                            <w:sz w:val="18"/>
                            <w:szCs w:val="18"/>
                          </w:rPr>
                          <w:t>浮动收 益型）</w:t>
                        </w: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2019-096</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2020-012</w:t>
                        </w:r>
                      </w:p>
                    </w:tc>
                  </w:tr>
                  <w:tr>
                    <w:trPr>
                      <w:trHeight w:val="1649"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both"/>
                          <w:rPr>
                            <w:rFonts w:ascii="宋体" w:hAnsi="宋体" w:cs="宋体" w:eastAsia="宋体" w:hint="default"/>
                            <w:sz w:val="18"/>
                            <w:szCs w:val="18"/>
                          </w:rPr>
                        </w:pPr>
                        <w:r>
                          <w:rPr>
                            <w:rFonts w:ascii="宋体" w:hAnsi="宋体" w:cs="宋体" w:eastAsia="宋体" w:hint="default"/>
                            <w:sz w:val="18"/>
                            <w:szCs w:val="18"/>
                          </w:rPr>
                          <w:t>上海浦东发展 银行股份有限 公司南京城西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1"/>
                          <w:jc w:val="both"/>
                          <w:rPr>
                            <w:rFonts w:ascii="宋体" w:hAnsi="宋体" w:cs="宋体" w:eastAsia="宋体" w:hint="default"/>
                            <w:sz w:val="18"/>
                            <w:szCs w:val="18"/>
                          </w:rPr>
                        </w:pPr>
                        <w:r>
                          <w:rPr>
                            <w:rFonts w:ascii="宋体" w:hAnsi="宋体" w:cs="宋体" w:eastAsia="宋体" w:hint="default"/>
                            <w:sz w:val="18"/>
                            <w:szCs w:val="18"/>
                          </w:rPr>
                          <w:t>结构性 存款</w:t>
                        </w:r>
                      </w:p>
                      <w:p>
                        <w:pPr>
                          <w:pStyle w:val="TableParagraph"/>
                          <w:spacing w:line="316" w:lineRule="auto" w:before="19"/>
                          <w:ind w:left="23" w:right="31"/>
                          <w:jc w:val="both"/>
                          <w:rPr>
                            <w:rFonts w:ascii="宋体" w:hAnsi="宋体" w:cs="宋体" w:eastAsia="宋体" w:hint="default"/>
                            <w:sz w:val="18"/>
                            <w:szCs w:val="18"/>
                          </w:rPr>
                        </w:pPr>
                        <w:r>
                          <w:rPr>
                            <w:rFonts w:ascii="宋体" w:hAnsi="宋体" w:cs="宋体" w:eastAsia="宋体" w:hint="default"/>
                            <w:sz w:val="18"/>
                            <w:szCs w:val="18"/>
                          </w:rPr>
                          <w:t>（保本 浮动收 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6"/>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26.7</w:t>
                        </w:r>
                      </w:p>
                    </w:tc>
                    <w:tc>
                      <w:tcPr>
                        <w:tcW w:w="6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0" w:lineRule="auto" w:before="63"/>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 收回</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网，公告 编号 </w:t>
                        </w:r>
                        <w:r>
                          <w:rPr>
                            <w:rFonts w:ascii="Times New Roman" w:hAnsi="Times New Roman" w:cs="Times New Roman" w:eastAsia="Times New Roman" w:hint="default"/>
                            <w:sz w:val="18"/>
                            <w:szCs w:val="18"/>
                          </w:rPr>
                          <w:t>2019-096</w:t>
                        </w:r>
                      </w:p>
                      <w:p>
                        <w:pPr>
                          <w:pStyle w:val="TableParagraph"/>
                          <w:spacing w:line="240" w:lineRule="auto" w:before="81"/>
                          <w:ind w:left="24" w:right="0"/>
                          <w:jc w:val="left"/>
                          <w:rPr>
                            <w:rFonts w:ascii="Times New Roman" w:hAnsi="Times New Roman" w:cs="Times New Roman" w:eastAsia="Times New Roman" w:hint="default"/>
                            <w:sz w:val="18"/>
                            <w:szCs w:val="18"/>
                          </w:rPr>
                        </w:pPr>
                        <w:r>
                          <w:rPr>
                            <w:rFonts w:ascii="Times New Roman"/>
                            <w:sz w:val="18"/>
                          </w:rPr>
                          <w:t>2020-012</w:t>
                        </w:r>
                      </w:p>
                    </w:tc>
                  </w:tr>
                  <w:tr>
                    <w:trPr>
                      <w:trHeight w:val="1652"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2"/>
                          <w:jc w:val="both"/>
                          <w:rPr>
                            <w:rFonts w:ascii="宋体" w:hAnsi="宋体" w:cs="宋体" w:eastAsia="宋体" w:hint="default"/>
                            <w:sz w:val="18"/>
                            <w:szCs w:val="18"/>
                          </w:rPr>
                        </w:pPr>
                        <w:r>
                          <w:rPr>
                            <w:rFonts w:ascii="宋体" w:hAnsi="宋体" w:cs="宋体" w:eastAsia="宋体" w:hint="default"/>
                            <w:sz w:val="18"/>
                            <w:szCs w:val="18"/>
                          </w:rPr>
                          <w:t>南京银行股份 有限公司南京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1"/>
                          <w:jc w:val="left"/>
                          <w:rPr>
                            <w:rFonts w:ascii="宋体" w:hAnsi="宋体" w:cs="宋体" w:eastAsia="宋体" w:hint="default"/>
                            <w:sz w:val="18"/>
                            <w:szCs w:val="18"/>
                          </w:rPr>
                        </w:pPr>
                        <w:r>
                          <w:rPr>
                            <w:rFonts w:ascii="宋体" w:hAnsi="宋体" w:cs="宋体" w:eastAsia="宋体" w:hint="default"/>
                            <w:sz w:val="18"/>
                            <w:szCs w:val="18"/>
                          </w:rPr>
                          <w:t>结构性 存款</w:t>
                        </w:r>
                      </w:p>
                      <w:p>
                        <w:pPr>
                          <w:pStyle w:val="TableParagraph"/>
                          <w:spacing w:line="319" w:lineRule="auto" w:before="19"/>
                          <w:ind w:left="23" w:right="31"/>
                          <w:jc w:val="left"/>
                          <w:rPr>
                            <w:rFonts w:ascii="宋体" w:hAnsi="宋体" w:cs="宋体" w:eastAsia="宋体" w:hint="default"/>
                            <w:sz w:val="18"/>
                            <w:szCs w:val="18"/>
                          </w:rPr>
                        </w:pPr>
                        <w:r>
                          <w:rPr>
                            <w:rFonts w:ascii="宋体" w:hAnsi="宋体" w:cs="宋体" w:eastAsia="宋体" w:hint="default"/>
                            <w:sz w:val="18"/>
                            <w:szCs w:val="18"/>
                          </w:rPr>
                          <w:t>（利率 挂钩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6"/>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163.29</w:t>
                        </w:r>
                      </w:p>
                    </w:tc>
                    <w:tc>
                      <w:tcPr>
                        <w:tcW w:w="6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日收回</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网，公告 编号 </w:t>
                        </w:r>
                        <w:r>
                          <w:rPr>
                            <w:rFonts w:ascii="Times New Roman" w:hAnsi="Times New Roman" w:cs="Times New Roman" w:eastAsia="Times New Roman" w:hint="default"/>
                            <w:sz w:val="18"/>
                            <w:szCs w:val="18"/>
                          </w:rPr>
                          <w:t>2019-096</w:t>
                        </w:r>
                      </w:p>
                      <w:p>
                        <w:pPr>
                          <w:pStyle w:val="TableParagraph"/>
                          <w:spacing w:line="240" w:lineRule="auto" w:before="82"/>
                          <w:ind w:left="24" w:right="0"/>
                          <w:jc w:val="left"/>
                          <w:rPr>
                            <w:rFonts w:ascii="Times New Roman" w:hAnsi="Times New Roman" w:cs="Times New Roman" w:eastAsia="Times New Roman" w:hint="default"/>
                            <w:sz w:val="18"/>
                            <w:szCs w:val="18"/>
                          </w:rPr>
                        </w:pPr>
                        <w:r>
                          <w:rPr>
                            <w:rFonts w:ascii="Times New Roman"/>
                            <w:sz w:val="18"/>
                          </w:rPr>
                          <w:t>2020-012</w:t>
                        </w:r>
                      </w:p>
                    </w:tc>
                  </w:tr>
                  <w:tr>
                    <w:trPr>
                      <w:trHeight w:val="1649"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2"/>
                          <w:jc w:val="both"/>
                          <w:rPr>
                            <w:rFonts w:ascii="宋体" w:hAnsi="宋体" w:cs="宋体" w:eastAsia="宋体" w:hint="default"/>
                            <w:sz w:val="18"/>
                            <w:szCs w:val="18"/>
                          </w:rPr>
                        </w:pPr>
                        <w:r>
                          <w:rPr>
                            <w:rFonts w:ascii="宋体" w:hAnsi="宋体" w:cs="宋体" w:eastAsia="宋体" w:hint="default"/>
                            <w:sz w:val="18"/>
                            <w:szCs w:val="18"/>
                          </w:rPr>
                          <w:t>招商银行股份 有限公司南京 奥体支行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6"/>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3.70%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60.62</w:t>
                        </w:r>
                      </w:p>
                    </w:tc>
                    <w:tc>
                      <w:tcPr>
                        <w:tcW w:w="6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日收回</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网，公告 编号 </w:t>
                        </w:r>
                        <w:r>
                          <w:rPr>
                            <w:rFonts w:ascii="Times New Roman" w:hAnsi="Times New Roman" w:cs="Times New Roman" w:eastAsia="Times New Roman" w:hint="default"/>
                            <w:sz w:val="18"/>
                            <w:szCs w:val="18"/>
                          </w:rPr>
                          <w:t>2019-096</w:t>
                        </w:r>
                      </w:p>
                      <w:p>
                        <w:pPr>
                          <w:pStyle w:val="TableParagraph"/>
                          <w:spacing w:line="240" w:lineRule="auto" w:before="81"/>
                          <w:ind w:left="24" w:right="0"/>
                          <w:jc w:val="left"/>
                          <w:rPr>
                            <w:rFonts w:ascii="Times New Roman" w:hAnsi="Times New Roman" w:cs="Times New Roman" w:eastAsia="Times New Roman" w:hint="default"/>
                            <w:sz w:val="18"/>
                            <w:szCs w:val="18"/>
                          </w:rPr>
                        </w:pPr>
                        <w:r>
                          <w:rPr>
                            <w:rFonts w:ascii="Times New Roman"/>
                            <w:sz w:val="18"/>
                          </w:rPr>
                          <w:t>2020-012</w:t>
                        </w:r>
                      </w:p>
                    </w:tc>
                  </w:tr>
                  <w:tr>
                    <w:trPr>
                      <w:trHeight w:val="1652"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both"/>
                          <w:rPr>
                            <w:rFonts w:ascii="宋体" w:hAnsi="宋体" w:cs="宋体" w:eastAsia="宋体" w:hint="default"/>
                            <w:sz w:val="18"/>
                            <w:szCs w:val="18"/>
                          </w:rPr>
                        </w:pPr>
                        <w:r>
                          <w:rPr>
                            <w:rFonts w:ascii="宋体" w:hAnsi="宋体" w:cs="宋体" w:eastAsia="宋体" w:hint="default"/>
                            <w:sz w:val="18"/>
                            <w:szCs w:val="18"/>
                          </w:rPr>
                          <w:t>上海浦东发展 银行股份有限 公司南京城西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1"/>
                          <w:jc w:val="both"/>
                          <w:rPr>
                            <w:rFonts w:ascii="宋体" w:hAnsi="宋体" w:cs="宋体" w:eastAsia="宋体" w:hint="default"/>
                            <w:sz w:val="18"/>
                            <w:szCs w:val="18"/>
                          </w:rPr>
                        </w:pPr>
                        <w:r>
                          <w:rPr>
                            <w:rFonts w:ascii="宋体" w:hAnsi="宋体" w:cs="宋体" w:eastAsia="宋体" w:hint="default"/>
                            <w:sz w:val="18"/>
                            <w:szCs w:val="18"/>
                          </w:rPr>
                          <w:t>结构性 存款</w:t>
                        </w:r>
                      </w:p>
                      <w:p>
                        <w:pPr>
                          <w:pStyle w:val="TableParagraph"/>
                          <w:spacing w:line="319" w:lineRule="auto" w:before="19"/>
                          <w:ind w:left="23" w:right="31"/>
                          <w:jc w:val="both"/>
                          <w:rPr>
                            <w:rFonts w:ascii="宋体" w:hAnsi="宋体" w:cs="宋体" w:eastAsia="宋体" w:hint="default"/>
                            <w:sz w:val="18"/>
                            <w:szCs w:val="18"/>
                          </w:rPr>
                        </w:pPr>
                        <w:r>
                          <w:rPr>
                            <w:rFonts w:ascii="宋体" w:hAnsi="宋体" w:cs="宋体" w:eastAsia="宋体" w:hint="default"/>
                            <w:sz w:val="18"/>
                            <w:szCs w:val="18"/>
                          </w:rPr>
                          <w:t>（保本 浮动收 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6"/>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w:t>
                        </w:r>
                      </w:p>
                    </w:tc>
                    <w:tc>
                      <w:tcPr>
                        <w:tcW w:w="6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日收回</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exact"/>
                          <w:ind w:left="24"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网，公告 编号 </w:t>
                        </w:r>
                        <w:r>
                          <w:rPr>
                            <w:rFonts w:ascii="Times New Roman" w:hAnsi="Times New Roman" w:cs="Times New Roman" w:eastAsia="Times New Roman" w:hint="default"/>
                            <w:sz w:val="18"/>
                            <w:szCs w:val="18"/>
                          </w:rPr>
                          <w:t>2019-103</w:t>
                        </w:r>
                      </w:p>
                    </w:tc>
                  </w:tr>
                  <w:tr>
                    <w:trPr>
                      <w:trHeight w:val="1649"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both"/>
                          <w:rPr>
                            <w:rFonts w:ascii="宋体" w:hAnsi="宋体" w:cs="宋体" w:eastAsia="宋体" w:hint="default"/>
                            <w:sz w:val="18"/>
                            <w:szCs w:val="18"/>
                          </w:rPr>
                        </w:pPr>
                        <w:r>
                          <w:rPr>
                            <w:rFonts w:ascii="宋体" w:hAnsi="宋体" w:cs="宋体" w:eastAsia="宋体" w:hint="default"/>
                            <w:sz w:val="18"/>
                            <w:szCs w:val="18"/>
                          </w:rPr>
                          <w:t>江苏紫金农村 商业银行股份 有限公司江宁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1"/>
                          <w:jc w:val="left"/>
                          <w:rPr>
                            <w:rFonts w:ascii="宋体" w:hAnsi="宋体" w:cs="宋体" w:eastAsia="宋体" w:hint="default"/>
                            <w:sz w:val="18"/>
                            <w:szCs w:val="18"/>
                          </w:rPr>
                        </w:pPr>
                        <w:r>
                          <w:rPr>
                            <w:rFonts w:ascii="宋体" w:hAnsi="宋体" w:cs="宋体" w:eastAsia="宋体" w:hint="default"/>
                            <w:sz w:val="18"/>
                            <w:szCs w:val="18"/>
                          </w:rPr>
                          <w:t>结构性 存款</w:t>
                        </w:r>
                      </w:p>
                      <w:p>
                        <w:pPr>
                          <w:pStyle w:val="TableParagraph"/>
                          <w:spacing w:line="316" w:lineRule="auto" w:before="19"/>
                          <w:ind w:left="23" w:right="31"/>
                          <w:jc w:val="left"/>
                          <w:rPr>
                            <w:rFonts w:ascii="宋体" w:hAnsi="宋体" w:cs="宋体" w:eastAsia="宋体" w:hint="default"/>
                            <w:sz w:val="18"/>
                            <w:szCs w:val="18"/>
                          </w:rPr>
                        </w:pPr>
                        <w:r>
                          <w:rPr>
                            <w:rFonts w:ascii="宋体" w:hAnsi="宋体" w:cs="宋体" w:eastAsia="宋体" w:hint="default"/>
                            <w:sz w:val="18"/>
                            <w:szCs w:val="18"/>
                          </w:rPr>
                          <w:t>（保证 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6"/>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48.56</w:t>
                        </w:r>
                      </w:p>
                    </w:tc>
                    <w:tc>
                      <w:tcPr>
                        <w:tcW w:w="6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日收回</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exact"/>
                          <w:ind w:left="24"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网，公告 编号 </w:t>
                        </w:r>
                        <w:r>
                          <w:rPr>
                            <w:rFonts w:ascii="Times New Roman" w:hAnsi="Times New Roman" w:cs="Times New Roman" w:eastAsia="Times New Roman" w:hint="default"/>
                            <w:sz w:val="18"/>
                            <w:szCs w:val="18"/>
                          </w:rPr>
                          <w:t>2019-103</w:t>
                        </w:r>
                      </w:p>
                    </w:tc>
                  </w:tr>
                  <w:tr>
                    <w:trPr>
                      <w:trHeight w:val="1652"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both"/>
                          <w:rPr>
                            <w:rFonts w:ascii="宋体" w:hAnsi="宋体" w:cs="宋体" w:eastAsia="宋体" w:hint="default"/>
                            <w:sz w:val="18"/>
                            <w:szCs w:val="18"/>
                          </w:rPr>
                        </w:pPr>
                        <w:r>
                          <w:rPr>
                            <w:rFonts w:ascii="宋体" w:hAnsi="宋体" w:cs="宋体" w:eastAsia="宋体" w:hint="default"/>
                            <w:sz w:val="18"/>
                            <w:szCs w:val="18"/>
                          </w:rPr>
                          <w:t>江苏紫金农村 商业银行股份 有限公司江宁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1"/>
                          <w:jc w:val="left"/>
                          <w:rPr>
                            <w:rFonts w:ascii="宋体" w:hAnsi="宋体" w:cs="宋体" w:eastAsia="宋体" w:hint="default"/>
                            <w:sz w:val="18"/>
                            <w:szCs w:val="18"/>
                          </w:rPr>
                        </w:pPr>
                        <w:r>
                          <w:rPr>
                            <w:rFonts w:ascii="宋体" w:hAnsi="宋体" w:cs="宋体" w:eastAsia="宋体" w:hint="default"/>
                            <w:sz w:val="18"/>
                            <w:szCs w:val="18"/>
                          </w:rPr>
                          <w:t>结构性 存款</w:t>
                        </w:r>
                      </w:p>
                      <w:p>
                        <w:pPr>
                          <w:pStyle w:val="TableParagraph"/>
                          <w:spacing w:line="316" w:lineRule="auto" w:before="19"/>
                          <w:ind w:left="23" w:right="31"/>
                          <w:jc w:val="left"/>
                          <w:rPr>
                            <w:rFonts w:ascii="宋体" w:hAnsi="宋体" w:cs="宋体" w:eastAsia="宋体" w:hint="default"/>
                            <w:sz w:val="18"/>
                            <w:szCs w:val="18"/>
                          </w:rPr>
                        </w:pPr>
                        <w:r>
                          <w:rPr>
                            <w:rFonts w:ascii="宋体" w:hAnsi="宋体" w:cs="宋体" w:eastAsia="宋体" w:hint="default"/>
                            <w:sz w:val="18"/>
                            <w:szCs w:val="18"/>
                          </w:rPr>
                          <w:t>（保证 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6"/>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53.41</w:t>
                        </w:r>
                      </w:p>
                    </w:tc>
                    <w:tc>
                      <w:tcPr>
                        <w:tcW w:w="6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日收回</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exact"/>
                          <w:ind w:left="24"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网，公告 编号 </w:t>
                        </w:r>
                        <w:r>
                          <w:rPr>
                            <w:rFonts w:ascii="Times New Roman" w:hAnsi="Times New Roman" w:cs="Times New Roman" w:eastAsia="Times New Roman" w:hint="default"/>
                            <w:sz w:val="18"/>
                            <w:szCs w:val="18"/>
                          </w:rPr>
                          <w:t>2019-107</w:t>
                        </w:r>
                      </w:p>
                    </w:tc>
                  </w:tr>
                  <w:tr>
                    <w:trPr>
                      <w:trHeight w:val="1649"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2"/>
                          <w:jc w:val="both"/>
                          <w:rPr>
                            <w:rFonts w:ascii="宋体" w:hAnsi="宋体" w:cs="宋体" w:eastAsia="宋体" w:hint="default"/>
                            <w:sz w:val="18"/>
                            <w:szCs w:val="18"/>
                          </w:rPr>
                        </w:pPr>
                        <w:r>
                          <w:rPr>
                            <w:rFonts w:ascii="宋体" w:hAnsi="宋体" w:cs="宋体" w:eastAsia="宋体" w:hint="default"/>
                            <w:sz w:val="18"/>
                            <w:szCs w:val="18"/>
                          </w:rPr>
                          <w:t>民生银行银行 股份有限公司 南京城东支行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1"/>
                          <w:jc w:val="both"/>
                          <w:rPr>
                            <w:rFonts w:ascii="宋体" w:hAnsi="宋体" w:cs="宋体" w:eastAsia="宋体" w:hint="default"/>
                            <w:sz w:val="18"/>
                            <w:szCs w:val="18"/>
                          </w:rPr>
                        </w:pPr>
                        <w:r>
                          <w:rPr>
                            <w:rFonts w:ascii="宋体" w:hAnsi="宋体" w:cs="宋体" w:eastAsia="宋体" w:hint="default"/>
                            <w:sz w:val="18"/>
                            <w:szCs w:val="18"/>
                          </w:rPr>
                          <w:t>结构性 存款</w:t>
                        </w:r>
                      </w:p>
                      <w:p>
                        <w:pPr>
                          <w:pStyle w:val="TableParagraph"/>
                          <w:spacing w:line="316" w:lineRule="auto" w:before="19"/>
                          <w:ind w:left="23" w:right="31"/>
                          <w:jc w:val="both"/>
                          <w:rPr>
                            <w:rFonts w:ascii="宋体" w:hAnsi="宋体" w:cs="宋体" w:eastAsia="宋体" w:hint="default"/>
                            <w:sz w:val="18"/>
                            <w:szCs w:val="18"/>
                          </w:rPr>
                        </w:pPr>
                        <w:r>
                          <w:rPr>
                            <w:rFonts w:ascii="宋体" w:hAnsi="宋体" w:cs="宋体" w:eastAsia="宋体" w:hint="default"/>
                            <w:sz w:val="18"/>
                            <w:szCs w:val="18"/>
                          </w:rPr>
                          <w:t>（保本 保证收 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6"/>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3.75%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w:t>
                        </w:r>
                      </w:p>
                    </w:tc>
                    <w:tc>
                      <w:tcPr>
                        <w:tcW w:w="6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日收回</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2"/>
                          <w:jc w:val="both"/>
                          <w:rPr>
                            <w:rFonts w:ascii="宋体" w:hAnsi="宋体" w:cs="宋体" w:eastAsia="宋体" w:hint="default"/>
                            <w:sz w:val="18"/>
                            <w:szCs w:val="18"/>
                          </w:rPr>
                        </w:pPr>
                        <w:r>
                          <w:rPr>
                            <w:rFonts w:ascii="宋体" w:hAnsi="宋体" w:cs="宋体" w:eastAsia="宋体" w:hint="default"/>
                            <w:sz w:val="18"/>
                            <w:szCs w:val="18"/>
                          </w:rPr>
                          <w:t>中国工商银行 股份有限公司 南京玄武支行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1"/>
                          <w:jc w:val="both"/>
                          <w:rPr>
                            <w:rFonts w:ascii="宋体" w:hAnsi="宋体" w:cs="宋体" w:eastAsia="宋体" w:hint="default"/>
                            <w:sz w:val="18"/>
                            <w:szCs w:val="18"/>
                          </w:rPr>
                        </w:pPr>
                        <w:r>
                          <w:rPr>
                            <w:rFonts w:ascii="宋体" w:hAnsi="宋体" w:cs="宋体" w:eastAsia="宋体" w:hint="default"/>
                            <w:sz w:val="18"/>
                            <w:szCs w:val="18"/>
                          </w:rPr>
                          <w:t>结构性 存款</w:t>
                        </w:r>
                      </w:p>
                      <w:p>
                        <w:pPr>
                          <w:pStyle w:val="TableParagraph"/>
                          <w:spacing w:line="316" w:lineRule="auto" w:before="19"/>
                          <w:ind w:left="23" w:right="31"/>
                          <w:jc w:val="both"/>
                          <w:rPr>
                            <w:rFonts w:ascii="宋体" w:hAnsi="宋体" w:cs="宋体" w:eastAsia="宋体" w:hint="default"/>
                            <w:sz w:val="18"/>
                            <w:szCs w:val="18"/>
                          </w:rPr>
                        </w:pPr>
                        <w:r>
                          <w:rPr>
                            <w:rFonts w:ascii="宋体" w:hAnsi="宋体" w:cs="宋体" w:eastAsia="宋体" w:hint="default"/>
                            <w:sz w:val="18"/>
                            <w:szCs w:val="18"/>
                          </w:rPr>
                          <w:t>（保本 浮动收 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6"/>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3.15%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15.88</w:t>
                        </w:r>
                      </w:p>
                    </w:tc>
                    <w:tc>
                      <w:tcPr>
                        <w:tcW w:w="6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pStyle w:val="BodyText"/>
        <w:spacing w:line="240" w:lineRule="auto" w:before="44"/>
        <w:ind w:left="0" w:right="514"/>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44"/>
        <w:ind w:left="0" w:right="514"/>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before="44"/>
        <w:ind w:left="0" w:right="514"/>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BodyText"/>
        <w:spacing w:line="240" w:lineRule="auto" w:before="44"/>
        <w:ind w:left="0" w:right="514"/>
        <w:jc w:val="right"/>
      </w:pPr>
      <w:r>
        <w:rPr/>
        <w:t>、</w:t>
      </w:r>
    </w:p>
    <w:p>
      <w:pPr>
        <w:spacing w:after="0" w:line="240" w:lineRule="auto"/>
        <w:jc w:val="right"/>
        <w:sectPr>
          <w:pgSz w:w="11910" w:h="16840"/>
          <w:pgMar w:header="745" w:footer="979" w:top="1060" w:bottom="1160" w:left="46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1138"/>
        <w:gridCol w:w="590"/>
        <w:gridCol w:w="607"/>
        <w:gridCol w:w="574"/>
        <w:gridCol w:w="562"/>
        <w:gridCol w:w="559"/>
        <w:gridCol w:w="562"/>
        <w:gridCol w:w="562"/>
        <w:gridCol w:w="562"/>
        <w:gridCol w:w="559"/>
        <w:gridCol w:w="562"/>
        <w:gridCol w:w="677"/>
        <w:gridCol w:w="710"/>
        <w:gridCol w:w="566"/>
        <w:gridCol w:w="567"/>
        <w:gridCol w:w="566"/>
        <w:gridCol w:w="852"/>
      </w:tblGrid>
      <w:tr>
        <w:trPr>
          <w:trHeight w:val="1649"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22"/>
              <w:jc w:val="both"/>
              <w:rPr>
                <w:rFonts w:ascii="宋体" w:hAnsi="宋体" w:cs="宋体" w:eastAsia="宋体" w:hint="default"/>
                <w:sz w:val="18"/>
                <w:szCs w:val="18"/>
              </w:rPr>
            </w:pPr>
            <w:r>
              <w:rPr>
                <w:rFonts w:ascii="宋体" w:hAnsi="宋体" w:cs="宋体" w:eastAsia="宋体" w:hint="default"/>
                <w:sz w:val="18"/>
                <w:szCs w:val="18"/>
              </w:rPr>
              <w:t>中国工商银行 股份有限公司 南京玄武支行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1"/>
              <w:jc w:val="both"/>
              <w:rPr>
                <w:rFonts w:ascii="宋体" w:hAnsi="宋体" w:cs="宋体" w:eastAsia="宋体" w:hint="default"/>
                <w:sz w:val="18"/>
                <w:szCs w:val="18"/>
              </w:rPr>
            </w:pPr>
            <w:r>
              <w:rPr>
                <w:rFonts w:ascii="宋体" w:hAnsi="宋体" w:cs="宋体" w:eastAsia="宋体" w:hint="default"/>
                <w:sz w:val="18"/>
                <w:szCs w:val="18"/>
              </w:rPr>
              <w:t>结构性 存款</w:t>
            </w:r>
          </w:p>
          <w:p>
            <w:pPr>
              <w:pStyle w:val="TableParagraph"/>
              <w:spacing w:line="316" w:lineRule="auto" w:before="19"/>
              <w:ind w:left="23" w:right="31"/>
              <w:jc w:val="both"/>
              <w:rPr>
                <w:rFonts w:ascii="宋体" w:hAnsi="宋体" w:cs="宋体" w:eastAsia="宋体" w:hint="default"/>
                <w:sz w:val="18"/>
                <w:szCs w:val="18"/>
              </w:rPr>
            </w:pPr>
            <w:r>
              <w:rPr>
                <w:rFonts w:ascii="宋体" w:hAnsi="宋体" w:cs="宋体" w:eastAsia="宋体" w:hint="default"/>
                <w:sz w:val="18"/>
                <w:szCs w:val="18"/>
              </w:rPr>
              <w:t>（保本 浮动收 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66"/>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3.25%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16.38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16.38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0"/>
              <w:jc w:val="center"/>
              <w:rPr>
                <w:rFonts w:ascii="宋体" w:hAnsi="宋体" w:cs="宋体" w:eastAsia="宋体" w:hint="default"/>
                <w:sz w:val="18"/>
                <w:szCs w:val="18"/>
              </w:rPr>
            </w:pPr>
            <w:r>
              <w:rPr>
                <w:rFonts w:ascii="宋体" w:hAnsi="宋体" w:cs="宋体" w:eastAsia="宋体" w:hint="default"/>
                <w:sz w:val="18"/>
                <w:szCs w:val="18"/>
              </w:rPr>
              <w:t>已收回</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2"/>
              <w:jc w:val="both"/>
              <w:rPr>
                <w:rFonts w:ascii="宋体" w:hAnsi="宋体" w:cs="宋体" w:eastAsia="宋体" w:hint="default"/>
                <w:sz w:val="18"/>
                <w:szCs w:val="18"/>
              </w:rPr>
            </w:pPr>
            <w:r>
              <w:rPr>
                <w:rFonts w:ascii="宋体" w:hAnsi="宋体" w:cs="宋体" w:eastAsia="宋体" w:hint="default"/>
                <w:sz w:val="18"/>
                <w:szCs w:val="18"/>
              </w:rPr>
              <w:t>中国工商银行 股份有限公司 南京玄武支行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31"/>
              <w:jc w:val="both"/>
              <w:rPr>
                <w:rFonts w:ascii="宋体" w:hAnsi="宋体" w:cs="宋体" w:eastAsia="宋体" w:hint="default"/>
                <w:sz w:val="18"/>
                <w:szCs w:val="18"/>
              </w:rPr>
            </w:pPr>
            <w:r>
              <w:rPr>
                <w:rFonts w:ascii="宋体" w:hAnsi="宋体" w:cs="宋体" w:eastAsia="宋体" w:hint="default"/>
                <w:sz w:val="18"/>
                <w:szCs w:val="18"/>
              </w:rPr>
              <w:t>结构性 存款</w:t>
            </w:r>
          </w:p>
          <w:p>
            <w:pPr>
              <w:pStyle w:val="TableParagraph"/>
              <w:spacing w:line="316" w:lineRule="auto" w:before="20"/>
              <w:ind w:left="23" w:right="31"/>
              <w:jc w:val="both"/>
              <w:rPr>
                <w:rFonts w:ascii="宋体" w:hAnsi="宋体" w:cs="宋体" w:eastAsia="宋体" w:hint="default"/>
                <w:sz w:val="18"/>
                <w:szCs w:val="18"/>
              </w:rPr>
            </w:pPr>
            <w:r>
              <w:rPr>
                <w:rFonts w:ascii="宋体" w:hAnsi="宋体" w:cs="宋体" w:eastAsia="宋体" w:hint="default"/>
                <w:sz w:val="18"/>
                <w:szCs w:val="18"/>
              </w:rPr>
              <w:t>（保本 浮动收 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66"/>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3.25%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2.75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10"/>
              <w:jc w:val="center"/>
              <w:rPr>
                <w:rFonts w:ascii="宋体" w:hAnsi="宋体" w:cs="宋体" w:eastAsia="宋体" w:hint="default"/>
                <w:sz w:val="18"/>
                <w:szCs w:val="18"/>
              </w:rPr>
            </w:pPr>
            <w:r>
              <w:rPr>
                <w:rFonts w:ascii="宋体" w:hAnsi="宋体" w:cs="宋体" w:eastAsia="宋体" w:hint="default"/>
                <w:sz w:val="18"/>
                <w:szCs w:val="18"/>
              </w:rPr>
              <w:t>已收回</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22"/>
              <w:jc w:val="both"/>
              <w:rPr>
                <w:rFonts w:ascii="宋体" w:hAnsi="宋体" w:cs="宋体" w:eastAsia="宋体" w:hint="default"/>
                <w:sz w:val="18"/>
                <w:szCs w:val="18"/>
              </w:rPr>
            </w:pPr>
            <w:r>
              <w:rPr>
                <w:rFonts w:ascii="宋体" w:hAnsi="宋体" w:cs="宋体" w:eastAsia="宋体" w:hint="default"/>
                <w:sz w:val="18"/>
                <w:szCs w:val="18"/>
              </w:rPr>
              <w:t>中国工商银行 股份有限公司 南京玄武支行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31"/>
              <w:jc w:val="both"/>
              <w:rPr>
                <w:rFonts w:ascii="宋体" w:hAnsi="宋体" w:cs="宋体" w:eastAsia="宋体" w:hint="default"/>
                <w:sz w:val="18"/>
                <w:szCs w:val="18"/>
              </w:rPr>
            </w:pPr>
            <w:r>
              <w:rPr>
                <w:rFonts w:ascii="宋体" w:hAnsi="宋体" w:cs="宋体" w:eastAsia="宋体" w:hint="default"/>
                <w:sz w:val="18"/>
                <w:szCs w:val="18"/>
              </w:rPr>
              <w:t>结构性 存款</w:t>
            </w:r>
          </w:p>
          <w:p>
            <w:pPr>
              <w:pStyle w:val="TableParagraph"/>
              <w:spacing w:line="316" w:lineRule="auto" w:before="17"/>
              <w:ind w:left="23" w:right="31"/>
              <w:jc w:val="both"/>
              <w:rPr>
                <w:rFonts w:ascii="宋体" w:hAnsi="宋体" w:cs="宋体" w:eastAsia="宋体" w:hint="default"/>
                <w:sz w:val="18"/>
                <w:szCs w:val="18"/>
              </w:rPr>
            </w:pPr>
            <w:r>
              <w:rPr>
                <w:rFonts w:ascii="宋体" w:hAnsi="宋体" w:cs="宋体" w:eastAsia="宋体" w:hint="default"/>
                <w:sz w:val="18"/>
                <w:szCs w:val="18"/>
              </w:rPr>
              <w:t>（保本 浮动收 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66"/>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3.25%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13.63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13.63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0"/>
              <w:jc w:val="center"/>
              <w:rPr>
                <w:rFonts w:ascii="宋体" w:hAnsi="宋体" w:cs="宋体" w:eastAsia="宋体" w:hint="default"/>
                <w:sz w:val="18"/>
                <w:szCs w:val="18"/>
              </w:rPr>
            </w:pPr>
            <w:r>
              <w:rPr>
                <w:rFonts w:ascii="宋体" w:hAnsi="宋体" w:cs="宋体" w:eastAsia="宋体" w:hint="default"/>
                <w:sz w:val="18"/>
                <w:szCs w:val="18"/>
              </w:rPr>
              <w:t>已收回</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3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212,10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1,919.</w:t>
            </w:r>
          </w:p>
          <w:p>
            <w:pPr>
              <w:pStyle w:val="TableParagraph"/>
              <w:spacing w:line="240" w:lineRule="auto" w:before="102"/>
              <w:ind w:left="347" w:right="0"/>
              <w:jc w:val="left"/>
              <w:rPr>
                <w:rFonts w:ascii="Times New Roman" w:hAnsi="Times New Roman" w:cs="Times New Roman" w:eastAsia="Times New Roman" w:hint="default"/>
                <w:sz w:val="18"/>
                <w:szCs w:val="18"/>
              </w:rPr>
            </w:pPr>
            <w:r>
              <w:rPr>
                <w:rFonts w:ascii="Times New Roman"/>
                <w:sz w:val="18"/>
              </w:rPr>
              <w:t>69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1,482.4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673" w:right="0"/>
        <w:jc w:val="left"/>
      </w:pPr>
      <w:r>
        <w:rPr/>
        <w:t>委托理财出现预期无法收回本金或存在其他可能导致减值的情形</w:t>
      </w:r>
    </w:p>
    <w:p>
      <w:pPr>
        <w:pStyle w:val="BodyText"/>
        <w:spacing w:line="240" w:lineRule="auto" w:before="115"/>
        <w:ind w:left="6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left="673"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left="67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2"/>
        <w:rPr>
          <w:rFonts w:ascii="宋体" w:hAnsi="宋体" w:cs="宋体" w:eastAsia="宋体" w:hint="default"/>
          <w:sz w:val="16"/>
          <w:szCs w:val="16"/>
        </w:rPr>
      </w:pPr>
    </w:p>
    <w:p>
      <w:pPr>
        <w:pStyle w:val="Heading3"/>
        <w:spacing w:line="240" w:lineRule="auto"/>
        <w:ind w:left="673"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left="673"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3"/>
          <w:szCs w:val="13"/>
        </w:rPr>
      </w:pPr>
    </w:p>
    <w:p>
      <w:pPr>
        <w:pStyle w:val="Heading2"/>
        <w:spacing w:line="240" w:lineRule="auto"/>
        <w:ind w:left="673" w:right="0"/>
        <w:jc w:val="left"/>
        <w:rPr>
          <w:b w:val="0"/>
          <w:bCs w:val="0"/>
        </w:rPr>
      </w:pPr>
      <w:r>
        <w:rPr/>
        <w:t>十七、社会责任情况</w:t>
      </w:r>
      <w:r>
        <w:rPr>
          <w:b w:val="0"/>
          <w:bCs w:val="0"/>
        </w:rPr>
      </w:r>
    </w:p>
    <w:p>
      <w:pPr>
        <w:spacing w:line="240" w:lineRule="auto" w:before="4"/>
        <w:rPr>
          <w:rFonts w:ascii="Microsoft JhengHei" w:hAnsi="Microsoft JhengHei" w:cs="Microsoft JhengHei" w:eastAsia="Microsoft JhengHei" w:hint="default"/>
          <w:b/>
          <w:bCs/>
          <w:sz w:val="13"/>
          <w:szCs w:val="13"/>
        </w:rPr>
      </w:pPr>
    </w:p>
    <w:p>
      <w:pPr>
        <w:pStyle w:val="Heading3"/>
        <w:spacing w:line="240" w:lineRule="auto"/>
        <w:ind w:left="673" w:right="0"/>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2" w:lineRule="auto"/>
        <w:ind w:left="673" w:right="0"/>
        <w:jc w:val="left"/>
      </w:pPr>
      <w:r>
        <w:rPr/>
        <w:t>公司积极履行企业社会责任，在不断努力创造经济效益的同时</w:t>
      </w:r>
      <w:r>
        <w:rPr>
          <w:rFonts w:ascii="Times New Roman" w:hAnsi="Times New Roman" w:cs="Times New Roman" w:eastAsia="Times New Roman" w:hint="default"/>
        </w:rPr>
        <w:t>,</w:t>
      </w:r>
      <w:r>
        <w:rPr/>
        <w:t>也积极承担对员工、客户、社会等方面的责任，注重企业经 济效益与社会效益的同步共赢。 </w:t>
      </w:r>
      <w:r>
        <w:rPr>
          <w:spacing w:val="-2"/>
        </w:rPr>
        <w:t>公司建立健全公司内部管理和控制制度，组织协调各职能部门工作，持续深入开展公司治理活动，促进了公司规范运作，提</w:t>
      </w:r>
      <w:r>
        <w:rPr>
          <w:spacing w:val="-64"/>
        </w:rPr>
        <w:t> </w:t>
      </w:r>
      <w:r>
        <w:rPr>
          <w:spacing w:val="-64"/>
        </w:rPr>
      </w:r>
      <w:r>
        <w:rPr>
          <w:spacing w:val="-2"/>
        </w:rPr>
        <w:t>高了公司治理水平。公司严格按照《公司章程》的规定和要求，规范股东大会的召集、召开及表决程序，通过现场、网络等</w:t>
      </w:r>
      <w:r>
        <w:rPr>
          <w:spacing w:val="-73"/>
        </w:rPr>
        <w:t> </w:t>
      </w:r>
      <w:r>
        <w:rPr>
          <w:spacing w:val="-73"/>
        </w:rPr>
      </w:r>
      <w:r>
        <w:rPr/>
        <w:t>合法有效的方式，让更多的股东特别是中小股东能够参加股东大会，确保股东对公司重大事项的知情权、参与权和表决权</w:t>
      </w:r>
      <w:r>
        <w:rPr>
          <w:rFonts w:ascii="Times New Roman" w:hAnsi="Times New Roman" w:cs="Times New Roman" w:eastAsia="Times New Roman" w:hint="default"/>
        </w:rPr>
        <w:t>, </w:t>
      </w:r>
      <w:r>
        <w:rPr/>
        <w:t>公司认真履行信息披露义务，秉持公平、公正、公开的原则对待全体投资者，维护广大投资者的利益。 </w:t>
      </w:r>
      <w:r>
        <w:rPr>
          <w:spacing w:val="-2"/>
        </w:rPr>
        <w:t>公司长期以来一直坚持以人为本的人才理念，严格遵守《劳动法》、《劳动合同法》等相关法律法规，尊重和维护员工的个</w:t>
      </w:r>
      <w:r>
        <w:rPr>
          <w:spacing w:val="-67"/>
        </w:rPr>
        <w:t> </w:t>
      </w:r>
      <w:r>
        <w:rPr>
          <w:spacing w:val="-67"/>
        </w:rPr>
      </w:r>
      <w:r>
        <w:rPr>
          <w:spacing w:val="-2"/>
        </w:rPr>
        <w:t>人权益，切实关注切实关注员工健康、安全和满意度，依据</w:t>
      </w:r>
      <w:r>
        <w:rPr>
          <w:rFonts w:ascii="Times New Roman" w:hAnsi="Times New Roman" w:cs="Times New Roman" w:eastAsia="Times New Roman" w:hint="default"/>
          <w:spacing w:val="-2"/>
        </w:rPr>
        <w:t>ISO14001</w:t>
      </w:r>
      <w:r>
        <w:rPr>
          <w:spacing w:val="-2"/>
        </w:rPr>
        <w:t>、</w:t>
      </w:r>
      <w:r>
        <w:rPr>
          <w:rFonts w:ascii="Times New Roman" w:hAnsi="Times New Roman" w:cs="Times New Roman" w:eastAsia="Times New Roman" w:hint="default"/>
          <w:spacing w:val="-2"/>
        </w:rPr>
        <w:t>OHSAS18001</w:t>
      </w:r>
      <w:r>
        <w:rPr>
          <w:spacing w:val="-2"/>
        </w:rPr>
        <w:t>等国际先进标准，制定了人力资源管理</w:t>
      </w:r>
      <w:r>
        <w:rPr>
          <w:spacing w:val="-36"/>
        </w:rPr>
        <w:t> </w:t>
      </w:r>
      <w:r>
        <w:rPr>
          <w:spacing w:val="-36"/>
        </w:rPr>
      </w:r>
      <w:r>
        <w:rPr>
          <w:spacing w:val="-2"/>
        </w:rPr>
        <w:t>制度及环境和职业健康安全管理体系，对人员录用、员工培训、工资薪酬、福利保障、工作环境、职业健康等进行了详细规</w:t>
      </w:r>
    </w:p>
    <w:p>
      <w:pPr>
        <w:spacing w:after="0" w:line="312" w:lineRule="auto"/>
        <w:jc w:val="left"/>
        <w:sectPr>
          <w:pgSz w:w="11910" w:h="16840"/>
          <w:pgMar w:header="745" w:footer="979" w:top="1060" w:bottom="1160" w:left="460" w:right="0"/>
        </w:sectPr>
      </w:pPr>
    </w:p>
    <w:p>
      <w:pPr>
        <w:spacing w:line="240" w:lineRule="auto" w:before="10"/>
        <w:rPr>
          <w:rFonts w:ascii="宋体" w:hAnsi="宋体" w:cs="宋体" w:eastAsia="宋体" w:hint="default"/>
          <w:sz w:val="25"/>
          <w:szCs w:val="25"/>
        </w:rPr>
      </w:pPr>
    </w:p>
    <w:p>
      <w:pPr>
        <w:pStyle w:val="BodyText"/>
        <w:spacing w:line="314" w:lineRule="auto" w:before="44"/>
        <w:ind w:right="0"/>
        <w:jc w:val="left"/>
      </w:pPr>
      <w:r>
        <w:rPr>
          <w:spacing w:val="-2"/>
        </w:rPr>
        <w:t>定，建立了较为完善的绩效考核体系，为员工提供了良好的劳动环境，重视人才培养，通过多种方式为员工提供平等的发展</w:t>
      </w:r>
      <w:r>
        <w:rPr>
          <w:spacing w:val="-64"/>
        </w:rPr>
        <w:t> </w:t>
      </w:r>
      <w:r>
        <w:rPr>
          <w:spacing w:val="-64"/>
        </w:rPr>
      </w:r>
      <w:r>
        <w:rPr>
          <w:spacing w:val="-2"/>
        </w:rPr>
        <w:t>机会，实现员工与企业的共同成长。公司严格遵守《工会法》，按照有关规定建立工会组织，支持工会依法开展工作，保障</w:t>
      </w:r>
      <w:r>
        <w:rPr>
          <w:spacing w:val="-73"/>
        </w:rPr>
        <w:t> </w:t>
      </w:r>
      <w:r>
        <w:rPr>
          <w:spacing w:val="-73"/>
        </w:rPr>
      </w:r>
      <w:r>
        <w:rPr/>
        <w:t>员工依法行使民主管理的权利。 </w:t>
      </w:r>
      <w:r>
        <w:rPr>
          <w:spacing w:val="-2"/>
        </w:rPr>
        <w:t>公司长期以来一致践行社会公益责任，</w:t>
      </w:r>
      <w:r>
        <w:rPr>
          <w:rFonts w:ascii="Times New Roman" w:hAnsi="Times New Roman" w:cs="Times New Roman" w:eastAsia="Times New Roman" w:hint="default"/>
          <w:spacing w:val="-2"/>
        </w:rPr>
        <w:t>2019</w:t>
      </w:r>
      <w:r>
        <w:rPr>
          <w:spacing w:val="-2"/>
        </w:rPr>
        <w:t>年度向南京市光彩事业促进会捐赠人民币</w:t>
      </w:r>
      <w:r>
        <w:rPr>
          <w:rFonts w:ascii="Times New Roman" w:hAnsi="Times New Roman" w:cs="Times New Roman" w:eastAsia="Times New Roman" w:hint="default"/>
          <w:spacing w:val="-2"/>
        </w:rPr>
        <w:t>40</w:t>
      </w:r>
      <w:r>
        <w:rPr>
          <w:spacing w:val="-2"/>
        </w:rPr>
        <w:t>万元，向江苏软件产业人才发展基金</w:t>
      </w:r>
      <w:r>
        <w:rPr>
          <w:spacing w:val="-61"/>
        </w:rPr>
        <w:t> </w:t>
      </w:r>
      <w:r>
        <w:rPr>
          <w:spacing w:val="-61"/>
        </w:rPr>
      </w:r>
      <w:r>
        <w:rPr/>
        <w:t>会捐赠人民币</w:t>
      </w:r>
      <w:r>
        <w:rPr>
          <w:rFonts w:ascii="Times New Roman" w:hAnsi="Times New Roman" w:cs="Times New Roman" w:eastAsia="Times New Roman" w:hint="default"/>
        </w:rPr>
        <w:t>30</w:t>
      </w:r>
      <w:r>
        <w:rPr/>
        <w:t>万元。</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公司报告年度暂未开展精准扶贫工作，也暂无后续精准扶贫计划。</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60" w:lineRule="auto"/>
        <w:ind w:right="5713"/>
        <w:jc w:val="left"/>
      </w:pPr>
      <w:r>
        <w:rPr/>
        <w:t>上市公司及其子公司是否属于环境保护部门公布的重点排污单位 不适用</w:t>
      </w:r>
    </w:p>
    <w:p>
      <w:pPr>
        <w:pStyle w:val="Heading2"/>
        <w:spacing w:line="240" w:lineRule="auto" w:before="161"/>
        <w:ind w:right="0"/>
        <w:jc w:val="left"/>
        <w:rPr>
          <w:b w:val="0"/>
          <w:bCs w:val="0"/>
        </w:rPr>
      </w:pPr>
      <w:r>
        <w:rPr/>
        <w:t>十八、其他重大事项的说明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9" w:lineRule="auto"/>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日召开第五届董事会第四十三次会议，审议通过了《关于聘任公司董事会秘书的议案》，经公司董事 </w:t>
      </w:r>
      <w:r>
        <w:rPr>
          <w:spacing w:val="-2"/>
        </w:rPr>
        <w:t>长周红卫先生提名，并由董事会提名委员会审核，公司董事会同意聘任胡传高先生担任公司董事会秘书，任期自公司第五届</w:t>
      </w:r>
    </w:p>
    <w:p>
      <w:pPr>
        <w:pStyle w:val="BodyText"/>
        <w:spacing w:line="304" w:lineRule="auto" w:before="17"/>
        <w:ind w:right="1033"/>
        <w:jc w:val="left"/>
      </w:pPr>
      <w:r>
        <w:rPr>
          <w:spacing w:val="-2"/>
        </w:rPr>
        <w:t>董事会第四十三次会议审议通过之日起至第五届董事会任期届满时止。以上具体内容请详见</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w:t>
      </w:r>
      <w:r>
        <w:rPr>
          <w:spacing w:val="-2"/>
        </w:rPr>
        <w:t>日在中国证监会指定</w:t>
      </w:r>
      <w:r>
        <w:rPr>
          <w:spacing w:val="-60"/>
        </w:rPr>
        <w:t> </w:t>
      </w:r>
      <w:r>
        <w:rPr>
          <w:spacing w:val="-60"/>
        </w:rPr>
      </w:r>
      <w:r>
        <w:rPr/>
        <w:t>的创业板信息披露网站公告。 </w:t>
      </w: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日召开第五届董事第四十次会议和第五届监事会第二十三次会议、于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日召开</w:t>
      </w:r>
      <w:r>
        <w:rPr>
          <w:rFonts w:ascii="Times New Roman" w:hAnsi="Times New Roman" w:cs="Times New Roman" w:eastAsia="Times New Roman" w:hint="default"/>
        </w:rPr>
        <w:t>2018</w:t>
      </w:r>
      <w:r>
        <w:rPr/>
        <w:t>年第</w:t>
      </w:r>
      <w:r>
        <w:rPr>
          <w:spacing w:val="-3"/>
        </w:rPr>
        <w:t> </w:t>
      </w:r>
      <w:r>
        <w:rPr>
          <w:spacing w:val="-2"/>
        </w:rPr>
        <w:t>四次临时股东大会，分别审议通过了《关于回购公司股份预案的议案》及《关于提请股东大会授权董事会全权办理本次回购</w:t>
      </w:r>
      <w:r>
        <w:rPr>
          <w:spacing w:val="-64"/>
        </w:rPr>
        <w:t> </w:t>
      </w:r>
      <w:r>
        <w:rPr>
          <w:spacing w:val="-64"/>
        </w:rPr>
      </w:r>
      <w:r>
        <w:rPr/>
        <w:t>股份工作相关事宜的议案》等相关议案。依据《深圳证券交易所上市公司回购股份实施细则》的规定，公司于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 </w:t>
      </w:r>
      <w:r>
        <w:rPr/>
        <w:t>日召开第五届董事会第四十四次会议审议通过了《关于确定回购公司股份用途的议案》，明确了回购公司股份的具体用途。 </w:t>
      </w:r>
      <w:r>
        <w:rPr>
          <w:spacing w:val="-2"/>
        </w:rPr>
        <w:t>为进一步完善公司长效激励机制，充分调动中高级管理人员、核心及骨干人员的积极性，有效地将股东利益、公司利益和核</w:t>
      </w:r>
      <w:r>
        <w:rPr>
          <w:spacing w:val="-64"/>
        </w:rPr>
        <w:t> </w:t>
      </w:r>
      <w:r>
        <w:rPr>
          <w:spacing w:val="-64"/>
        </w:rPr>
      </w:r>
      <w:r>
        <w:rPr>
          <w:spacing w:val="-2"/>
        </w:rPr>
        <w:t>心团队个人利益结合在一起，推动公司的长远发展，公司决定以自有资金通过二级市场以集中竞价交易方式回购部分社会公</w:t>
      </w:r>
      <w:r>
        <w:rPr>
          <w:spacing w:val="-64"/>
        </w:rPr>
        <w:t> </w:t>
      </w:r>
      <w:r>
        <w:rPr>
          <w:spacing w:val="-64"/>
        </w:rPr>
      </w:r>
      <w:r>
        <w:rPr>
          <w:spacing w:val="-8"/>
        </w:rPr>
        <w:t>众股的股份全部用于实施股权激励。本次回购股份拟使用的资金总额为不低于人民币</w:t>
      </w:r>
      <w:r>
        <w:rPr>
          <w:rFonts w:ascii="Times New Roman" w:hAnsi="Times New Roman" w:cs="Times New Roman" w:eastAsia="Times New Roman" w:hint="default"/>
          <w:spacing w:val="-8"/>
        </w:rPr>
        <w:t>15,000</w:t>
      </w:r>
      <w:r>
        <w:rPr>
          <w:spacing w:val="-8"/>
        </w:rPr>
        <w:t>万元（含）且不超</w:t>
      </w:r>
      <w:r>
        <w:rPr>
          <w:rFonts w:ascii="Times New Roman" w:hAnsi="Times New Roman" w:cs="Times New Roman" w:eastAsia="Times New Roman" w:hint="default"/>
          <w:spacing w:val="-8"/>
        </w:rPr>
        <w:t>30,000</w:t>
      </w:r>
      <w:r>
        <w:rPr>
          <w:spacing w:val="-8"/>
        </w:rPr>
        <w:t>万元（含），</w:t>
      </w:r>
      <w:r>
        <w:rPr>
          <w:spacing w:val="-33"/>
        </w:rPr>
        <w:t> </w:t>
      </w:r>
      <w:r>
        <w:rPr>
          <w:spacing w:val="-33"/>
        </w:rPr>
      </w:r>
      <w:r>
        <w:rPr>
          <w:spacing w:val="-2"/>
        </w:rPr>
        <w:t>回购股份的价格不超过（含）人民币</w:t>
      </w:r>
      <w:r>
        <w:rPr>
          <w:rFonts w:ascii="Times New Roman" w:hAnsi="Times New Roman" w:cs="Times New Roman" w:eastAsia="Times New Roman" w:hint="default"/>
          <w:spacing w:val="-2"/>
        </w:rPr>
        <w:t>11.50</w:t>
      </w:r>
      <w:r>
        <w:rPr>
          <w:spacing w:val="-2"/>
        </w:rPr>
        <w:t>元</w:t>
      </w:r>
      <w:r>
        <w:rPr>
          <w:rFonts w:ascii="Times New Roman" w:hAnsi="Times New Roman" w:cs="Times New Roman" w:eastAsia="Times New Roman" w:hint="default"/>
          <w:spacing w:val="-2"/>
        </w:rPr>
        <w:t>/</w:t>
      </w:r>
      <w:r>
        <w:rPr>
          <w:spacing w:val="-2"/>
        </w:rPr>
        <w:t>股。本次回购股份期限为自股东大会审议通过回购股份方案之日起</w:t>
      </w:r>
      <w:r>
        <w:rPr>
          <w:rFonts w:ascii="Times New Roman" w:hAnsi="Times New Roman" w:cs="Times New Roman" w:eastAsia="Times New Roman" w:hint="default"/>
          <w:spacing w:val="-2"/>
        </w:rPr>
        <w:t>6</w:t>
      </w:r>
      <w:r>
        <w:rPr>
          <w:spacing w:val="-2"/>
        </w:rPr>
        <w:t>个月内。截</w:t>
      </w:r>
      <w:r>
        <w:rPr>
          <w:spacing w:val="-61"/>
        </w:rPr>
        <w:t> </w:t>
      </w:r>
      <w:r>
        <w:rPr>
          <w:spacing w:val="-61"/>
        </w:rPr>
      </w:r>
      <w:r>
        <w:rPr/>
        <w:t>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日，公司本次回购股份的实施期限届满，本次回购股份方案已实施完毕。公司通过股份回购专用证券账户以 集中竞价交易方式累计回购股份数量为</w:t>
      </w:r>
      <w:r>
        <w:rPr>
          <w:rFonts w:ascii="Times New Roman" w:hAnsi="Times New Roman" w:cs="Times New Roman" w:eastAsia="Times New Roman" w:hint="default"/>
        </w:rPr>
        <w:t>16,486,289</w:t>
      </w:r>
      <w:r>
        <w:rPr/>
        <w:t>股，占公司目前总股本的</w:t>
      </w:r>
      <w:r>
        <w:rPr>
          <w:rFonts w:ascii="Times New Roman" w:hAnsi="Times New Roman" w:cs="Times New Roman" w:eastAsia="Times New Roman" w:hint="default"/>
        </w:rPr>
        <w:t>2.07%</w:t>
      </w:r>
      <w:r>
        <w:rPr/>
        <w:t>，最高成交价为</w:t>
      </w:r>
      <w:r>
        <w:rPr>
          <w:rFonts w:ascii="Times New Roman" w:hAnsi="Times New Roman" w:cs="Times New Roman" w:eastAsia="Times New Roman" w:hint="default"/>
        </w:rPr>
        <w:t>10.42</w:t>
      </w:r>
      <w:r>
        <w:rPr/>
        <w:t>元</w:t>
      </w:r>
      <w:r>
        <w:rPr>
          <w:rFonts w:ascii="Times New Roman" w:hAnsi="Times New Roman" w:cs="Times New Roman" w:eastAsia="Times New Roman" w:hint="default"/>
        </w:rPr>
        <w:t>/</w:t>
      </w:r>
      <w:r>
        <w:rPr/>
        <w:t>股，最低成交价为 </w:t>
      </w:r>
      <w:r>
        <w:rPr>
          <w:rFonts w:ascii="Times New Roman" w:hAnsi="Times New Roman" w:cs="Times New Roman" w:eastAsia="Times New Roman" w:hint="default"/>
        </w:rPr>
        <w:t>9.04</w:t>
      </w:r>
      <w:r>
        <w:rPr/>
        <w:t>元</w:t>
      </w:r>
      <w:r>
        <w:rPr>
          <w:rFonts w:ascii="Times New Roman" w:hAnsi="Times New Roman" w:cs="Times New Roman" w:eastAsia="Times New Roman" w:hint="default"/>
        </w:rPr>
        <w:t>/</w:t>
      </w:r>
      <w:r>
        <w:rPr/>
        <w:t>股，成交总金额</w:t>
      </w:r>
      <w:r>
        <w:rPr>
          <w:rFonts w:ascii="Times New Roman" w:hAnsi="Times New Roman" w:cs="Times New Roman" w:eastAsia="Times New Roman" w:hint="default"/>
        </w:rPr>
        <w:t>162,744,801.00</w:t>
      </w:r>
      <w:r>
        <w:rPr/>
        <w:t>元（不含交易费用）。上述回购符合公司已披露的回购公司股份方案。以上具体内容 </w:t>
      </w:r>
      <w:r>
        <w:rPr>
          <w:spacing w:val="-2"/>
        </w:rPr>
        <w:t>请详见</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15</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6</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12</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23</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4</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6"/>
        </w:rPr>
        <w:t> </w:t>
      </w:r>
      <w:r>
        <w:rPr/>
        <w:t>月</w:t>
      </w:r>
      <w:r>
        <w:rPr>
          <w:rFonts w:ascii="Times New Roman" w:hAnsi="Times New Roman" w:cs="Times New Roman" w:eastAsia="Times New Roman" w:hint="default"/>
        </w:rPr>
        <w:t>17</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日在 中国证监会指定的创业板信息披露网站公告。 </w:t>
      </w:r>
      <w:r>
        <w:rPr>
          <w:rFonts w:ascii="Times New Roman" w:hAnsi="Times New Roman" w:cs="Times New Roman" w:eastAsia="Times New Roman" w:hint="default"/>
        </w:rPr>
        <w:t>3</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日召开第五届董事会第四十二次会议、于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日召开</w:t>
      </w:r>
      <w:r>
        <w:rPr>
          <w:rFonts w:ascii="Times New Roman" w:hAnsi="Times New Roman" w:cs="Times New Roman" w:eastAsia="Times New Roman" w:hint="default"/>
        </w:rPr>
        <w:t>2019</w:t>
      </w:r>
      <w:r>
        <w:rPr/>
        <w:t>年第一次临时股东大会，分别审议 </w:t>
      </w:r>
      <w:r>
        <w:rPr>
          <w:spacing w:val="-2"/>
        </w:rPr>
        <w:t>通过了《关于公司增资参股江苏民营投资控股有限公司的议案》，公司与苏民投签署《关于江苏民营投资控股有限公司之增</w:t>
      </w:r>
      <w:r>
        <w:rPr>
          <w:spacing w:val="-65"/>
        </w:rPr>
        <w:t> </w:t>
      </w:r>
      <w:r>
        <w:rPr>
          <w:spacing w:val="-65"/>
        </w:rPr>
      </w:r>
      <w:r>
        <w:rPr/>
        <w:t>资协议》，公司以自有资金共计</w:t>
      </w:r>
      <w:r>
        <w:rPr>
          <w:rFonts w:ascii="Times New Roman" w:hAnsi="Times New Roman" w:cs="Times New Roman" w:eastAsia="Times New Roman" w:hint="default"/>
        </w:rPr>
        <w:t>22,000</w:t>
      </w:r>
      <w:r>
        <w:rPr/>
        <w:t>万元人民币向苏民投增资。本次增资完成后，公司持有苏民投</w:t>
      </w:r>
      <w:r>
        <w:rPr>
          <w:rFonts w:ascii="Times New Roman" w:hAnsi="Times New Roman" w:cs="Times New Roman" w:eastAsia="Times New Roman" w:hint="default"/>
        </w:rPr>
        <w:t>2%</w:t>
      </w:r>
      <w:r>
        <w:rPr/>
        <w:t>的股权，苏民投成 为公司的参股公司。以上具体内容请详见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日在中国证监会指定的创业板信息披露网站公告。 </w:t>
      </w:r>
      <w:r>
        <w:rPr>
          <w:rFonts w:ascii="Times New Roman" w:hAnsi="Times New Roman" w:cs="Times New Roman" w:eastAsia="Times New Roman" w:hint="default"/>
          <w:spacing w:val="-2"/>
        </w:rPr>
        <w:t>4</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13</w:t>
      </w:r>
      <w:r>
        <w:rPr>
          <w:spacing w:val="-2"/>
        </w:rPr>
        <w:t>日召开第五届董事会第三十一次会议和第五届监事会第十八次会议、于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w:t>
      </w:r>
      <w:r>
        <w:rPr>
          <w:spacing w:val="-2"/>
        </w:rPr>
        <w:t>日召开</w:t>
      </w:r>
      <w:r>
        <w:rPr>
          <w:rFonts w:ascii="Times New Roman" w:hAnsi="Times New Roman" w:cs="Times New Roman" w:eastAsia="Times New Roman" w:hint="default"/>
          <w:spacing w:val="-2"/>
        </w:rPr>
        <w:t>2018</w:t>
      </w:r>
      <w:r>
        <w:rPr>
          <w:spacing w:val="-2"/>
        </w:rPr>
        <w:t>年第一</w:t>
      </w:r>
      <w:r>
        <w:rPr>
          <w:spacing w:val="-53"/>
        </w:rPr>
        <w:t> </w:t>
      </w:r>
      <w:r>
        <w:rPr>
          <w:spacing w:val="-53"/>
        </w:rPr>
      </w:r>
      <w:r>
        <w:rPr/>
        <w:t>次临时股东大会，分别审议通过了《关于使用部分闲置募集资金进行现金管理的议案》，同意公司使用不超过人民币</w:t>
      </w:r>
      <w:r>
        <w:rPr>
          <w:rFonts w:ascii="Times New Roman" w:hAnsi="Times New Roman" w:cs="Times New Roman" w:eastAsia="Times New Roman" w:hint="default"/>
        </w:rPr>
        <w:t>60,000 </w:t>
      </w:r>
      <w:r>
        <w:rPr/>
        <w:t>万元的暂时闲置募集资金进行现金管理，使用期限自公司股东大会审议通过之日起</w:t>
      </w:r>
      <w:r>
        <w:rPr>
          <w:rFonts w:ascii="Times New Roman" w:hAnsi="Times New Roman" w:cs="Times New Roman" w:eastAsia="Times New Roman" w:hint="default"/>
        </w:rPr>
        <w:t>24</w:t>
      </w:r>
      <w:r>
        <w:rPr/>
        <w:t>个月内有效。公司于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日召</w:t>
      </w:r>
      <w:r>
        <w:rPr>
          <w:spacing w:val="-3"/>
        </w:rPr>
        <w:t> </w:t>
      </w:r>
      <w:r>
        <w:rPr/>
        <w:t>开第六届董事会第二次会议和第六届监事会第二次会议、于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日召开</w:t>
      </w:r>
      <w:r>
        <w:rPr>
          <w:rFonts w:ascii="Times New Roman" w:hAnsi="Times New Roman" w:cs="Times New Roman" w:eastAsia="Times New Roman" w:hint="default"/>
        </w:rPr>
        <w:t>2020</w:t>
      </w:r>
      <w:r>
        <w:rPr/>
        <w:t>年第二次临时股东大会，分别审议通过</w:t>
      </w:r>
    </w:p>
    <w:p>
      <w:pPr>
        <w:spacing w:after="0" w:line="304"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033"/>
        <w:jc w:val="left"/>
      </w:pPr>
      <w:r>
        <w:rPr/>
        <w:t>了《关于继续使用部分闲置募集资金进行现金管理的议案》，同意公司使用不超过人民币</w:t>
      </w:r>
      <w:r>
        <w:rPr>
          <w:rFonts w:ascii="Times New Roman" w:hAnsi="Times New Roman" w:cs="Times New Roman" w:eastAsia="Times New Roman" w:hint="default"/>
        </w:rPr>
        <w:t>43,000</w:t>
      </w:r>
      <w:r>
        <w:rPr/>
        <w:t>万元的暂时闲置募集资金进 </w:t>
      </w:r>
      <w:r>
        <w:rPr>
          <w:spacing w:val="-2"/>
        </w:rPr>
        <w:t>行现金管理，使用期限自</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w:t>
      </w:r>
      <w:r>
        <w:rPr>
          <w:spacing w:val="-2"/>
        </w:rPr>
        <w:t>日起</w:t>
      </w:r>
      <w:r>
        <w:rPr>
          <w:rFonts w:ascii="Times New Roman" w:hAnsi="Times New Roman" w:cs="Times New Roman" w:eastAsia="Times New Roman" w:hint="default"/>
          <w:spacing w:val="-2"/>
        </w:rPr>
        <w:t>24</w:t>
      </w:r>
      <w:r>
        <w:rPr>
          <w:spacing w:val="-2"/>
        </w:rPr>
        <w:t>个月内有效。报告期内公司使用部分闲置募集资金进行现金管理。以上具体内容</w:t>
      </w:r>
      <w:r>
        <w:rPr>
          <w:spacing w:val="-59"/>
        </w:rPr>
        <w:t> </w:t>
      </w:r>
      <w:r>
        <w:rPr>
          <w:spacing w:val="-59"/>
        </w:rPr>
      </w:r>
      <w:r>
        <w:rPr>
          <w:spacing w:val="-2"/>
        </w:rPr>
        <w:t>请详见</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14</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30</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28</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12</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w:t>
      </w:r>
      <w:r>
        <w:rPr>
          <w:spacing w:val="-2"/>
        </w:rPr>
        <w:t>日、</w:t>
      </w:r>
      <w:r>
        <w:rPr>
          <w:spacing w:val="-35"/>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w:t>
      </w:r>
    </w:p>
    <w:p>
      <w:pPr>
        <w:pStyle w:val="BodyText"/>
        <w:spacing w:line="240" w:lineRule="auto" w:before="13"/>
        <w:ind w:right="0"/>
        <w:jc w:val="left"/>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日在中国证监会指定的创业板信息披露网站公告。</w:t>
      </w:r>
    </w:p>
    <w:p>
      <w:pPr>
        <w:pStyle w:val="BodyText"/>
        <w:spacing w:line="307" w:lineRule="auto" w:before="63"/>
        <w:ind w:right="1123"/>
        <w:jc w:val="left"/>
      </w:pPr>
      <w:r>
        <w:rPr>
          <w:rFonts w:ascii="Times New Roman" w:hAnsi="Times New Roman" w:cs="Times New Roman" w:eastAsia="Times New Roman" w:hint="default"/>
          <w:spacing w:val="-1"/>
        </w:rPr>
        <w:t>5</w:t>
      </w:r>
      <w:r>
        <w:rPr>
          <w:spacing w:val="-1"/>
        </w:rPr>
        <w:t>、润和投资于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26</w:t>
      </w:r>
      <w:r>
        <w:rPr>
          <w:spacing w:val="-1"/>
        </w:rPr>
        <w:t>日非公开发行可交换公司债券（债券简称：</w:t>
      </w:r>
      <w:r>
        <w:rPr>
          <w:rFonts w:ascii="Times New Roman" w:hAnsi="Times New Roman" w:cs="Times New Roman" w:eastAsia="Times New Roman" w:hint="default"/>
          <w:spacing w:val="-1"/>
        </w:rPr>
        <w:t>“16</w:t>
      </w:r>
      <w:r>
        <w:rPr>
          <w:spacing w:val="-1"/>
        </w:rPr>
        <w:t>润和债</w:t>
      </w:r>
      <w:r>
        <w:rPr>
          <w:rFonts w:ascii="Times New Roman" w:hAnsi="Times New Roman" w:cs="Times New Roman" w:eastAsia="Times New Roman" w:hint="default"/>
          <w:spacing w:val="-1"/>
        </w:rPr>
        <w:t>”</w:t>
      </w:r>
      <w:r>
        <w:rPr>
          <w:spacing w:val="-1"/>
        </w:rPr>
        <w:t>，债券代码</w:t>
      </w:r>
      <w:r>
        <w:rPr>
          <w:rFonts w:ascii="Times New Roman" w:hAnsi="Times New Roman" w:cs="Times New Roman" w:eastAsia="Times New Roman" w:hint="default"/>
          <w:spacing w:val="-1"/>
        </w:rPr>
        <w:t>“117037”</w:t>
      </w:r>
      <w:r>
        <w:rPr>
          <w:spacing w:val="-1"/>
        </w:rPr>
        <w:t>），润和投资</w:t>
      </w:r>
      <w:r>
        <w:rPr>
          <w:rFonts w:ascii="Times New Roman" w:hAnsi="Times New Roman" w:cs="Times New Roman" w:eastAsia="Times New Roman" w:hint="default"/>
          <w:spacing w:val="-1"/>
        </w:rPr>
        <w:t>2016</w:t>
      </w:r>
      <w:r>
        <w:rPr>
          <w:spacing w:val="-1"/>
        </w:rPr>
        <w:t>年</w:t>
      </w:r>
      <w:r>
        <w:rPr>
          <w:spacing w:val="-80"/>
        </w:rPr>
        <w:t> </w:t>
      </w:r>
      <w:r>
        <w:rPr/>
        <w:t>非公开发行可交换公司债券</w:t>
      </w:r>
      <w:r>
        <w:rPr>
          <w:rFonts w:ascii="Times New Roman" w:hAnsi="Times New Roman" w:cs="Times New Roman" w:eastAsia="Times New Roman" w:hint="default"/>
        </w:rPr>
        <w:t>2019</w:t>
      </w:r>
      <w:r>
        <w:rPr/>
        <w:t>年第一次债券持有人会议审议通过了《关于修改</w:t>
      </w:r>
      <w:r>
        <w:rPr>
          <w:rFonts w:ascii="Times New Roman" w:hAnsi="Times New Roman" w:cs="Times New Roman" w:eastAsia="Times New Roman" w:hint="default"/>
        </w:rPr>
        <w:t>“16</w:t>
      </w:r>
      <w:r>
        <w:rPr/>
        <w:t>润和债</w:t>
      </w:r>
      <w:r>
        <w:rPr>
          <w:rFonts w:ascii="Times New Roman" w:hAnsi="Times New Roman" w:cs="Times New Roman" w:eastAsia="Times New Roman" w:hint="default"/>
        </w:rPr>
        <w:t>”</w:t>
      </w:r>
      <w:r>
        <w:rPr/>
        <w:t>募集说明书部分发行条款的议 案》，对债券期限、换股期限及票面利率等部分发行条款作出修改。截至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日，润和投资可交换公司债券已完成 </w:t>
      </w:r>
      <w:r>
        <w:rPr>
          <w:spacing w:val="-1"/>
        </w:rPr>
        <w:t>换股</w:t>
      </w:r>
      <w:r>
        <w:rPr>
          <w:rFonts w:ascii="Times New Roman" w:hAnsi="Times New Roman" w:cs="Times New Roman" w:eastAsia="Times New Roman" w:hint="default"/>
          <w:spacing w:val="-1"/>
        </w:rPr>
        <w:t>23,437,498</w:t>
      </w:r>
      <w:r>
        <w:rPr>
          <w:spacing w:val="-1"/>
        </w:rPr>
        <w:t>股，占公司总股本（剔除公司回购专用证券账户中的股份数量</w:t>
      </w:r>
      <w:r>
        <w:rPr>
          <w:rFonts w:ascii="Times New Roman" w:hAnsi="Times New Roman" w:cs="Times New Roman" w:eastAsia="Times New Roman" w:hint="default"/>
          <w:spacing w:val="-1"/>
        </w:rPr>
        <w:t>16,486,289</w:t>
      </w:r>
      <w:r>
        <w:rPr>
          <w:spacing w:val="-1"/>
        </w:rPr>
        <w:t>股）比例为</w:t>
      </w:r>
      <w:r>
        <w:rPr>
          <w:rFonts w:ascii="Times New Roman" w:hAnsi="Times New Roman" w:cs="Times New Roman" w:eastAsia="Times New Roman" w:hint="default"/>
          <w:spacing w:val="-1"/>
        </w:rPr>
        <w:t>3.01%</w:t>
      </w:r>
      <w:r>
        <w:rPr>
          <w:spacing w:val="-1"/>
        </w:rPr>
        <w:t>。以上具体内容请</w:t>
      </w:r>
      <w:r>
        <w:rPr>
          <w:spacing w:val="-39"/>
        </w:rPr>
        <w:t> </w:t>
      </w:r>
      <w:r>
        <w:rPr>
          <w:spacing w:val="-39"/>
        </w:rPr>
      </w:r>
      <w:r>
        <w:rPr/>
        <w:t>详见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日在 中国证监会指定的创业板信息披露网站公告。 </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日，公司股东宁波宏创与混改基金签订了《关于江苏润和软件股份有限公司之股份转让协议》，宁波宏创 将其所持有的润和软件</w:t>
      </w:r>
      <w:r>
        <w:rPr>
          <w:rFonts w:ascii="Times New Roman" w:hAnsi="Times New Roman" w:cs="Times New Roman" w:eastAsia="Times New Roman" w:hint="default"/>
        </w:rPr>
        <w:t>4,000</w:t>
      </w:r>
      <w:r>
        <w:rPr/>
        <w:t>万股股份转让给混改基金，占公司目前总股本的比例为</w:t>
      </w:r>
      <w:r>
        <w:rPr>
          <w:rFonts w:ascii="Times New Roman" w:hAnsi="Times New Roman" w:cs="Times New Roman" w:eastAsia="Times New Roman" w:hint="default"/>
        </w:rPr>
        <w:t>5.02%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日，公司收到股东 </w:t>
      </w:r>
      <w:r>
        <w:rPr>
          <w:spacing w:val="-2"/>
        </w:rPr>
        <w:t>宁波宏创的通知，本次协议转让的过户登记手续已经办理完成，并取得了中国证券登记结算有限责任公司出具的《证券过户</w:t>
      </w:r>
      <w:r>
        <w:rPr>
          <w:spacing w:val="-63"/>
        </w:rPr>
        <w:t> </w:t>
      </w:r>
      <w:r>
        <w:rPr>
          <w:spacing w:val="-63"/>
        </w:rPr>
      </w:r>
      <w:r>
        <w:rPr>
          <w:spacing w:val="-2"/>
        </w:rPr>
        <w:t>登记确认书》，过户日期为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15</w:t>
      </w:r>
      <w:r>
        <w:rPr>
          <w:spacing w:val="-2"/>
        </w:rPr>
        <w:t>日。以上具体内容请详见</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19</w:t>
      </w:r>
      <w:r>
        <w:rPr>
          <w:spacing w:val="-2"/>
        </w:rPr>
        <w:t>日和</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16</w:t>
      </w:r>
      <w:r>
        <w:rPr>
          <w:spacing w:val="-2"/>
        </w:rPr>
        <w:t>日在中国证监会指定的创业</w:t>
      </w:r>
      <w:r>
        <w:rPr>
          <w:spacing w:val="-52"/>
        </w:rPr>
        <w:t> </w:t>
      </w:r>
      <w:r>
        <w:rPr>
          <w:spacing w:val="-52"/>
        </w:rPr>
      </w:r>
      <w:r>
        <w:rPr/>
        <w:t>板信息披露网站公告。 </w:t>
      </w:r>
      <w:r>
        <w:rPr>
          <w:rFonts w:ascii="Times New Roman" w:hAnsi="Times New Roman" w:cs="Times New Roman" w:eastAsia="Times New Roman" w:hint="default"/>
        </w:rPr>
        <w:t>7</w:t>
      </w:r>
      <w:r>
        <w:rPr/>
        <w:t>、公司非公开发行新增股份</w:t>
      </w:r>
      <w:r>
        <w:rPr>
          <w:rFonts w:ascii="Times New Roman" w:hAnsi="Times New Roman" w:cs="Times New Roman" w:eastAsia="Times New Roman" w:hint="default"/>
        </w:rPr>
        <w:t>81,326,141</w:t>
      </w:r>
      <w:r>
        <w:rPr/>
        <w:t>股于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日在深圳证券交易所上市，上述股份自上市之日起十二个月内不得 </w:t>
      </w:r>
      <w:r>
        <w:rPr>
          <w:spacing w:val="-5"/>
        </w:rPr>
        <w:t>上市交易。</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28</w:t>
      </w:r>
      <w:r>
        <w:rPr>
          <w:spacing w:val="-5"/>
        </w:rPr>
        <w:t>日，因上述股份限售期满，公司依据股东的锁定承诺将上述</w:t>
      </w:r>
      <w:r>
        <w:rPr>
          <w:rFonts w:ascii="Times New Roman" w:hAnsi="Times New Roman" w:cs="Times New Roman" w:eastAsia="Times New Roman" w:hint="default"/>
          <w:spacing w:val="-5"/>
        </w:rPr>
        <w:t>81,326,141</w:t>
      </w:r>
      <w:r>
        <w:rPr>
          <w:spacing w:val="-5"/>
        </w:rPr>
        <w:t>股解除限售，上市流通日为</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28</w:t>
      </w:r>
      <w:r>
        <w:rPr>
          <w:spacing w:val="-2"/>
        </w:rPr>
        <w:t>日。以上具体内容请详见</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12</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24</w:t>
      </w:r>
      <w:r>
        <w:rPr>
          <w:spacing w:val="-2"/>
        </w:rPr>
        <w:t>日和</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24</w:t>
      </w:r>
      <w:r>
        <w:rPr>
          <w:spacing w:val="-2"/>
        </w:rPr>
        <w:t>日在中国证监会指定的创业板信息披露网站</w:t>
      </w:r>
      <w:r>
        <w:rPr>
          <w:spacing w:val="-55"/>
        </w:rPr>
        <w:t> </w:t>
      </w:r>
      <w:r>
        <w:rPr>
          <w:spacing w:val="-55"/>
        </w:rPr>
      </w:r>
      <w:r>
        <w:rPr/>
        <w:t>公告。 </w:t>
      </w:r>
      <w:r>
        <w:rPr>
          <w:rFonts w:ascii="Times New Roman" w:hAnsi="Times New Roman" w:cs="Times New Roman" w:eastAsia="Times New Roman" w:hint="default"/>
          <w:spacing w:val="-2"/>
        </w:rPr>
        <w:t>8</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22</w:t>
      </w:r>
      <w:r>
        <w:rPr>
          <w:spacing w:val="-2"/>
        </w:rPr>
        <w:t>日召开第五届董事会第四十五次会议和第五届监事会第二十五次会议、于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日召开</w:t>
      </w:r>
      <w:r>
        <w:rPr>
          <w:rFonts w:ascii="Times New Roman" w:hAnsi="Times New Roman" w:cs="Times New Roman" w:eastAsia="Times New Roman" w:hint="default"/>
          <w:spacing w:val="-2"/>
        </w:rPr>
        <w:t>2019</w:t>
      </w:r>
      <w:r>
        <w:rPr>
          <w:spacing w:val="-2"/>
        </w:rPr>
        <w:t>年第</w:t>
      </w:r>
      <w:r>
        <w:rPr>
          <w:spacing w:val="-52"/>
        </w:rPr>
        <w:t> </w:t>
      </w:r>
      <w:r>
        <w:rPr>
          <w:spacing w:val="-2"/>
        </w:rPr>
        <w:t>二次临时股东大会，分别审议通过了《关于调整部分非公开发行募集资金投资项目实施方式的议案》，经公司审慎考虑，在</w:t>
      </w:r>
      <w:r>
        <w:rPr>
          <w:spacing w:val="-67"/>
        </w:rPr>
        <w:t> </w:t>
      </w:r>
      <w:r>
        <w:rPr>
          <w:spacing w:val="-67"/>
        </w:rPr>
      </w:r>
      <w:r>
        <w:rPr>
          <w:spacing w:val="-2"/>
        </w:rPr>
        <w:t>不改变募集资金投资项目整体方向的前提下，为提高公司募集资金使用效率，拟调整非公开发行募集资金投资项目金融云服</w:t>
      </w:r>
      <w:r>
        <w:rPr>
          <w:spacing w:val="-64"/>
        </w:rPr>
        <w:t> </w:t>
      </w:r>
      <w:r>
        <w:rPr>
          <w:spacing w:val="-64"/>
        </w:rPr>
      </w:r>
      <w:r>
        <w:rPr>
          <w:spacing w:val="-2"/>
        </w:rPr>
        <w:t>务平台建设项目、能源信息化平台建设项目的实施方式，主要内容包括募投项目建设内容、商业模式、建设周期的变更，以</w:t>
      </w:r>
      <w:r>
        <w:rPr>
          <w:spacing w:val="-67"/>
        </w:rPr>
        <w:t> </w:t>
      </w:r>
      <w:r>
        <w:rPr>
          <w:spacing w:val="-67"/>
        </w:rPr>
      </w:r>
      <w:r>
        <w:rPr>
          <w:spacing w:val="-2"/>
        </w:rPr>
        <w:t>及因项目商业模式变更引起的项目投资规模、投资明细的变更。以上具体内容请详见</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12</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24</w:t>
      </w:r>
      <w:r>
        <w:rPr>
          <w:spacing w:val="-2"/>
        </w:rPr>
        <w:t>日、</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日在中国证监会指定的创业板信息披露网站公告。 </w:t>
      </w:r>
      <w:r>
        <w:rPr>
          <w:rFonts w:ascii="Times New Roman" w:hAnsi="Times New Roman" w:cs="Times New Roman" w:eastAsia="Times New Roman" w:hint="default"/>
          <w:spacing w:val="-2"/>
        </w:rPr>
        <w:t>9</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22</w:t>
      </w:r>
      <w:r>
        <w:rPr>
          <w:spacing w:val="-2"/>
        </w:rPr>
        <w:t>日召开第五届董事会第四十五次会议、于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日召开</w:t>
      </w:r>
      <w:r>
        <w:rPr>
          <w:rFonts w:ascii="Times New Roman" w:hAnsi="Times New Roman" w:cs="Times New Roman" w:eastAsia="Times New Roman" w:hint="default"/>
          <w:spacing w:val="-2"/>
        </w:rPr>
        <w:t>2019</w:t>
      </w:r>
      <w:r>
        <w:rPr>
          <w:spacing w:val="-2"/>
        </w:rPr>
        <w:t>年第二次临时股东大会，审议通过了</w:t>
      </w:r>
    </w:p>
    <w:p>
      <w:pPr>
        <w:pStyle w:val="BodyText"/>
        <w:spacing w:line="307" w:lineRule="auto" w:before="7"/>
        <w:ind w:right="1033"/>
        <w:jc w:val="left"/>
      </w:pPr>
      <w:r>
        <w:rPr>
          <w:spacing w:val="-2"/>
        </w:rPr>
        <w:t>《关于公司及子公司</w:t>
      </w:r>
      <w:r>
        <w:rPr>
          <w:rFonts w:ascii="Times New Roman" w:hAnsi="Times New Roman" w:cs="Times New Roman" w:eastAsia="Times New Roman" w:hint="default"/>
          <w:spacing w:val="-2"/>
        </w:rPr>
        <w:t>2019</w:t>
      </w:r>
      <w:r>
        <w:rPr>
          <w:spacing w:val="-2"/>
        </w:rPr>
        <w:t>年度向银行申请综合授信额度的议案》，</w:t>
      </w:r>
      <w:r>
        <w:rPr>
          <w:rFonts w:ascii="Times New Roman" w:hAnsi="Times New Roman" w:cs="Times New Roman" w:eastAsia="Times New Roman" w:hint="default"/>
          <w:spacing w:val="-2"/>
        </w:rPr>
        <w:t>2019</w:t>
      </w:r>
      <w:r>
        <w:rPr>
          <w:spacing w:val="-2"/>
        </w:rPr>
        <w:t>年度，为满足生产经营和发展的需要，润和软件及子</w:t>
      </w:r>
      <w:r>
        <w:rPr>
          <w:spacing w:val="-61"/>
        </w:rPr>
        <w:t> </w:t>
      </w:r>
      <w:r>
        <w:rPr>
          <w:spacing w:val="-61"/>
        </w:rPr>
      </w:r>
      <w:r>
        <w:rPr>
          <w:spacing w:val="-2"/>
        </w:rPr>
        <w:t>公司预计将可能向银行申请总金额不超过人民币</w:t>
      </w:r>
      <w:r>
        <w:rPr>
          <w:rFonts w:ascii="Times New Roman" w:hAnsi="Times New Roman" w:cs="Times New Roman" w:eastAsia="Times New Roman" w:hint="default"/>
          <w:spacing w:val="-2"/>
        </w:rPr>
        <w:t>19</w:t>
      </w:r>
      <w:r>
        <w:rPr>
          <w:spacing w:val="-2"/>
        </w:rPr>
        <w:t>亿元的综合授信额度及办理该总额项下的包括流动资金贷款、经营性物业</w:t>
      </w:r>
      <w:r>
        <w:rPr>
          <w:spacing w:val="-63"/>
        </w:rPr>
        <w:t> </w:t>
      </w:r>
      <w:r>
        <w:rPr>
          <w:spacing w:val="-63"/>
        </w:rPr>
      </w:r>
      <w:r>
        <w:rPr>
          <w:spacing w:val="-2"/>
        </w:rPr>
        <w:t>贷款、票据贴现、保函、信用证、保理等综合业务。实际融资金额应在综合授信额度内，以银行与公司及子公司实际发生的</w:t>
      </w:r>
      <w:r>
        <w:rPr>
          <w:spacing w:val="-68"/>
        </w:rPr>
        <w:t> </w:t>
      </w:r>
      <w:r>
        <w:rPr>
          <w:spacing w:val="-68"/>
        </w:rPr>
      </w:r>
      <w:r>
        <w:rPr>
          <w:spacing w:val="-2"/>
        </w:rPr>
        <w:t>融资金额为准。为便于公司及子公司</w:t>
      </w:r>
      <w:r>
        <w:rPr>
          <w:rFonts w:ascii="Times New Roman" w:hAnsi="Times New Roman" w:cs="Times New Roman" w:eastAsia="Times New Roman" w:hint="default"/>
          <w:spacing w:val="-2"/>
        </w:rPr>
        <w:t>2019</w:t>
      </w:r>
      <w:r>
        <w:rPr>
          <w:spacing w:val="-2"/>
        </w:rPr>
        <w:t>年度向银行申请授信额度及贷款工作顺利进行，公司授权董事长或其指定的授权代</w:t>
      </w:r>
      <w:r>
        <w:rPr>
          <w:spacing w:val="-62"/>
        </w:rPr>
        <w:t> </w:t>
      </w:r>
      <w:r>
        <w:rPr>
          <w:spacing w:val="-62"/>
        </w:rPr>
      </w:r>
      <w:r>
        <w:rPr>
          <w:spacing w:val="-2"/>
        </w:rPr>
        <w:t>理人办理公司及子公司向银行申请综合授信额度及贷款相关的一切事务，本次授权决议的有效期为一年，自股东大会会议通</w:t>
      </w:r>
      <w:r>
        <w:rPr>
          <w:spacing w:val="-64"/>
        </w:rPr>
        <w:t> </w:t>
      </w:r>
      <w:r>
        <w:rPr>
          <w:spacing w:val="-64"/>
        </w:rPr>
      </w:r>
      <w:r>
        <w:rPr/>
        <w:t>过之日起计算。以上具体内容请详见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日在中国证监会指定的创业板信息披露网站公告。 </w:t>
      </w:r>
      <w:r>
        <w:rPr>
          <w:rFonts w:ascii="Times New Roman" w:hAnsi="Times New Roman" w:cs="Times New Roman" w:eastAsia="Times New Roman" w:hint="default"/>
        </w:rPr>
        <w:t>10</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日召开第五届董事会第四十五次会议、于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日召开</w:t>
      </w:r>
      <w:r>
        <w:rPr>
          <w:rFonts w:ascii="Times New Roman" w:hAnsi="Times New Roman" w:cs="Times New Roman" w:eastAsia="Times New Roman" w:hint="default"/>
        </w:rPr>
        <w:t>2019</w:t>
      </w:r>
      <w:r>
        <w:rPr/>
        <w:t>年第二次临时股东大会，审议通过 了《关于公司为子公司向银行申请综合授信提供担保的议案》，同意公司根据捷科智诚和联创智融的实际情况和银行要求， 对捷科智诚和联创智融</w:t>
      </w:r>
      <w:r>
        <w:rPr>
          <w:rFonts w:ascii="Times New Roman" w:hAnsi="Times New Roman" w:cs="Times New Roman" w:eastAsia="Times New Roman" w:hint="default"/>
        </w:rPr>
        <w:t>2019</w:t>
      </w:r>
      <w:r>
        <w:rPr/>
        <w:t>年度向银行申请综合授信额度分别提供不超过人民币</w:t>
      </w:r>
      <w:r>
        <w:rPr>
          <w:rFonts w:ascii="Times New Roman" w:hAnsi="Times New Roman" w:cs="Times New Roman" w:eastAsia="Times New Roman" w:hint="default"/>
        </w:rPr>
        <w:t>2</w:t>
      </w:r>
      <w:r>
        <w:rPr/>
        <w:t>亿元的担保，担保方式为保证担保，担保 有效期为一年，自股东大会会议通过之日起计算。以上具体内容请详见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日在中国证监会指定的 创业板信息披露网站公告。 </w:t>
      </w:r>
      <w:r>
        <w:rPr>
          <w:rFonts w:ascii="Times New Roman" w:hAnsi="Times New Roman" w:cs="Times New Roman" w:eastAsia="Times New Roman" w:hint="default"/>
          <w:spacing w:val="-3"/>
        </w:rPr>
        <w:t>11</w:t>
      </w: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11</w:t>
      </w:r>
      <w:r>
        <w:rPr>
          <w:spacing w:val="-3"/>
        </w:rPr>
        <w:t>日召开第五届董事会第四十六次会议、于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6</w:t>
      </w:r>
      <w:r>
        <w:rPr>
          <w:spacing w:val="-3"/>
        </w:rPr>
        <w:t>日召开</w:t>
      </w:r>
      <w:r>
        <w:rPr>
          <w:rFonts w:ascii="Times New Roman" w:hAnsi="Times New Roman" w:cs="Times New Roman" w:eastAsia="Times New Roman" w:hint="default"/>
          <w:spacing w:val="-3"/>
        </w:rPr>
        <w:t>2018</w:t>
      </w:r>
      <w:r>
        <w:rPr>
          <w:spacing w:val="-3"/>
        </w:rPr>
        <w:t>年年度股东大会，分别审议通过《关</w:t>
      </w:r>
      <w:r>
        <w:rPr>
          <w:spacing w:val="-82"/>
        </w:rPr>
        <w:t> </w:t>
      </w:r>
      <w:r>
        <w:rPr>
          <w:spacing w:val="-82"/>
        </w:rPr>
      </w:r>
      <w:r>
        <w:rPr/>
        <w:t>于修改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的议案》，依据《全国人民代表大会常务委员会关于修改〈中华人民共和国公司法〉的决定》中对公司 </w:t>
      </w:r>
      <w:r>
        <w:rPr>
          <w:spacing w:val="-2"/>
        </w:rPr>
        <w:t>回购股份有关条款做出的修订，结合公司的实际情况，董事会拟对《公司章程》做出修改，并提请股东大会授权董事会办理</w:t>
      </w:r>
      <w:r>
        <w:rPr>
          <w:spacing w:val="-67"/>
        </w:rPr>
        <w:t> </w:t>
      </w:r>
      <w:r>
        <w:rPr>
          <w:spacing w:val="-67"/>
        </w:rPr>
      </w:r>
      <w:r>
        <w:rPr/>
        <w:t>修改《公司章程》等工商变更登记事宜。以上具体内容请详见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日在中国证监会指定的创业板信 息披露网站公告。 </w:t>
      </w:r>
      <w:r>
        <w:rPr>
          <w:rFonts w:ascii="Times New Roman" w:hAnsi="Times New Roman" w:cs="Times New Roman" w:eastAsia="Times New Roman" w:hint="default"/>
        </w:rPr>
        <w:t>12</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日召开第五届董事会第四十六次会议和第五届监事会第二十六次会议、于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日召开</w:t>
      </w:r>
      <w:r>
        <w:rPr>
          <w:rFonts w:ascii="Times New Roman" w:hAnsi="Times New Roman" w:cs="Times New Roman" w:eastAsia="Times New Roman" w:hint="default"/>
        </w:rPr>
        <w:t>2018</w:t>
      </w:r>
      <w:r>
        <w:rPr/>
        <w:t>年</w:t>
      </w:r>
    </w:p>
    <w:p>
      <w:pPr>
        <w:spacing w:after="0" w:line="307"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2" w:lineRule="auto" w:before="44"/>
        <w:ind w:right="1023"/>
        <w:jc w:val="left"/>
      </w:pPr>
      <w:r>
        <w:rPr>
          <w:spacing w:val="-5"/>
        </w:rPr>
        <w:t>年度股东大会，分别审议通过了《</w:t>
      </w:r>
      <w:r>
        <w:rPr>
          <w:rFonts w:ascii="Times New Roman" w:hAnsi="Times New Roman" w:cs="Times New Roman" w:eastAsia="Times New Roman" w:hint="default"/>
          <w:spacing w:val="-5"/>
        </w:rPr>
        <w:t>2018</w:t>
      </w:r>
      <w:r>
        <w:rPr>
          <w:spacing w:val="-5"/>
        </w:rPr>
        <w:t>年度利润分配预案》：根据《公司法》、《关于支持上市公司回购股份的意见》、《深</w:t>
      </w:r>
      <w:r>
        <w:rPr>
          <w:spacing w:val="-72"/>
        </w:rPr>
        <w:t> </w:t>
      </w:r>
      <w:r>
        <w:rPr>
          <w:spacing w:val="-72"/>
        </w:rPr>
      </w:r>
      <w:r>
        <w:rPr>
          <w:spacing w:val="-2"/>
        </w:rPr>
        <w:t>圳证券交易所上市公司回购股份实施细则》以及《公司章程》等相关规定，结合公司实际情况，公司</w:t>
      </w:r>
      <w:r>
        <w:rPr>
          <w:rFonts w:ascii="Times New Roman" w:hAnsi="Times New Roman" w:cs="Times New Roman" w:eastAsia="Times New Roman" w:hint="default"/>
          <w:spacing w:val="-2"/>
        </w:rPr>
        <w:t>2018</w:t>
      </w:r>
      <w:r>
        <w:rPr>
          <w:spacing w:val="-2"/>
        </w:rPr>
        <w:t>年度拟不派发现金</w:t>
      </w:r>
      <w:r>
        <w:rPr>
          <w:spacing w:val="-64"/>
        </w:rPr>
        <w:t> </w:t>
      </w:r>
      <w:r>
        <w:rPr>
          <w:spacing w:val="-64"/>
        </w:rPr>
      </w:r>
      <w:r>
        <w:rPr/>
        <w:t>红利，不送红股，不以公积金转增股本，剩余未分配利润结转至下年度。以上具体内容请详见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 </w:t>
      </w:r>
      <w:r>
        <w:rPr/>
        <w:t>日在中国证监会指定的创业板信息披露网站公告。 </w:t>
      </w:r>
      <w:r>
        <w:rPr>
          <w:rFonts w:ascii="Times New Roman" w:hAnsi="Times New Roman" w:cs="Times New Roman" w:eastAsia="Times New Roman" w:hint="default"/>
        </w:rPr>
        <w:t>13</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日召开第五届董事会第四十六次会议，审议通过了《关于调整公司组织结构的议案》：为了进一步 </w:t>
      </w:r>
      <w:r>
        <w:rPr>
          <w:spacing w:val="-2"/>
        </w:rPr>
        <w:t>强化和规范公司管理，提升综合运营水平及效率，结合公司实际情况及未来发展规划，根据《公司法》、《公司章程》等相</w:t>
      </w:r>
      <w:r>
        <w:rPr>
          <w:spacing w:val="-65"/>
        </w:rPr>
        <w:t> </w:t>
      </w:r>
      <w:r>
        <w:rPr>
          <w:spacing w:val="-65"/>
        </w:rPr>
      </w:r>
      <w:r>
        <w:rPr/>
        <w:t>关规定，董事会对现有组织结构进行调整。以上具体内容请详见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日在中国证监会指定的创业板信息披露网站公 告。 </w:t>
      </w:r>
      <w:r>
        <w:rPr>
          <w:rFonts w:ascii="Times New Roman" w:hAnsi="Times New Roman" w:cs="Times New Roman" w:eastAsia="Times New Roman" w:hint="default"/>
        </w:rPr>
        <w:t>14</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日召开第五届董事会第四十六次会议和第五届监事会第二十六次会议，分别审议通过了《关于</w:t>
      </w:r>
      <w:r>
        <w:rPr>
          <w:rFonts w:ascii="Times New Roman" w:hAnsi="Times New Roman" w:cs="Times New Roman" w:eastAsia="Times New Roman" w:hint="default"/>
        </w:rPr>
        <w:t>2018 </w:t>
      </w:r>
      <w:r>
        <w:rPr>
          <w:spacing w:val="-2"/>
        </w:rPr>
        <w:t>年度日常关联交易以及</w:t>
      </w:r>
      <w:r>
        <w:rPr>
          <w:rFonts w:ascii="Times New Roman" w:hAnsi="Times New Roman" w:cs="Times New Roman" w:eastAsia="Times New Roman" w:hint="default"/>
          <w:spacing w:val="-2"/>
        </w:rPr>
        <w:t>2019</w:t>
      </w:r>
      <w:r>
        <w:rPr>
          <w:spacing w:val="-2"/>
        </w:rPr>
        <w:t>年度日常关联交易预计的议案》。</w:t>
      </w:r>
      <w:r>
        <w:rPr>
          <w:rFonts w:ascii="Times New Roman" w:hAnsi="Times New Roman" w:cs="Times New Roman" w:eastAsia="Times New Roman" w:hint="default"/>
          <w:spacing w:val="-2"/>
        </w:rPr>
        <w:t>2019</w:t>
      </w:r>
      <w:r>
        <w:rPr>
          <w:spacing w:val="-2"/>
        </w:rPr>
        <w:t>年度，因业务发展及日常生产经营需要，公司预计与北京</w:t>
      </w:r>
      <w:r>
        <w:rPr>
          <w:spacing w:val="-59"/>
        </w:rPr>
        <w:t> </w:t>
      </w:r>
      <w:r>
        <w:rPr>
          <w:spacing w:val="-59"/>
        </w:rPr>
      </w:r>
      <w:r>
        <w:rPr/>
        <w:t>蚂蚁云金融信息服务有限公司及其关联方产生服务销售及受托代销产品关联交易，预计日常关联交易金额不超过</w:t>
      </w:r>
      <w:r>
        <w:rPr>
          <w:rFonts w:ascii="Times New Roman" w:hAnsi="Times New Roman" w:cs="Times New Roman" w:eastAsia="Times New Roman" w:hint="default"/>
        </w:rPr>
        <w:t>7,900</w:t>
      </w:r>
      <w:r>
        <w:rPr/>
        <w:t>万元</w:t>
      </w:r>
      <w:r>
        <w:rPr>
          <w:spacing w:val="-3"/>
        </w:rPr>
        <w:t> </w:t>
      </w:r>
      <w:r>
        <w:rPr/>
        <w:t>人民币；公司预计与博纳讯动产生服务采购关联交易，预计日常关联交易金额不超过</w:t>
      </w:r>
      <w:r>
        <w:rPr>
          <w:rFonts w:ascii="Times New Roman" w:hAnsi="Times New Roman" w:cs="Times New Roman" w:eastAsia="Times New Roman" w:hint="default"/>
        </w:rPr>
        <w:t>1,000</w:t>
      </w:r>
      <w:r>
        <w:rPr/>
        <w:t>万元人民币；公司全资子公司外 </w:t>
      </w:r>
      <w:r>
        <w:rPr>
          <w:spacing w:val="-1"/>
        </w:rPr>
        <w:t>包园公司将与润和投资及其关联方产生房屋租赁关联交易，预计日常关联交易金额不超过</w:t>
      </w:r>
      <w:r>
        <w:rPr>
          <w:rFonts w:ascii="Times New Roman" w:hAnsi="Times New Roman" w:cs="Times New Roman" w:eastAsia="Times New Roman" w:hint="default"/>
          <w:spacing w:val="-1"/>
        </w:rPr>
        <w:t>1,000</w:t>
      </w:r>
      <w:r>
        <w:rPr>
          <w:spacing w:val="-1"/>
        </w:rPr>
        <w:t>万元人民币。预计</w:t>
      </w:r>
      <w:r>
        <w:rPr>
          <w:rFonts w:ascii="Times New Roman" w:hAnsi="Times New Roman" w:cs="Times New Roman" w:eastAsia="Times New Roman" w:hint="default"/>
          <w:spacing w:val="-1"/>
        </w:rPr>
        <w:t>2019</w:t>
      </w:r>
      <w:r>
        <w:rPr>
          <w:spacing w:val="-1"/>
        </w:rPr>
        <w:t>年度，</w:t>
      </w:r>
      <w:r>
        <w:rPr>
          <w:spacing w:val="-71"/>
        </w:rPr>
        <w:t> </w:t>
      </w:r>
      <w:r>
        <w:rPr>
          <w:spacing w:val="-71"/>
        </w:rPr>
      </w:r>
      <w:r>
        <w:rPr/>
        <w:t>公司与上述关联方发生的日常关联交易金额合计不超过</w:t>
      </w:r>
      <w:r>
        <w:rPr>
          <w:rFonts w:ascii="Times New Roman" w:hAnsi="Times New Roman" w:cs="Times New Roman" w:eastAsia="Times New Roman" w:hint="default"/>
        </w:rPr>
        <w:t>9,900</w:t>
      </w:r>
      <w:r>
        <w:rPr/>
        <w:t>万元人民币。</w:t>
      </w:r>
      <w:r>
        <w:rPr>
          <w:rFonts w:ascii="Times New Roman" w:hAnsi="Times New Roman" w:cs="Times New Roman" w:eastAsia="Times New Roman" w:hint="default"/>
        </w:rPr>
        <w:t>2019</w:t>
      </w:r>
      <w:r>
        <w:rPr/>
        <w:t>年半年度，公司与上述关联方发生的日常关 联交易总额为</w:t>
      </w:r>
      <w:r>
        <w:rPr>
          <w:rFonts w:ascii="Times New Roman" w:hAnsi="Times New Roman" w:cs="Times New Roman" w:eastAsia="Times New Roman" w:hint="default"/>
        </w:rPr>
        <w:t>984.82</w:t>
      </w:r>
      <w:r>
        <w:rPr/>
        <w:t>万元。以上具体内容请详见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日在中国证监会指定的创业板信息披露网站公告。 </w:t>
      </w:r>
      <w:r>
        <w:rPr>
          <w:rFonts w:ascii="Times New Roman" w:hAnsi="Times New Roman" w:cs="Times New Roman" w:eastAsia="Times New Roman" w:hint="default"/>
        </w:rPr>
        <w:t>15</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日，公司经中国证券监督管理委员会核准，向宁波宏创发行</w:t>
      </w:r>
      <w:r>
        <w:rPr>
          <w:rFonts w:ascii="Times New Roman" w:hAnsi="Times New Roman" w:cs="Times New Roman" w:eastAsia="Times New Roman" w:hint="default"/>
        </w:rPr>
        <w:t>48,124,698</w:t>
      </w:r>
      <w:r>
        <w:rPr/>
        <w:t>股股份购买相关资产，本次发行新增 </w:t>
      </w:r>
      <w:r>
        <w:rPr>
          <w:spacing w:val="-2"/>
        </w:rPr>
        <w:t>股份于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23</w:t>
      </w:r>
      <w:r>
        <w:rPr>
          <w:spacing w:val="-2"/>
        </w:rPr>
        <w:t>日在深圳证券交易所创业板上市。因公司</w:t>
      </w:r>
      <w:r>
        <w:rPr>
          <w:rFonts w:ascii="Times New Roman" w:hAnsi="Times New Roman" w:cs="Times New Roman" w:eastAsia="Times New Roman" w:hint="default"/>
          <w:spacing w:val="-2"/>
        </w:rPr>
        <w:t>2016</w:t>
      </w:r>
      <w:r>
        <w:rPr>
          <w:spacing w:val="-2"/>
        </w:rPr>
        <w:t>年利润分配方案的实施，上述股份增至</w:t>
      </w:r>
      <w:r>
        <w:rPr>
          <w:rFonts w:ascii="Times New Roman" w:hAnsi="Times New Roman" w:cs="Times New Roman" w:eastAsia="Times New Roman" w:hint="default"/>
          <w:spacing w:val="-2"/>
        </w:rPr>
        <w:t>96,249,396</w:t>
      </w:r>
      <w:r>
        <w:rPr>
          <w:spacing w:val="-2"/>
        </w:rPr>
        <w:t>股。</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日因上述股份限售期满，公司依据股东的锁定承诺将上述股份中的</w:t>
      </w:r>
      <w:r>
        <w:rPr>
          <w:rFonts w:ascii="Times New Roman" w:hAnsi="Times New Roman" w:cs="Times New Roman" w:eastAsia="Times New Roman" w:hint="default"/>
        </w:rPr>
        <w:t>67,374,577</w:t>
      </w:r>
      <w:r>
        <w:rPr/>
        <w:t>股解除限售，上市流通日为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 </w:t>
      </w:r>
      <w:r>
        <w:rPr>
          <w:rFonts w:ascii="Times New Roman" w:hAnsi="Times New Roman" w:cs="Times New Roman" w:eastAsia="Times New Roman" w:hint="default"/>
        </w:rPr>
        <w:t>25</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月，公司依据股东的锁定承诺将上述股份中剩余的</w:t>
      </w:r>
      <w:r>
        <w:rPr>
          <w:rFonts w:ascii="Times New Roman" w:hAnsi="Times New Roman" w:cs="Times New Roman" w:eastAsia="Times New Roman" w:hint="default"/>
        </w:rPr>
        <w:t>28,874,819</w:t>
      </w:r>
      <w:r>
        <w:rPr/>
        <w:t>股解除限售，上市流通日为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日。以 </w:t>
      </w:r>
      <w:r>
        <w:rPr>
          <w:spacing w:val="-2"/>
        </w:rPr>
        <w:t>上具体内容请详见</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6</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18</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21</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18</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11</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w:t>
      </w:r>
      <w:r>
        <w:rPr>
          <w:spacing w:val="-2"/>
        </w:rPr>
        <w:t>日、</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日在中国证监会指定的创业板信息披露网站公告。 </w:t>
      </w:r>
      <w:r>
        <w:rPr>
          <w:rFonts w:ascii="Times New Roman" w:hAnsi="Times New Roman" w:cs="Times New Roman" w:eastAsia="Times New Roman" w:hint="default"/>
        </w:rPr>
        <w:t>16</w:t>
      </w:r>
      <w:r>
        <w:rPr/>
        <w:t>、公司收到</w:t>
      </w:r>
      <w:r>
        <w:rPr>
          <w:rFonts w:ascii="Times New Roman" w:hAnsi="Times New Roman" w:cs="Times New Roman" w:eastAsia="Times New Roman" w:hint="default"/>
        </w:rPr>
        <w:t>2019</w:t>
      </w:r>
      <w:r>
        <w:rPr/>
        <w:t>年度审计机构容诚会计师事务所（特殊普通合伙）来函告知，经主管部门批准，</w:t>
      </w:r>
      <w:r>
        <w:rPr>
          <w:rFonts w:ascii="Times New Roman" w:hAnsi="Times New Roman" w:cs="Times New Roman" w:eastAsia="Times New Roman" w:hint="default"/>
        </w:rPr>
        <w:t>“</w:t>
      </w:r>
      <w:r>
        <w:rPr/>
        <w:t>华普天健会计师事务所</w:t>
      </w:r>
    </w:p>
    <w:p>
      <w:pPr>
        <w:pStyle w:val="BodyText"/>
        <w:spacing w:line="302" w:lineRule="auto" w:before="11"/>
        <w:ind w:right="1120"/>
        <w:jc w:val="left"/>
      </w:pPr>
      <w:r>
        <w:rPr/>
        <w:t>（特殊普通合伙）</w:t>
      </w:r>
      <w:r>
        <w:rPr>
          <w:rFonts w:ascii="Times New Roman" w:hAnsi="Times New Roman" w:cs="Times New Roman" w:eastAsia="Times New Roman" w:hint="default"/>
        </w:rPr>
        <w:t>”</w:t>
      </w:r>
      <w:r>
        <w:rPr/>
        <w:t>名称已变更为</w:t>
      </w:r>
      <w:r>
        <w:rPr>
          <w:rFonts w:ascii="Times New Roman" w:hAnsi="Times New Roman" w:cs="Times New Roman" w:eastAsia="Times New Roman" w:hint="default"/>
        </w:rPr>
        <w:t>“</w:t>
      </w:r>
      <w:r>
        <w:rPr/>
        <w:t>容诚会计师事务所（特殊普通合伙）</w:t>
      </w:r>
      <w:r>
        <w:rPr>
          <w:rFonts w:ascii="Times New Roman" w:hAnsi="Times New Roman" w:cs="Times New Roman" w:eastAsia="Times New Roman" w:hint="default"/>
        </w:rPr>
        <w:t>”</w:t>
      </w:r>
      <w:r>
        <w:rPr/>
        <w:t>，更名后的事务所各项执业资格、服务团队、单位 </w:t>
      </w:r>
      <w:r>
        <w:rPr>
          <w:spacing w:val="-2"/>
        </w:rPr>
        <w:t>地址、联系电话等均无变化，主体资格和法律关系不变。本次会计师事务所名称变更，不涉及主体资格变更，不属于更换或</w:t>
      </w:r>
      <w:r>
        <w:rPr>
          <w:spacing w:val="-67"/>
        </w:rPr>
        <w:t> </w:t>
      </w:r>
      <w:r>
        <w:rPr>
          <w:spacing w:val="-67"/>
        </w:rPr>
      </w:r>
      <w:r>
        <w:rPr/>
        <w:t>重新聘任会计师事务所的情形。以上具体内容请详见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日在中国证监会指定的创业板信息披露网站公告。 </w:t>
      </w:r>
      <w:r>
        <w:rPr>
          <w:rFonts w:ascii="Times New Roman" w:hAnsi="Times New Roman" w:cs="Times New Roman" w:eastAsia="Times New Roman" w:hint="default"/>
          <w:spacing w:val="-3"/>
        </w:rPr>
        <w:t>17</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16</w:t>
      </w:r>
      <w:r>
        <w:rPr>
          <w:spacing w:val="-3"/>
        </w:rPr>
        <w:t>日，公司控股股东润和投资、实际控制人及一致行动人周红卫及姚宁、股东宁波宏创与服贸基金签订了《关</w:t>
      </w:r>
      <w:r>
        <w:rPr>
          <w:spacing w:val="-88"/>
        </w:rPr>
        <w:t> </w:t>
      </w:r>
      <w:r>
        <w:rPr>
          <w:spacing w:val="-88"/>
        </w:rPr>
      </w:r>
      <w:r>
        <w:rPr>
          <w:spacing w:val="-3"/>
        </w:rPr>
        <w:t>于江苏润和软件股份有限公司之股份转让协议》，润和投资、周红卫、姚宁、宁波宏创将其合计所持有的润和软件</w:t>
      </w:r>
      <w:r>
        <w:rPr>
          <w:rFonts w:ascii="Times New Roman" w:hAnsi="Times New Roman" w:cs="Times New Roman" w:eastAsia="Times New Roman" w:hint="default"/>
          <w:spacing w:val="-3"/>
        </w:rPr>
        <w:t>40,000,000</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spacing w:val="-1"/>
        </w:rPr>
        <w:t>股无限售条件流通股份转让给服贸基金，占公司目前总股本的比例为</w:t>
      </w:r>
      <w:r>
        <w:rPr>
          <w:rFonts w:ascii="Times New Roman" w:hAnsi="Times New Roman" w:cs="Times New Roman" w:eastAsia="Times New Roman" w:hint="default"/>
          <w:spacing w:val="-1"/>
        </w:rPr>
        <w:t>5.13%</w:t>
      </w:r>
      <w:r>
        <w:rPr>
          <w:spacing w:val="-1"/>
        </w:rPr>
        <w:t>（若不剔除公司股份回购专用证券账户中的股份</w:t>
      </w:r>
      <w:r>
        <w:rPr>
          <w:spacing w:val="-43"/>
        </w:rPr>
        <w:t> </w:t>
      </w:r>
      <w:r>
        <w:rPr>
          <w:spacing w:val="-43"/>
        </w:rPr>
      </w:r>
      <w:r>
        <w:rPr>
          <w:spacing w:val="-1"/>
        </w:rPr>
        <w:t>数量，则该比例为</w:t>
      </w:r>
      <w:r>
        <w:rPr>
          <w:rFonts w:ascii="Times New Roman" w:hAnsi="Times New Roman" w:cs="Times New Roman" w:eastAsia="Times New Roman" w:hint="default"/>
          <w:spacing w:val="-1"/>
        </w:rPr>
        <w:t>5.02%</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8</w:t>
      </w:r>
      <w:r>
        <w:rPr>
          <w:spacing w:val="-1"/>
        </w:rPr>
        <w:t>日，公司收到股东通知，本次协议转让的过户登记手续已经办理完成，并取得了中</w:t>
      </w:r>
      <w:r>
        <w:rPr>
          <w:spacing w:val="-41"/>
        </w:rPr>
        <w:t> </w:t>
      </w:r>
      <w:r>
        <w:rPr>
          <w:spacing w:val="-41"/>
        </w:rPr>
      </w:r>
      <w:r>
        <w:rPr/>
        <w:t>国证券登记结算有限责任公司出具的《证券过户登记确认书》，过户日期为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日。以上具体内容请详见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 </w:t>
      </w:r>
      <w:r>
        <w:rPr>
          <w:rFonts w:ascii="Times New Roman" w:hAnsi="Times New Roman" w:cs="Times New Roman" w:eastAsia="Times New Roman" w:hint="default"/>
        </w:rPr>
        <w:t>16</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日在中国证监会指定的创业板信息披露网站公告。</w:t>
      </w:r>
    </w:p>
    <w:p>
      <w:pPr>
        <w:pStyle w:val="BodyText"/>
        <w:spacing w:line="309" w:lineRule="auto" w:before="11"/>
        <w:ind w:right="1123"/>
        <w:jc w:val="left"/>
      </w:pPr>
      <w:r>
        <w:rPr>
          <w:rFonts w:ascii="Times New Roman" w:hAnsi="Times New Roman" w:cs="Times New Roman" w:eastAsia="Times New Roman" w:hint="default"/>
        </w:rPr>
        <w:t>18</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日召开第五届董事会第四十八次会议和第五届监事会第二十八次会议，分别审议通过了《关于公司 </w:t>
      </w:r>
      <w:r>
        <w:rPr>
          <w:spacing w:val="-2"/>
        </w:rPr>
        <w:t>注销部分募集资金专户的议案》，鉴于中国工商银行股份有限公司南京玄武支行募集资金专户已基本使用完毕，公司将对上</w:t>
      </w:r>
      <w:r>
        <w:rPr>
          <w:spacing w:val="-66"/>
        </w:rPr>
        <w:t> </w:t>
      </w:r>
      <w:r>
        <w:rPr>
          <w:spacing w:val="-66"/>
        </w:rPr>
      </w:r>
      <w:r>
        <w:rPr>
          <w:spacing w:val="-2"/>
        </w:rPr>
        <w:t>述募集资金专户节余资金计人民币</w:t>
      </w:r>
      <w:r>
        <w:rPr>
          <w:rFonts w:ascii="Times New Roman" w:hAnsi="Times New Roman" w:cs="Times New Roman" w:eastAsia="Times New Roman" w:hint="default"/>
          <w:spacing w:val="-2"/>
        </w:rPr>
        <w:t>31,137.01</w:t>
      </w:r>
      <w:r>
        <w:rPr>
          <w:spacing w:val="-2"/>
        </w:rPr>
        <w:t>元（含利息收入，具体利息收入金额以转出资金账户当日实际金额为准）永久补</w:t>
      </w:r>
      <w:r>
        <w:rPr>
          <w:spacing w:val="-57"/>
        </w:rPr>
        <w:t> </w:t>
      </w:r>
      <w:r>
        <w:rPr>
          <w:spacing w:val="-57"/>
        </w:rPr>
      </w:r>
      <w:r>
        <w:rPr>
          <w:spacing w:val="-2"/>
        </w:rPr>
        <w:t>充流动资金并办理账户注销手续。上述募集资金专户注销后，公司与中国工商银行股份有限公司南京玄武支行以及保荐机构</w:t>
      </w:r>
      <w:r>
        <w:rPr>
          <w:spacing w:val="-64"/>
        </w:rPr>
        <w:t> </w:t>
      </w:r>
      <w:r>
        <w:rPr>
          <w:spacing w:val="-64"/>
        </w:rPr>
      </w:r>
      <w:r>
        <w:rPr/>
        <w:t>华泰联合证券有限责任公司签订的《募集资金专户存储三方监管协议》将随之终止。以上具体内容请详见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日在</w:t>
      </w:r>
      <w:r>
        <w:rPr>
          <w:spacing w:val="-3"/>
        </w:rPr>
        <w:t> </w:t>
      </w:r>
      <w:r>
        <w:rPr/>
        <w:t>中国证监会指定的创业板信息披露网站公告。</w:t>
      </w:r>
      <w:r>
        <w:rPr/>
        <w:t> </w:t>
      </w:r>
      <w:r>
        <w:rPr>
          <w:rFonts w:ascii="Times New Roman" w:hAnsi="Times New Roman" w:cs="Times New Roman" w:eastAsia="Times New Roman" w:hint="default"/>
          <w:spacing w:val="-2"/>
        </w:rPr>
        <w:t>19</w:t>
      </w:r>
      <w:r>
        <w:rPr>
          <w:spacing w:val="-2"/>
        </w:rPr>
        <w:t>、公司收到华泰联合出具的《华泰联合证券有限责任公司关于更换江苏润和软件股份有限公司保荐代表人的通知》，因王</w:t>
      </w:r>
      <w:r>
        <w:rPr>
          <w:spacing w:val="-62"/>
        </w:rPr>
        <w:t> </w:t>
      </w:r>
      <w:r>
        <w:rPr>
          <w:spacing w:val="-62"/>
        </w:rPr>
      </w:r>
      <w:r>
        <w:rPr>
          <w:spacing w:val="-2"/>
        </w:rPr>
        <w:t>平先生调离华泰联合，不能继续担任持续督导期的保荐工作，华泰联合指派保荐代表人彭松林先生接替王平先生担任公司持</w:t>
      </w:r>
      <w:r>
        <w:rPr>
          <w:spacing w:val="-63"/>
        </w:rPr>
        <w:t> </w:t>
      </w:r>
      <w:r>
        <w:rPr>
          <w:spacing w:val="-63"/>
        </w:rPr>
      </w:r>
      <w:r>
        <w:rPr>
          <w:spacing w:val="-2"/>
        </w:rPr>
        <w:t>续督导期保荐工作。本次保荐代表人更换后，公司非公开发行股票的保荐代表人为李琦女士和彭松林先生，持续督导期限至</w:t>
      </w:r>
      <w:r>
        <w:rPr>
          <w:spacing w:val="-63"/>
        </w:rPr>
        <w:t> </w:t>
      </w:r>
      <w:r>
        <w:rPr>
          <w:spacing w:val="-63"/>
        </w:rPr>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日止。以上具体内容请详见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日在中国证监会指定的创业板信息披露网站公告。</w:t>
      </w:r>
    </w:p>
    <w:p>
      <w:pPr>
        <w:pStyle w:val="BodyText"/>
        <w:spacing w:line="300" w:lineRule="auto" w:before="5"/>
        <w:ind w:right="1130"/>
        <w:jc w:val="both"/>
      </w:pPr>
      <w:r>
        <w:rPr>
          <w:rFonts w:ascii="Times New Roman" w:hAnsi="Times New Roman" w:cs="Times New Roman" w:eastAsia="Times New Roman" w:hint="default"/>
          <w:spacing w:val="-1"/>
        </w:rPr>
        <w:t>20</w:t>
      </w:r>
      <w:r>
        <w:rPr>
          <w:spacing w:val="-1"/>
        </w:rPr>
        <w:t>、公司于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19</w:t>
      </w:r>
      <w:r>
        <w:rPr>
          <w:spacing w:val="-1"/>
        </w:rPr>
        <w:t>日召开的</w:t>
      </w:r>
      <w:r>
        <w:rPr>
          <w:rFonts w:ascii="Times New Roman" w:hAnsi="Times New Roman" w:cs="Times New Roman" w:eastAsia="Times New Roman" w:hint="default"/>
          <w:spacing w:val="-1"/>
        </w:rPr>
        <w:t>2016</w:t>
      </w:r>
      <w:r>
        <w:rPr>
          <w:spacing w:val="-1"/>
        </w:rPr>
        <w:t>年第五次临时股东大会审议通过了《关于</w:t>
      </w:r>
      <w:r>
        <w:rPr>
          <w:rFonts w:ascii="Times New Roman" w:hAnsi="Times New Roman" w:cs="Times New Roman" w:eastAsia="Times New Roman" w:hint="default"/>
          <w:spacing w:val="-1"/>
        </w:rPr>
        <w:t>&lt;</w:t>
      </w:r>
      <w:r>
        <w:rPr>
          <w:spacing w:val="-1"/>
        </w:rPr>
        <w:t>江苏润和软件股份有限公司第一期员工持</w:t>
      </w:r>
      <w:r>
        <w:rPr>
          <w:spacing w:val="-42"/>
        </w:rPr>
        <w:t> </w:t>
      </w:r>
      <w:r>
        <w:rPr>
          <w:spacing w:val="-42"/>
        </w:rPr>
      </w:r>
      <w:r>
        <w:rPr/>
        <w:t>股计划（草案）</w:t>
      </w:r>
      <w:r>
        <w:rPr>
          <w:rFonts w:ascii="Times New Roman" w:hAnsi="Times New Roman" w:cs="Times New Roman" w:eastAsia="Times New Roman" w:hint="default"/>
        </w:rPr>
        <w:t>&gt;</w:t>
      </w:r>
      <w:r>
        <w:rPr/>
        <w:t>及其摘要的议案》及相关议案，同意公司实施第一期员工持股计划，并委托由兴业国际信托有限公司设立 </w:t>
      </w:r>
      <w:r>
        <w:rPr>
          <w:spacing w:val="-1"/>
        </w:rPr>
        <w:t>的</w:t>
      </w:r>
      <w:r>
        <w:rPr>
          <w:rFonts w:ascii="Times New Roman" w:hAnsi="Times New Roman" w:cs="Times New Roman" w:eastAsia="Times New Roman" w:hint="default"/>
          <w:spacing w:val="-1"/>
        </w:rPr>
        <w:t>“</w:t>
      </w:r>
      <w:r>
        <w:rPr>
          <w:spacing w:val="-1"/>
        </w:rPr>
        <w:t>兴业信托</w:t>
      </w:r>
      <w:r>
        <w:rPr>
          <w:rFonts w:ascii="Times New Roman" w:hAnsi="Times New Roman" w:cs="Times New Roman" w:eastAsia="Times New Roman" w:hint="default"/>
          <w:spacing w:val="-1"/>
        </w:rPr>
        <w:t>—</w:t>
      </w:r>
      <w:r>
        <w:rPr>
          <w:spacing w:val="-1"/>
        </w:rPr>
        <w:t>润和软件</w:t>
      </w:r>
      <w:r>
        <w:rPr>
          <w:rFonts w:ascii="Times New Roman" w:hAnsi="Times New Roman" w:cs="Times New Roman" w:eastAsia="Times New Roman" w:hint="default"/>
          <w:spacing w:val="-1"/>
        </w:rPr>
        <w:t>1</w:t>
      </w:r>
      <w:r>
        <w:rPr>
          <w:spacing w:val="-1"/>
        </w:rPr>
        <w:t>号员工持股集合资金信托计划</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兴业润和</w:t>
      </w:r>
      <w:r>
        <w:rPr>
          <w:rFonts w:ascii="Times New Roman" w:hAnsi="Times New Roman" w:cs="Times New Roman" w:eastAsia="Times New Roman" w:hint="default"/>
          <w:spacing w:val="-1"/>
        </w:rPr>
        <w:t>1</w:t>
      </w:r>
      <w:r>
        <w:rPr>
          <w:spacing w:val="-1"/>
        </w:rPr>
        <w:t>号</w:t>
      </w:r>
      <w:r>
        <w:rPr>
          <w:rFonts w:ascii="Times New Roman" w:hAnsi="Times New Roman" w:cs="Times New Roman" w:eastAsia="Times New Roman" w:hint="default"/>
          <w:spacing w:val="-1"/>
        </w:rPr>
        <w:t>”</w:t>
      </w:r>
      <w:r>
        <w:rPr>
          <w:spacing w:val="-1"/>
        </w:rPr>
        <w:t>）进行管理，通过二级市场购买、大宗交</w:t>
      </w:r>
    </w:p>
    <w:p>
      <w:pPr>
        <w:spacing w:after="0" w:line="300"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7" w:lineRule="auto" w:before="44"/>
        <w:ind w:right="1033"/>
        <w:jc w:val="left"/>
      </w:pPr>
      <w:r>
        <w:rPr/>
        <w:t>易购买等法律法规许可的方式取得并持有公司的股票。截至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日，公司第一期员工持股计划兴业润和</w:t>
      </w:r>
      <w:r>
        <w:rPr>
          <w:rFonts w:ascii="Times New Roman" w:hAnsi="Times New Roman" w:cs="Times New Roman" w:eastAsia="Times New Roman" w:hint="default"/>
        </w:rPr>
        <w:t>1</w:t>
      </w:r>
      <w:r>
        <w:rPr/>
        <w:t>号所购买的 </w:t>
      </w:r>
      <w:r>
        <w:rPr>
          <w:rFonts w:ascii="Times New Roman" w:hAnsi="Times New Roman" w:cs="Times New Roman" w:eastAsia="Times New Roman" w:hint="default"/>
        </w:rPr>
        <w:t>21,096,076</w:t>
      </w:r>
      <w:r>
        <w:rPr/>
        <w:t>股公司股票已全部出售完毕，占公司总股本的</w:t>
      </w:r>
      <w:r>
        <w:rPr>
          <w:rFonts w:ascii="Times New Roman" w:hAnsi="Times New Roman" w:cs="Times New Roman" w:eastAsia="Times New Roman" w:hint="default"/>
        </w:rPr>
        <w:t>2.65%</w:t>
      </w:r>
      <w:r>
        <w:rPr/>
        <w:t>。以上具体内容请详见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日在中国证监会指定的创 业板信息披露网站公告。 </w:t>
      </w:r>
      <w:r>
        <w:rPr>
          <w:rFonts w:ascii="Times New Roman" w:hAnsi="Times New Roman" w:cs="Times New Roman" w:eastAsia="Times New Roman" w:hint="default"/>
        </w:rPr>
        <w:t>21</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日召开第五届董事会第四十九次会议和第五届监事会第二十九次会议、于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日召开</w:t>
      </w:r>
      <w:r>
        <w:rPr>
          <w:rFonts w:ascii="Times New Roman" w:hAnsi="Times New Roman" w:cs="Times New Roman" w:eastAsia="Times New Roman" w:hint="default"/>
        </w:rPr>
        <w:t>2019 </w:t>
      </w:r>
      <w:r>
        <w:rPr/>
        <w:t>年第三次临时股东大会，分别审议通过了《关于豁免实际控制人自愿性股份锁定承诺的议案》，润和投资为公司控股股东， 周红卫持有润和投资</w:t>
      </w:r>
      <w:r>
        <w:rPr>
          <w:rFonts w:ascii="Times New Roman" w:hAnsi="Times New Roman" w:cs="Times New Roman" w:eastAsia="Times New Roman" w:hint="default"/>
        </w:rPr>
        <w:t>43.65%</w:t>
      </w:r>
      <w:r>
        <w:rPr/>
        <w:t>股份，姚宁持有润和投资</w:t>
      </w:r>
      <w:r>
        <w:rPr>
          <w:rFonts w:ascii="Times New Roman" w:hAnsi="Times New Roman" w:cs="Times New Roman" w:eastAsia="Times New Roman" w:hint="default"/>
        </w:rPr>
        <w:t>33.15%</w:t>
      </w:r>
      <w:r>
        <w:rPr/>
        <w:t>股份，周红卫、姚宁合计持有润和投资</w:t>
      </w:r>
      <w:r>
        <w:rPr>
          <w:rFonts w:ascii="Times New Roman" w:hAnsi="Times New Roman" w:cs="Times New Roman" w:eastAsia="Times New Roman" w:hint="default"/>
        </w:rPr>
        <w:t>76.80%</w:t>
      </w:r>
      <w:r>
        <w:rPr/>
        <w:t>股份并共同控制 </w:t>
      </w:r>
      <w:r>
        <w:rPr>
          <w:spacing w:val="-2"/>
        </w:rPr>
        <w:t>润和投资。因可交换公司债券持有人在换股期内可以选择交换股票以及实际换股数量等，润和投资所持公司股份会因投资者</w:t>
      </w:r>
      <w:r>
        <w:rPr>
          <w:spacing w:val="-64"/>
        </w:rPr>
        <w:t> </w:t>
      </w:r>
      <w:r>
        <w:rPr>
          <w:spacing w:val="-64"/>
        </w:rPr>
      </w:r>
      <w:r>
        <w:rPr>
          <w:spacing w:val="-2"/>
        </w:rPr>
        <w:t>选择换股而导致被动减少，从而导致周红卫、姚宁间接持有公司股份被动减少，故周红卫、姚宁申请豁免其在公司《首次公</w:t>
      </w:r>
      <w:r>
        <w:rPr>
          <w:spacing w:val="-67"/>
        </w:rPr>
        <w:t> </w:t>
      </w:r>
      <w:r>
        <w:rPr>
          <w:spacing w:val="-67"/>
        </w:rPr>
      </w:r>
      <w:r>
        <w:rPr/>
        <w:t>开发行股票并在创业板上市招股说明书》中作出的自愿性股份锁定承诺：</w:t>
      </w:r>
      <w:r>
        <w:rPr>
          <w:rFonts w:ascii="Times New Roman" w:hAnsi="Times New Roman" w:cs="Times New Roman" w:eastAsia="Times New Roman" w:hint="default"/>
        </w:rPr>
        <w:t>“</w:t>
      </w:r>
      <w:r>
        <w:rPr/>
        <w:t>在担任公司的董事、监事或高级管理人员期间， </w:t>
      </w:r>
      <w:r>
        <w:rPr>
          <w:spacing w:val="-2"/>
        </w:rPr>
        <w:t>每年转让的股份不超过其间接持有公司股份总数的百分之二十五</w:t>
      </w:r>
      <w:r>
        <w:rPr>
          <w:rFonts w:ascii="Times New Roman" w:hAnsi="Times New Roman" w:cs="Times New Roman" w:eastAsia="Times New Roman" w:hint="default"/>
          <w:spacing w:val="-2"/>
        </w:rPr>
        <w:t>”</w:t>
      </w:r>
      <w:r>
        <w:rPr>
          <w:spacing w:val="-2"/>
        </w:rPr>
        <w:t>并作出替代性措施。以上具体内容请详见</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19</w:t>
      </w:r>
      <w:r>
        <w:rPr>
          <w:spacing w:val="-2"/>
        </w:rPr>
        <w:t>日和</w:t>
      </w:r>
      <w:r>
        <w:rPr>
          <w:spacing w:val="-52"/>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日在中国证监会指定的创业板信息披露网站公告。</w:t>
      </w:r>
    </w:p>
    <w:p>
      <w:pPr>
        <w:pStyle w:val="BodyText"/>
        <w:spacing w:line="300" w:lineRule="auto" w:before="7"/>
        <w:ind w:right="0"/>
        <w:jc w:val="left"/>
      </w:pPr>
      <w:r>
        <w:rPr>
          <w:rFonts w:ascii="Times New Roman" w:hAnsi="Times New Roman" w:cs="Times New Roman" w:eastAsia="Times New Roman" w:hint="default"/>
        </w:rPr>
        <w:t>22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日，润和投资将质押给华泰联合证券有限责任公司的本公司股份</w:t>
      </w:r>
      <w:r>
        <w:rPr>
          <w:rFonts w:ascii="Times New Roman" w:hAnsi="Times New Roman" w:cs="Times New Roman" w:eastAsia="Times New Roman" w:hint="default"/>
        </w:rPr>
        <w:t>20,000,000</w:t>
      </w:r>
      <w:r>
        <w:rPr/>
        <w:t>股解除质押。</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 润和投资将其持有的本公司股份</w:t>
      </w:r>
      <w:r>
        <w:rPr>
          <w:rFonts w:ascii="Times New Roman" w:hAnsi="Times New Roman" w:cs="Times New Roman" w:eastAsia="Times New Roman" w:hint="default"/>
        </w:rPr>
        <w:t>9,000,000</w:t>
      </w:r>
      <w:r>
        <w:rPr/>
        <w:t>股质押给江苏苏宁银行股份有限公司，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日，润和投资将上述</w:t>
      </w:r>
      <w:r>
        <w:rPr>
          <w:rFonts w:ascii="Times New Roman" w:hAnsi="Times New Roman" w:cs="Times New Roman" w:eastAsia="Times New Roman" w:hint="default"/>
        </w:rPr>
        <w:t>9,000,000 </w:t>
      </w:r>
      <w:r>
        <w:rPr/>
        <w:t>股解除质押，并于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4</w:t>
      </w:r>
      <w:r>
        <w:rPr/>
        <w:t>日将上述</w:t>
      </w:r>
      <w:r>
        <w:rPr>
          <w:rFonts w:ascii="Times New Roman" w:hAnsi="Times New Roman" w:cs="Times New Roman" w:eastAsia="Times New Roman" w:hint="default"/>
        </w:rPr>
        <w:t>9,000,000</w:t>
      </w:r>
      <w:r>
        <w:rPr/>
        <w:t>股再质押给江苏苏宁银行股份有限公司。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日，润和投资将其持 有的本公司股份</w:t>
      </w:r>
      <w:r>
        <w:rPr>
          <w:rFonts w:ascii="Times New Roman" w:hAnsi="Times New Roman" w:cs="Times New Roman" w:eastAsia="Times New Roman" w:hint="default"/>
        </w:rPr>
        <w:t>10,000,000</w:t>
      </w:r>
      <w:r>
        <w:rPr/>
        <w:t>股质押给江苏紫金农村商业银行股份有限公司江宁支行，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日，润和投资将上述 </w:t>
      </w:r>
      <w:r>
        <w:rPr>
          <w:rFonts w:ascii="Times New Roman" w:hAnsi="Times New Roman" w:cs="Times New Roman" w:eastAsia="Times New Roman" w:hint="default"/>
          <w:spacing w:val="-2"/>
        </w:rPr>
        <w:t>10,000,000</w:t>
      </w:r>
      <w:r>
        <w:rPr>
          <w:spacing w:val="-2"/>
        </w:rPr>
        <w:t>股解除质押。</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10</w:t>
      </w:r>
      <w:r>
        <w:rPr>
          <w:spacing w:val="-2"/>
        </w:rPr>
        <w:t>日，润和投资将质押给华泰联合证券有限责任公司的本公司股份</w:t>
      </w:r>
      <w:r>
        <w:rPr>
          <w:rFonts w:ascii="Times New Roman" w:hAnsi="Times New Roman" w:cs="Times New Roman" w:eastAsia="Times New Roman" w:hint="default"/>
          <w:spacing w:val="-2"/>
        </w:rPr>
        <w:t>26,450,000</w:t>
      </w:r>
      <w:r>
        <w:rPr>
          <w:spacing w:val="-2"/>
        </w:rPr>
        <w:t>股解除质押。</w:t>
      </w:r>
    </w:p>
    <w:p>
      <w:pPr>
        <w:pStyle w:val="BodyText"/>
        <w:spacing w:line="300" w:lineRule="auto" w:before="13"/>
        <w:ind w:right="1123"/>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日，润和投资将其持有的本公司股份</w:t>
      </w:r>
      <w:r>
        <w:rPr>
          <w:rFonts w:ascii="Times New Roman" w:hAnsi="Times New Roman" w:cs="Times New Roman" w:eastAsia="Times New Roman" w:hint="default"/>
        </w:rPr>
        <w:t>15,900,000</w:t>
      </w:r>
      <w:r>
        <w:rPr/>
        <w:t>股质押给江苏紫金农村商业银行股份有限公司江宁支行。</w:t>
      </w:r>
      <w:r>
        <w:rPr>
          <w:rFonts w:ascii="Times New Roman" w:hAnsi="Times New Roman" w:cs="Times New Roman" w:eastAsia="Times New Roman" w:hint="default"/>
        </w:rPr>
        <w:t>2019 </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9</w:t>
      </w:r>
      <w:r>
        <w:rPr>
          <w:spacing w:val="-2"/>
        </w:rPr>
        <w:t>日及</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23</w:t>
      </w:r>
      <w:r>
        <w:rPr>
          <w:spacing w:val="-2"/>
        </w:rPr>
        <w:t>日，润和投资分别将其持有的本公司股份</w:t>
      </w:r>
      <w:r>
        <w:rPr>
          <w:rFonts w:ascii="Times New Roman" w:hAnsi="Times New Roman" w:cs="Times New Roman" w:eastAsia="Times New Roman" w:hint="default"/>
          <w:spacing w:val="-2"/>
        </w:rPr>
        <w:t>2,500,000</w:t>
      </w:r>
      <w:r>
        <w:rPr>
          <w:spacing w:val="-2"/>
        </w:rPr>
        <w:t>股、</w:t>
      </w:r>
      <w:r>
        <w:rPr>
          <w:rFonts w:ascii="Times New Roman" w:hAnsi="Times New Roman" w:cs="Times New Roman" w:eastAsia="Times New Roman" w:hint="default"/>
          <w:spacing w:val="-2"/>
        </w:rPr>
        <w:t>7,500,000</w:t>
      </w:r>
      <w:r>
        <w:rPr>
          <w:spacing w:val="-2"/>
        </w:rPr>
        <w:t>股质押给江苏瑞华投资控股集团有</w:t>
      </w:r>
      <w:r>
        <w:rPr>
          <w:spacing w:val="-44"/>
        </w:rPr>
        <w:t> </w:t>
      </w:r>
      <w:r>
        <w:rPr/>
        <w:t>限公司。以上具体内容请详见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11</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日和</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日在中国证监会指定的创业板信息披露网站公告。 </w:t>
      </w:r>
      <w:r>
        <w:rPr>
          <w:rFonts w:ascii="Times New Roman" w:hAnsi="Times New Roman" w:cs="Times New Roman" w:eastAsia="Times New Roman" w:hint="default"/>
          <w:spacing w:val="-2"/>
        </w:rPr>
        <w:t>23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14</w:t>
      </w:r>
      <w:r>
        <w:rPr>
          <w:spacing w:val="-2"/>
        </w:rPr>
        <w:t>日，周红卫先生将质押给华润深国投信托有限公司的本公司股份</w:t>
      </w:r>
      <w:r>
        <w:rPr>
          <w:rFonts w:ascii="Times New Roman" w:hAnsi="Times New Roman" w:cs="Times New Roman" w:eastAsia="Times New Roman" w:hint="default"/>
          <w:spacing w:val="-2"/>
        </w:rPr>
        <w:t>21,000,000</w:t>
      </w:r>
      <w:r>
        <w:rPr>
          <w:spacing w:val="-2"/>
        </w:rPr>
        <w:t>股解除质押并将其持有的本公司</w:t>
      </w:r>
      <w:r>
        <w:rPr>
          <w:spacing w:val="-50"/>
        </w:rPr>
        <w:t> </w:t>
      </w:r>
      <w:r>
        <w:rPr/>
        <w:t>股份</w:t>
      </w:r>
      <w:r>
        <w:rPr>
          <w:rFonts w:ascii="Times New Roman" w:hAnsi="Times New Roman" w:cs="Times New Roman" w:eastAsia="Times New Roman" w:hint="default"/>
        </w:rPr>
        <w:t>21,000,000</w:t>
      </w:r>
      <w:r>
        <w:rPr/>
        <w:t>股质押给阳光资产管理股份有限公司。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日，周红卫先生将质押给华润深国投信托有限公司的本公 司股份</w:t>
      </w:r>
      <w:r>
        <w:rPr>
          <w:rFonts w:ascii="Times New Roman" w:hAnsi="Times New Roman" w:cs="Times New Roman" w:eastAsia="Times New Roman" w:hint="default"/>
        </w:rPr>
        <w:t>23,240,000</w:t>
      </w:r>
      <w:r>
        <w:rPr/>
        <w:t>股解除质押。</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日，周红卫先生办理了股票质押式回购交易业务，将其持有的本公司股份 </w:t>
      </w:r>
      <w:r>
        <w:rPr>
          <w:rFonts w:ascii="Times New Roman" w:hAnsi="Times New Roman" w:cs="Times New Roman" w:eastAsia="Times New Roman" w:hint="default"/>
        </w:rPr>
        <w:t>11,000,000</w:t>
      </w:r>
      <w:r>
        <w:rPr/>
        <w:t>股质押给中信证券股份有限公司，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日，周红卫办理了股票质押式回购交易提前购回业务，将上述</w:t>
      </w:r>
    </w:p>
    <w:p>
      <w:pPr>
        <w:pStyle w:val="BodyText"/>
        <w:spacing w:line="240" w:lineRule="auto" w:before="13"/>
        <w:ind w:right="0"/>
        <w:jc w:val="left"/>
      </w:pPr>
      <w:r>
        <w:rPr>
          <w:rFonts w:ascii="Times New Roman" w:hAnsi="Times New Roman" w:cs="Times New Roman" w:eastAsia="Times New Roman" w:hint="default"/>
        </w:rPr>
        <w:t>11,000,000</w:t>
      </w:r>
      <w:r>
        <w:rPr/>
        <w:t>股解除质押。</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日，周红卫先生将其持有的本公司股份</w:t>
      </w:r>
      <w:r>
        <w:rPr>
          <w:rFonts w:ascii="Times New Roman" w:hAnsi="Times New Roman" w:cs="Times New Roman" w:eastAsia="Times New Roman" w:hint="default"/>
        </w:rPr>
        <w:t>10,000,000</w:t>
      </w:r>
      <w:r>
        <w:rPr/>
        <w:t>股质押给南京佩喆斯商贸有限公司，</w:t>
      </w:r>
    </w:p>
    <w:p>
      <w:pPr>
        <w:pStyle w:val="BodyText"/>
        <w:spacing w:line="304" w:lineRule="auto" w:before="63"/>
        <w:ind w:right="1110"/>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26</w:t>
      </w:r>
      <w:r>
        <w:rPr>
          <w:spacing w:val="-3"/>
        </w:rPr>
        <w:t>日，周红卫先生将上述股份中的</w:t>
      </w:r>
      <w:r>
        <w:rPr>
          <w:rFonts w:ascii="Times New Roman" w:hAnsi="Times New Roman" w:cs="Times New Roman" w:eastAsia="Times New Roman" w:hint="default"/>
          <w:spacing w:val="-3"/>
        </w:rPr>
        <w:t>3,500,000</w:t>
      </w:r>
      <w:r>
        <w:rPr>
          <w:spacing w:val="-3"/>
        </w:rPr>
        <w:t>股解除质押，</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6</w:t>
      </w:r>
      <w:r>
        <w:rPr>
          <w:spacing w:val="-3"/>
        </w:rPr>
        <w:t>日，周红卫先生将上述股份中剩余的</w:t>
      </w:r>
      <w:r>
        <w:rPr>
          <w:rFonts w:ascii="Times New Roman" w:hAnsi="Times New Roman" w:cs="Times New Roman" w:eastAsia="Times New Roman" w:hint="default"/>
          <w:spacing w:val="-3"/>
        </w:rPr>
        <w:t>6,500,000</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股解除质押。</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日，周红卫先生将其持有的本公司股份</w:t>
      </w:r>
      <w:r>
        <w:rPr>
          <w:rFonts w:ascii="Times New Roman" w:hAnsi="Times New Roman" w:cs="Times New Roman" w:eastAsia="Times New Roman" w:hint="default"/>
        </w:rPr>
        <w:t>3,500,000</w:t>
      </w:r>
      <w:r>
        <w:rPr/>
        <w:t>股质押给江苏省信用再担保集团有限公司。</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日，周红卫先生分别将其持有的本公司股份</w:t>
      </w:r>
      <w:r>
        <w:rPr>
          <w:rFonts w:ascii="Times New Roman" w:hAnsi="Times New Roman" w:cs="Times New Roman" w:eastAsia="Times New Roman" w:hint="default"/>
        </w:rPr>
        <w:t>5,000,000</w:t>
      </w:r>
      <w:r>
        <w:rPr/>
        <w:t>股及</w:t>
      </w:r>
      <w:r>
        <w:rPr>
          <w:rFonts w:ascii="Times New Roman" w:hAnsi="Times New Roman" w:cs="Times New Roman" w:eastAsia="Times New Roman" w:hint="default"/>
        </w:rPr>
        <w:t>3,500,000</w:t>
      </w:r>
      <w:r>
        <w:rPr/>
        <w:t>股质押给华夏银行股份有限公司南京大行宫支行 及江苏省信用再担保集团有限公司。以上具体内容请详见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22</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29</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7</w:t>
      </w:r>
      <w:r>
        <w:rPr>
          <w:spacing w:val="-2"/>
        </w:rPr>
        <w:t>日和</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12</w:t>
      </w:r>
      <w:r>
        <w:rPr>
          <w:spacing w:val="-2"/>
        </w:rPr>
        <w:t>日在中国证监会指定的创业板信息披露</w:t>
      </w:r>
      <w:r>
        <w:rPr>
          <w:spacing w:val="-46"/>
        </w:rPr>
        <w:t> </w:t>
      </w:r>
      <w:r>
        <w:rPr>
          <w:spacing w:val="-46"/>
        </w:rPr>
      </w:r>
      <w:r>
        <w:rPr/>
        <w:t>网站公告。 </w:t>
      </w:r>
      <w:r>
        <w:rPr>
          <w:rFonts w:ascii="Times New Roman" w:hAnsi="Times New Roman" w:cs="Times New Roman" w:eastAsia="Times New Roman" w:hint="default"/>
          <w:spacing w:val="-2"/>
        </w:rPr>
        <w:t>24</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18</w:t>
      </w:r>
      <w:r>
        <w:rPr>
          <w:spacing w:val="-2"/>
        </w:rPr>
        <w:t>日，姚宁先生办理了股票质押式回购交易业务，将其持有的本公司股份</w:t>
      </w:r>
      <w:r>
        <w:rPr>
          <w:rFonts w:ascii="Times New Roman" w:hAnsi="Times New Roman" w:cs="Times New Roman" w:eastAsia="Times New Roman" w:hint="default"/>
          <w:spacing w:val="-2"/>
        </w:rPr>
        <w:t>16,700,000</w:t>
      </w:r>
      <w:r>
        <w:rPr>
          <w:spacing w:val="-2"/>
        </w:rPr>
        <w:t>股质押给南京证券股份有</w:t>
      </w:r>
      <w:r>
        <w:rPr>
          <w:spacing w:val="-52"/>
        </w:rPr>
        <w:t> </w:t>
      </w:r>
      <w:r>
        <w:rPr>
          <w:spacing w:val="-52"/>
        </w:rPr>
      </w:r>
      <w:r>
        <w:rPr>
          <w:spacing w:val="-2"/>
        </w:rPr>
        <w:t>限公司，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19</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9</w:t>
      </w:r>
      <w:r>
        <w:rPr>
          <w:spacing w:val="-2"/>
        </w:rPr>
        <w:t>日及</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11</w:t>
      </w:r>
      <w:r>
        <w:rPr>
          <w:spacing w:val="-2"/>
        </w:rPr>
        <w:t>日，姚宁办理了股票质押式回购交易提前购回业务，分别将上述股份</w:t>
      </w:r>
      <w:r>
        <w:rPr>
          <w:spacing w:val="-54"/>
        </w:rPr>
        <w:t> </w:t>
      </w:r>
      <w:r>
        <w:rPr>
          <w:spacing w:val="-54"/>
        </w:rPr>
      </w:r>
      <w:r>
        <w:rPr/>
        <w:t>中的</w:t>
      </w:r>
      <w:r>
        <w:rPr>
          <w:rFonts w:ascii="Times New Roman" w:hAnsi="Times New Roman" w:cs="Times New Roman" w:eastAsia="Times New Roman" w:hint="default"/>
        </w:rPr>
        <w:t>800,000</w:t>
      </w:r>
      <w:r>
        <w:rPr/>
        <w:t>股、</w:t>
      </w:r>
      <w:r>
        <w:rPr>
          <w:rFonts w:ascii="Times New Roman" w:hAnsi="Times New Roman" w:cs="Times New Roman" w:eastAsia="Times New Roman" w:hint="default"/>
        </w:rPr>
        <w:t>10,000,000</w:t>
      </w:r>
      <w:r>
        <w:rPr/>
        <w:t>股及</w:t>
      </w:r>
      <w:r>
        <w:rPr>
          <w:rFonts w:ascii="Times New Roman" w:hAnsi="Times New Roman" w:cs="Times New Roman" w:eastAsia="Times New Roman" w:hint="default"/>
        </w:rPr>
        <w:t>5,900,000</w:t>
      </w:r>
      <w:r>
        <w:rPr/>
        <w:t>股解除质押。</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日，姚宁先生将其持有的本公司股份</w:t>
      </w:r>
      <w:r>
        <w:rPr>
          <w:rFonts w:ascii="Times New Roman" w:hAnsi="Times New Roman" w:cs="Times New Roman" w:eastAsia="Times New Roman" w:hint="default"/>
        </w:rPr>
        <w:t>8,000,000</w:t>
      </w:r>
      <w:r>
        <w:rPr/>
        <w:t>股质押给 南京市焦点互联网科技小额贷款有限公司。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日，姚宁先生将其持有的本公司股份</w:t>
      </w:r>
      <w:r>
        <w:rPr>
          <w:rFonts w:ascii="Times New Roman" w:hAnsi="Times New Roman" w:cs="Times New Roman" w:eastAsia="Times New Roman" w:hint="default"/>
        </w:rPr>
        <w:t>5,000,000</w:t>
      </w:r>
      <w:r>
        <w:rPr/>
        <w:t>股质押给南京佩喆斯 商贸有限公司。以上具体内容请详见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22</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日在 中国证监会指定的创业板信息披露网站公告。 </w:t>
      </w:r>
      <w:r>
        <w:rPr>
          <w:rFonts w:ascii="Times New Roman" w:hAnsi="Times New Roman" w:cs="Times New Roman" w:eastAsia="Times New Roman" w:hint="default"/>
          <w:spacing w:val="-2"/>
        </w:rPr>
        <w:t>25</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18</w:t>
      </w:r>
      <w:r>
        <w:rPr>
          <w:spacing w:val="-2"/>
        </w:rPr>
        <w:t>日召开第五届董事会第四十九次会议、于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8</w:t>
      </w:r>
      <w:r>
        <w:rPr>
          <w:spacing w:val="-2"/>
        </w:rPr>
        <w:t>日召开</w:t>
      </w:r>
      <w:r>
        <w:rPr>
          <w:rFonts w:ascii="Times New Roman" w:hAnsi="Times New Roman" w:cs="Times New Roman" w:eastAsia="Times New Roman" w:hint="default"/>
          <w:spacing w:val="-2"/>
        </w:rPr>
        <w:t>2019</w:t>
      </w:r>
      <w:r>
        <w:rPr>
          <w:spacing w:val="-2"/>
        </w:rPr>
        <w:t>年第三次临时股东大会，分别审议</w:t>
      </w:r>
      <w:r>
        <w:rPr>
          <w:spacing w:val="-55"/>
        </w:rPr>
        <w:t> </w:t>
      </w:r>
      <w:r>
        <w:rPr>
          <w:spacing w:val="-55"/>
        </w:rPr>
      </w:r>
      <w:r>
        <w:rPr/>
        <w:t>通过了《关于变更公司注册地址并修改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相应条款的议案》，根据公司实际情况，公司将注册地址由</w:t>
      </w:r>
      <w:r>
        <w:rPr>
          <w:rFonts w:ascii="Times New Roman" w:hAnsi="Times New Roman" w:cs="Times New Roman" w:eastAsia="Times New Roman" w:hint="default"/>
        </w:rPr>
        <w:t>“</w:t>
      </w:r>
      <w:r>
        <w:rPr/>
        <w:t>南京市雨花 </w:t>
      </w:r>
      <w:r>
        <w:rPr>
          <w:spacing w:val="-1"/>
        </w:rPr>
        <w:t>台区铁心桥工业园</w:t>
      </w:r>
      <w:r>
        <w:rPr>
          <w:rFonts w:ascii="Times New Roman" w:hAnsi="Times New Roman" w:cs="Times New Roman" w:eastAsia="Times New Roman" w:hint="default"/>
          <w:spacing w:val="-1"/>
        </w:rPr>
        <w:t>”</w:t>
      </w:r>
      <w:r>
        <w:rPr>
          <w:spacing w:val="-1"/>
        </w:rPr>
        <w:t>变更为</w:t>
      </w:r>
      <w:r>
        <w:rPr>
          <w:rFonts w:ascii="Times New Roman" w:hAnsi="Times New Roman" w:cs="Times New Roman" w:eastAsia="Times New Roman" w:hint="default"/>
          <w:spacing w:val="-1"/>
        </w:rPr>
        <w:t>“</w:t>
      </w:r>
      <w:r>
        <w:rPr>
          <w:spacing w:val="-1"/>
        </w:rPr>
        <w:t>南京市雨花台区软件大道</w:t>
      </w:r>
      <w:r>
        <w:rPr>
          <w:rFonts w:ascii="Times New Roman" w:hAnsi="Times New Roman" w:cs="Times New Roman" w:eastAsia="Times New Roman" w:hint="default"/>
          <w:spacing w:val="-1"/>
        </w:rPr>
        <w:t>168</w:t>
      </w:r>
      <w:r>
        <w:rPr>
          <w:spacing w:val="-1"/>
        </w:rPr>
        <w:t>号</w:t>
      </w:r>
      <w:r>
        <w:rPr>
          <w:rFonts w:ascii="Times New Roman" w:hAnsi="Times New Roman" w:cs="Times New Roman" w:eastAsia="Times New Roman" w:hint="default"/>
          <w:spacing w:val="-1"/>
        </w:rPr>
        <w:t>”</w:t>
      </w:r>
      <w:r>
        <w:rPr>
          <w:spacing w:val="-1"/>
        </w:rPr>
        <w:t>。鉴于上述变动，公司董事会对《公司章程》做出相应修改，并</w:t>
      </w:r>
      <w:r>
        <w:rPr/>
        <w:t> </w:t>
      </w:r>
      <w:r>
        <w:rPr>
          <w:spacing w:val="-2"/>
        </w:rPr>
        <w:t>提请股东大会授权董事会办理变更公司注册地址、修改《公司章程》等工商变更登记、备案事宜，公司已完成了上述工商变</w:t>
      </w:r>
      <w:r>
        <w:rPr>
          <w:spacing w:val="-67"/>
        </w:rPr>
        <w:t> </w:t>
      </w:r>
      <w:r>
        <w:rPr>
          <w:spacing w:val="-67"/>
        </w:rPr>
      </w:r>
      <w:r>
        <w:rPr>
          <w:spacing w:val="-2"/>
        </w:rPr>
        <w:t>更登记。以上具体内容请详见</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19</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8</w:t>
      </w:r>
      <w:r>
        <w:rPr>
          <w:spacing w:val="-2"/>
        </w:rPr>
        <w:t>日和</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日在中国证监会指定的创业板信息披露网站公</w:t>
      </w:r>
      <w:r>
        <w:rPr>
          <w:spacing w:val="-56"/>
        </w:rPr>
        <w:t> </w:t>
      </w:r>
      <w:r>
        <w:rPr>
          <w:spacing w:val="-56"/>
        </w:rPr>
      </w:r>
      <w:r>
        <w:rPr/>
        <w:t>告。 </w:t>
      </w:r>
      <w:r>
        <w:rPr>
          <w:rFonts w:ascii="Times New Roman" w:hAnsi="Times New Roman" w:cs="Times New Roman" w:eastAsia="Times New Roman" w:hint="default"/>
          <w:spacing w:val="-2"/>
        </w:rPr>
        <w:t>26</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18</w:t>
      </w:r>
      <w:r>
        <w:rPr>
          <w:spacing w:val="-2"/>
        </w:rPr>
        <w:t>日召开第五届董事会第四十九次会议、于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8</w:t>
      </w:r>
      <w:r>
        <w:rPr>
          <w:spacing w:val="-2"/>
        </w:rPr>
        <w:t>日召开</w:t>
      </w:r>
      <w:r>
        <w:rPr>
          <w:rFonts w:ascii="Times New Roman" w:hAnsi="Times New Roman" w:cs="Times New Roman" w:eastAsia="Times New Roman" w:hint="default"/>
          <w:spacing w:val="-2"/>
        </w:rPr>
        <w:t>2019</w:t>
      </w:r>
      <w:r>
        <w:rPr>
          <w:spacing w:val="-2"/>
        </w:rPr>
        <w:t>年第三次临时股东大会，分别审议</w:t>
      </w:r>
    </w:p>
    <w:p>
      <w:pPr>
        <w:spacing w:after="0" w:line="304"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2" w:lineRule="auto" w:before="44"/>
        <w:ind w:right="0"/>
        <w:jc w:val="left"/>
      </w:pPr>
      <w:r>
        <w:rPr/>
        <w:t>通过了《关于修改</w:t>
      </w:r>
      <w:r>
        <w:rPr>
          <w:rFonts w:ascii="Times New Roman" w:hAnsi="Times New Roman" w:cs="Times New Roman" w:eastAsia="Times New Roman" w:hint="default"/>
        </w:rPr>
        <w:t>&lt;</w:t>
      </w:r>
      <w:r>
        <w:rPr/>
        <w:t>股东大会议事规则</w:t>
      </w:r>
      <w:r>
        <w:rPr>
          <w:rFonts w:ascii="Times New Roman" w:hAnsi="Times New Roman" w:cs="Times New Roman" w:eastAsia="Times New Roman" w:hint="default"/>
        </w:rPr>
        <w:t>&gt;</w:t>
      </w:r>
      <w:r>
        <w:rPr/>
        <w:t>部分条款的议案》，根据中国证监会《上市公司股东大会规则（</w:t>
      </w:r>
      <w:r>
        <w:rPr>
          <w:rFonts w:ascii="Times New Roman" w:hAnsi="Times New Roman" w:cs="Times New Roman" w:eastAsia="Times New Roman" w:hint="default"/>
        </w:rPr>
        <w:t>2016</w:t>
      </w:r>
      <w:r>
        <w:rPr/>
        <w:t>年修订）》的 文件规定，董事会对公司《股东大会议事规则》进行修改，将第五条第一款</w:t>
      </w:r>
      <w:r>
        <w:rPr>
          <w:rFonts w:ascii="Times New Roman" w:hAnsi="Times New Roman" w:cs="Times New Roman" w:eastAsia="Times New Roman" w:hint="default"/>
        </w:rPr>
        <w:t>“</w:t>
      </w:r>
      <w:r>
        <w:rPr/>
        <w:t>公司召开股东大会，可以聘请律师对以下问题 </w:t>
      </w:r>
      <w:r>
        <w:rPr>
          <w:spacing w:val="-3"/>
          <w:w w:val="100"/>
        </w:rPr>
        <w:t>出具法律意见并公告</w:t>
      </w:r>
      <w:r>
        <w:rPr>
          <w:rFonts w:ascii="Times New Roman" w:hAnsi="Times New Roman" w:cs="Times New Roman" w:eastAsia="Times New Roman" w:hint="default"/>
          <w:spacing w:val="-3"/>
          <w:w w:val="100"/>
        </w:rPr>
        <w:t>”</w:t>
      </w:r>
      <w:r>
        <w:rPr>
          <w:spacing w:val="-3"/>
          <w:w w:val="100"/>
        </w:rPr>
        <w:t>修改为</w:t>
      </w:r>
      <w:r>
        <w:rPr>
          <w:rFonts w:ascii="Times New Roman" w:hAnsi="Times New Roman" w:cs="Times New Roman" w:eastAsia="Times New Roman" w:hint="default"/>
          <w:spacing w:val="-3"/>
          <w:w w:val="100"/>
        </w:rPr>
        <w:t>“</w:t>
      </w:r>
      <w:r>
        <w:rPr>
          <w:spacing w:val="-3"/>
          <w:w w:val="100"/>
        </w:rPr>
        <w:t>公司召开股东大会，应当聘请律师对以下问题出具法律意见并公告</w:t>
      </w:r>
      <w:r>
        <w:rPr>
          <w:rFonts w:ascii="Times New Roman" w:hAnsi="Times New Roman" w:cs="Times New Roman" w:eastAsia="Times New Roman" w:hint="default"/>
          <w:spacing w:val="-3"/>
          <w:w w:val="100"/>
        </w:rPr>
        <w:t>”</w:t>
      </w:r>
      <w:r>
        <w:rPr>
          <w:spacing w:val="-3"/>
          <w:w w:val="100"/>
        </w:rPr>
        <w:t>。以上具体内容请详见</w:t>
      </w:r>
      <w:r>
        <w:rPr>
          <w:rFonts w:ascii="Times New Roman" w:hAnsi="Times New Roman" w:cs="Times New Roman" w:eastAsia="Times New Roman" w:hint="default"/>
          <w:spacing w:val="-3"/>
          <w:w w:val="100"/>
        </w:rPr>
        <w:t>2019</w:t>
      </w:r>
      <w:r>
        <w:rPr>
          <w:rFonts w:ascii="Times New Roman" w:hAnsi="Times New Roman" w:cs="Times New Roman" w:eastAsia="Times New Roman" w:hint="default"/>
          <w:spacing w:val="-15"/>
          <w:w w:val="100"/>
        </w:rPr>
        <w:t> </w:t>
      </w:r>
      <w:r>
        <w:rPr>
          <w:rFonts w:ascii="Times New Roman" w:hAnsi="Times New Roman" w:cs="Times New Roman" w:eastAsia="Times New Roman" w:hint="default"/>
          <w:spacing w:val="-15"/>
          <w:w w:val="100"/>
        </w:rPr>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日在中国证监会指定的创业板信息披露网站公告。 </w:t>
      </w:r>
      <w:r>
        <w:rPr>
          <w:rFonts w:ascii="Times New Roman" w:hAnsi="Times New Roman" w:cs="Times New Roman" w:eastAsia="Times New Roman" w:hint="default"/>
          <w:spacing w:val="-2"/>
        </w:rPr>
        <w:t>27</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月，公司接到股东宁波宏创出具的《股份减持计划告知函》，宁波宏创计划在自本减持计划公告之日起十五个</w:t>
      </w:r>
      <w:r>
        <w:rPr>
          <w:spacing w:val="-64"/>
        </w:rPr>
        <w:t> </w:t>
      </w:r>
      <w:r>
        <w:rPr>
          <w:spacing w:val="-64"/>
        </w:rPr>
      </w:r>
      <w:r>
        <w:rPr>
          <w:spacing w:val="-2"/>
        </w:rPr>
        <w:t>交易日后的九十个自然日内（中国证监会、深圳证券交易所相关法律法规、规范性文件规定不得进行减持的时间除外）以集</w:t>
      </w:r>
      <w:r>
        <w:rPr>
          <w:spacing w:val="-65"/>
        </w:rPr>
        <w:t> </w:t>
      </w:r>
      <w:r>
        <w:rPr>
          <w:spacing w:val="-65"/>
        </w:rPr>
      </w:r>
      <w:r>
        <w:rPr>
          <w:spacing w:val="-2"/>
        </w:rPr>
        <w:t>中竞价交易方式减持本公司股份不超过（含）</w:t>
      </w:r>
      <w:r>
        <w:rPr>
          <w:rFonts w:ascii="Times New Roman" w:hAnsi="Times New Roman" w:cs="Times New Roman" w:eastAsia="Times New Roman" w:hint="default"/>
          <w:spacing w:val="-2"/>
        </w:rPr>
        <w:t>7,799,245</w:t>
      </w:r>
      <w:r>
        <w:rPr>
          <w:spacing w:val="-2"/>
        </w:rPr>
        <w:t>股，占剔除公司回购专用证券账户中股份数量后总股本的比例不超过</w:t>
      </w:r>
    </w:p>
    <w:p>
      <w:pPr>
        <w:pStyle w:val="BodyText"/>
        <w:spacing w:line="302" w:lineRule="auto" w:before="11"/>
        <w:ind w:right="0"/>
        <w:jc w:val="left"/>
      </w:pPr>
      <w:r>
        <w:rPr/>
        <w:t>（含）</w:t>
      </w:r>
      <w:r>
        <w:rPr>
          <w:rFonts w:ascii="Times New Roman" w:hAnsi="Times New Roman" w:cs="Times New Roman" w:eastAsia="Times New Roman" w:hint="default"/>
        </w:rPr>
        <w:t>1.00%</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月，公司收到宁波宏创出具的《股份减持计划减持数量过半暨减持计划实施完毕的告知函》，获悉 宁波宏创通过集中竞价交易方式累计减持公司股票</w:t>
      </w:r>
      <w:r>
        <w:rPr>
          <w:rFonts w:ascii="Times New Roman" w:hAnsi="Times New Roman" w:cs="Times New Roman" w:eastAsia="Times New Roman" w:hint="default"/>
        </w:rPr>
        <w:t>6,499,996</w:t>
      </w:r>
      <w:r>
        <w:rPr/>
        <w:t>股，减持股数已超过减持计划</w:t>
      </w:r>
      <w:r>
        <w:rPr>
          <w:rFonts w:ascii="Times New Roman" w:hAnsi="Times New Roman" w:cs="Times New Roman" w:eastAsia="Times New Roman" w:hint="default"/>
        </w:rPr>
        <w:t>50%</w:t>
      </w:r>
      <w:r>
        <w:rPr/>
        <w:t>，不再继续减持，本次减持计 划已实施完毕。以上具体内容请详见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日在中国证监会指定的创业板信息披露网站公告。 </w:t>
      </w:r>
      <w:r>
        <w:rPr>
          <w:rFonts w:ascii="Times New Roman" w:hAnsi="Times New Roman" w:cs="Times New Roman" w:eastAsia="Times New Roman" w:hint="default"/>
          <w:spacing w:val="-2"/>
        </w:rPr>
        <w:t>28</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w:t>
      </w:r>
      <w:r>
        <w:rPr>
          <w:spacing w:val="-2"/>
        </w:rPr>
        <w:t>日召开第五届董事会第五十一次会议，于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日召开第六届董事会第三次会议，分别审议通</w:t>
      </w:r>
      <w:r>
        <w:rPr>
          <w:spacing w:val="-57"/>
        </w:rPr>
        <w:t> </w:t>
      </w:r>
      <w:r>
        <w:rPr>
          <w:spacing w:val="-57"/>
        </w:rPr>
      </w:r>
      <w:r>
        <w:rPr/>
        <w:t>过了《关于转让参股公司部分股权的议案》，公司将持有的博纳讯动的</w:t>
      </w:r>
      <w:r>
        <w:rPr>
          <w:rFonts w:ascii="Times New Roman" w:hAnsi="Times New Roman" w:cs="Times New Roman" w:eastAsia="Times New Roman" w:hint="default"/>
        </w:rPr>
        <w:t>1.4643%</w:t>
      </w:r>
      <w:r>
        <w:rPr/>
        <w:t>股权（对应注册资本人民币</w:t>
      </w:r>
      <w:r>
        <w:rPr>
          <w:rFonts w:ascii="Times New Roman" w:hAnsi="Times New Roman" w:cs="Times New Roman" w:eastAsia="Times New Roman" w:hint="default"/>
        </w:rPr>
        <w:t>230,862</w:t>
      </w:r>
      <w:r>
        <w:rPr/>
        <w:t>元）转让 </w:t>
      </w:r>
      <w:r>
        <w:rPr>
          <w:spacing w:val="-1"/>
        </w:rPr>
        <w:t>给</w:t>
      </w:r>
      <w:r>
        <w:rPr>
          <w:rFonts w:ascii="Times New Roman" w:hAnsi="Times New Roman" w:cs="Times New Roman" w:eastAsia="Times New Roman" w:hint="default"/>
          <w:spacing w:val="-1"/>
        </w:rPr>
        <w:t>PlatinumDecadeLimited</w:t>
      </w:r>
      <w:r>
        <w:rPr>
          <w:spacing w:val="-1"/>
        </w:rPr>
        <w:t>，转让对价为</w:t>
      </w:r>
      <w:r>
        <w:rPr>
          <w:rFonts w:ascii="Times New Roman" w:hAnsi="Times New Roman" w:cs="Times New Roman" w:eastAsia="Times New Roman" w:hint="default"/>
          <w:spacing w:val="-1"/>
        </w:rPr>
        <w:t>865,003.20</w:t>
      </w:r>
      <w:r>
        <w:rPr>
          <w:spacing w:val="-1"/>
        </w:rPr>
        <w:t>美元（按照《股权转让协议》签署日汇率计算等值于人民币</w:t>
      </w:r>
      <w:r>
        <w:rPr>
          <w:rFonts w:ascii="Times New Roman" w:hAnsi="Times New Roman" w:cs="Times New Roman" w:eastAsia="Times New Roman" w:hint="default"/>
          <w:spacing w:val="-1"/>
        </w:rPr>
        <w:t>6,074,312</w:t>
      </w:r>
      <w:r>
        <w:rPr>
          <w:spacing w:val="-1"/>
        </w:rPr>
        <w:t>元）；</w:t>
      </w:r>
      <w:r>
        <w:rPr>
          <w:spacing w:val="-70"/>
        </w:rPr>
        <w:t> </w:t>
      </w:r>
      <w:r>
        <w:rPr>
          <w:spacing w:val="-70"/>
        </w:rPr>
      </w:r>
      <w:r>
        <w:rPr/>
        <w:t>公司将持有的博纳讯动的</w:t>
      </w:r>
      <w:r>
        <w:rPr>
          <w:rFonts w:ascii="Times New Roman" w:hAnsi="Times New Roman" w:cs="Times New Roman" w:eastAsia="Times New Roman" w:hint="default"/>
        </w:rPr>
        <w:t>0.2416%</w:t>
      </w:r>
      <w:r>
        <w:rPr/>
        <w:t>股权（对应注册资本人民币</w:t>
      </w:r>
      <w:r>
        <w:rPr>
          <w:rFonts w:ascii="Times New Roman" w:hAnsi="Times New Roman" w:cs="Times New Roman" w:eastAsia="Times New Roman" w:hint="default"/>
        </w:rPr>
        <w:t>38,089</w:t>
      </w:r>
      <w:r>
        <w:rPr/>
        <w:t>元）转让给宿迁信石创业投资管理有限公司，转让对价 为人民币</w:t>
      </w:r>
      <w:r>
        <w:rPr>
          <w:rFonts w:ascii="Times New Roman" w:hAnsi="Times New Roman" w:cs="Times New Roman" w:eastAsia="Times New Roman" w:hint="default"/>
        </w:rPr>
        <w:t>1,002,180</w:t>
      </w:r>
      <w:r>
        <w:rPr/>
        <w:t>元；公司将持有的博纳讯动的</w:t>
      </w:r>
      <w:r>
        <w:rPr>
          <w:rFonts w:ascii="Times New Roman" w:hAnsi="Times New Roman" w:cs="Times New Roman" w:eastAsia="Times New Roman" w:hint="default"/>
        </w:rPr>
        <w:t>2.93%</w:t>
      </w:r>
      <w:r>
        <w:rPr/>
        <w:t>股权（对应注册资本人民币</w:t>
      </w:r>
      <w:r>
        <w:rPr>
          <w:rFonts w:ascii="Times New Roman" w:hAnsi="Times New Roman" w:cs="Times New Roman" w:eastAsia="Times New Roman" w:hint="default"/>
        </w:rPr>
        <w:t>488,549</w:t>
      </w:r>
      <w:r>
        <w:rPr/>
        <w:t>元）转让给自然人王学军，转让对 价为人民币</w:t>
      </w:r>
      <w:r>
        <w:rPr>
          <w:rFonts w:ascii="Times New Roman" w:hAnsi="Times New Roman" w:cs="Times New Roman" w:eastAsia="Times New Roman" w:hint="default"/>
        </w:rPr>
        <w:t>12,853,724</w:t>
      </w:r>
      <w:r>
        <w:rPr/>
        <w:t>元。上述交易完成后，公司仍持有博纳讯动</w:t>
      </w:r>
      <w:r>
        <w:rPr>
          <w:rFonts w:ascii="Times New Roman" w:hAnsi="Times New Roman" w:cs="Times New Roman" w:eastAsia="Times New Roman" w:hint="default"/>
        </w:rPr>
        <w:t>4.5430%</w:t>
      </w:r>
      <w:r>
        <w:rPr/>
        <w:t>的股权，博纳讯动仍为公司的参股公司。以上具 体内容请详见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日和</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日在中国证监会指定的创业板信息披露网站公告。 </w:t>
      </w:r>
      <w:r>
        <w:rPr>
          <w:rFonts w:ascii="Times New Roman" w:hAnsi="Times New Roman" w:cs="Times New Roman" w:eastAsia="Times New Roman" w:hint="default"/>
        </w:rPr>
        <w:t>29</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月收到中国证券监督管理委员会江苏监管局（以下简称</w:t>
      </w:r>
      <w:r>
        <w:rPr>
          <w:rFonts w:ascii="Times New Roman" w:hAnsi="Times New Roman" w:cs="Times New Roman" w:eastAsia="Times New Roman" w:hint="default"/>
        </w:rPr>
        <w:t>“</w:t>
      </w:r>
      <w:r>
        <w:rPr/>
        <w:t>江苏证监局</w:t>
      </w:r>
      <w:r>
        <w:rPr>
          <w:rFonts w:ascii="Times New Roman" w:hAnsi="Times New Roman" w:cs="Times New Roman" w:eastAsia="Times New Roman" w:hint="default"/>
        </w:rPr>
        <w:t>”</w:t>
      </w:r>
      <w:r>
        <w:rPr/>
        <w:t>）出具的《江苏证监局关于对江苏 润和软件股份有限公司采取责令改正措施的决定》（</w:t>
      </w:r>
      <w:r>
        <w:rPr>
          <w:rFonts w:ascii="Times New Roman" w:hAnsi="Times New Roman" w:cs="Times New Roman" w:eastAsia="Times New Roman" w:hint="default"/>
        </w:rPr>
        <w:t>[2019]109</w:t>
      </w:r>
      <w:r>
        <w:rPr/>
        <w:t>号），文中指出公司</w:t>
      </w:r>
      <w:r>
        <w:rPr>
          <w:rFonts w:ascii="Times New Roman" w:hAnsi="Times New Roman" w:cs="Times New Roman" w:eastAsia="Times New Roman" w:hint="default"/>
        </w:rPr>
        <w:t>2019</w:t>
      </w:r>
      <w:r>
        <w:rPr/>
        <w:t>年半年度报告等定期报告中，将募 </w:t>
      </w:r>
      <w:r>
        <w:rPr>
          <w:spacing w:val="-2"/>
        </w:rPr>
        <w:t>集资金购买理财产品产生的现金流采用净额法计算，会计政策使用不当，造成现金流量表中投资支付的现金等科目披露数据</w:t>
      </w:r>
      <w:r>
        <w:rPr>
          <w:spacing w:val="-64"/>
        </w:rPr>
        <w:t> </w:t>
      </w:r>
      <w:r>
        <w:rPr>
          <w:spacing w:val="-64"/>
        </w:rPr>
      </w:r>
      <w:r>
        <w:rPr>
          <w:spacing w:val="-2"/>
        </w:rPr>
        <w:t>不准确。江苏证监局决定对公司采取责令改正的监督管理措施，要求公司应当切实整改，依据相关规定采用适当的会计政策</w:t>
      </w:r>
      <w:r>
        <w:rPr>
          <w:spacing w:val="-65"/>
        </w:rPr>
        <w:t> </w:t>
      </w:r>
      <w:r>
        <w:rPr>
          <w:spacing w:val="-65"/>
        </w:rPr>
      </w:r>
      <w:r>
        <w:rPr>
          <w:spacing w:val="-2"/>
        </w:rPr>
        <w:t>编制财务报表，并于收到决定书之日起</w:t>
      </w:r>
      <w:r>
        <w:rPr>
          <w:rFonts w:ascii="Times New Roman" w:hAnsi="Times New Roman" w:cs="Times New Roman" w:eastAsia="Times New Roman" w:hint="default"/>
          <w:spacing w:val="-2"/>
        </w:rPr>
        <w:t>30</w:t>
      </w:r>
      <w:r>
        <w:rPr>
          <w:spacing w:val="-2"/>
        </w:rPr>
        <w:t>日内向江苏证监局报送整改报告。公司高度重视上述问题，严格按照相关要求，切</w:t>
      </w:r>
      <w:r>
        <w:rPr>
          <w:spacing w:val="-63"/>
        </w:rPr>
        <w:t> </w:t>
      </w:r>
      <w:r>
        <w:rPr>
          <w:spacing w:val="-63"/>
        </w:rPr>
      </w:r>
      <w:r>
        <w:rPr/>
        <w:t>实整改，依据相关规定采用适当的会计政策编制财务报表，在规定时间内报送整改报告，并于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日披露了《关于 </w:t>
      </w:r>
      <w:r>
        <w:rPr>
          <w:rFonts w:ascii="Times New Roman" w:hAnsi="Times New Roman" w:cs="Times New Roman" w:eastAsia="Times New Roman" w:hint="default"/>
          <w:spacing w:val="-2"/>
        </w:rPr>
        <w:t>2019</w:t>
      </w:r>
      <w:r>
        <w:rPr>
          <w:spacing w:val="-2"/>
        </w:rPr>
        <w:t>年半年度报告的更正公告》，本次更正不会对公司</w:t>
      </w:r>
      <w:r>
        <w:rPr>
          <w:rFonts w:ascii="Times New Roman" w:hAnsi="Times New Roman" w:cs="Times New Roman" w:eastAsia="Times New Roman" w:hint="default"/>
          <w:spacing w:val="-2"/>
        </w:rPr>
        <w:t>2019</w:t>
      </w:r>
      <w:r>
        <w:rPr>
          <w:spacing w:val="-2"/>
        </w:rPr>
        <w:t>年半年度财务状况和经营成果产生任何影响。公司将加大内控治</w:t>
      </w:r>
      <w:r>
        <w:rPr>
          <w:spacing w:val="-61"/>
        </w:rPr>
        <w:t> </w:t>
      </w:r>
      <w:r>
        <w:rPr>
          <w:spacing w:val="-61"/>
        </w:rPr>
      </w:r>
      <w:r>
        <w:rPr>
          <w:spacing w:val="-2"/>
        </w:rPr>
        <w:t>理力度，组织和督促相关人员认真学习相关法律法规和规范性文件，履行勤勉尽责义务，进一步加强定期报告编制的审核工</w:t>
      </w:r>
      <w:r>
        <w:rPr>
          <w:spacing w:val="-65"/>
        </w:rPr>
        <w:t> </w:t>
      </w:r>
      <w:r>
        <w:rPr>
          <w:spacing w:val="-65"/>
        </w:rPr>
      </w:r>
      <w:r>
        <w:rPr/>
        <w:t>作，不断提高规范运作意识和信息披露质量，切实维护全体股东权益。以上具体内容请详见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日和</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日在中国证监会指定的创业板信息披露网站公告。 </w:t>
      </w:r>
      <w:r>
        <w:rPr>
          <w:rFonts w:ascii="Times New Roman" w:hAnsi="Times New Roman" w:cs="Times New Roman" w:eastAsia="Times New Roman" w:hint="default"/>
        </w:rPr>
        <w:t>30</w:t>
      </w:r>
      <w:r>
        <w:rPr/>
        <w:t>、公司于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日召开第五届董事会第五十三次会议和第五届监事会第三十一次会议决议，分别审议通过了《关于 </w:t>
      </w:r>
      <w:r>
        <w:rPr>
          <w:spacing w:val="-2"/>
        </w:rPr>
        <w:t>北京联创智融信息技术有限公司应收账款收回及补偿情况的议案》，公司于</w:t>
      </w:r>
      <w:r>
        <w:rPr>
          <w:rFonts w:ascii="Times New Roman" w:hAnsi="Times New Roman" w:cs="Times New Roman" w:eastAsia="Times New Roman" w:hint="default"/>
          <w:spacing w:val="-2"/>
        </w:rPr>
        <w:t>2015</w:t>
      </w:r>
      <w:r>
        <w:rPr>
          <w:spacing w:val="-2"/>
        </w:rPr>
        <w:t>年通过发行股份及支付现金方式购买联创智</w:t>
      </w:r>
      <w:r>
        <w:rPr>
          <w:spacing w:val="-61"/>
        </w:rPr>
        <w:t> </w:t>
      </w:r>
      <w:r>
        <w:rPr>
          <w:spacing w:val="-61"/>
        </w:rPr>
      </w:r>
      <w:r>
        <w:rPr/>
        <w:t>融</w:t>
      </w:r>
      <w:r>
        <w:rPr>
          <w:rFonts w:ascii="Times New Roman" w:hAnsi="Times New Roman" w:cs="Times New Roman" w:eastAsia="Times New Roman" w:hint="default"/>
        </w:rPr>
        <w:t>100.00%</w:t>
      </w:r>
      <w:r>
        <w:rPr/>
        <w:t>股权，根据公司与宁波宏创及周帮建签署的《发行股份及支付现金购买资产之盈利补偿协议》的约定，宁波宏创 及周帮建承诺：截至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日经审计的应收账款余额，在</w:t>
      </w:r>
      <w:r>
        <w:rPr>
          <w:rFonts w:ascii="Times New Roman" w:hAnsi="Times New Roman" w:cs="Times New Roman" w:eastAsia="Times New Roman" w:hint="default"/>
        </w:rPr>
        <w:t>2019</w:t>
      </w:r>
      <w:r>
        <w:rPr/>
        <w:t>年应收回不低于</w:t>
      </w:r>
      <w:r>
        <w:rPr>
          <w:rFonts w:ascii="Times New Roman" w:hAnsi="Times New Roman" w:cs="Times New Roman" w:eastAsia="Times New Roman" w:hint="default"/>
        </w:rPr>
        <w:t>70%</w:t>
      </w:r>
      <w:r>
        <w:rPr/>
        <w:t>，应收账款收回情况以有证券从业 </w:t>
      </w:r>
      <w:r>
        <w:rPr>
          <w:spacing w:val="-2"/>
        </w:rPr>
        <w:t>资格的会计师事务所的专项审核报告为准。如截至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日，联创智融未完成上述应收账款回收指标，则宁波宏创应</w:t>
      </w:r>
      <w:r>
        <w:rPr>
          <w:spacing w:val="-60"/>
        </w:rPr>
        <w:t> </w:t>
      </w:r>
      <w:r>
        <w:rPr>
          <w:spacing w:val="-60"/>
        </w:rPr>
      </w:r>
      <w:r>
        <w:rPr/>
        <w:t>将截至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日已实际收回的应收账款金额与截至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日经审计的应收账款余额的</w:t>
      </w:r>
      <w:r>
        <w:rPr>
          <w:rFonts w:ascii="Times New Roman" w:hAnsi="Times New Roman" w:cs="Times New Roman" w:eastAsia="Times New Roman" w:hint="default"/>
        </w:rPr>
        <w:t>70%</w:t>
      </w:r>
      <w:r>
        <w:rPr/>
        <w:t>的差额部分以现金 形式补偿给联创智融，在</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日之前一次性支付完毕。周帮建应督促宁波宏创进行现金补偿，并对宁波宏创的所有 补偿责任承担连带保证责任。根据容诚会计师事务所（特殊普通合伙）出具的</w:t>
      </w:r>
      <w:r>
        <w:rPr>
          <w:rFonts w:ascii="Times New Roman" w:hAnsi="Times New Roman" w:cs="Times New Roman" w:eastAsia="Times New Roman" w:hint="default"/>
        </w:rPr>
        <w:t>“</w:t>
      </w:r>
      <w:r>
        <w:rPr/>
        <w:t>会审字</w:t>
      </w:r>
      <w:r>
        <w:rPr>
          <w:rFonts w:ascii="Times New Roman" w:hAnsi="Times New Roman" w:cs="Times New Roman" w:eastAsia="Times New Roman" w:hint="default"/>
        </w:rPr>
        <w:t>[2019]2645</w:t>
      </w:r>
      <w:r>
        <w:rPr/>
        <w:t>号</w:t>
      </w:r>
      <w:r>
        <w:rPr>
          <w:rFonts w:ascii="Times New Roman" w:hAnsi="Times New Roman" w:cs="Times New Roman" w:eastAsia="Times New Roman" w:hint="default"/>
        </w:rPr>
        <w:t>”</w:t>
      </w:r>
      <w:r>
        <w:rPr/>
        <w:t>《审计报告》，联创智 融</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日经审计的应收账款余额为</w:t>
      </w:r>
      <w:r>
        <w:rPr>
          <w:rFonts w:ascii="Times New Roman" w:hAnsi="Times New Roman" w:cs="Times New Roman" w:eastAsia="Times New Roman" w:hint="default"/>
        </w:rPr>
        <w:t>489,351,019.13</w:t>
      </w:r>
      <w:r>
        <w:rPr/>
        <w:t>元，另联创智融通过润和软件向终端客户提供服务和销售产品， 在终端客户尚未回款情况下，润和软件将相关款项提前支付给联创智融，对应终端客户应收账款余额为</w:t>
      </w:r>
      <w:r>
        <w:rPr>
          <w:rFonts w:ascii="Times New Roman" w:hAnsi="Times New Roman" w:cs="Times New Roman" w:eastAsia="Times New Roman" w:hint="default"/>
        </w:rPr>
        <w:t>57,137,982.67</w:t>
      </w:r>
      <w:r>
        <w:rPr/>
        <w:t>元，合 计</w:t>
      </w:r>
      <w:r>
        <w:rPr>
          <w:rFonts w:ascii="Times New Roman" w:hAnsi="Times New Roman" w:cs="Times New Roman" w:eastAsia="Times New Roman" w:hint="default"/>
        </w:rPr>
        <w:t>546,489,001.80</w:t>
      </w:r>
      <w:r>
        <w:rPr/>
        <w:t>元，于</w:t>
      </w:r>
      <w:r>
        <w:rPr>
          <w:rFonts w:ascii="Times New Roman" w:hAnsi="Times New Roman" w:cs="Times New Roman" w:eastAsia="Times New Roman" w:hint="default"/>
        </w:rPr>
        <w:t>2019</w:t>
      </w:r>
      <w:r>
        <w:rPr/>
        <w:t>年收回</w:t>
      </w:r>
      <w:r>
        <w:rPr>
          <w:rFonts w:ascii="Times New Roman" w:hAnsi="Times New Roman" w:cs="Times New Roman" w:eastAsia="Times New Roman" w:hint="default"/>
        </w:rPr>
        <w:t>190,964,889.98</w:t>
      </w:r>
      <w:r>
        <w:rPr/>
        <w:t>元，收回率为</w:t>
      </w:r>
      <w:r>
        <w:rPr>
          <w:rFonts w:ascii="Times New Roman" w:hAnsi="Times New Roman" w:cs="Times New Roman" w:eastAsia="Times New Roman" w:hint="default"/>
        </w:rPr>
        <w:t>34.94%</w:t>
      </w:r>
      <w:r>
        <w:rPr/>
        <w:t>。联创智融应收账款承诺未实现。根据公司与宁波宏 </w:t>
      </w:r>
      <w:r>
        <w:rPr>
          <w:spacing w:val="-2"/>
        </w:rPr>
        <w:t>创和周帮建签署的发行股份及支付现金购买资产之盈利补偿协议的约定，宁波宏创应将截至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日已实际收回的应</w:t>
      </w:r>
      <w:r>
        <w:rPr>
          <w:spacing w:val="-59"/>
        </w:rPr>
        <w:t> </w:t>
      </w:r>
      <w:r>
        <w:rPr>
          <w:spacing w:val="-59"/>
        </w:rPr>
      </w:r>
      <w:r>
        <w:rPr/>
        <w:t>收账款金额与截至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日经审计的应收账款余额的</w:t>
      </w:r>
      <w:r>
        <w:rPr>
          <w:rFonts w:ascii="Times New Roman" w:hAnsi="Times New Roman" w:cs="Times New Roman" w:eastAsia="Times New Roman" w:hint="default"/>
        </w:rPr>
        <w:t>70%</w:t>
      </w:r>
      <w:r>
        <w:rPr/>
        <w:t>的差额部分</w:t>
      </w:r>
      <w:r>
        <w:rPr>
          <w:rFonts w:ascii="Times New Roman" w:hAnsi="Times New Roman" w:cs="Times New Roman" w:eastAsia="Times New Roman" w:hint="default"/>
        </w:rPr>
        <w:t>191,577,411.28</w:t>
      </w:r>
      <w:r>
        <w:rPr/>
        <w:t>元以现金形式于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 之前补偿给联创智融，截止</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日，联创智融尚未收到上述补偿款。容诚会计师事务所（特殊普通合伙）对联创智 融应收账款回款事项出具了</w:t>
      </w:r>
      <w:r>
        <w:rPr>
          <w:rFonts w:ascii="Times New Roman" w:hAnsi="Times New Roman" w:cs="Times New Roman" w:eastAsia="Times New Roman" w:hint="default"/>
        </w:rPr>
        <w:t>“</w:t>
      </w:r>
      <w:r>
        <w:rPr/>
        <w:t>容诚专字</w:t>
      </w:r>
      <w:r>
        <w:rPr>
          <w:rFonts w:ascii="Times New Roman" w:hAnsi="Times New Roman" w:cs="Times New Roman" w:eastAsia="Times New Roman" w:hint="default"/>
        </w:rPr>
        <w:t>[2020]230Z0031</w:t>
      </w:r>
      <w:r>
        <w:rPr/>
        <w:t>号</w:t>
      </w:r>
      <w:r>
        <w:rPr>
          <w:rFonts w:ascii="Times New Roman" w:hAnsi="Times New Roman" w:cs="Times New Roman" w:eastAsia="Times New Roman" w:hint="default"/>
        </w:rPr>
        <w:t>”</w:t>
      </w:r>
      <w:r>
        <w:rPr/>
        <w:t>专项审核报告。在本议案审议通过后，公司以书面方式通知宁波宏 </w:t>
      </w:r>
      <w:r>
        <w:rPr>
          <w:spacing w:val="-2"/>
        </w:rPr>
        <w:t>创及周帮建本次补偿的事宜及补偿的具体数额、方式，宁波宏创应在收到书面通知后</w:t>
      </w:r>
      <w:r>
        <w:rPr>
          <w:rFonts w:ascii="Times New Roman" w:hAnsi="Times New Roman" w:cs="Times New Roman" w:eastAsia="Times New Roman" w:hint="default"/>
          <w:spacing w:val="-2"/>
        </w:rPr>
        <w:t>30</w:t>
      </w:r>
      <w:r>
        <w:rPr>
          <w:spacing w:val="-2"/>
        </w:rPr>
        <w:t>日内完成相应补偿。周帮建应督促宁</w:t>
      </w:r>
      <w:r>
        <w:rPr>
          <w:spacing w:val="-64"/>
        </w:rPr>
        <w:t> </w:t>
      </w:r>
      <w:r>
        <w:rPr>
          <w:spacing w:val="-64"/>
        </w:rPr>
      </w:r>
      <w:r>
        <w:rPr/>
        <w:t>波宏创进行现金补偿，并对宁波宏创的所有补偿责任承担连带保证责任。</w:t>
      </w:r>
    </w:p>
    <w:p>
      <w:pPr>
        <w:spacing w:after="0" w:line="302"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2" w:lineRule="auto" w:before="44"/>
        <w:ind w:right="1025"/>
        <w:jc w:val="left"/>
      </w:pPr>
      <w:r>
        <w:rPr/>
        <w:t>鉴于宁波宏创未能按时完成应收账款承诺补偿、周帮建未承担相应连带保证责任，为保障公司和股东的利益，公司于</w:t>
      </w:r>
      <w:r>
        <w:rPr>
          <w:rFonts w:ascii="Times New Roman" w:hAnsi="Times New Roman" w:cs="Times New Roman" w:eastAsia="Times New Roman" w:hint="default"/>
        </w:rPr>
        <w:t>2020 </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日向江苏省南京市中级人民法院递交了《起诉状》、《财产保全申请书》及《网络执行查控申请书》等资料，就履 </w:t>
      </w:r>
      <w:r>
        <w:rPr>
          <w:spacing w:val="-2"/>
        </w:rPr>
        <w:t>行应收账款回款承诺的补偿事宜起诉宁波宏创及周帮建，同时请求江苏省南京市中级人民法院依法通过网络执行查控系统查</w:t>
      </w:r>
      <w:r>
        <w:rPr>
          <w:spacing w:val="-64"/>
        </w:rPr>
        <w:t> </w:t>
      </w:r>
      <w:r>
        <w:rPr>
          <w:spacing w:val="-64"/>
        </w:rPr>
      </w:r>
      <w:r>
        <w:rPr/>
        <w:t>询宁波宏创及周帮建名下的银行存款、不动产、车辆、股票等信息，并请求对宁波宏创及周帮建上述名下价值人民币</w:t>
      </w:r>
      <w:r>
        <w:rPr>
          <w:rFonts w:ascii="Times New Roman" w:hAnsi="Times New Roman" w:cs="Times New Roman" w:eastAsia="Times New Roman" w:hint="default"/>
        </w:rPr>
        <w:t>21,000 </w:t>
      </w:r>
      <w:r>
        <w:rPr>
          <w:spacing w:val="-4"/>
        </w:rPr>
        <w:t>万元的财产采取保全措施，江苏省南京市中级人民法院已立案并向公司送达了《受理案件通知书》及《民事裁定书》</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2020</w:t>
      </w:r>
      <w:r>
        <w:rPr>
          <w:spacing w:val="-4"/>
        </w:rPr>
        <w:t>）</w:t>
      </w:r>
      <w:r>
        <w:rPr/>
        <w:t> 苏</w:t>
      </w:r>
      <w:r>
        <w:rPr>
          <w:rFonts w:ascii="Times New Roman" w:hAnsi="Times New Roman" w:cs="Times New Roman" w:eastAsia="Times New Roman" w:hint="default"/>
        </w:rPr>
        <w:t>01</w:t>
      </w:r>
      <w:r>
        <w:rPr/>
        <w:t>民初</w:t>
      </w:r>
      <w:r>
        <w:rPr>
          <w:rFonts w:ascii="Times New Roman" w:hAnsi="Times New Roman" w:cs="Times New Roman" w:eastAsia="Times New Roman" w:hint="default"/>
        </w:rPr>
        <w:t>394</w:t>
      </w:r>
      <w:r>
        <w:rPr/>
        <w:t>号</w:t>
      </w:r>
      <w:r>
        <w:rPr>
          <w:rFonts w:ascii="Times New Roman" w:hAnsi="Times New Roman" w:cs="Times New Roman" w:eastAsia="Times New Roman" w:hint="default"/>
        </w:rPr>
        <w:t>]</w:t>
      </w:r>
      <w:r>
        <w:rPr/>
        <w:t>，裁定冻结被申请人宁波宏创、周帮建</w:t>
      </w:r>
      <w:r>
        <w:rPr>
          <w:rFonts w:ascii="Times New Roman" w:hAnsi="Times New Roman" w:cs="Times New Roman" w:eastAsia="Times New Roman" w:hint="default"/>
        </w:rPr>
        <w:t>2</w:t>
      </w:r>
      <w:r>
        <w:rPr/>
        <w:t>亿元的银行存款或查封、扣押、冻结其相应价值的财产。上述案件 尚未开庭审理。 以上具体内容请详见</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日和</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日在中国证监会指定的创业板信息披露网站公告。 </w:t>
      </w:r>
      <w:r>
        <w:rPr>
          <w:rFonts w:ascii="Times New Roman" w:hAnsi="Times New Roman" w:cs="Times New Roman" w:eastAsia="Times New Roman" w:hint="default"/>
          <w:spacing w:val="-2"/>
        </w:rPr>
        <w:t>31</w:t>
      </w:r>
      <w:r>
        <w:rPr>
          <w:spacing w:val="-2"/>
        </w:rPr>
        <w:t>、公司于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19</w:t>
      </w:r>
      <w:r>
        <w:rPr>
          <w:spacing w:val="-2"/>
        </w:rPr>
        <w:t>日召开第五届董事会第五十四次会议、于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10</w:t>
      </w:r>
      <w:r>
        <w:rPr>
          <w:spacing w:val="-2"/>
        </w:rPr>
        <w:t>日召开</w:t>
      </w:r>
      <w:r>
        <w:rPr>
          <w:rFonts w:ascii="Times New Roman" w:hAnsi="Times New Roman" w:cs="Times New Roman" w:eastAsia="Times New Roman" w:hint="default"/>
          <w:spacing w:val="-2"/>
        </w:rPr>
        <w:t>2020</w:t>
      </w:r>
      <w:r>
        <w:rPr>
          <w:spacing w:val="-2"/>
        </w:rPr>
        <w:t>年第一次临时股东大会，分别审议</w:t>
      </w:r>
      <w:r>
        <w:rPr>
          <w:spacing w:val="-55"/>
        </w:rPr>
        <w:t> </w:t>
      </w:r>
      <w:r>
        <w:rPr>
          <w:spacing w:val="-55"/>
        </w:rPr>
      </w:r>
      <w:r>
        <w:rPr>
          <w:spacing w:val="-4"/>
        </w:rPr>
        <w:t>通过了《关于修改</w:t>
      </w:r>
      <w:r>
        <w:rPr>
          <w:rFonts w:ascii="Times New Roman" w:hAnsi="Times New Roman" w:cs="Times New Roman" w:eastAsia="Times New Roman" w:hint="default"/>
          <w:spacing w:val="-4"/>
        </w:rPr>
        <w:t>&lt;</w:t>
      </w:r>
      <w:r>
        <w:rPr>
          <w:spacing w:val="-4"/>
        </w:rPr>
        <w:t>公司章程</w:t>
      </w:r>
      <w:r>
        <w:rPr>
          <w:rFonts w:ascii="Times New Roman" w:hAnsi="Times New Roman" w:cs="Times New Roman" w:eastAsia="Times New Roman" w:hint="default"/>
          <w:spacing w:val="-4"/>
        </w:rPr>
        <w:t>&gt;</w:t>
      </w:r>
      <w:r>
        <w:rPr>
          <w:spacing w:val="-4"/>
        </w:rPr>
        <w:t>部分条款的议案》，对《公司章程》中董事会成员人数的相关条款做修改，将第一百零六条</w:t>
      </w:r>
      <w:r>
        <w:rPr>
          <w:rFonts w:ascii="Times New Roman" w:hAnsi="Times New Roman" w:cs="Times New Roman" w:eastAsia="Times New Roman" w:hint="default"/>
          <w:spacing w:val="-4"/>
        </w:rPr>
        <w:t>“</w:t>
      </w:r>
      <w:r>
        <w:rPr>
          <w:spacing w:val="-4"/>
        </w:rPr>
        <w:t>董</w:t>
      </w:r>
      <w:r>
        <w:rPr>
          <w:spacing w:val="-55"/>
        </w:rPr>
        <w:t> </w:t>
      </w:r>
      <w:r>
        <w:rPr/>
        <w:t>事会由</w:t>
      </w:r>
      <w:r>
        <w:rPr>
          <w:rFonts w:ascii="Times New Roman" w:hAnsi="Times New Roman" w:cs="Times New Roman" w:eastAsia="Times New Roman" w:hint="default"/>
        </w:rPr>
        <w:t>11</w:t>
      </w:r>
      <w:r>
        <w:rPr/>
        <w:t>名董事组成，其中独立董事</w:t>
      </w:r>
      <w:r>
        <w:rPr>
          <w:rFonts w:ascii="Times New Roman" w:hAnsi="Times New Roman" w:cs="Times New Roman" w:eastAsia="Times New Roman" w:hint="default"/>
        </w:rPr>
        <w:t>4</w:t>
      </w:r>
      <w:r>
        <w:rPr/>
        <w:t>名</w:t>
      </w:r>
      <w:r>
        <w:rPr>
          <w:rFonts w:ascii="Times New Roman" w:hAnsi="Times New Roman" w:cs="Times New Roman" w:eastAsia="Times New Roman" w:hint="default"/>
        </w:rPr>
        <w:t>”</w:t>
      </w:r>
      <w:r>
        <w:rPr/>
        <w:t>修改为</w:t>
      </w:r>
      <w:r>
        <w:rPr>
          <w:rFonts w:ascii="Times New Roman" w:hAnsi="Times New Roman" w:cs="Times New Roman" w:eastAsia="Times New Roman" w:hint="default"/>
        </w:rPr>
        <w:t>“</w:t>
      </w:r>
      <w:r>
        <w:rPr/>
        <w:t>董事会由</w:t>
      </w:r>
      <w:r>
        <w:rPr>
          <w:rFonts w:ascii="Times New Roman" w:hAnsi="Times New Roman" w:cs="Times New Roman" w:eastAsia="Times New Roman" w:hint="default"/>
        </w:rPr>
        <w:t>9</w:t>
      </w:r>
      <w:r>
        <w:rPr/>
        <w:t>名董事组成，其中独立董事</w:t>
      </w:r>
      <w:r>
        <w:rPr>
          <w:rFonts w:ascii="Times New Roman" w:hAnsi="Times New Roman" w:cs="Times New Roman" w:eastAsia="Times New Roman" w:hint="default"/>
        </w:rPr>
        <w:t>3</w:t>
      </w:r>
      <w:r>
        <w:rPr/>
        <w:t>名</w:t>
      </w:r>
      <w:r>
        <w:rPr>
          <w:rFonts w:ascii="Times New Roman" w:hAnsi="Times New Roman" w:cs="Times New Roman" w:eastAsia="Times New Roman" w:hint="default"/>
        </w:rPr>
        <w:t>”</w:t>
      </w:r>
      <w:r>
        <w:rPr/>
        <w:t>。以上具体内容请详见</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21</w:t>
      </w:r>
      <w:r>
        <w:rPr/>
        <w:t>日和</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日在中国证监会指定的创业板信息披露网站公告。 </w:t>
      </w:r>
      <w:r>
        <w:rPr>
          <w:rFonts w:ascii="Times New Roman" w:hAnsi="Times New Roman" w:cs="Times New Roman" w:eastAsia="Times New Roman" w:hint="default"/>
          <w:spacing w:val="-2"/>
        </w:rPr>
        <w:t>32</w:t>
      </w:r>
      <w:r>
        <w:rPr>
          <w:spacing w:val="-2"/>
        </w:rPr>
        <w:t>、公司于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19</w:t>
      </w:r>
      <w:r>
        <w:rPr>
          <w:spacing w:val="-2"/>
        </w:rPr>
        <w:t>日召开第五届董事会第五十四次会议、于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10</w:t>
      </w:r>
      <w:r>
        <w:rPr>
          <w:spacing w:val="-2"/>
        </w:rPr>
        <w:t>日召开</w:t>
      </w:r>
      <w:r>
        <w:rPr>
          <w:rFonts w:ascii="Times New Roman" w:hAnsi="Times New Roman" w:cs="Times New Roman" w:eastAsia="Times New Roman" w:hint="default"/>
          <w:spacing w:val="-2"/>
        </w:rPr>
        <w:t>2020</w:t>
      </w:r>
      <w:r>
        <w:rPr>
          <w:spacing w:val="-2"/>
        </w:rPr>
        <w:t>年第一次临时股东大会，分别审议</w:t>
      </w:r>
      <w:r>
        <w:rPr>
          <w:spacing w:val="-55"/>
        </w:rPr>
        <w:t> </w:t>
      </w:r>
      <w:r>
        <w:rPr>
          <w:spacing w:val="-55"/>
        </w:rPr>
      </w:r>
      <w:r>
        <w:rPr/>
        <w:t>通过了《关于修改</w:t>
      </w:r>
      <w:r>
        <w:rPr>
          <w:rFonts w:ascii="Times New Roman" w:hAnsi="Times New Roman" w:cs="Times New Roman" w:eastAsia="Times New Roman" w:hint="default"/>
        </w:rPr>
        <w:t>&lt;</w:t>
      </w:r>
      <w:r>
        <w:rPr/>
        <w:t>董事会议事规则</w:t>
      </w:r>
      <w:r>
        <w:rPr>
          <w:rFonts w:ascii="Times New Roman" w:hAnsi="Times New Roman" w:cs="Times New Roman" w:eastAsia="Times New Roman" w:hint="default"/>
        </w:rPr>
        <w:t>&gt;</w:t>
      </w:r>
      <w:r>
        <w:rPr/>
        <w:t>部分条款的议案》，对《董事会议事规则》中董事会成员人数的条款做相应修改，将 第八条</w:t>
      </w:r>
      <w:r>
        <w:rPr>
          <w:rFonts w:ascii="Times New Roman" w:hAnsi="Times New Roman" w:cs="Times New Roman" w:eastAsia="Times New Roman" w:hint="default"/>
        </w:rPr>
        <w:t>“</w:t>
      </w:r>
      <w:r>
        <w:rPr/>
        <w:t>公司董事会由</w:t>
      </w:r>
      <w:r>
        <w:rPr>
          <w:rFonts w:ascii="Times New Roman" w:hAnsi="Times New Roman" w:cs="Times New Roman" w:eastAsia="Times New Roman" w:hint="default"/>
        </w:rPr>
        <w:t>11</w:t>
      </w:r>
      <w:r>
        <w:rPr/>
        <w:t>名董事组成</w:t>
      </w:r>
      <w:r>
        <w:rPr>
          <w:rFonts w:ascii="Times New Roman" w:hAnsi="Times New Roman" w:cs="Times New Roman" w:eastAsia="Times New Roman" w:hint="default"/>
        </w:rPr>
        <w:t>”</w:t>
      </w:r>
      <w:r>
        <w:rPr/>
        <w:t>修改为</w:t>
      </w:r>
      <w:r>
        <w:rPr>
          <w:rFonts w:ascii="Times New Roman" w:hAnsi="Times New Roman" w:cs="Times New Roman" w:eastAsia="Times New Roman" w:hint="default"/>
        </w:rPr>
        <w:t>“</w:t>
      </w:r>
      <w:r>
        <w:rPr/>
        <w:t>公司董事会由</w:t>
      </w:r>
      <w:r>
        <w:rPr>
          <w:rFonts w:ascii="Times New Roman" w:hAnsi="Times New Roman" w:cs="Times New Roman" w:eastAsia="Times New Roman" w:hint="default"/>
        </w:rPr>
        <w:t>9</w:t>
      </w:r>
      <w:r>
        <w:rPr/>
        <w:t>名董事组成</w:t>
      </w:r>
      <w:r>
        <w:rPr>
          <w:rFonts w:ascii="Times New Roman" w:hAnsi="Times New Roman" w:cs="Times New Roman" w:eastAsia="Times New Roman" w:hint="default"/>
        </w:rPr>
        <w:t>”</w:t>
      </w:r>
      <w:r>
        <w:rPr/>
        <w:t>。以上具体内容请详见</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日和</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 </w:t>
      </w:r>
      <w:r>
        <w:rPr>
          <w:rFonts w:ascii="Times New Roman" w:hAnsi="Times New Roman" w:cs="Times New Roman" w:eastAsia="Times New Roman" w:hint="default"/>
        </w:rPr>
        <w:t>10</w:t>
      </w:r>
      <w:r>
        <w:rPr/>
        <w:t>日在中国证监会指定的创业板信息披露网站公告。</w:t>
      </w:r>
    </w:p>
    <w:p>
      <w:pPr>
        <w:pStyle w:val="BodyText"/>
        <w:spacing w:line="307" w:lineRule="auto" w:before="11"/>
        <w:ind w:right="1123"/>
        <w:jc w:val="left"/>
      </w:pPr>
      <w:r>
        <w:rPr>
          <w:rFonts w:ascii="Times New Roman" w:hAnsi="Times New Roman" w:cs="Times New Roman" w:eastAsia="Times New Roman" w:hint="default"/>
          <w:spacing w:val="-2"/>
        </w:rPr>
        <w:t>33</w:t>
      </w:r>
      <w:r>
        <w:rPr>
          <w:spacing w:val="-2"/>
        </w:rPr>
        <w:t>、公司于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6</w:t>
      </w:r>
      <w:r>
        <w:rPr>
          <w:spacing w:val="-2"/>
        </w:rPr>
        <w:t>日收到公司独立董事周斌先生提交的书面辞职报告，周斌先生因个人原因申请辞去公司独立董事、董</w:t>
      </w:r>
      <w:r>
        <w:rPr>
          <w:spacing w:val="-59"/>
        </w:rPr>
        <w:t> </w:t>
      </w:r>
      <w:r>
        <w:rPr>
          <w:spacing w:val="-59"/>
        </w:rPr>
      </w:r>
      <w:r>
        <w:rPr>
          <w:spacing w:val="-2"/>
        </w:rPr>
        <w:t>事会薪酬与考核委员会主任委员和董事会审计委员会委员职务，周斌先生的辞职将在公司股东大会选举出新任独立董事后生</w:t>
      </w:r>
      <w:r>
        <w:rPr>
          <w:spacing w:val="-64"/>
        </w:rPr>
        <w:t> </w:t>
      </w:r>
      <w:r>
        <w:rPr>
          <w:spacing w:val="-64"/>
        </w:rPr>
      </w:r>
      <w:r>
        <w:rPr/>
        <w:t>效。公司于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日收到公司总裁陈斌先生提交的书面辞职报告，其因个人原因申请辞去公司总裁职务，辞职报告自 送达公司董事会时起生效。鉴于公司第五届董事会、监事会任期届满，公司于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日召开第五届董事会第五十四次 会议和第五届监事会第三十二次会议、于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日召开</w:t>
      </w:r>
      <w:r>
        <w:rPr>
          <w:rFonts w:ascii="Times New Roman" w:hAnsi="Times New Roman" w:cs="Times New Roman" w:eastAsia="Times New Roman" w:hint="default"/>
        </w:rPr>
        <w:t>2020</w:t>
      </w:r>
      <w:r>
        <w:rPr/>
        <w:t>年第一次临时股东大会，分别审议通过了《关于公司董事 </w:t>
      </w:r>
      <w:r>
        <w:rPr>
          <w:spacing w:val="-2"/>
        </w:rPr>
        <w:t>会换届选举暨提名第六届董事会非独立董事候选人的议案》、《关于公司董事会换届选举暨提名第六届董事会独立董事候选</w:t>
      </w:r>
      <w:r>
        <w:rPr>
          <w:spacing w:val="-65"/>
        </w:rPr>
        <w:t> </w:t>
      </w:r>
      <w:r>
        <w:rPr>
          <w:spacing w:val="-65"/>
        </w:rPr>
      </w:r>
      <w:r>
        <w:rPr>
          <w:spacing w:val="-2"/>
        </w:rPr>
        <w:t>人的议案》、《关于公司监事会换届选举暨提名第六届监事会非职工监事候选人的议案》等有关董事会、监事会换届选举的</w:t>
      </w:r>
      <w:r>
        <w:rPr>
          <w:spacing w:val="-65"/>
        </w:rPr>
        <w:t> </w:t>
      </w:r>
      <w:r>
        <w:rPr>
          <w:spacing w:val="-65"/>
        </w:rPr>
      </w:r>
      <w:r>
        <w:rPr/>
        <w:t>相关议案。公司于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日召开第六届董事会第一次会议和第六届监事会第一次会议、审议通过了《关于选举公司第 </w:t>
      </w:r>
      <w:r>
        <w:rPr>
          <w:spacing w:val="-5"/>
        </w:rPr>
        <w:t>六届董事会董事长的议案》、《关于选举公司第六届董事会各专门委员会委员的议案》、《关于聘任公司总裁的议案》、《关</w:t>
      </w:r>
      <w:r>
        <w:rPr>
          <w:spacing w:val="-76"/>
        </w:rPr>
        <w:t> </w:t>
      </w:r>
      <w:r>
        <w:rPr>
          <w:spacing w:val="-76"/>
        </w:rPr>
      </w:r>
      <w:r>
        <w:rPr>
          <w:spacing w:val="-2"/>
        </w:rPr>
        <w:t>于聘任公司高级副总裁的议案》、《关于聘任公司财务总监的议案》、《关于聘任公司董事会秘书的议案》、《关于聘任公</w:t>
      </w:r>
      <w:r>
        <w:rPr>
          <w:spacing w:val="-67"/>
        </w:rPr>
        <w:t> </w:t>
      </w:r>
      <w:r>
        <w:rPr>
          <w:spacing w:val="-67"/>
        </w:rPr>
      </w:r>
      <w:r>
        <w:rPr>
          <w:spacing w:val="-2"/>
        </w:rPr>
        <w:t>司审计部部长的议案》、《关于聘任公司证券事务代表的议案》、《关于选举公司第六届监事会主席的议案》等有关选举董</w:t>
      </w:r>
      <w:r>
        <w:rPr>
          <w:spacing w:val="-69"/>
        </w:rPr>
        <w:t> </w:t>
      </w:r>
      <w:r>
        <w:rPr>
          <w:spacing w:val="-69"/>
        </w:rPr>
      </w:r>
      <w:r>
        <w:rPr/>
        <w:t>事长、选举董事会各专门委员会委员、选举监事会主席、聘任高级管理人员的相关议案。以上具体内容请详见</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 </w:t>
      </w:r>
      <w:r>
        <w:rPr/>
        <w:t>日、</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日和</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日在中国证监会指定的创业板信息披露网站公告。 </w:t>
      </w:r>
      <w:r>
        <w:rPr>
          <w:rFonts w:ascii="Times New Roman" w:hAnsi="Times New Roman" w:cs="Times New Roman" w:eastAsia="Times New Roman" w:hint="default"/>
        </w:rPr>
        <w:t>35</w:t>
      </w:r>
      <w:r>
        <w:rPr/>
        <w:t>、公司于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日以通讯表决方式召开了职工代表大会，经公司职工代表大会审议，同意选举赵澍先生为公司第六 届监事会职工监事，赵澍先生与公司</w:t>
      </w:r>
      <w:r>
        <w:rPr>
          <w:rFonts w:ascii="Times New Roman" w:hAnsi="Times New Roman" w:cs="Times New Roman" w:eastAsia="Times New Roman" w:hint="default"/>
        </w:rPr>
        <w:t>2020</w:t>
      </w:r>
      <w:r>
        <w:rPr/>
        <w:t>年第一次临时股东大会选举产生的</w:t>
      </w:r>
      <w:r>
        <w:rPr>
          <w:rFonts w:ascii="Times New Roman" w:hAnsi="Times New Roman" w:cs="Times New Roman" w:eastAsia="Times New Roman" w:hint="default"/>
        </w:rPr>
        <w:t>2</w:t>
      </w:r>
      <w:r>
        <w:rPr/>
        <w:t>名非职工监事共同组成第六届监事会，任期与 第六届监事会任期一致。</w:t>
      </w:r>
      <w:r>
        <w:rPr>
          <w:spacing w:val="-19"/>
        </w:rPr>
        <w:t> </w:t>
      </w:r>
      <w:r>
        <w:rPr/>
        <w:t>以上具体内容请详见</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日在中国证监会指定的创业板信息披露网站公告。 </w:t>
      </w:r>
      <w:r>
        <w:rPr>
          <w:rFonts w:ascii="Times New Roman" w:hAnsi="Times New Roman" w:cs="Times New Roman" w:eastAsia="Times New Roman" w:hint="default"/>
        </w:rPr>
        <w:t>36</w:t>
      </w:r>
      <w:r>
        <w:rPr/>
        <w:t>、公司于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日召开第六届董事会第四次会议和第六届监事会第三次会议，审议通过了《关于使用部分闲置募集 </w:t>
      </w:r>
      <w:r>
        <w:rPr>
          <w:spacing w:val="-1"/>
        </w:rPr>
        <w:t>资金暂时补充流动资金的议案》，同意公司使用不超过人民币</w:t>
      </w:r>
      <w:r>
        <w:rPr>
          <w:rFonts w:ascii="Times New Roman" w:hAnsi="Times New Roman" w:cs="Times New Roman" w:eastAsia="Times New Roman" w:hint="default"/>
          <w:spacing w:val="-1"/>
        </w:rPr>
        <w:t>25,000</w:t>
      </w:r>
      <w:r>
        <w:rPr>
          <w:spacing w:val="-1"/>
        </w:rPr>
        <w:t>万元的闲置募集资金暂时补充流动资金，用于与公司主</w:t>
      </w:r>
      <w:r>
        <w:rPr>
          <w:spacing w:val="-74"/>
        </w:rPr>
        <w:t> </w:t>
      </w:r>
      <w:r>
        <w:rPr>
          <w:spacing w:val="-74"/>
        </w:rPr>
      </w:r>
      <w:r>
        <w:rPr>
          <w:spacing w:val="-2"/>
        </w:rPr>
        <w:t>营业务相关的生产经营，使用期限自董事会审议通过之日起不超过</w:t>
      </w:r>
      <w:r>
        <w:rPr>
          <w:rFonts w:ascii="Times New Roman" w:hAnsi="Times New Roman" w:cs="Times New Roman" w:eastAsia="Times New Roman" w:hint="default"/>
          <w:spacing w:val="-2"/>
        </w:rPr>
        <w:t>12</w:t>
      </w:r>
      <w:r>
        <w:rPr>
          <w:spacing w:val="-2"/>
        </w:rPr>
        <w:t>个月，到期公司将及时归还至募集资金专户。以上具体</w:t>
      </w:r>
      <w:r>
        <w:rPr>
          <w:spacing w:val="-62"/>
        </w:rPr>
        <w:t> </w:t>
      </w:r>
      <w:r>
        <w:rPr>
          <w:spacing w:val="-62"/>
        </w:rPr>
      </w:r>
      <w:r>
        <w:rPr/>
        <w:t>内容请详见</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日在中国证监会指定的创业板信息披露网站公告。</w:t>
      </w:r>
    </w:p>
    <w:p>
      <w:pPr>
        <w:spacing w:line="240" w:lineRule="auto" w:before="1"/>
        <w:rPr>
          <w:rFonts w:ascii="宋体" w:hAnsi="宋体" w:cs="宋体" w:eastAsia="宋体" w:hint="default"/>
          <w:sz w:val="14"/>
          <w:szCs w:val="14"/>
        </w:rPr>
      </w:pPr>
    </w:p>
    <w:p>
      <w:pPr>
        <w:pStyle w:val="Heading2"/>
        <w:spacing w:line="240" w:lineRule="auto"/>
        <w:ind w:right="0"/>
        <w:jc w:val="left"/>
        <w:rPr>
          <w:b w:val="0"/>
          <w:bCs w:val="0"/>
        </w:rPr>
      </w:pPr>
      <w:r>
        <w:rPr/>
        <w:t>十九、公司子公司重大事项</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19" w:lineRule="auto"/>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日召开第五届董事会第四十四次会议，审议通过了《关于注销上海全资子公司的议案》，基于公司整 </w:t>
      </w:r>
      <w:r>
        <w:rPr>
          <w:spacing w:val="-2"/>
        </w:rPr>
        <w:t>体战略规划及经营效益的考虑，为进一步整合和优化现有资源配置，降低管理成本，提高公司整体经营效益，公司决定注销</w:t>
      </w:r>
      <w:r>
        <w:rPr>
          <w:spacing w:val="-62"/>
        </w:rPr>
        <w:t> </w:t>
      </w:r>
      <w:r>
        <w:rPr>
          <w:spacing w:val="-62"/>
        </w:rPr>
      </w:r>
      <w:r>
        <w:rPr>
          <w:spacing w:val="-2"/>
        </w:rPr>
        <w:t>全资子公司润和云（上海）科技有限公司。润和云（上海）科技有限公司的工商注销手续已办理完毕。以上具体内容请详见</w:t>
      </w:r>
      <w:r>
        <w:rPr>
          <w:spacing w:val="-68"/>
        </w:rPr>
        <w:t> </w:t>
      </w:r>
      <w:r>
        <w:rPr>
          <w:spacing w:val="-68"/>
        </w:rPr>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日在中国证监会指定的创业板信息披露网站公告。</w:t>
      </w:r>
    </w:p>
    <w:p>
      <w:pPr>
        <w:spacing w:after="0" w:line="319"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2" w:lineRule="auto" w:before="44"/>
        <w:ind w:right="1033"/>
        <w:jc w:val="left"/>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日召开第五届董事会第四十四次会议，审议通过了《关于同意全资子公司增资暨放弃对其增资优先认 缴权的议案》，公司同意南京瑞思创科技有限公司（以下简称</w:t>
      </w:r>
      <w:r>
        <w:rPr>
          <w:rFonts w:ascii="Times New Roman" w:hAnsi="Times New Roman" w:cs="Times New Roman" w:eastAsia="Times New Roman" w:hint="default"/>
        </w:rPr>
        <w:t>“</w:t>
      </w:r>
      <w:r>
        <w:rPr/>
        <w:t>瑞思创</w:t>
      </w:r>
      <w:r>
        <w:rPr>
          <w:rFonts w:ascii="Times New Roman" w:hAnsi="Times New Roman" w:cs="Times New Roman" w:eastAsia="Times New Roman" w:hint="default"/>
        </w:rPr>
        <w:t>”</w:t>
      </w:r>
      <w:r>
        <w:rPr/>
        <w:t>）以</w:t>
      </w:r>
      <w:r>
        <w:rPr>
          <w:rFonts w:ascii="Times New Roman" w:hAnsi="Times New Roman" w:cs="Times New Roman" w:eastAsia="Times New Roman" w:hint="default"/>
        </w:rPr>
        <w:t>2,000</w:t>
      </w:r>
      <w:r>
        <w:rPr/>
        <w:t>万元人民币现金向润和智融增资并放弃对 本次增资的优先认缴权。本次增资完成后，润和智融注册资本增至</w:t>
      </w:r>
      <w:r>
        <w:rPr>
          <w:rFonts w:ascii="Times New Roman" w:hAnsi="Times New Roman" w:cs="Times New Roman" w:eastAsia="Times New Roman" w:hint="default"/>
        </w:rPr>
        <w:t>5,000</w:t>
      </w:r>
      <w:r>
        <w:rPr/>
        <w:t>万元人民币，润和软件持有润和智融</w:t>
      </w:r>
      <w:r>
        <w:rPr>
          <w:rFonts w:ascii="Times New Roman" w:hAnsi="Times New Roman" w:cs="Times New Roman" w:eastAsia="Times New Roman" w:hint="default"/>
        </w:rPr>
        <w:t>60%</w:t>
      </w:r>
      <w:r>
        <w:rPr/>
        <w:t>的股权， 瑞思创持有润和智融</w:t>
      </w:r>
      <w:r>
        <w:rPr>
          <w:rFonts w:ascii="Times New Roman" w:hAnsi="Times New Roman" w:cs="Times New Roman" w:eastAsia="Times New Roman" w:hint="default"/>
        </w:rPr>
        <w:t>40%</w:t>
      </w:r>
      <w:r>
        <w:rPr/>
        <w:t>股权，润和智融成为润和软件的控股子公司。润和智融已完成了上述工商变更登记手续。 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日召开第五届董事会第五十五次会议，审议通过了《关于转让控股子公司部分股权的议案》，公司将持 有的润和智融</w:t>
      </w:r>
      <w:r>
        <w:rPr>
          <w:rFonts w:ascii="Times New Roman" w:hAnsi="Times New Roman" w:cs="Times New Roman" w:eastAsia="Times New Roman" w:hint="default"/>
        </w:rPr>
        <w:t>2,000.00</w:t>
      </w:r>
      <w:r>
        <w:rPr/>
        <w:t>万元出资额所对应的</w:t>
      </w:r>
      <w:r>
        <w:rPr>
          <w:rFonts w:ascii="Times New Roman" w:hAnsi="Times New Roman" w:cs="Times New Roman" w:eastAsia="Times New Roman" w:hint="default"/>
        </w:rPr>
        <w:t>40%</w:t>
      </w:r>
      <w:r>
        <w:rPr/>
        <w:t>股权转让给瑞思创，转让对价为</w:t>
      </w:r>
      <w:r>
        <w:rPr>
          <w:rFonts w:ascii="Times New Roman" w:hAnsi="Times New Roman" w:cs="Times New Roman" w:eastAsia="Times New Roman" w:hint="default"/>
        </w:rPr>
        <w:t>4,000,000.00</w:t>
      </w:r>
      <w:r>
        <w:rPr/>
        <w:t>元人民币，且公司已认缴的但截 至目前尚未向润和智融缴纳的出资额</w:t>
      </w:r>
      <w:r>
        <w:rPr>
          <w:rFonts w:ascii="Times New Roman" w:hAnsi="Times New Roman" w:cs="Times New Roman" w:eastAsia="Times New Roman" w:hint="default"/>
        </w:rPr>
        <w:t>1,600.00</w:t>
      </w:r>
      <w:r>
        <w:rPr/>
        <w:t>万元的出资义务亦随本次股权转让而转由瑞思创承接。本次交易完成后，公司 持有润和智融</w:t>
      </w:r>
      <w:r>
        <w:rPr>
          <w:rFonts w:ascii="Times New Roman" w:hAnsi="Times New Roman" w:cs="Times New Roman" w:eastAsia="Times New Roman" w:hint="default"/>
        </w:rPr>
        <w:t>20%</w:t>
      </w:r>
      <w:r>
        <w:rPr/>
        <w:t>的股权，润和智融将成为公司参股公司，不再纳入公司合并报表范围。 以上具体内容请详见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日和</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日在中国证监会指定的创业板信息披露网站公告。 </w:t>
      </w:r>
      <w:r>
        <w:rPr>
          <w:rFonts w:ascii="Times New Roman" w:hAnsi="Times New Roman" w:cs="Times New Roman" w:eastAsia="Times New Roman" w:hint="default"/>
          <w:spacing w:val="-2"/>
        </w:rPr>
        <w:t>3</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w:t>
      </w:r>
      <w:r>
        <w:rPr>
          <w:spacing w:val="-2"/>
        </w:rPr>
        <w:t>日召开第五届董事会第四十四次会议，审议通过了《关于收购控股子公司部分少数股东股权的议案》，</w:t>
      </w:r>
      <w:r>
        <w:rPr>
          <w:spacing w:val="-60"/>
        </w:rPr>
        <w:t> </w:t>
      </w:r>
      <w:r>
        <w:rPr>
          <w:spacing w:val="-60"/>
        </w:rPr>
      </w:r>
      <w:r>
        <w:rPr/>
        <w:t>为进一步增强对控股子公司广州润和的管控力度，推进公司发展战略、提高决策效率，公司与广州润和股东王永、戴强华、 沈智于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日签署了《股权转让协议》，以自有资金共计</w:t>
      </w:r>
      <w:r>
        <w:rPr>
          <w:rFonts w:ascii="Times New Roman" w:hAnsi="Times New Roman" w:cs="Times New Roman" w:eastAsia="Times New Roman" w:hint="default"/>
        </w:rPr>
        <w:t>38</w:t>
      </w:r>
      <w:r>
        <w:rPr/>
        <w:t>万元人民币收购王永、戴强华、沈智合计持有的</w:t>
      </w:r>
      <w:r>
        <w:rPr>
          <w:rFonts w:ascii="Times New Roman" w:hAnsi="Times New Roman" w:cs="Times New Roman" w:eastAsia="Times New Roman" w:hint="default"/>
        </w:rPr>
        <w:t>19%</w:t>
      </w:r>
      <w:r>
        <w:rPr/>
        <w:t>的股 权，且王永、戴强华、沈智合计已认缴的但截至目前尚未向广州润和缴纳的出资额</w:t>
      </w:r>
      <w:r>
        <w:rPr>
          <w:rFonts w:ascii="Times New Roman" w:hAnsi="Times New Roman" w:cs="Times New Roman" w:eastAsia="Times New Roman" w:hint="default"/>
        </w:rPr>
        <w:t>152</w:t>
      </w:r>
      <w:r>
        <w:rPr/>
        <w:t>万元的出资义务亦随本次股权转让而 转由公司承接。本次交易完成后，公司持有广州润和</w:t>
      </w:r>
      <w:r>
        <w:rPr>
          <w:rFonts w:ascii="Times New Roman" w:hAnsi="Times New Roman" w:cs="Times New Roman" w:eastAsia="Times New Roman" w:hint="default"/>
        </w:rPr>
        <w:t>70%</w:t>
      </w:r>
      <w:r>
        <w:rPr/>
        <w:t>的股权，广州润和仍为公司控股子公司。广州润和已完成了上述工 商变更登记手续。以上具体内容请详见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日在中国证监会指定的创业板信息披露网站公告。 </w:t>
      </w:r>
      <w:r>
        <w:rPr>
          <w:rFonts w:ascii="Times New Roman" w:hAnsi="Times New Roman" w:cs="Times New Roman" w:eastAsia="Times New Roman" w:hint="default"/>
          <w:spacing w:val="-2"/>
        </w:rPr>
        <w:t>4</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11</w:t>
      </w:r>
      <w:r>
        <w:rPr>
          <w:spacing w:val="-2"/>
        </w:rPr>
        <w:t>日召开第五届董事会第四十六次会议，审议通过了《关于转让控股子公司部分股权的议案》，公司与</w:t>
      </w:r>
      <w:r>
        <w:rPr>
          <w:spacing w:val="-64"/>
        </w:rPr>
        <w:t> </w:t>
      </w:r>
      <w:r>
        <w:rPr>
          <w:spacing w:val="-64"/>
        </w:rPr>
      </w:r>
      <w:r>
        <w:rPr>
          <w:spacing w:val="-2"/>
        </w:rPr>
        <w:t>润辰科技股东南京润创信息科技合伙企业（有限合伙）（以下简称</w:t>
      </w:r>
      <w:r>
        <w:rPr>
          <w:rFonts w:ascii="Times New Roman" w:hAnsi="Times New Roman" w:cs="Times New Roman" w:eastAsia="Times New Roman" w:hint="default"/>
          <w:spacing w:val="-2"/>
        </w:rPr>
        <w:t>“</w:t>
      </w:r>
      <w:r>
        <w:rPr>
          <w:spacing w:val="-2"/>
        </w:rPr>
        <w:t>润创信息</w:t>
      </w:r>
      <w:r>
        <w:rPr>
          <w:rFonts w:ascii="Times New Roman" w:hAnsi="Times New Roman" w:cs="Times New Roman" w:eastAsia="Times New Roman" w:hint="default"/>
          <w:spacing w:val="-2"/>
        </w:rPr>
        <w:t>”</w:t>
      </w: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11</w:t>
      </w:r>
      <w:r>
        <w:rPr>
          <w:spacing w:val="-2"/>
        </w:rPr>
        <w:t>日签署了《股权转让协议》。</w:t>
      </w:r>
      <w:r>
        <w:rPr>
          <w:spacing w:val="-39"/>
        </w:rPr>
        <w:t> </w:t>
      </w:r>
      <w:r>
        <w:rPr>
          <w:spacing w:val="-39"/>
        </w:rPr>
      </w:r>
      <w:r>
        <w:rPr/>
        <w:t>公司将其持有的润辰科技的</w:t>
      </w:r>
      <w:r>
        <w:rPr>
          <w:rFonts w:ascii="Times New Roman" w:hAnsi="Times New Roman" w:cs="Times New Roman" w:eastAsia="Times New Roman" w:hint="default"/>
        </w:rPr>
        <w:t>35.75%</w:t>
      </w:r>
      <w:r>
        <w:rPr/>
        <w:t>股权转让给润创信息，转让对价为</w:t>
      </w:r>
      <w:r>
        <w:rPr>
          <w:rFonts w:ascii="Times New Roman" w:hAnsi="Times New Roman" w:cs="Times New Roman" w:eastAsia="Times New Roman" w:hint="default"/>
        </w:rPr>
        <w:t>247.50</w:t>
      </w:r>
      <w:r>
        <w:rPr/>
        <w:t>万元，且公司已认缴的但截至目前尚未向润辰科 技缴纳的出资额</w:t>
      </w:r>
      <w:r>
        <w:rPr>
          <w:rFonts w:ascii="Times New Roman" w:hAnsi="Times New Roman" w:cs="Times New Roman" w:eastAsia="Times New Roman" w:hint="default"/>
        </w:rPr>
        <w:t>825.00</w:t>
      </w:r>
      <w:r>
        <w:rPr/>
        <w:t>万元的出资义务亦随本次股权转让而转由润创信息承接。本次交易完成后，公司持有润辰科技</w:t>
      </w:r>
      <w:r>
        <w:rPr>
          <w:rFonts w:ascii="Times New Roman" w:hAnsi="Times New Roman" w:cs="Times New Roman" w:eastAsia="Times New Roman" w:hint="default"/>
        </w:rPr>
        <w:t>19.25% </w:t>
      </w:r>
      <w:r>
        <w:rPr/>
        <w:t>的股权，润辰科技成为公司参股公司，不再纳入公司合并报表范围。以上具体内容请详见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日在中国证监会指定 的创业板信息披露网站公告。 </w:t>
      </w:r>
      <w:r>
        <w:rPr>
          <w:rFonts w:ascii="Times New Roman" w:hAnsi="Times New Roman" w:cs="Times New Roman" w:eastAsia="Times New Roman" w:hint="default"/>
        </w:rPr>
        <w:t>5</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日召开第五届董事会第五十二次会议，审议通过了《关于全资子公司以未分配利润转增注册资本的 议案》，公司全资子公司捷科智诚为满足业务发展需要，使用其截止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日经审计的部分未分配利润</w:t>
      </w:r>
      <w:r>
        <w:rPr>
          <w:rFonts w:ascii="Times New Roman" w:hAnsi="Times New Roman" w:cs="Times New Roman" w:eastAsia="Times New Roman" w:hint="default"/>
        </w:rPr>
        <w:t>4,000</w:t>
      </w:r>
      <w:r>
        <w:rPr/>
        <w:t>万元人 </w:t>
      </w:r>
      <w:r>
        <w:rPr>
          <w:spacing w:val="-2"/>
        </w:rPr>
        <w:t>民币转增注册资本。完成本次未分配利润转增注册资本后，捷科智诚的注册资本将由</w:t>
      </w:r>
      <w:r>
        <w:rPr>
          <w:rFonts w:ascii="Times New Roman" w:hAnsi="Times New Roman" w:cs="Times New Roman" w:eastAsia="Times New Roman" w:hint="default"/>
          <w:spacing w:val="-2"/>
        </w:rPr>
        <w:t>6,000</w:t>
      </w:r>
      <w:r>
        <w:rPr>
          <w:spacing w:val="-2"/>
        </w:rPr>
        <w:t>万元人民币增加至</w:t>
      </w:r>
      <w:r>
        <w:rPr>
          <w:rFonts w:ascii="Times New Roman" w:hAnsi="Times New Roman" w:cs="Times New Roman" w:eastAsia="Times New Roman" w:hint="default"/>
          <w:spacing w:val="-2"/>
        </w:rPr>
        <w:t>10,000</w:t>
      </w:r>
      <w:r>
        <w:rPr>
          <w:spacing w:val="-2"/>
        </w:rPr>
        <w:t>万元人民</w:t>
      </w:r>
      <w:r>
        <w:rPr>
          <w:spacing w:val="-54"/>
        </w:rPr>
        <w:t> </w:t>
      </w:r>
      <w:r>
        <w:rPr>
          <w:spacing w:val="-54"/>
        </w:rPr>
      </w:r>
      <w:r>
        <w:rPr/>
        <w:t>币，公司仍持有捷科智诚</w:t>
      </w:r>
      <w:r>
        <w:rPr>
          <w:rFonts w:ascii="Times New Roman" w:hAnsi="Times New Roman" w:cs="Times New Roman" w:eastAsia="Times New Roman" w:hint="default"/>
        </w:rPr>
        <w:t>100%</w:t>
      </w:r>
      <w:r>
        <w:rPr/>
        <w:t>的股权。捷科智诚已完成了上述工商变更登记手续。以上具体内容请详见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日和</w:t>
      </w:r>
      <w:r>
        <w:rPr>
          <w:spacing w:val="-3"/>
        </w:rPr>
        <w:t> </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日在中国证监会指定的创业板信息披露网站公告。</w:t>
      </w:r>
    </w:p>
    <w:p>
      <w:pPr>
        <w:pStyle w:val="BodyText"/>
        <w:spacing w:line="300" w:lineRule="auto" w:before="11"/>
        <w:ind w:right="0"/>
        <w:jc w:val="left"/>
      </w:pPr>
      <w:r>
        <w:rPr>
          <w:rFonts w:ascii="Times New Roman" w:hAnsi="Times New Roman" w:cs="Times New Roman" w:eastAsia="Times New Roman" w:hint="default"/>
          <w:spacing w:val="-1"/>
        </w:rPr>
        <w:t>6</w:t>
      </w:r>
      <w:r>
        <w:rPr>
          <w:spacing w:val="-1"/>
        </w:rPr>
        <w:t>、公司收到全资子公司捷科智诚、联创智融现金分红款合计</w:t>
      </w:r>
      <w:r>
        <w:rPr>
          <w:rFonts w:ascii="Times New Roman" w:hAnsi="Times New Roman" w:cs="Times New Roman" w:eastAsia="Times New Roman" w:hint="default"/>
          <w:spacing w:val="-1"/>
        </w:rPr>
        <w:t>200,000,000.00</w:t>
      </w:r>
      <w:r>
        <w:rPr>
          <w:spacing w:val="-1"/>
        </w:rPr>
        <w:t>元。其中，捷科智诚以现金方式将未分配利润中</w:t>
      </w:r>
      <w:r>
        <w:rPr>
          <w:spacing w:val="-69"/>
        </w:rPr>
        <w:t> </w:t>
      </w:r>
      <w:r>
        <w:rPr>
          <w:spacing w:val="-69"/>
        </w:rPr>
      </w:r>
      <w:r>
        <w:rPr>
          <w:spacing w:val="-1"/>
        </w:rPr>
        <w:t>的</w:t>
      </w:r>
      <w:r>
        <w:rPr>
          <w:rFonts w:ascii="Times New Roman" w:hAnsi="Times New Roman" w:cs="Times New Roman" w:eastAsia="Times New Roman" w:hint="default"/>
          <w:spacing w:val="-1"/>
        </w:rPr>
        <w:t>50,000,000.00</w:t>
      </w:r>
      <w:r>
        <w:rPr>
          <w:spacing w:val="-1"/>
        </w:rPr>
        <w:t>元分配给公司，占捷科智诚</w:t>
      </w:r>
      <w:r>
        <w:rPr>
          <w:rFonts w:ascii="Times New Roman" w:hAnsi="Times New Roman" w:cs="Times New Roman" w:eastAsia="Times New Roman" w:hint="default"/>
          <w:spacing w:val="-1"/>
        </w:rPr>
        <w:t>2018</w:t>
      </w:r>
      <w:r>
        <w:rPr>
          <w:spacing w:val="-1"/>
        </w:rPr>
        <w:t>年度年末经审计可分配利润的</w:t>
      </w:r>
      <w:r>
        <w:rPr>
          <w:rFonts w:ascii="Times New Roman" w:hAnsi="Times New Roman" w:cs="Times New Roman" w:eastAsia="Times New Roman" w:hint="default"/>
          <w:spacing w:val="-1"/>
        </w:rPr>
        <w:t>26.71%</w:t>
      </w:r>
      <w:r>
        <w:rPr>
          <w:spacing w:val="-1"/>
        </w:rPr>
        <w:t>，公司于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27</w:t>
      </w:r>
      <w:r>
        <w:rPr>
          <w:spacing w:val="-1"/>
        </w:rPr>
        <w:t>日收到上述现金</w:t>
      </w:r>
      <w:r>
        <w:rPr>
          <w:spacing w:val="-85"/>
        </w:rPr>
        <w:t> </w:t>
      </w:r>
      <w:r>
        <w:rPr>
          <w:spacing w:val="-85"/>
        </w:rPr>
      </w:r>
      <w:r>
        <w:rPr/>
        <w:t>分红款；联创智融以现金方式将未分配利润中的</w:t>
      </w:r>
      <w:r>
        <w:rPr>
          <w:rFonts w:ascii="Times New Roman" w:hAnsi="Times New Roman" w:cs="Times New Roman" w:eastAsia="Times New Roman" w:hint="default"/>
        </w:rPr>
        <w:t>150,000,000.00</w:t>
      </w:r>
      <w:r>
        <w:rPr/>
        <w:t>元分配给公司，占联创智融</w:t>
      </w:r>
      <w:r>
        <w:rPr>
          <w:rFonts w:ascii="Times New Roman" w:hAnsi="Times New Roman" w:cs="Times New Roman" w:eastAsia="Times New Roman" w:hint="default"/>
        </w:rPr>
        <w:t>2018</w:t>
      </w:r>
      <w:r>
        <w:rPr/>
        <w:t>年度年末经审计可分配利润 的</w:t>
      </w:r>
      <w:r>
        <w:rPr>
          <w:rFonts w:ascii="Times New Roman" w:hAnsi="Times New Roman" w:cs="Times New Roman" w:eastAsia="Times New Roman" w:hint="default"/>
        </w:rPr>
        <w:t>27.48%</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日收到上述现金分红款。以上具体内容请详见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日在中国证监会指定的创业板 信息披露网站公告。</w:t>
      </w:r>
    </w:p>
    <w:p>
      <w:pPr>
        <w:spacing w:after="0" w:line="30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456" w:lineRule="exact"/>
        <w:ind w:left="3425" w:right="1123"/>
        <w:jc w:val="left"/>
        <w:rPr>
          <w:b w:val="0"/>
          <w:bCs w:val="0"/>
        </w:rPr>
      </w:pPr>
      <w:bookmarkStart w:name="_bookmark4" w:id="5"/>
      <w:bookmarkEnd w:id="5"/>
      <w:r>
        <w:rPr>
          <w:b w:val="0"/>
          <w:bCs w:val="0"/>
        </w:rPr>
      </w:r>
      <w:r>
        <w:rPr/>
        <w:t>第六节股份变动及股东情况</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2"/>
        <w:spacing w:line="367" w:lineRule="exact"/>
        <w:ind w:left="533" w:right="1123"/>
        <w:jc w:val="left"/>
        <w:rPr>
          <w:b w:val="0"/>
          <w:bCs w:val="0"/>
        </w:rPr>
      </w:pPr>
      <w:r>
        <w:rPr/>
        <w:t>一、股份变动情况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left="533" w:right="112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单位：股</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129"/>
        <w:gridCol w:w="1349"/>
        <w:gridCol w:w="823"/>
        <w:gridCol w:w="824"/>
        <w:gridCol w:w="821"/>
        <w:gridCol w:w="823"/>
        <w:gridCol w:w="1030"/>
        <w:gridCol w:w="1135"/>
        <w:gridCol w:w="994"/>
        <w:gridCol w:w="708"/>
      </w:tblGrid>
      <w:tr>
        <w:trPr>
          <w:trHeight w:val="402" w:hRule="exact"/>
        </w:trPr>
        <w:tc>
          <w:tcPr>
            <w:tcW w:w="2129" w:type="dxa"/>
            <w:vMerge w:val="restart"/>
            <w:tcBorders>
              <w:top w:val="single" w:sz="4" w:space="0" w:color="000000"/>
              <w:left w:val="single" w:sz="4" w:space="0" w:color="000000"/>
              <w:right w:val="single" w:sz="4" w:space="0" w:color="000000"/>
            </w:tcBorders>
            <w:shd w:val="clear" w:color="auto" w:fill="D2D2D2"/>
          </w:tcPr>
          <w:p>
            <w:pPr/>
          </w:p>
        </w:tc>
        <w:tc>
          <w:tcPr>
            <w:tcW w:w="21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63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5" w:hRule="exact"/>
        </w:trPr>
        <w:tc>
          <w:tcPr>
            <w:tcW w:w="2129"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5"/>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164,102,059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20.61%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-115,002,960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-115,002,960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49,099,099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14,558,465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-14,558,465</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-14,558,465</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149,543,594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18.78%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-100,444,495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-100,444,495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49,099,099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6.16%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95,642,495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-95,642,495</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-95,642,495</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0"/>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53,901,099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6.77%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-4,802,000</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-4,802,000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49,099,099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6.16%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9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632,308,782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79.39%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115,002,960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115,002,960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747,311,742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93.84%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632,308,782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79.39%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115,002,960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115,002,960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747,311,742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93.84%</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796,410,841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796,410,841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left="533" w:right="1123"/>
        <w:jc w:val="left"/>
      </w:pPr>
      <w:r>
        <w:rPr/>
        <w:t>股份变动的原因</w:t>
      </w:r>
    </w:p>
    <w:p>
      <w:pPr>
        <w:pStyle w:val="BodyText"/>
        <w:spacing w:line="319" w:lineRule="auto" w:before="115"/>
        <w:ind w:left="533"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rPr>
        <w:t>1</w:t>
      </w:r>
      <w:r>
        <w:rPr/>
        <w:t>、公司非公开发行新增股份</w:t>
      </w:r>
      <w:r>
        <w:rPr>
          <w:rFonts w:ascii="Times New Roman" w:hAnsi="Times New Roman" w:cs="Times New Roman" w:eastAsia="Times New Roman" w:hint="default"/>
        </w:rPr>
        <w:t>81,326,141</w:t>
      </w:r>
      <w:r>
        <w:rPr/>
        <w:t>股于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日在深圳证券交易所上市，上述股份自上市之日起十二个月内不得 </w:t>
      </w:r>
      <w:r>
        <w:rPr>
          <w:spacing w:val="-2"/>
        </w:rPr>
        <w:t>上市交易。因上述股份限售期满，公司依据股东的锁定承诺将上述</w:t>
      </w:r>
      <w:r>
        <w:rPr>
          <w:rFonts w:ascii="Times New Roman" w:hAnsi="Times New Roman" w:cs="Times New Roman" w:eastAsia="Times New Roman" w:hint="default"/>
          <w:spacing w:val="-2"/>
        </w:rPr>
        <w:t>81,326,141</w:t>
      </w:r>
      <w:r>
        <w:rPr>
          <w:spacing w:val="-2"/>
        </w:rPr>
        <w:t>股解除限售，上市流通日为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28</w:t>
      </w:r>
      <w:r>
        <w:rPr>
          <w:spacing w:val="-2"/>
        </w:rPr>
        <w:t>日。上</w:t>
      </w:r>
    </w:p>
    <w:p>
      <w:pPr>
        <w:pStyle w:val="BodyText"/>
        <w:spacing w:line="300" w:lineRule="auto"/>
        <w:ind w:left="533" w:right="308"/>
        <w:jc w:val="left"/>
      </w:pPr>
      <w:r>
        <w:rPr/>
        <w:t>述变动导致公司有限售条件股份中的首发后限售股减少</w:t>
      </w:r>
      <w:r>
        <w:rPr>
          <w:rFonts w:ascii="Times New Roman" w:hAnsi="Times New Roman" w:cs="Times New Roman" w:eastAsia="Times New Roman" w:hint="default"/>
        </w:rPr>
        <w:t>81,326,141</w:t>
      </w:r>
      <w:r>
        <w:rPr/>
        <w:t>股，无限售流通股相应增加。 </w:t>
      </w:r>
      <w:r>
        <w:rPr>
          <w:rFonts w:ascii="Times New Roman" w:hAnsi="Times New Roman" w:cs="Times New Roman" w:eastAsia="Times New Roman" w:hint="default"/>
          <w:spacing w:val="-2"/>
        </w:rPr>
        <w:t>2</w:t>
      </w:r>
      <w:r>
        <w:rPr>
          <w:spacing w:val="-2"/>
        </w:rPr>
        <w:t>、宁波宏创通过公司发行股份及支付现金购买资产取得股份</w:t>
      </w:r>
      <w:r>
        <w:rPr>
          <w:rFonts w:ascii="Times New Roman" w:hAnsi="Times New Roman" w:cs="Times New Roman" w:eastAsia="Times New Roman" w:hint="default"/>
          <w:spacing w:val="-2"/>
        </w:rPr>
        <w:t>96,249,396</w:t>
      </w:r>
      <w:r>
        <w:rPr>
          <w:spacing w:val="-2"/>
        </w:rPr>
        <w:t>股（按</w:t>
      </w:r>
      <w:r>
        <w:rPr>
          <w:rFonts w:ascii="Times New Roman" w:hAnsi="Times New Roman" w:cs="Times New Roman" w:eastAsia="Times New Roman" w:hint="default"/>
          <w:spacing w:val="-2"/>
        </w:rPr>
        <w:t>2016</w:t>
      </w:r>
      <w:r>
        <w:rPr>
          <w:spacing w:val="-2"/>
        </w:rPr>
        <w:t>年度权益分派实施后计算），</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spacing w:val="-51"/>
        </w:rPr>
        <w:t> </w:t>
      </w:r>
      <w:r>
        <w:rPr>
          <w:spacing w:val="-2"/>
        </w:rPr>
        <w:t>公司依据宁波宏创的锁定承诺将上述股份中剩余的</w:t>
      </w:r>
      <w:r>
        <w:rPr>
          <w:rFonts w:ascii="Times New Roman" w:hAnsi="Times New Roman" w:cs="Times New Roman" w:eastAsia="Times New Roman" w:hint="default"/>
          <w:spacing w:val="-2"/>
        </w:rPr>
        <w:t>28,874,819</w:t>
      </w:r>
      <w:r>
        <w:rPr>
          <w:spacing w:val="-2"/>
        </w:rPr>
        <w:t>股解除限售，上市流通日为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22</w:t>
      </w:r>
      <w:r>
        <w:rPr>
          <w:spacing w:val="-2"/>
        </w:rPr>
        <w:t>日。上述变动导致公司</w:t>
      </w:r>
      <w:r>
        <w:rPr>
          <w:spacing w:val="-52"/>
        </w:rPr>
        <w:t> </w:t>
      </w:r>
      <w:r>
        <w:rPr>
          <w:spacing w:val="-52"/>
        </w:rPr>
      </w:r>
      <w:r>
        <w:rPr/>
        <w:t>有限售条件股份中的首发后限售股减少</w:t>
      </w:r>
      <w:r>
        <w:rPr>
          <w:rFonts w:ascii="Times New Roman" w:hAnsi="Times New Roman" w:cs="Times New Roman" w:eastAsia="Times New Roman" w:hint="default"/>
        </w:rPr>
        <w:t>28,874,819</w:t>
      </w:r>
      <w:r>
        <w:rPr/>
        <w:t>股，无限售流通股相应增加。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13</w:t>
      </w:r>
      <w:r>
        <w:rPr>
          <w:spacing w:val="-2"/>
        </w:rPr>
        <w:t>日，公司董事钟峻先生辞职生效，其股份全部锁定</w:t>
      </w:r>
      <w:r>
        <w:rPr>
          <w:rFonts w:ascii="Times New Roman" w:hAnsi="Times New Roman" w:cs="Times New Roman" w:eastAsia="Times New Roman" w:hint="default"/>
          <w:spacing w:val="-2"/>
        </w:rPr>
        <w:t>6</w:t>
      </w:r>
      <w:r>
        <w:rPr>
          <w:spacing w:val="-2"/>
        </w:rPr>
        <w:t>个月，此后于原定任期内及届满后</w:t>
      </w:r>
      <w:r>
        <w:rPr>
          <w:rFonts w:ascii="Times New Roman" w:hAnsi="Times New Roman" w:cs="Times New Roman" w:eastAsia="Times New Roman" w:hint="default"/>
          <w:spacing w:val="-2"/>
        </w:rPr>
        <w:t>6</w:t>
      </w:r>
      <w:r>
        <w:rPr>
          <w:spacing w:val="-2"/>
        </w:rPr>
        <w:t>个月内按持股总数的</w:t>
      </w:r>
    </w:p>
    <w:p>
      <w:pPr>
        <w:pStyle w:val="BodyText"/>
        <w:spacing w:line="240" w:lineRule="auto" w:before="13"/>
        <w:ind w:left="533" w:right="1123"/>
        <w:jc w:val="left"/>
      </w:pPr>
      <w:r>
        <w:rPr>
          <w:rFonts w:ascii="Times New Roman" w:hAnsi="Times New Roman" w:cs="Times New Roman" w:eastAsia="Times New Roman" w:hint="default"/>
        </w:rPr>
        <w:t>75%</w:t>
      </w:r>
      <w:r>
        <w:rPr/>
        <w:t>锁定。因上述锁定期届满，导致公司有限售条件股份中的高管锁定股减少</w:t>
      </w:r>
      <w:r>
        <w:rPr>
          <w:rFonts w:ascii="Times New Roman" w:hAnsi="Times New Roman" w:cs="Times New Roman" w:eastAsia="Times New Roman" w:hint="default"/>
        </w:rPr>
        <w:t>2,250,000</w:t>
      </w:r>
      <w:r>
        <w:rPr/>
        <w:t>股，无限售流通股相应增加。</w:t>
      </w:r>
    </w:p>
    <w:p>
      <w:pPr>
        <w:pStyle w:val="BodyText"/>
        <w:spacing w:line="240" w:lineRule="auto" w:before="62"/>
        <w:ind w:left="533" w:right="308"/>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日，公司监事吴昊先生辞职生效，其股份全部锁定</w:t>
      </w:r>
      <w:r>
        <w:rPr>
          <w:rFonts w:ascii="Times New Roman" w:hAnsi="Times New Roman" w:cs="Times New Roman" w:eastAsia="Times New Roman" w:hint="default"/>
        </w:rPr>
        <w:t>6</w:t>
      </w:r>
      <w:r>
        <w:rPr/>
        <w:t>个月，此后于原定任期内及届满后</w:t>
      </w:r>
      <w:r>
        <w:rPr>
          <w:rFonts w:ascii="Times New Roman" w:hAnsi="Times New Roman" w:cs="Times New Roman" w:eastAsia="Times New Roman" w:hint="default"/>
        </w:rPr>
        <w:t>6</w:t>
      </w:r>
      <w:r>
        <w:rPr/>
        <w:t>个月内按持股总数的</w:t>
      </w:r>
    </w:p>
    <w:p>
      <w:pPr>
        <w:spacing w:after="0" w:line="240" w:lineRule="auto"/>
        <w:jc w:val="left"/>
        <w:sectPr>
          <w:pgSz w:w="11910" w:h="16840"/>
          <w:pgMar w:header="745" w:footer="979" w:top="1060" w:bottom="1160" w:left="600" w:right="0"/>
        </w:sectPr>
      </w:pPr>
    </w:p>
    <w:p>
      <w:pPr>
        <w:spacing w:line="240" w:lineRule="auto" w:before="10"/>
        <w:rPr>
          <w:rFonts w:ascii="宋体" w:hAnsi="宋体" w:cs="宋体" w:eastAsia="宋体" w:hint="default"/>
          <w:sz w:val="25"/>
          <w:szCs w:val="25"/>
        </w:rPr>
      </w:pPr>
    </w:p>
    <w:p>
      <w:pPr>
        <w:pStyle w:val="BodyText"/>
        <w:spacing w:line="240" w:lineRule="auto" w:before="44"/>
        <w:ind w:left="393" w:right="1123"/>
        <w:jc w:val="left"/>
      </w:pPr>
      <w:r>
        <w:rPr>
          <w:rFonts w:ascii="Times New Roman" w:hAnsi="Times New Roman" w:cs="Times New Roman" w:eastAsia="Times New Roman" w:hint="default"/>
        </w:rPr>
        <w:t>75%</w:t>
      </w:r>
      <w:r>
        <w:rPr/>
        <w:t>锁定。因上述锁定期届满，导致公司有限售条件股份中的高管锁定股减少</w:t>
      </w:r>
      <w:r>
        <w:rPr>
          <w:rFonts w:ascii="Times New Roman" w:hAnsi="Times New Roman" w:cs="Times New Roman" w:eastAsia="Times New Roman" w:hint="default"/>
        </w:rPr>
        <w:t>252,000</w:t>
      </w:r>
      <w:r>
        <w:rPr/>
        <w:t>股，无限售流通股相应增加。</w:t>
      </w:r>
    </w:p>
    <w:p>
      <w:pPr>
        <w:pStyle w:val="BodyText"/>
        <w:spacing w:line="319" w:lineRule="auto" w:before="63"/>
        <w:ind w:left="393" w:right="1123"/>
        <w:jc w:val="left"/>
      </w:pP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31</w:t>
      </w:r>
      <w:r>
        <w:rPr>
          <w:spacing w:val="-2"/>
        </w:rPr>
        <w:t>日，公司董事朱祖龙先生辞职生效，其股份全部锁定</w:t>
      </w:r>
      <w:r>
        <w:rPr>
          <w:rFonts w:ascii="Times New Roman" w:hAnsi="Times New Roman" w:cs="Times New Roman" w:eastAsia="Times New Roman" w:hint="default"/>
          <w:spacing w:val="-2"/>
        </w:rPr>
        <w:t>6</w:t>
      </w:r>
      <w:r>
        <w:rPr>
          <w:spacing w:val="-2"/>
        </w:rPr>
        <w:t>个月，此后于原定任期内及届满后</w:t>
      </w:r>
      <w:r>
        <w:rPr>
          <w:rFonts w:ascii="Times New Roman" w:hAnsi="Times New Roman" w:cs="Times New Roman" w:eastAsia="Times New Roman" w:hint="default"/>
          <w:spacing w:val="-2"/>
        </w:rPr>
        <w:t>6</w:t>
      </w:r>
      <w:r>
        <w:rPr>
          <w:spacing w:val="-2"/>
        </w:rPr>
        <w:t>个月内按持股总数</w:t>
      </w:r>
      <w:r>
        <w:rPr>
          <w:spacing w:val="-56"/>
        </w:rPr>
        <w:t> </w:t>
      </w:r>
      <w:r>
        <w:rPr/>
        <w:t>的</w:t>
      </w:r>
      <w:r>
        <w:rPr>
          <w:rFonts w:ascii="Times New Roman" w:hAnsi="Times New Roman" w:cs="Times New Roman" w:eastAsia="Times New Roman" w:hint="default"/>
        </w:rPr>
        <w:t>75%</w:t>
      </w:r>
      <w:r>
        <w:rPr/>
        <w:t>锁定。因上述锁定期届满，导致公司有限售条件股份中的高管锁定股减少</w:t>
      </w:r>
      <w:r>
        <w:rPr>
          <w:rFonts w:ascii="Times New Roman" w:hAnsi="Times New Roman" w:cs="Times New Roman" w:eastAsia="Times New Roman" w:hint="default"/>
        </w:rPr>
        <w:t>2,300,000</w:t>
      </w:r>
      <w:r>
        <w:rPr/>
        <w:t>股，无限售流通股相应增加。 股份变动的批准情况</w:t>
      </w:r>
    </w:p>
    <w:p>
      <w:pPr>
        <w:pStyle w:val="BodyText"/>
        <w:spacing w:line="340" w:lineRule="auto" w:before="55"/>
        <w:ind w:left="393"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38" w:lineRule="auto" w:before="41"/>
        <w:ind w:left="393"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319" w:lineRule="auto" w:before="43"/>
        <w:ind w:left="393"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14</w:t>
      </w:r>
      <w:r>
        <w:rPr>
          <w:spacing w:val="-2"/>
        </w:rPr>
        <w:t>日召开第五届董事第四十次会议、第五届监事会第二十三次会议，于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12</w:t>
      </w:r>
      <w:r>
        <w:rPr>
          <w:spacing w:val="-2"/>
        </w:rPr>
        <w:t>日召开</w:t>
      </w:r>
      <w:r>
        <w:rPr>
          <w:rFonts w:ascii="Times New Roman" w:hAnsi="Times New Roman" w:cs="Times New Roman" w:eastAsia="Times New Roman" w:hint="default"/>
          <w:spacing w:val="-2"/>
        </w:rPr>
        <w:t>2018</w:t>
      </w:r>
      <w:r>
        <w:rPr>
          <w:spacing w:val="-2"/>
        </w:rPr>
        <w:t>年第四次</w:t>
      </w:r>
      <w:r>
        <w:rPr>
          <w:spacing w:val="-52"/>
        </w:rPr>
        <w:t> </w:t>
      </w:r>
      <w:r>
        <w:rPr>
          <w:spacing w:val="-52"/>
        </w:rPr>
      </w:r>
      <w:r>
        <w:rPr>
          <w:spacing w:val="-2"/>
        </w:rPr>
        <w:t>临时股东大会，审议通过了《关于回购公司股份预案的议案》及《关于提请股东大会授权董事会全权办理本次回购股份工作</w:t>
      </w:r>
    </w:p>
    <w:p>
      <w:pPr>
        <w:pStyle w:val="BodyText"/>
        <w:spacing w:line="307" w:lineRule="auto" w:before="17"/>
        <w:ind w:left="393" w:right="1123"/>
        <w:jc w:val="left"/>
      </w:pPr>
      <w:r>
        <w:rPr>
          <w:spacing w:val="-2"/>
        </w:rPr>
        <w:t>相关事宜的议案》等相关议案。依据《深圳证券交易所上市公司回购股份实施细则》的规定，公司于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w:t>
      </w:r>
      <w:r>
        <w:rPr>
          <w:spacing w:val="-2"/>
        </w:rPr>
        <w:t>日召开第五</w:t>
      </w:r>
      <w:r>
        <w:rPr>
          <w:spacing w:val="-62"/>
        </w:rPr>
        <w:t> </w:t>
      </w:r>
      <w:r>
        <w:rPr>
          <w:spacing w:val="-62"/>
        </w:rPr>
      </w:r>
      <w:r>
        <w:rPr>
          <w:spacing w:val="-2"/>
        </w:rPr>
        <w:t>届董事会第四十四次会议审议通过了《关于确定回购公司股份用途的议案》，明确了回购公司股份的具体用途。为进一步完</w:t>
      </w:r>
      <w:r>
        <w:rPr>
          <w:spacing w:val="-64"/>
        </w:rPr>
        <w:t> </w:t>
      </w:r>
      <w:r>
        <w:rPr>
          <w:spacing w:val="-64"/>
        </w:rPr>
      </w:r>
      <w:r>
        <w:rPr>
          <w:spacing w:val="-2"/>
        </w:rPr>
        <w:t>善公司长效激励机制，充分调动中高级管理人员、核心及骨干人员的积极性，有效地将股东利益、公司利益和核心团队个人</w:t>
      </w:r>
      <w:r>
        <w:rPr>
          <w:spacing w:val="-65"/>
        </w:rPr>
        <w:t> </w:t>
      </w:r>
      <w:r>
        <w:rPr>
          <w:spacing w:val="-65"/>
        </w:rPr>
      </w:r>
      <w:r>
        <w:rPr>
          <w:spacing w:val="-2"/>
        </w:rPr>
        <w:t>利益结合在一起，推动公司的长远发展，公司决定以自有资金通过二级市场以集中竞价交易方式回购部分社会公众股的股份</w:t>
      </w:r>
      <w:r>
        <w:rPr>
          <w:spacing w:val="-64"/>
        </w:rPr>
        <w:t> </w:t>
      </w:r>
      <w:r>
        <w:rPr>
          <w:spacing w:val="-64"/>
        </w:rPr>
      </w:r>
      <w:r>
        <w:rPr/>
        <w:t>全部用于实施股权激励。本次回购股份拟使用的资金总额为不低于人民币</w:t>
      </w:r>
      <w:r>
        <w:rPr>
          <w:rFonts w:ascii="Times New Roman" w:hAnsi="Times New Roman" w:cs="Times New Roman" w:eastAsia="Times New Roman" w:hint="default"/>
        </w:rPr>
        <w:t>15,000</w:t>
      </w:r>
      <w:r>
        <w:rPr/>
        <w:t>万元（含）且不超过</w:t>
      </w:r>
      <w:r>
        <w:rPr>
          <w:rFonts w:ascii="Times New Roman" w:hAnsi="Times New Roman" w:cs="Times New Roman" w:eastAsia="Times New Roman" w:hint="default"/>
        </w:rPr>
        <w:t>30,000</w:t>
      </w:r>
      <w:r>
        <w:rPr/>
        <w:t>万元（含），回 购股份的价格不超过（含）人民币</w:t>
      </w:r>
      <w:r>
        <w:rPr>
          <w:rFonts w:ascii="Times New Roman" w:hAnsi="Times New Roman" w:cs="Times New Roman" w:eastAsia="Times New Roman" w:hint="default"/>
        </w:rPr>
        <w:t>11.50</w:t>
      </w:r>
      <w:r>
        <w:rPr/>
        <w:t>元</w:t>
      </w:r>
      <w:r>
        <w:rPr>
          <w:rFonts w:ascii="Times New Roman" w:hAnsi="Times New Roman" w:cs="Times New Roman" w:eastAsia="Times New Roman" w:hint="default"/>
        </w:rPr>
        <w:t>/</w:t>
      </w:r>
      <w:r>
        <w:rPr/>
        <w:t>股。本次回购股份期限为自股东大会审议通过回购股份方案之日起</w:t>
      </w:r>
      <w:r>
        <w:rPr>
          <w:rFonts w:ascii="Times New Roman" w:hAnsi="Times New Roman" w:cs="Times New Roman" w:eastAsia="Times New Roman" w:hint="default"/>
        </w:rPr>
        <w:t>6</w:t>
      </w:r>
      <w:r>
        <w:rPr/>
        <w:t>个月内。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日，公司本次回购股份的实施期限届满，本次回购股份方案已实施完毕。公司通过股份回购专用证券账户 </w:t>
      </w:r>
      <w:r>
        <w:rPr>
          <w:spacing w:val="-1"/>
        </w:rPr>
        <w:t>以集中竞价交易方式累计回购股份数量为</w:t>
      </w:r>
      <w:r>
        <w:rPr>
          <w:rFonts w:ascii="Times New Roman" w:hAnsi="Times New Roman" w:cs="Times New Roman" w:eastAsia="Times New Roman" w:hint="default"/>
          <w:spacing w:val="-1"/>
        </w:rPr>
        <w:t>16,486,289</w:t>
      </w:r>
      <w:r>
        <w:rPr>
          <w:spacing w:val="-1"/>
        </w:rPr>
        <w:t>股，占公司目前总股本的</w:t>
      </w:r>
      <w:r>
        <w:rPr>
          <w:rFonts w:ascii="Times New Roman" w:hAnsi="Times New Roman" w:cs="Times New Roman" w:eastAsia="Times New Roman" w:hint="default"/>
          <w:spacing w:val="-1"/>
        </w:rPr>
        <w:t>2.07%</w:t>
      </w:r>
      <w:r>
        <w:rPr>
          <w:spacing w:val="-1"/>
        </w:rPr>
        <w:t>，最高成交价为</w:t>
      </w:r>
      <w:r>
        <w:rPr>
          <w:rFonts w:ascii="Times New Roman" w:hAnsi="Times New Roman" w:cs="Times New Roman" w:eastAsia="Times New Roman" w:hint="default"/>
          <w:spacing w:val="-1"/>
        </w:rPr>
        <w:t>10.42</w:t>
      </w:r>
      <w:r>
        <w:rPr>
          <w:spacing w:val="-1"/>
        </w:rPr>
        <w:t>元</w:t>
      </w:r>
      <w:r>
        <w:rPr>
          <w:rFonts w:ascii="Times New Roman" w:hAnsi="Times New Roman" w:cs="Times New Roman" w:eastAsia="Times New Roman" w:hint="default"/>
          <w:spacing w:val="-1"/>
        </w:rPr>
        <w:t>/</w:t>
      </w:r>
      <w:r>
        <w:rPr>
          <w:spacing w:val="-1"/>
        </w:rPr>
        <w:t>股，最低成交价</w:t>
      </w:r>
      <w:r>
        <w:rPr>
          <w:spacing w:val="-41"/>
        </w:rPr>
        <w:t> </w:t>
      </w:r>
      <w:r>
        <w:rPr>
          <w:spacing w:val="-41"/>
        </w:rPr>
      </w:r>
      <w:r>
        <w:rPr/>
        <w:t>为</w:t>
      </w:r>
      <w:r>
        <w:rPr>
          <w:rFonts w:ascii="Times New Roman" w:hAnsi="Times New Roman" w:cs="Times New Roman" w:eastAsia="Times New Roman" w:hint="default"/>
        </w:rPr>
        <w:t>9.04</w:t>
      </w:r>
      <w:r>
        <w:rPr/>
        <w:t>元</w:t>
      </w:r>
      <w:r>
        <w:rPr>
          <w:rFonts w:ascii="Times New Roman" w:hAnsi="Times New Roman" w:cs="Times New Roman" w:eastAsia="Times New Roman" w:hint="default"/>
        </w:rPr>
        <w:t>/</w:t>
      </w:r>
      <w:r>
        <w:rPr/>
        <w:t>股，成交总金额</w:t>
      </w:r>
      <w:r>
        <w:rPr>
          <w:rFonts w:ascii="Times New Roman" w:hAnsi="Times New Roman" w:cs="Times New Roman" w:eastAsia="Times New Roman" w:hint="default"/>
        </w:rPr>
        <w:t>162,744,801.00</w:t>
      </w:r>
      <w:r>
        <w:rPr/>
        <w:t>元（不含交易费用）。</w:t>
      </w:r>
    </w:p>
    <w:p>
      <w:pPr>
        <w:pStyle w:val="BodyText"/>
        <w:spacing w:line="360" w:lineRule="auto" w:before="7"/>
        <w:ind w:left="393" w:right="6973"/>
        <w:jc w:val="left"/>
      </w:pPr>
      <w:r>
        <w:rPr/>
        <w:t>上述回购符合公司已披露的回购公司股份方案。 采用集中竞价方式减持回购股份的实施进展情况</w:t>
      </w:r>
    </w:p>
    <w:p>
      <w:pPr>
        <w:pStyle w:val="BodyText"/>
        <w:spacing w:line="340" w:lineRule="auto" w:before="25"/>
        <w:ind w:left="393"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40" w:lineRule="auto" w:before="39"/>
        <w:ind w:left="39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41"/>
        <w:ind w:left="393"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left="393" w:right="112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393"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0"/>
        <w:jc w:val="right"/>
      </w:pPr>
      <w:r>
        <w:rPr/>
        <w:t>单位：股</w:t>
      </w:r>
    </w:p>
    <w:p>
      <w:pPr>
        <w:spacing w:line="240" w:lineRule="auto" w:before="5"/>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2268"/>
        <w:gridCol w:w="1136"/>
        <w:gridCol w:w="1416"/>
        <w:gridCol w:w="1277"/>
        <w:gridCol w:w="1347"/>
        <w:gridCol w:w="1202"/>
        <w:gridCol w:w="1704"/>
      </w:tblGrid>
      <w:tr>
        <w:trPr>
          <w:trHeight w:val="75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473" w:right="110"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523" w:right="161"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453" w:right="91"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33,181,549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33,181,549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8"/>
              <w:jc w:val="left"/>
              <w:rPr>
                <w:rFonts w:ascii="宋体" w:hAnsi="宋体" w:cs="宋体" w:eastAsia="宋体" w:hint="default"/>
                <w:sz w:val="18"/>
                <w:szCs w:val="18"/>
              </w:rPr>
            </w:pPr>
            <w:r>
              <w:rPr>
                <w:rFonts w:ascii="宋体" w:hAnsi="宋体" w:cs="宋体" w:eastAsia="宋体" w:hint="default"/>
                <w:sz w:val="18"/>
                <w:szCs w:val="18"/>
              </w:rPr>
              <w:t>高管锁定股每年按持 股总数的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15,688,500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15,688,500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8"/>
              <w:jc w:val="left"/>
              <w:rPr>
                <w:rFonts w:ascii="宋体" w:hAnsi="宋体" w:cs="宋体" w:eastAsia="宋体" w:hint="default"/>
                <w:sz w:val="18"/>
                <w:szCs w:val="18"/>
              </w:rPr>
            </w:pPr>
            <w:r>
              <w:rPr>
                <w:rFonts w:ascii="宋体" w:hAnsi="宋体" w:cs="宋体" w:eastAsia="宋体" w:hint="default"/>
                <w:sz w:val="18"/>
                <w:szCs w:val="18"/>
              </w:rPr>
              <w:t>高管锁定股每年按持 股总数的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王媛媛</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16,050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48"/>
              <w:jc w:val="left"/>
              <w:rPr>
                <w:rFonts w:ascii="宋体" w:hAnsi="宋体" w:cs="宋体" w:eastAsia="宋体" w:hint="default"/>
                <w:sz w:val="18"/>
                <w:szCs w:val="18"/>
              </w:rPr>
            </w:pPr>
            <w:r>
              <w:rPr>
                <w:rFonts w:ascii="宋体" w:hAnsi="宋体" w:cs="宋体" w:eastAsia="宋体" w:hint="default"/>
                <w:sz w:val="18"/>
                <w:szCs w:val="18"/>
              </w:rPr>
              <w:t>高管锁定股每年按持 股总数的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邵峰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4"/>
              <w:jc w:val="center"/>
              <w:rPr>
                <w:rFonts w:ascii="宋体" w:hAnsi="宋体" w:cs="宋体" w:eastAsia="宋体" w:hint="default"/>
                <w:sz w:val="18"/>
                <w:szCs w:val="18"/>
              </w:rPr>
            </w:pPr>
            <w:r>
              <w:rPr>
                <w:rFonts w:ascii="宋体" w:hAnsi="宋体" w:cs="宋体" w:eastAsia="宋体" w:hint="default"/>
                <w:sz w:val="18"/>
                <w:szCs w:val="18"/>
              </w:rPr>
              <w:t>高管锁定股每年按持</w:t>
            </w:r>
          </w:p>
        </w:tc>
      </w:tr>
    </w:tbl>
    <w:p>
      <w:pPr>
        <w:spacing w:after="0" w:line="240" w:lineRule="auto"/>
        <w:jc w:val="center"/>
        <w:rPr>
          <w:rFonts w:ascii="宋体" w:hAnsi="宋体" w:cs="宋体" w:eastAsia="宋体" w:hint="default"/>
          <w:sz w:val="18"/>
          <w:szCs w:val="18"/>
        </w:rPr>
        <w:sectPr>
          <w:pgSz w:w="11910" w:h="16840"/>
          <w:pgMar w:header="745" w:footer="979" w:top="1060" w:bottom="1160" w:left="740" w:right="0"/>
        </w:sectPr>
      </w:pPr>
    </w:p>
    <w:p>
      <w:pPr>
        <w:spacing w:line="240" w:lineRule="auto" w:before="6"/>
        <w:rPr>
          <w:rFonts w:ascii="宋体" w:hAnsi="宋体" w:cs="宋体" w:eastAsia="宋体" w:hint="default"/>
          <w:sz w:val="28"/>
          <w:szCs w:val="28"/>
        </w:rPr>
      </w:pPr>
    </w:p>
    <w:tbl>
      <w:tblPr>
        <w:tblW w:w="0" w:type="auto"/>
        <w:jc w:val="left"/>
        <w:tblInd w:w="384" w:type="dxa"/>
        <w:tblLayout w:type="fixed"/>
        <w:tblCellMar>
          <w:top w:w="0" w:type="dxa"/>
          <w:left w:w="0" w:type="dxa"/>
          <w:bottom w:w="0" w:type="dxa"/>
          <w:right w:w="0" w:type="dxa"/>
        </w:tblCellMar>
        <w:tblLook w:val="01E0"/>
      </w:tblPr>
      <w:tblGrid>
        <w:gridCol w:w="2268"/>
        <w:gridCol w:w="1136"/>
        <w:gridCol w:w="1416"/>
        <w:gridCol w:w="1277"/>
        <w:gridCol w:w="1347"/>
        <w:gridCol w:w="1202"/>
        <w:gridCol w:w="1704"/>
      </w:tblGrid>
      <w:tr>
        <w:trPr>
          <w:trHeight w:val="363" w:hRule="exact"/>
        </w:trPr>
        <w:tc>
          <w:tcPr>
            <w:tcW w:w="226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吴昊</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宁波宏创股权投资合伙企业</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28,874,819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28,874,819</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浙江浙商产融控股有限公司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15,151,515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15,151,515</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申万宏源证券有限公司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14,558,465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14,558,465</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财通基金－工商银行－投乐 定增</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15,252,525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15,252,525</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1027"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泰达宏利基金－平安银行－ 厦门信托－厦门信托－财富 共赢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号单一资金信托</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36,363,636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36,363,636</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164,102,059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115,002,960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49,099,099</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367" w:lineRule="exact"/>
        <w:ind w:left="673" w:right="0"/>
        <w:jc w:val="left"/>
        <w:rPr>
          <w:b w:val="0"/>
          <w:bCs w:val="0"/>
        </w:rPr>
      </w:pPr>
      <w:r>
        <w:rPr/>
        <w:t>二、证券发行与上市情况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left="673"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6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20"/>
          <w:szCs w:val="20"/>
        </w:rPr>
      </w:pPr>
    </w:p>
    <w:p>
      <w:pPr>
        <w:pStyle w:val="Heading3"/>
        <w:spacing w:line="240" w:lineRule="auto"/>
        <w:ind w:left="673"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6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left="673"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6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left="673" w:right="0"/>
        <w:jc w:val="left"/>
        <w:rPr>
          <w:b w:val="0"/>
          <w:bCs w:val="0"/>
        </w:rPr>
      </w:pPr>
      <w:r>
        <w:rPr/>
        <w:t>三、股东和实际控制人情况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left="673"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单位：股</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1767"/>
        <w:gridCol w:w="1211"/>
        <w:gridCol w:w="916"/>
        <w:gridCol w:w="1065"/>
        <w:gridCol w:w="1139"/>
        <w:gridCol w:w="1004"/>
        <w:gridCol w:w="2246"/>
        <w:gridCol w:w="1146"/>
      </w:tblGrid>
      <w:tr>
        <w:trPr>
          <w:trHeight w:val="317" w:hRule="exact"/>
        </w:trPr>
        <w:tc>
          <w:tcPr>
            <w:tcW w:w="17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11"/>
              <w:jc w:val="left"/>
              <w:rPr>
                <w:rFonts w:ascii="宋体" w:hAnsi="宋体" w:cs="宋体" w:eastAsia="宋体" w:hint="default"/>
                <w:sz w:val="18"/>
                <w:szCs w:val="18"/>
              </w:rPr>
            </w:pPr>
            <w:r>
              <w:rPr>
                <w:rFonts w:ascii="宋体" w:hAnsi="宋体" w:cs="宋体" w:eastAsia="宋体" w:hint="default"/>
                <w:sz w:val="18"/>
                <w:szCs w:val="18"/>
              </w:rPr>
              <w:t>报告期末普通股股东 总数</w:t>
            </w:r>
          </w:p>
        </w:tc>
        <w:tc>
          <w:tcPr>
            <w:tcW w:w="12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83" w:right="0"/>
              <w:jc w:val="left"/>
              <w:rPr>
                <w:rFonts w:ascii="Times New Roman" w:hAnsi="Times New Roman" w:cs="Times New Roman" w:eastAsia="Times New Roman" w:hint="default"/>
                <w:sz w:val="18"/>
                <w:szCs w:val="18"/>
              </w:rPr>
            </w:pPr>
            <w:r>
              <w:rPr>
                <w:rFonts w:ascii="Times New Roman"/>
                <w:sz w:val="18"/>
              </w:rPr>
              <w:t>61,364</w:t>
            </w:r>
          </w:p>
        </w:tc>
        <w:tc>
          <w:tcPr>
            <w:tcW w:w="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161"/>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54,379</w:t>
            </w:r>
          </w:p>
        </w:tc>
        <w:tc>
          <w:tcPr>
            <w:tcW w:w="11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24"/>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22" w:right="22"/>
              <w:jc w:val="both"/>
              <w:rPr>
                <w:rFonts w:ascii="宋体" w:hAnsi="宋体" w:cs="宋体" w:eastAsia="宋体" w:hint="default"/>
                <w:sz w:val="18"/>
                <w:szCs w:val="18"/>
              </w:rPr>
            </w:pPr>
            <w:r>
              <w:rPr>
                <w:rFonts w:ascii="宋体" w:hAnsi="宋体" w:cs="宋体" w:eastAsia="宋体" w:hint="default"/>
                <w:spacing w:val="-26"/>
                <w:sz w:val="18"/>
                <w:szCs w:val="18"/>
              </w:rPr>
              <w:t>（如有）（参见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0</w:t>
            </w:r>
          </w:p>
        </w:tc>
        <w:tc>
          <w:tcPr>
            <w:tcW w:w="22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18" w:hRule="exact"/>
        </w:trPr>
        <w:tc>
          <w:tcPr>
            <w:tcW w:w="1767" w:type="dxa"/>
            <w:vMerge/>
            <w:tcBorders>
              <w:left w:val="single" w:sz="4" w:space="0" w:color="000000"/>
              <w:right w:val="single" w:sz="4" w:space="0" w:color="000000"/>
            </w:tcBorders>
            <w:shd w:val="clear" w:color="auto" w:fill="D2D2D2"/>
          </w:tcPr>
          <w:p>
            <w:pPr/>
          </w:p>
        </w:tc>
        <w:tc>
          <w:tcPr>
            <w:tcW w:w="1211" w:type="dxa"/>
            <w:vMerge/>
            <w:tcBorders>
              <w:left w:val="single" w:sz="4" w:space="0" w:color="000000"/>
              <w:right w:val="single" w:sz="4" w:space="0" w:color="000000"/>
            </w:tcBorders>
          </w:tcPr>
          <w:p>
            <w:pPr/>
          </w:p>
        </w:tc>
        <w:tc>
          <w:tcPr>
            <w:tcW w:w="916" w:type="dxa"/>
            <w:vMerge/>
            <w:tcBorders>
              <w:left w:val="single" w:sz="4" w:space="0" w:color="000000"/>
              <w:right w:val="single" w:sz="4" w:space="0" w:color="000000"/>
            </w:tcBorders>
            <w:shd w:val="clear" w:color="auto" w:fill="D2D2D2"/>
          </w:tcPr>
          <w:p>
            <w:pPr/>
          </w:p>
        </w:tc>
        <w:tc>
          <w:tcPr>
            <w:tcW w:w="1065" w:type="dxa"/>
            <w:vMerge/>
            <w:tcBorders>
              <w:left w:val="single" w:sz="4" w:space="0" w:color="000000"/>
              <w:right w:val="single" w:sz="4" w:space="0" w:color="000000"/>
            </w:tcBorders>
          </w:tcPr>
          <w:p>
            <w:pPr/>
          </w:p>
        </w:tc>
        <w:tc>
          <w:tcPr>
            <w:tcW w:w="1139" w:type="dxa"/>
            <w:vMerge/>
            <w:tcBorders>
              <w:left w:val="single" w:sz="4" w:space="0" w:color="000000"/>
              <w:right w:val="single" w:sz="4" w:space="0" w:color="000000"/>
            </w:tcBorders>
            <w:shd w:val="clear" w:color="auto" w:fill="D2D2D2"/>
          </w:tcPr>
          <w:p>
            <w:pPr/>
          </w:p>
        </w:tc>
        <w:tc>
          <w:tcPr>
            <w:tcW w:w="1004" w:type="dxa"/>
            <w:vMerge/>
            <w:tcBorders>
              <w:left w:val="single" w:sz="4" w:space="0" w:color="000000"/>
              <w:right w:val="single" w:sz="4" w:space="0" w:color="000000"/>
            </w:tcBorders>
          </w:tcPr>
          <w:p>
            <w:pPr/>
          </w:p>
        </w:tc>
        <w:tc>
          <w:tcPr>
            <w:tcW w:w="22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63"/>
              <w:jc w:val="both"/>
              <w:rPr>
                <w:rFonts w:ascii="宋体" w:hAnsi="宋体" w:cs="宋体" w:eastAsia="宋体" w:hint="default"/>
                <w:sz w:val="18"/>
                <w:szCs w:val="18"/>
              </w:rPr>
            </w:pPr>
            <w:r>
              <w:rPr>
                <w:rFonts w:ascii="宋体" w:hAnsi="宋体" w:cs="宋体" w:eastAsia="宋体" w:hint="default"/>
                <w:sz w:val="18"/>
                <w:szCs w:val="18"/>
              </w:rPr>
              <w:t>年度报告披露日前上一月末 表决权恢复的优先股股东总 </w:t>
            </w:r>
            <w:r>
              <w:rPr>
                <w:rFonts w:ascii="宋体" w:hAnsi="宋体" w:cs="宋体" w:eastAsia="宋体" w:hint="default"/>
                <w:spacing w:val="-11"/>
                <w:sz w:val="18"/>
                <w:szCs w:val="18"/>
              </w:rPr>
              <w:t>数（如有）（参见注</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46" w:type="dxa"/>
            <w:vMerge/>
            <w:tcBorders>
              <w:left w:val="single" w:sz="4" w:space="0" w:color="000000"/>
              <w:right w:val="single" w:sz="4" w:space="0" w:color="000000"/>
            </w:tcBorders>
          </w:tcPr>
          <w:p>
            <w:pPr/>
          </w:p>
        </w:tc>
      </w:tr>
      <w:tr>
        <w:trPr>
          <w:trHeight w:val="322" w:hRule="exact"/>
        </w:trPr>
        <w:tc>
          <w:tcPr>
            <w:tcW w:w="1767" w:type="dxa"/>
            <w:vMerge/>
            <w:tcBorders>
              <w:left w:val="single" w:sz="4" w:space="0" w:color="000000"/>
              <w:bottom w:val="single" w:sz="4" w:space="0" w:color="000000"/>
              <w:right w:val="single" w:sz="4" w:space="0" w:color="000000"/>
            </w:tcBorders>
            <w:shd w:val="clear" w:color="auto" w:fill="D2D2D2"/>
          </w:tcPr>
          <w:p>
            <w:pPr/>
          </w:p>
        </w:tc>
        <w:tc>
          <w:tcPr>
            <w:tcW w:w="1211" w:type="dxa"/>
            <w:vMerge/>
            <w:tcBorders>
              <w:left w:val="single" w:sz="4" w:space="0" w:color="000000"/>
              <w:bottom w:val="single" w:sz="4" w:space="0" w:color="000000"/>
              <w:right w:val="single" w:sz="4" w:space="0" w:color="000000"/>
            </w:tcBorders>
          </w:tcPr>
          <w:p>
            <w:pPr/>
          </w:p>
        </w:tc>
        <w:tc>
          <w:tcPr>
            <w:tcW w:w="916" w:type="dxa"/>
            <w:vMerge/>
            <w:tcBorders>
              <w:left w:val="single" w:sz="4" w:space="0" w:color="000000"/>
              <w:bottom w:val="single" w:sz="4" w:space="0" w:color="000000"/>
              <w:right w:val="single" w:sz="4" w:space="0" w:color="000000"/>
            </w:tcBorders>
            <w:shd w:val="clear" w:color="auto" w:fill="D2D2D2"/>
          </w:tcPr>
          <w:p>
            <w:pPr/>
          </w:p>
        </w:tc>
        <w:tc>
          <w:tcPr>
            <w:tcW w:w="1065" w:type="dxa"/>
            <w:vMerge/>
            <w:tcBorders>
              <w:left w:val="single" w:sz="4" w:space="0" w:color="000000"/>
              <w:bottom w:val="single" w:sz="4" w:space="0" w:color="000000"/>
              <w:right w:val="single" w:sz="4" w:space="0" w:color="000000"/>
            </w:tcBorders>
          </w:tcPr>
          <w:p>
            <w:pPr/>
          </w:p>
        </w:tc>
        <w:tc>
          <w:tcPr>
            <w:tcW w:w="1139" w:type="dxa"/>
            <w:vMerge/>
            <w:tcBorders>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tcPr>
          <w:p>
            <w:pPr/>
          </w:p>
        </w:tc>
        <w:tc>
          <w:tcPr>
            <w:tcW w:w="22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6" w:type="dxa"/>
            <w:vMerge/>
            <w:tcBorders>
              <w:left w:val="single" w:sz="4" w:space="0" w:color="000000"/>
              <w:bottom w:val="single" w:sz="4" w:space="0" w:color="000000"/>
              <w:right w:val="single" w:sz="4" w:space="0" w:color="000000"/>
            </w:tcBorders>
          </w:tcPr>
          <w:p>
            <w:pPr/>
          </w:p>
        </w:tc>
      </w:tr>
      <w:tr>
        <w:trPr>
          <w:trHeight w:val="396" w:hRule="exact"/>
        </w:trPr>
        <w:tc>
          <w:tcPr>
            <w:tcW w:w="1049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bl>
    <w:p>
      <w:pPr>
        <w:spacing w:after="0" w:line="240" w:lineRule="auto"/>
        <w:jc w:val="center"/>
        <w:rPr>
          <w:rFonts w:ascii="宋体" w:hAnsi="宋体" w:cs="宋体" w:eastAsia="宋体" w:hint="default"/>
          <w:sz w:val="18"/>
          <w:szCs w:val="18"/>
        </w:rPr>
        <w:sectPr>
          <w:pgSz w:w="11910" w:h="16840"/>
          <w:pgMar w:header="745" w:footer="979" w:top="1060" w:bottom="1160" w:left="4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767"/>
        <w:gridCol w:w="1210"/>
        <w:gridCol w:w="917"/>
        <w:gridCol w:w="1064"/>
        <w:gridCol w:w="1140"/>
        <w:gridCol w:w="992"/>
        <w:gridCol w:w="991"/>
        <w:gridCol w:w="1277"/>
        <w:gridCol w:w="1135"/>
      </w:tblGrid>
      <w:tr>
        <w:trPr>
          <w:trHeight w:val="402" w:hRule="exact"/>
        </w:trPr>
        <w:tc>
          <w:tcPr>
            <w:tcW w:w="17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51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9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03" w:right="24" w:hanging="180"/>
              <w:jc w:val="left"/>
              <w:rPr>
                <w:rFonts w:ascii="宋体" w:hAnsi="宋体" w:cs="宋体" w:eastAsia="宋体" w:hint="default"/>
                <w:sz w:val="18"/>
                <w:szCs w:val="18"/>
              </w:rPr>
            </w:pPr>
            <w:r>
              <w:rPr>
                <w:rFonts w:ascii="宋体" w:hAnsi="宋体" w:cs="宋体" w:eastAsia="宋体" w:hint="default"/>
                <w:sz w:val="18"/>
                <w:szCs w:val="18"/>
              </w:rPr>
              <w:t>报告期内增减 变动情况</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0" w:right="39"/>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0" w:right="3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4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3" w:hRule="exact"/>
        </w:trPr>
        <w:tc>
          <w:tcPr>
            <w:tcW w:w="1767" w:type="dxa"/>
            <w:vMerge/>
            <w:tcBorders>
              <w:left w:val="single" w:sz="4" w:space="0" w:color="000000"/>
              <w:bottom w:val="single" w:sz="4" w:space="0" w:color="000000"/>
              <w:right w:val="single" w:sz="4" w:space="0" w:color="000000"/>
            </w:tcBorders>
            <w:shd w:val="clear" w:color="auto" w:fill="D2D2D2"/>
          </w:tcPr>
          <w:p>
            <w:pPr/>
          </w:p>
        </w:tc>
        <w:tc>
          <w:tcPr>
            <w:tcW w:w="1210"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40"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76"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1"/>
              <w:jc w:val="left"/>
              <w:rPr>
                <w:rFonts w:ascii="宋体" w:hAnsi="宋体" w:cs="宋体" w:eastAsia="宋体" w:hint="default"/>
                <w:sz w:val="18"/>
                <w:szCs w:val="18"/>
              </w:rPr>
            </w:pPr>
            <w:r>
              <w:rPr>
                <w:rFonts w:ascii="宋体" w:hAnsi="宋体" w:cs="宋体" w:eastAsia="宋体" w:hint="default"/>
                <w:sz w:val="18"/>
                <w:szCs w:val="18"/>
              </w:rPr>
              <w:t>江苏润和科技投资集 团有限公司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92"/>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11.46%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91,297,685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-48,374,998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91,297,685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82,075,002</w:t>
            </w:r>
          </w:p>
        </w:tc>
      </w:tr>
      <w:tr>
        <w:trPr>
          <w:trHeight w:val="713"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上海云鑫创业投资有 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2"/>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40,220,000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40,220,000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1"/>
              <w:jc w:val="left"/>
              <w:rPr>
                <w:rFonts w:ascii="宋体" w:hAnsi="宋体" w:cs="宋体" w:eastAsia="宋体" w:hint="default"/>
                <w:sz w:val="18"/>
                <w:szCs w:val="18"/>
              </w:rPr>
            </w:pPr>
            <w:r>
              <w:rPr>
                <w:rFonts w:ascii="宋体" w:hAnsi="宋体" w:cs="宋体" w:eastAsia="宋体" w:hint="default"/>
                <w:sz w:val="18"/>
                <w:szCs w:val="18"/>
              </w:rPr>
              <w:t>南京国资混改基金有 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服务贸易创新发展引 导基金（有限合伙）</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92"/>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4.17%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33,242,066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-11,000,000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33,181,549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60,517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33,000,000</w:t>
            </w:r>
          </w:p>
        </w:tc>
      </w:tr>
      <w:tr>
        <w:trPr>
          <w:trHeight w:val="713"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宁波宏创股权投资合 伙企业（有限合伙）</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2"/>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20,017,200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-60,332,196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20,017,200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1339"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62"/>
              <w:jc w:val="both"/>
              <w:rPr>
                <w:rFonts w:ascii="宋体" w:hAnsi="宋体" w:cs="宋体" w:eastAsia="宋体" w:hint="default"/>
                <w:sz w:val="18"/>
                <w:szCs w:val="18"/>
              </w:rPr>
            </w:pPr>
            <w:r>
              <w:rPr>
                <w:rFonts w:ascii="宋体" w:hAnsi="宋体" w:cs="宋体" w:eastAsia="宋体" w:hint="default"/>
                <w:sz w:val="18"/>
                <w:szCs w:val="18"/>
              </w:rPr>
              <w:t>泰达宏利基金－平安 银行－厦门信托－厦 门信托－财富共赢</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号单一资金信托</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2.30%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18,281,829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-18,081,807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18,281,829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15,918,000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15,688,500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w:t>
            </w:r>
          </w:p>
        </w:tc>
      </w:tr>
      <w:tr>
        <w:trPr>
          <w:trHeight w:val="716"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left"/>
              <w:rPr>
                <w:rFonts w:ascii="宋体" w:hAnsi="宋体" w:cs="宋体" w:eastAsia="宋体" w:hint="default"/>
                <w:sz w:val="18"/>
                <w:szCs w:val="18"/>
              </w:rPr>
            </w:pPr>
            <w:r>
              <w:rPr>
                <w:rFonts w:ascii="宋体" w:hAnsi="宋体" w:cs="宋体" w:eastAsia="宋体" w:hint="default"/>
                <w:sz w:val="18"/>
                <w:szCs w:val="18"/>
              </w:rPr>
              <w:t>香港中央结算有限公 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13,381,875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11,797,125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13,381,875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中国国际金融股份有 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9,517,069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9,517,069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9,517,069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3" w:right="60"/>
              <w:jc w:val="both"/>
              <w:rPr>
                <w:rFonts w:ascii="宋体" w:hAnsi="宋体" w:cs="宋体" w:eastAsia="宋体" w:hint="default"/>
                <w:sz w:val="18"/>
                <w:szCs w:val="18"/>
              </w:rPr>
            </w:pPr>
            <w:r>
              <w:rPr>
                <w:rFonts w:ascii="宋体" w:hAnsi="宋体" w:cs="宋体" w:eastAsia="宋体" w:hint="default"/>
                <w:sz w:val="18"/>
                <w:szCs w:val="18"/>
              </w:rPr>
              <w:t>战略投资者或一般法人因配售新股成 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pacing w:val="-8"/>
                <w:sz w:val="18"/>
                <w:szCs w:val="18"/>
              </w:rPr>
              <w:t>名股东的情况（如有）（参见</w:t>
            </w:r>
            <w:r>
              <w:rPr>
                <w:rFonts w:ascii="宋体" w:hAnsi="宋体" w:cs="宋体" w:eastAsia="宋体" w:hint="default"/>
                <w:sz w:val="18"/>
                <w:szCs w:val="18"/>
              </w:rPr>
              <w:t> 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516"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29" w:hRule="exact"/>
        </w:trPr>
        <w:tc>
          <w:tcPr>
            <w:tcW w:w="297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516" w:type="dxa"/>
            <w:gridSpan w:val="7"/>
            <w:vMerge w:val="restart"/>
            <w:tcBorders>
              <w:top w:val="single" w:sz="4" w:space="0" w:color="000000"/>
              <w:left w:val="single" w:sz="4" w:space="0" w:color="000000"/>
              <w:right w:val="single" w:sz="4" w:space="0" w:color="000000"/>
            </w:tcBorders>
          </w:tcPr>
          <w:p>
            <w:pPr>
              <w:pStyle w:val="TableParagraph"/>
              <w:spacing w:line="309"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周红卫、姚宁共同持有江苏润和科技投资集团有限公司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76.80%</w:t>
            </w:r>
            <w:r>
              <w:rPr>
                <w:rFonts w:ascii="宋体" w:hAnsi="宋体" w:cs="宋体" w:eastAsia="宋体" w:hint="default"/>
                <w:sz w:val="18"/>
                <w:szCs w:val="18"/>
              </w:rPr>
              <w:t>的股份，为保障公司的持续稳定 运营，保障双方在公司股东大会、董事会的一致表决，维持对公司的共同控制，周红卫和姚宁 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日续签了《一致行动人协议》，双方将继续作为一致行动人，共同掌握公司的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实际控制权，暨为公司的实际控制人。除此之外，公司未知其他股东是否存在关联关系或一致</w:t>
            </w:r>
            <w:r>
              <w:rPr>
                <w:rFonts w:ascii="宋体" w:hAnsi="宋体" w:cs="宋体" w:eastAsia="宋体" w:hint="default"/>
                <w:sz w:val="18"/>
                <w:szCs w:val="18"/>
              </w:rPr>
              <w:t> 行动人的关系。</w:t>
            </w:r>
          </w:p>
        </w:tc>
      </w:tr>
      <w:tr>
        <w:trPr>
          <w:trHeight w:val="391" w:hRule="exact"/>
        </w:trPr>
        <w:tc>
          <w:tcPr>
            <w:tcW w:w="2977"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7516" w:type="dxa"/>
            <w:gridSpan w:val="7"/>
            <w:vMerge/>
            <w:tcBorders>
              <w:left w:val="single" w:sz="4" w:space="0" w:color="000000"/>
              <w:right w:val="single" w:sz="4" w:space="0" w:color="000000"/>
            </w:tcBorders>
          </w:tcPr>
          <w:p>
            <w:pPr/>
          </w:p>
        </w:tc>
      </w:tr>
      <w:tr>
        <w:trPr>
          <w:trHeight w:val="631" w:hRule="exact"/>
        </w:trPr>
        <w:tc>
          <w:tcPr>
            <w:tcW w:w="297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516" w:type="dxa"/>
            <w:gridSpan w:val="7"/>
            <w:vMerge/>
            <w:tcBorders>
              <w:left w:val="single" w:sz="4" w:space="0" w:color="000000"/>
              <w:bottom w:val="single" w:sz="4" w:space="0" w:color="000000"/>
              <w:right w:val="single" w:sz="4" w:space="0" w:color="000000"/>
            </w:tcBorders>
          </w:tcPr>
          <w:p>
            <w:pPr/>
          </w:p>
        </w:tc>
      </w:tr>
      <w:tr>
        <w:trPr>
          <w:trHeight w:val="402" w:hRule="exact"/>
        </w:trPr>
        <w:tc>
          <w:tcPr>
            <w:tcW w:w="1049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97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103"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297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103"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9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412"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977" w:type="dxa"/>
            <w:gridSpan w:val="2"/>
            <w:vMerge/>
            <w:tcBorders>
              <w:left w:val="single" w:sz="4" w:space="0" w:color="000000"/>
              <w:bottom w:val="nil" w:sz="6" w:space="0" w:color="auto"/>
              <w:right w:val="single" w:sz="4" w:space="0" w:color="000000"/>
            </w:tcBorders>
            <w:shd w:val="clear" w:color="auto" w:fill="D2D2D2"/>
          </w:tcPr>
          <w:p>
            <w:pPr/>
          </w:p>
        </w:tc>
        <w:tc>
          <w:tcPr>
            <w:tcW w:w="5103" w:type="dxa"/>
            <w:gridSpan w:val="5"/>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76"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97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103"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江苏润和科技投资集团有限公司</w:t>
            </w:r>
          </w:p>
        </w:tc>
        <w:tc>
          <w:tcPr>
            <w:tcW w:w="51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91,297,685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91,297,685</w:t>
            </w:r>
          </w:p>
        </w:tc>
      </w:tr>
      <w:tr>
        <w:trPr>
          <w:trHeight w:val="403"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上海云鑫创业投资有限公司</w:t>
            </w:r>
          </w:p>
        </w:tc>
        <w:tc>
          <w:tcPr>
            <w:tcW w:w="51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40,220,000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40,220,000</w:t>
            </w:r>
          </w:p>
        </w:tc>
      </w:tr>
      <w:tr>
        <w:trPr>
          <w:trHeight w:val="401"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南京国资混改基金有限公司</w:t>
            </w:r>
          </w:p>
        </w:tc>
        <w:tc>
          <w:tcPr>
            <w:tcW w:w="51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03"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服务贸易创新发展引导基金（有限合</w:t>
            </w:r>
          </w:p>
        </w:tc>
        <w:tc>
          <w:tcPr>
            <w:tcW w:w="51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4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2977"/>
        <w:gridCol w:w="5103"/>
        <w:gridCol w:w="1277"/>
        <w:gridCol w:w="1135"/>
      </w:tblGrid>
      <w:tr>
        <w:trPr>
          <w:trHeight w:val="36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伙）</w:t>
            </w:r>
          </w:p>
        </w:tc>
        <w:tc>
          <w:tcPr>
            <w:tcW w:w="510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宁波宏创股权投资合伙企业（有限合 伙）</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20,017,200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20,017,200</w:t>
            </w:r>
          </w:p>
        </w:tc>
      </w:tr>
      <w:tr>
        <w:trPr>
          <w:trHeight w:val="1027"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泰达宏利基金－平安银行－厦门信托</w:t>
            </w:r>
          </w:p>
          <w:p>
            <w:pPr>
              <w:pStyle w:val="TableParagraph"/>
              <w:spacing w:line="300" w:lineRule="auto" w:before="76"/>
              <w:ind w:left="23" w:right="149"/>
              <w:jc w:val="left"/>
              <w:rPr>
                <w:rFonts w:ascii="宋体" w:hAnsi="宋体" w:cs="宋体" w:eastAsia="宋体" w:hint="default"/>
                <w:sz w:val="18"/>
                <w:szCs w:val="18"/>
              </w:rPr>
            </w:pPr>
            <w:r>
              <w:rPr>
                <w:rFonts w:ascii="宋体" w:hAnsi="宋体" w:cs="宋体" w:eastAsia="宋体" w:hint="default"/>
                <w:sz w:val="18"/>
                <w:szCs w:val="18"/>
              </w:rPr>
              <w:t>－厦门信托－财富共赢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号单一资 金信托</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18,281,829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18,281,829</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13,381,875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13,381,875</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中国国际金融股份有限公司</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9,517,069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9,517,069</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焦点科技股份有限公司</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7,989,302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7,989,302</w:t>
            </w: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申万宏源证券有限公司</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7,580,065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7,580,065</w:t>
            </w:r>
          </w:p>
        </w:tc>
      </w:tr>
      <w:tr>
        <w:trPr>
          <w:trHeight w:val="1649"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名无限售流通股股东之间，以及</w:t>
            </w:r>
          </w:p>
          <w:p>
            <w:pPr>
              <w:pStyle w:val="TableParagraph"/>
              <w:spacing w:line="300" w:lineRule="auto" w:before="63"/>
              <w:ind w:left="23" w:right="5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股东之间关联关系或一致行动的说明</w:t>
            </w:r>
          </w:p>
        </w:tc>
        <w:tc>
          <w:tcPr>
            <w:tcW w:w="7516" w:type="dxa"/>
            <w:gridSpan w:val="3"/>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周红卫、姚宁共同持有江苏润和科技投资集团有限公司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76.80%</w:t>
            </w:r>
            <w:r>
              <w:rPr>
                <w:rFonts w:ascii="宋体" w:hAnsi="宋体" w:cs="宋体" w:eastAsia="宋体" w:hint="default"/>
                <w:sz w:val="18"/>
                <w:szCs w:val="18"/>
              </w:rPr>
              <w:t>的股份，为保障公司的持续稳定 运营，保障双方在公司股东大会、董事会的一致表决，维持对公司的共同控制，周红卫和姚宁 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日续签了《一致行动人协议》，双方将继续作为一致行动人，共同掌握公司的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实际控制权，暨为公司的实际控制人。除此之外，公司未知其他股东是否存在关联关系或一致 行动人的关系。</w:t>
            </w:r>
          </w:p>
        </w:tc>
      </w:tr>
      <w:tr>
        <w:trPr>
          <w:trHeight w:val="715"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62"/>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 </w:t>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5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left="673" w:right="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left="67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left="673" w:right="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
        <w:rPr>
          <w:rFonts w:ascii="宋体" w:hAnsi="宋体" w:cs="宋体" w:eastAsia="宋体" w:hint="default"/>
          <w:sz w:val="21"/>
          <w:szCs w:val="21"/>
        </w:rPr>
      </w:pPr>
    </w:p>
    <w:p>
      <w:pPr>
        <w:pStyle w:val="Heading3"/>
        <w:spacing w:line="240" w:lineRule="auto"/>
        <w:ind w:left="673"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left="673" w:right="8593"/>
        <w:jc w:val="left"/>
      </w:pPr>
      <w:r>
        <w:rPr/>
        <w:t>控股股东性质：自然人控股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before="44"/>
        <w:ind w:left="0" w:right="1140"/>
        <w:jc w:val="right"/>
      </w:pPr>
      <w:r>
        <w:rPr/>
        <w:pict>
          <v:shape style="position:absolute;margin-left:56.424pt;margin-top:-192.398285pt;width:479.3pt;height:243.5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9"/>
                    <w:gridCol w:w="1793"/>
                    <w:gridCol w:w="1594"/>
                    <w:gridCol w:w="1753"/>
                    <w:gridCol w:w="2232"/>
                  </w:tblGrid>
                  <w:tr>
                    <w:trPr>
                      <w:trHeight w:val="71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801"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148"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19"/>
                          <w:ind w:left="24" w:right="183"/>
                          <w:jc w:val="left"/>
                          <w:rPr>
                            <w:rFonts w:ascii="宋体" w:hAnsi="宋体" w:cs="宋体" w:eastAsia="宋体" w:hint="default"/>
                            <w:sz w:val="18"/>
                            <w:szCs w:val="18"/>
                          </w:rPr>
                        </w:pPr>
                        <w:r>
                          <w:rPr>
                            <w:rFonts w:ascii="宋体" w:hAnsi="宋体" w:cs="宋体" w:eastAsia="宋体" w:hint="default"/>
                            <w:sz w:val="18"/>
                            <w:szCs w:val="18"/>
                          </w:rPr>
                          <w:t>江苏润和科技投资集团有 限公司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73"/>
                          <w:jc w:val="center"/>
                          <w:rPr>
                            <w:rFonts w:ascii="Times New Roman" w:hAnsi="Times New Roman" w:cs="Times New Roman" w:eastAsia="Times New Roman" w:hint="default"/>
                            <w:sz w:val="18"/>
                            <w:szCs w:val="18"/>
                          </w:rPr>
                        </w:pPr>
                        <w:r>
                          <w:rPr>
                            <w:rFonts w:ascii="Times New Roman"/>
                            <w:sz w:val="18"/>
                          </w:rPr>
                          <w:t>913201006946478016</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实业投资；投资管理；预包 装食品兼散装食品、日用百 货批发与零售；初级农产品 初加工及销售；电子产品、 建材销售；电子产品技术研 发；电子产品加工；建筑工 程设计、施工；自营和代理 各类商品及技术的进出口业 务（国家限定公司经营或禁 止进出口的商品和技术除 </w:t>
                        </w:r>
                        <w:r>
                          <w:rPr>
                            <w:rFonts w:ascii="宋体" w:hAnsi="宋体" w:cs="宋体" w:eastAsia="宋体" w:hint="default"/>
                            <w:spacing w:val="-20"/>
                            <w:sz w:val="18"/>
                            <w:szCs w:val="18"/>
                          </w:rPr>
                          <w:t>外）。（依法须经批准的项目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经相关部门批准后方可开展 经营活动）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44"/>
        <w:ind w:left="673" w:right="0"/>
        <w:jc w:val="left"/>
      </w:pPr>
      <w:r>
        <w:rPr/>
        <w:t>控股股东报告期内变更</w:t>
      </w:r>
    </w:p>
    <w:p>
      <w:pPr>
        <w:spacing w:after="0" w:line="240" w:lineRule="auto"/>
        <w:jc w:val="left"/>
        <w:sectPr>
          <w:pgSz w:w="11910" w:h="16840"/>
          <w:pgMar w:header="745" w:footer="979" w:top="1060" w:bottom="1160" w:left="460" w:right="0"/>
        </w:sectPr>
      </w:pPr>
    </w:p>
    <w:p>
      <w:pPr>
        <w:spacing w:line="240" w:lineRule="auto" w:before="10"/>
        <w:rPr>
          <w:rFonts w:ascii="宋体" w:hAnsi="宋体" w:cs="宋体" w:eastAsia="宋体" w:hint="default"/>
          <w:sz w:val="25"/>
          <w:szCs w:val="25"/>
        </w:rPr>
      </w:pPr>
    </w:p>
    <w:p>
      <w:pPr>
        <w:pStyle w:val="BodyText"/>
        <w:spacing w:line="340" w:lineRule="auto" w:before="44"/>
        <w:ind w:right="7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8413"/>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10" w:right="111"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10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8"/>
              <w:jc w:val="left"/>
              <w:rPr>
                <w:rFonts w:ascii="宋体" w:hAnsi="宋体" w:cs="宋体" w:eastAsia="宋体" w:hint="default"/>
                <w:sz w:val="18"/>
                <w:szCs w:val="18"/>
              </w:rPr>
            </w:pPr>
            <w:r>
              <w:rPr>
                <w:rFonts w:ascii="宋体" w:hAnsi="宋体" w:cs="宋体" w:eastAsia="宋体" w:hint="default"/>
                <w:spacing w:val="-4"/>
                <w:sz w:val="18"/>
                <w:szCs w:val="18"/>
              </w:rPr>
              <w:t>周红卫：</w:t>
            </w:r>
            <w:r>
              <w:rPr>
                <w:rFonts w:ascii="Times New Roman" w:hAnsi="Times New Roman" w:cs="Times New Roman" w:eastAsia="Times New Roman" w:hint="default"/>
                <w:spacing w:val="-4"/>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月担任润和软件总裁，</w:t>
            </w:r>
            <w:r>
              <w:rPr>
                <w:rFonts w:ascii="Times New Roman" w:hAnsi="Times New Roman" w:cs="Times New Roman" w:eastAsia="Times New Roman" w:hint="default"/>
                <w:spacing w:val="-3"/>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年至今担任润和软件董事长，</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月至今担任润和软件总裁。</w:t>
            </w:r>
          </w:p>
          <w:p>
            <w:pPr>
              <w:pStyle w:val="TableParagraph"/>
              <w:spacing w:line="240" w:lineRule="auto" w:before="94"/>
              <w:ind w:left="23" w:right="0"/>
              <w:jc w:val="left"/>
              <w:rPr>
                <w:rFonts w:ascii="宋体" w:hAnsi="宋体" w:cs="宋体" w:eastAsia="宋体" w:hint="default"/>
                <w:sz w:val="18"/>
                <w:szCs w:val="18"/>
              </w:rPr>
            </w:pPr>
            <w:r>
              <w:rPr>
                <w:rFonts w:ascii="宋体" w:hAnsi="宋体" w:cs="宋体" w:eastAsia="宋体" w:hint="default"/>
                <w:sz w:val="18"/>
                <w:szCs w:val="18"/>
              </w:rPr>
              <w:t>姚宁：</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月历任润和软件董事、高级副总裁、副董事长。</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实际控制人报告期内变更</w:t>
      </w:r>
    </w:p>
    <w:p>
      <w:pPr>
        <w:pStyle w:val="BodyText"/>
        <w:spacing w:line="348" w:lineRule="auto" w:before="115"/>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4"/>
        <w:rPr>
          <w:rFonts w:ascii="宋体" w:hAnsi="宋体" w:cs="宋体" w:eastAsia="宋体" w:hint="default"/>
          <w:sz w:val="25"/>
          <w:szCs w:val="25"/>
        </w:rPr>
      </w:pPr>
    </w:p>
    <w:p>
      <w:pPr>
        <w:spacing w:line="4080" w:lineRule="exact"/>
        <w:ind w:left="1355"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4591684" cy="25908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4591684" cy="2590800"/>
                    </a:xfrm>
                    <a:prstGeom prst="rect">
                      <a:avLst/>
                    </a:prstGeom>
                  </pic:spPr>
                </pic:pic>
              </a:graphicData>
            </a:graphic>
          </wp:inline>
        </w:drawing>
      </w:r>
      <w:r>
        <w:rPr>
          <w:rFonts w:ascii="宋体" w:hAnsi="宋体" w:cs="宋体" w:eastAsia="宋体" w:hint="default"/>
          <w:position w:val="-81"/>
          <w:sz w:val="20"/>
          <w:szCs w:val="20"/>
        </w:rPr>
      </w:r>
    </w:p>
    <w:p>
      <w:pPr>
        <w:spacing w:line="240" w:lineRule="auto" w:before="7"/>
        <w:rPr>
          <w:rFonts w:ascii="宋体" w:hAnsi="宋体" w:cs="宋体" w:eastAsia="宋体" w:hint="default"/>
          <w:sz w:val="21"/>
          <w:szCs w:val="21"/>
        </w:rPr>
      </w:pPr>
    </w:p>
    <w:p>
      <w:pPr>
        <w:spacing w:before="26"/>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8"/>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14"/>
          <w:pgSz w:w="11910" w:h="16840"/>
          <w:pgMar w:footer="979" w:header="745" w:top="1060" w:bottom="1160" w:left="980" w:right="0"/>
          <w:pgNumType w:start="76"/>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4</w:t>
      </w:r>
      <w:r>
        <w:rPr/>
        <w:t>、其他持股在</w:t>
      </w:r>
      <w:r>
        <w:rPr>
          <w:spacing w:val="12"/>
        </w:rPr>
        <w:t> </w:t>
      </w:r>
      <w:r>
        <w:rPr>
          <w:rFonts w:ascii="Times New Roman" w:hAnsi="Times New Roman" w:cs="Times New Roman" w:eastAsia="Times New Roman" w:hint="default"/>
        </w:rPr>
        <w:t>10%</w:t>
      </w:r>
      <w:r>
        <w:rPr/>
        <w:t>以上的法人股东</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365" w:right="0"/>
        <w:jc w:val="left"/>
        <w:rPr>
          <w:b w:val="0"/>
          <w:bCs w:val="0"/>
        </w:rPr>
      </w:pPr>
      <w:bookmarkStart w:name="_bookmark5" w:id="6"/>
      <w:bookmarkEnd w:id="6"/>
      <w:r>
        <w:rPr>
          <w:b w:val="0"/>
          <w:bCs w:val="0"/>
        </w:rPr>
      </w:r>
      <w:r>
        <w:rPr/>
        <w:t>第七节优先股相关情况</w:t>
      </w:r>
      <w:r>
        <w:rPr>
          <w:b w:val="0"/>
          <w:bCs w:val="0"/>
        </w:rPr>
      </w:r>
    </w:p>
    <w:p>
      <w:pPr>
        <w:spacing w:line="240" w:lineRule="auto" w:before="8"/>
        <w:rPr>
          <w:rFonts w:ascii="Microsoft JhengHei" w:hAnsi="Microsoft JhengHei" w:cs="Microsoft JhengHei" w:eastAsia="Microsoft JhengHei" w:hint="default"/>
          <w:b/>
          <w:bCs/>
          <w:sz w:val="27"/>
          <w:szCs w:val="27"/>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2724" w:right="0"/>
        <w:jc w:val="left"/>
        <w:rPr>
          <w:b w:val="0"/>
          <w:bCs w:val="0"/>
        </w:rPr>
      </w:pPr>
      <w:bookmarkStart w:name="_bookmark6" w:id="7"/>
      <w:bookmarkEnd w:id="7"/>
      <w:r>
        <w:rPr>
          <w:b w:val="0"/>
          <w:bCs w:val="0"/>
        </w:rPr>
      </w:r>
      <w:r>
        <w:rPr/>
        <w:t>第八节可转换公司债券相关情况</w:t>
      </w:r>
      <w:r>
        <w:rPr>
          <w:b w:val="0"/>
          <w:bCs w:val="0"/>
        </w:rPr>
      </w:r>
    </w:p>
    <w:p>
      <w:pPr>
        <w:spacing w:line="240" w:lineRule="auto" w:before="17"/>
        <w:rPr>
          <w:rFonts w:ascii="Microsoft JhengHei" w:hAnsi="Microsoft JhengHei" w:cs="Microsoft JhengHei" w:eastAsia="Microsoft JhengHei" w:hint="default"/>
          <w:b/>
          <w:bCs/>
          <w:sz w:val="29"/>
          <w:szCs w:val="29"/>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2138" w:right="1123"/>
        <w:jc w:val="left"/>
        <w:rPr>
          <w:b w:val="0"/>
          <w:bCs w:val="0"/>
        </w:rPr>
      </w:pPr>
      <w:bookmarkStart w:name="_bookmark7" w:id="8"/>
      <w:bookmarkEnd w:id="8"/>
      <w:r>
        <w:rPr>
          <w:b w:val="0"/>
          <w:bCs w:val="0"/>
        </w:rPr>
      </w:r>
      <w:r>
        <w:rPr/>
        <w:t>第九节董事、监事、高级管理人员和员工情况</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left="533" w:right="1123"/>
        <w:jc w:val="left"/>
        <w:rPr>
          <w:b w:val="0"/>
          <w:bCs w:val="0"/>
        </w:rPr>
      </w:pPr>
      <w:r>
        <w:rPr/>
        <w:pict>
          <v:shape style="position:absolute;margin-left:443.97699pt;margin-top:36.793621pt;width:66.150pt;height:66.5pt;mso-position-horizontal-relative:page;mso-position-vertical-relative:paragraph;z-index:-1329280"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12"/>
                    <w:rPr>
                      <w:rFonts w:ascii="Microsoft JhengHei" w:hAnsi="Microsoft JhengHei" w:cs="Microsoft JhengHei" w:eastAsia="Microsoft JhengHei" w:hint="default"/>
                      <w:b/>
                      <w:bCs/>
                      <w:sz w:val="20"/>
                      <w:szCs w:val="20"/>
                    </w:rPr>
                  </w:pPr>
                </w:p>
                <w:p>
                  <w:pPr>
                    <w:pStyle w:val="BodyText"/>
                    <w:spacing w:line="240" w:lineRule="auto"/>
                    <w:ind w:left="0" w:right="0"/>
                    <w:jc w:val="left"/>
                  </w:pPr>
                  <w:r>
                    <w:rPr/>
                    <w:t>（股）</w:t>
                  </w:r>
                </w:p>
              </w:txbxContent>
            </v:textbox>
            <w10:wrap type="none"/>
          </v:shape>
        </w:pict>
      </w:r>
      <w:r>
        <w:rPr/>
        <w:pict>
          <v:shape style="position:absolute;margin-left:486.463013pt;margin-top:36.793621pt;width:73.350pt;height:66.5pt;mso-position-horizontal-relative:page;mso-position-vertical-relative:paragraph;z-index:-1329256"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12"/>
                    <w:rPr>
                      <w:rFonts w:ascii="Microsoft JhengHei" w:hAnsi="Microsoft JhengHei" w:cs="Microsoft JhengHei" w:eastAsia="Microsoft JhengHei" w:hint="default"/>
                      <w:b/>
                      <w:bCs/>
                      <w:sz w:val="20"/>
                      <w:szCs w:val="20"/>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00" w:type="dxa"/>
        <w:tblLayout w:type="fixed"/>
        <w:tblCellMar>
          <w:top w:w="0" w:type="dxa"/>
          <w:left w:w="0" w:type="dxa"/>
          <w:bottom w:w="0" w:type="dxa"/>
          <w:right w:w="0" w:type="dxa"/>
        </w:tblCellMar>
        <w:tblLook w:val="01E0"/>
      </w:tblPr>
      <w:tblGrid>
        <w:gridCol w:w="994"/>
        <w:gridCol w:w="1030"/>
        <w:gridCol w:w="797"/>
        <w:gridCol w:w="583"/>
        <w:gridCol w:w="710"/>
        <w:gridCol w:w="850"/>
        <w:gridCol w:w="1046"/>
        <w:gridCol w:w="939"/>
        <w:gridCol w:w="710"/>
        <w:gridCol w:w="991"/>
        <w:gridCol w:w="850"/>
        <w:gridCol w:w="994"/>
      </w:tblGrid>
      <w:tr>
        <w:trPr>
          <w:trHeight w:val="1339"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316" w:lineRule="auto"/>
              <w:ind w:left="240" w:right="5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316" w:lineRule="auto"/>
              <w:ind w:left="429" w:right="65"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316" w:lineRule="auto"/>
              <w:ind w:left="105" w:right="10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9"/>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7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316" w:lineRule="auto"/>
              <w:ind w:left="23" w:right="38" w:firstLine="16"/>
              <w:jc w:val="left"/>
              <w:rPr>
                <w:rFonts w:ascii="宋体" w:hAnsi="宋体" w:cs="宋体" w:eastAsia="宋体" w:hint="default"/>
                <w:sz w:val="18"/>
                <w:szCs w:val="18"/>
              </w:rPr>
            </w:pPr>
            <w:r>
              <w:rPr>
                <w:rFonts w:ascii="宋体" w:hAnsi="宋体" w:cs="宋体" w:eastAsia="宋体" w:hint="default"/>
                <w:sz w:val="18"/>
                <w:szCs w:val="18"/>
              </w:rPr>
              <w:t>本期减持股 份数量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316" w:lineRule="auto"/>
              <w:ind w:left="23" w:right="63" w:firstLine="36"/>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5"/>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44,242,066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33,242,066</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20,918,000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15,918,000</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刘延新</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董事、高级 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潘晓虎</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朱超</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洪磊</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杨春福</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刘晓星</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周斌</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赵澍</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王媛媛</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21,400</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胡传高</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邵峰</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600" w:right="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0" w:type="dxa"/>
        <w:tblLayout w:type="fixed"/>
        <w:tblCellMar>
          <w:top w:w="0" w:type="dxa"/>
          <w:left w:w="0" w:type="dxa"/>
          <w:bottom w:w="0" w:type="dxa"/>
          <w:right w:w="0" w:type="dxa"/>
        </w:tblCellMar>
        <w:tblLook w:val="01E0"/>
      </w:tblPr>
      <w:tblGrid>
        <w:gridCol w:w="994"/>
        <w:gridCol w:w="1030"/>
        <w:gridCol w:w="797"/>
        <w:gridCol w:w="583"/>
        <w:gridCol w:w="710"/>
        <w:gridCol w:w="850"/>
        <w:gridCol w:w="1046"/>
        <w:gridCol w:w="939"/>
        <w:gridCol w:w="710"/>
        <w:gridCol w:w="991"/>
        <w:gridCol w:w="850"/>
        <w:gridCol w:w="994"/>
      </w:tblGrid>
      <w:tr>
        <w:trPr>
          <w:trHeight w:val="363"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65,465,466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16,000,000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49,465,466</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left="533" w:right="1123"/>
        <w:jc w:val="left"/>
        <w:rPr>
          <w:b w:val="0"/>
          <w:bCs w:val="0"/>
        </w:rPr>
      </w:pPr>
      <w:r>
        <w:rPr/>
        <w:t>二、公司董事、监事、高级管理人员变动情况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left="533"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left="533" w:right="1123"/>
        <w:jc w:val="left"/>
        <w:rPr>
          <w:b w:val="0"/>
          <w:bCs w:val="0"/>
        </w:rPr>
      </w:pPr>
      <w:r>
        <w:rPr/>
        <w:t>三、任职情况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left="533" w:right="1123"/>
        <w:jc w:val="left"/>
      </w:pPr>
      <w:r>
        <w:rPr/>
        <w:t>公司现任董事、监事、高级管理人员专业背景、主要工作经历以及目前在公司的主要职责</w:t>
      </w:r>
    </w:p>
    <w:p>
      <w:pPr>
        <w:pStyle w:val="BodyText"/>
        <w:spacing w:line="307" w:lineRule="auto" w:before="115"/>
        <w:ind w:left="533" w:right="1033"/>
        <w:jc w:val="left"/>
      </w:pPr>
      <w:r>
        <w:rPr>
          <w:rFonts w:ascii="Times New Roman" w:hAnsi="Times New Roman" w:cs="Times New Roman" w:eastAsia="Times New Roman" w:hint="default"/>
        </w:rPr>
        <w:t>1</w:t>
      </w:r>
      <w:r>
        <w:rPr/>
        <w:t>、周红卫先生，</w:t>
      </w:r>
      <w:r>
        <w:rPr>
          <w:rFonts w:ascii="Times New Roman" w:hAnsi="Times New Roman" w:cs="Times New Roman" w:eastAsia="Times New Roman" w:hint="default"/>
        </w:rPr>
        <w:t>1967</w:t>
      </w:r>
      <w:r>
        <w:rPr/>
        <w:t>年出生，本科学历，中国国籍，无永久境外居留权，曾担任日本恒星（南京）电脑系统有限公司项目 </w:t>
      </w:r>
      <w:r>
        <w:rPr>
          <w:spacing w:val="-2"/>
        </w:rPr>
        <w:t>经理及部门总经理、宏图东方信息系统有限公司副总经理、本公司总裁等职。周红卫先生担任江苏省工商联第十一届执行委</w:t>
      </w:r>
      <w:r>
        <w:rPr>
          <w:spacing w:val="-63"/>
        </w:rPr>
        <w:t> </w:t>
      </w:r>
      <w:r>
        <w:rPr>
          <w:spacing w:val="-63"/>
        </w:rPr>
      </w:r>
      <w:r>
        <w:rPr>
          <w:spacing w:val="-2"/>
        </w:rPr>
        <w:t>员会委员、江苏省软件行业协会理事会副理事长、江苏软件人才发展基金会第三届理事会理事、南京市工商联副主席、南京</w:t>
      </w:r>
      <w:r>
        <w:rPr>
          <w:spacing w:val="-62"/>
        </w:rPr>
        <w:t> </w:t>
      </w:r>
      <w:r>
        <w:rPr>
          <w:spacing w:val="-62"/>
        </w:rPr>
      </w:r>
      <w:r>
        <w:rPr>
          <w:spacing w:val="-2"/>
        </w:rPr>
        <w:t>市软件行业协会理事会副理事长、南京市光彩事业促进会副会长。</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6</w:t>
      </w:r>
      <w:r>
        <w:rPr>
          <w:spacing w:val="-2"/>
        </w:rPr>
        <w:t>月至今任本公司董事长，</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w:t>
      </w:r>
      <w:r>
        <w:rPr>
          <w:spacing w:val="-2"/>
        </w:rPr>
        <w:t>月至今任本公司</w:t>
      </w:r>
      <w:r>
        <w:rPr>
          <w:spacing w:val="-59"/>
        </w:rPr>
        <w:t> </w:t>
      </w:r>
      <w:r>
        <w:rPr>
          <w:spacing w:val="-59"/>
        </w:rPr>
      </w:r>
      <w:r>
        <w:rPr/>
        <w:t>总裁。 </w:t>
      </w:r>
      <w:r>
        <w:rPr>
          <w:rFonts w:ascii="Times New Roman" w:hAnsi="Times New Roman" w:cs="Times New Roman" w:eastAsia="Times New Roman" w:hint="default"/>
        </w:rPr>
        <w:t>2</w:t>
      </w:r>
      <w:r>
        <w:rPr/>
        <w:t>、姚宁先生，</w:t>
      </w:r>
      <w:r>
        <w:rPr>
          <w:rFonts w:ascii="Times New Roman" w:hAnsi="Times New Roman" w:cs="Times New Roman" w:eastAsia="Times New Roman" w:hint="default"/>
        </w:rPr>
        <w:t>1968</w:t>
      </w:r>
      <w:r>
        <w:rPr/>
        <w:t>年出生，本科学历，中国国籍，无永久境外居留权，曾担任日本恒星（南京）电脑系统有限公司项目经 </w:t>
      </w:r>
      <w:r>
        <w:rPr>
          <w:spacing w:val="-2"/>
        </w:rPr>
        <w:t>理、开发部部长，宏图东方信息系统有限公司副总经理、本公司常务副总裁、技术总监、高级副总裁等职。姚宁先生曾参与</w:t>
      </w:r>
      <w:r>
        <w:rPr>
          <w:spacing w:val="-68"/>
        </w:rPr>
        <w:t> </w:t>
      </w:r>
      <w:r>
        <w:rPr>
          <w:spacing w:val="-68"/>
        </w:rPr>
      </w:r>
      <w:r>
        <w:rPr/>
        <w:t>领导苏州市委市政府园区骨干网系统集成项目、江苏省委办公厅办公自动化系统集成项目、日本 </w:t>
      </w:r>
      <w:r>
        <w:rPr>
          <w:rFonts w:ascii="Times New Roman" w:hAnsi="Times New Roman" w:cs="Times New Roman" w:eastAsia="Times New Roman" w:hint="default"/>
        </w:rPr>
        <w:t>DOCOMO</w:t>
      </w:r>
      <w:r>
        <w:rPr>
          <w:rFonts w:ascii="Times New Roman" w:hAnsi="Times New Roman" w:cs="Times New Roman" w:eastAsia="Times New Roman" w:hint="default"/>
          <w:spacing w:val="10"/>
        </w:rPr>
        <w:t> </w:t>
      </w:r>
      <w:r>
        <w:rPr/>
        <w:t>公司的核心无 线电运营管理系统开发项目等多个项目。</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月任本公司董事，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月任本公司副董事长。 </w:t>
      </w:r>
      <w:r>
        <w:rPr>
          <w:rFonts w:ascii="Times New Roman" w:hAnsi="Times New Roman" w:cs="Times New Roman" w:eastAsia="Times New Roman" w:hint="default"/>
        </w:rPr>
        <w:t>3</w:t>
      </w:r>
      <w:r>
        <w:rPr/>
        <w:t>、陈斌先生，</w:t>
      </w:r>
      <w:r>
        <w:rPr>
          <w:rFonts w:ascii="Times New Roman" w:hAnsi="Times New Roman" w:cs="Times New Roman" w:eastAsia="Times New Roman" w:hint="default"/>
        </w:rPr>
        <w:t>1965</w:t>
      </w:r>
      <w:r>
        <w:rPr/>
        <w:t>年出生，硕士学历，中国国籍，无境外永久居留权。曾担任嘉腾系统有限公司中国区总经理、江苏宏图 </w:t>
      </w:r>
      <w:r>
        <w:rPr>
          <w:spacing w:val="-2"/>
        </w:rPr>
        <w:t>高科技股份有限公司总裁、宏图三胞高科技术有限公司总裁、三胞集团有限公司高级副总裁、江苏宏图高科技股份有限公司</w:t>
      </w:r>
      <w:r>
        <w:rPr>
          <w:spacing w:val="-63"/>
        </w:rPr>
        <w:t> </w:t>
      </w:r>
      <w:r>
        <w:rPr>
          <w:spacing w:val="-63"/>
        </w:rPr>
      </w:r>
      <w:r>
        <w:rPr/>
        <w:t>董事、麦考林有限公司董事长。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月任本公司副总裁，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月任任本公司高级副总裁，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月任本公司董事，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月任本公司总裁。</w:t>
      </w:r>
    </w:p>
    <w:p>
      <w:pPr>
        <w:pStyle w:val="BodyText"/>
        <w:spacing w:line="304" w:lineRule="auto" w:before="7"/>
        <w:ind w:left="533" w:right="1041"/>
        <w:jc w:val="left"/>
      </w:pPr>
      <w:r>
        <w:rPr>
          <w:rFonts w:ascii="Times New Roman" w:hAnsi="Times New Roman" w:cs="Times New Roman" w:eastAsia="Times New Roman" w:hint="default"/>
        </w:rPr>
        <w:t>4</w:t>
      </w:r>
      <w:r>
        <w:rPr/>
        <w:t>、刘延新先生，</w:t>
      </w:r>
      <w:r>
        <w:rPr>
          <w:rFonts w:ascii="Times New Roman" w:hAnsi="Times New Roman" w:cs="Times New Roman" w:eastAsia="Times New Roman" w:hint="default"/>
        </w:rPr>
        <w:t>1968</w:t>
      </w:r>
      <w:r>
        <w:rPr/>
        <w:t>年出生，硕士学历，中国国籍，无境外永久居留权，曾担任中国建设银行山西分行信息技术管理部、 国际业务部总经理，迎泽支行、长治分行行长，中国建设银行信息技术管理部副总经理。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月至今任本公司高级副总 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月至今任本公司董事。 </w:t>
      </w:r>
      <w:r>
        <w:rPr>
          <w:rFonts w:ascii="Times New Roman" w:hAnsi="Times New Roman" w:cs="Times New Roman" w:eastAsia="Times New Roman" w:hint="default"/>
        </w:rPr>
        <w:t>5</w:t>
      </w:r>
      <w:r>
        <w:rPr/>
        <w:t>、潘晓虎先生，</w:t>
      </w:r>
      <w:r>
        <w:rPr>
          <w:rFonts w:ascii="Times New Roman" w:hAnsi="Times New Roman" w:cs="Times New Roman" w:eastAsia="Times New Roman" w:hint="default"/>
        </w:rPr>
        <w:t>1971</w:t>
      </w:r>
      <w:r>
        <w:rPr/>
        <w:t>年出生，研究生学历，中国国籍，无境外永久居留权，曾任江苏省创业投资有限公司部门经理、鼎晖 </w:t>
      </w:r>
      <w:r>
        <w:rPr>
          <w:spacing w:val="-2"/>
        </w:rPr>
        <w:t>投资助理副总裁、瑞华投资投资总监等职务，现任江苏瑞华创业投资管理有限公司资深合伙人。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w:t>
      </w:r>
      <w:r>
        <w:rPr>
          <w:spacing w:val="-2"/>
        </w:rPr>
        <w:t>月任本</w:t>
      </w:r>
      <w:r>
        <w:rPr>
          <w:spacing w:val="-56"/>
        </w:rPr>
        <w:t> </w:t>
      </w:r>
      <w:r>
        <w:rPr>
          <w:spacing w:val="-56"/>
        </w:rPr>
      </w:r>
      <w:r>
        <w:rPr/>
        <w:t>公司董事。 </w:t>
      </w:r>
      <w:r>
        <w:rPr>
          <w:rFonts w:ascii="Times New Roman" w:hAnsi="Times New Roman" w:cs="Times New Roman" w:eastAsia="Times New Roman" w:hint="default"/>
        </w:rPr>
        <w:t>6</w:t>
      </w:r>
      <w:r>
        <w:rPr/>
        <w:t>、朱超先生，</w:t>
      </w:r>
      <w:r>
        <w:rPr>
          <w:rFonts w:ascii="Times New Roman" w:hAnsi="Times New Roman" w:cs="Times New Roman" w:eastAsia="Times New Roman" w:hint="default"/>
        </w:rPr>
        <w:t>1980</w:t>
      </w:r>
      <w:r>
        <w:rPr/>
        <w:t>年出生，硕士学历，中国国籍，曾担任中国国际金融股份有限公司投资银行部经理、高级经理、副总经 </w:t>
      </w:r>
      <w:r>
        <w:rPr>
          <w:spacing w:val="-2"/>
        </w:rPr>
        <w:t>理、执行总经理，浙江蚂蚁小微金融服务集团股份有限公司投资部资深总监，现任浙江蚂蚁小微金融服务集团股份有限公司</w:t>
      </w:r>
      <w:r>
        <w:rPr>
          <w:spacing w:val="-66"/>
        </w:rPr>
        <w:t> </w:t>
      </w:r>
      <w:r>
        <w:rPr>
          <w:spacing w:val="-66"/>
        </w:rPr>
      </w:r>
      <w:r>
        <w:rPr/>
        <w:t>企业发展部资深总监、浙江蚂蚁小微金融服务集团股份有限公司部分附属企业及其投资的部分企业的董事。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月至今 任本公司董事。 </w:t>
      </w:r>
      <w:r>
        <w:rPr>
          <w:rFonts w:ascii="Times New Roman" w:hAnsi="Times New Roman" w:cs="Times New Roman" w:eastAsia="Times New Roman" w:hint="default"/>
        </w:rPr>
        <w:t>7</w:t>
      </w:r>
      <w:r>
        <w:rPr/>
        <w:t>、杨春福先生，</w:t>
      </w:r>
      <w:r>
        <w:rPr>
          <w:rFonts w:ascii="Times New Roman" w:hAnsi="Times New Roman" w:cs="Times New Roman" w:eastAsia="Times New Roman" w:hint="default"/>
        </w:rPr>
        <w:t>1967</w:t>
      </w:r>
      <w:r>
        <w:rPr/>
        <w:t>年出生，研究生学历，中国国籍，无境外永久居留权，曾担任南京大学法学院副院长、法学院教授、 </w:t>
      </w:r>
      <w:r>
        <w:rPr>
          <w:spacing w:val="-2"/>
        </w:rPr>
        <w:t>博士生导师等职。现任河海大学法学院教授、博士生导师，曾任南京新街口百货商店股份有限公司独立董事，现任江苏凯伦</w:t>
      </w:r>
      <w:r>
        <w:rPr>
          <w:spacing w:val="-64"/>
        </w:rPr>
        <w:t> </w:t>
      </w:r>
      <w:r>
        <w:rPr>
          <w:spacing w:val="-64"/>
        </w:rPr>
      </w:r>
      <w:r>
        <w:rPr/>
        <w:t>建材股份有限公司独立董事、江苏德纳化学股份有限公司独立董事。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月至今任本公司独立董事。 </w:t>
      </w:r>
      <w:r>
        <w:rPr>
          <w:rFonts w:ascii="Times New Roman" w:hAnsi="Times New Roman" w:cs="Times New Roman" w:eastAsia="Times New Roman" w:hint="default"/>
          <w:spacing w:val="-2"/>
        </w:rPr>
        <w:t>8</w:t>
      </w:r>
      <w:r>
        <w:rPr>
          <w:spacing w:val="-2"/>
        </w:rPr>
        <w:t>、刘晓星先生，</w:t>
      </w:r>
      <w:r>
        <w:rPr>
          <w:rFonts w:ascii="Times New Roman" w:hAnsi="Times New Roman" w:cs="Times New Roman" w:eastAsia="Times New Roman" w:hint="default"/>
          <w:spacing w:val="-2"/>
        </w:rPr>
        <w:t>1970</w:t>
      </w:r>
      <w:r>
        <w:rPr>
          <w:spacing w:val="-2"/>
        </w:rPr>
        <w:t>年出生，博士研究生学历，中国国籍，无境外永久居留权，曾担任太原钢铁股份有限公司助理工程师、</w:t>
      </w:r>
      <w:r>
        <w:rPr>
          <w:spacing w:val="-64"/>
        </w:rPr>
        <w:t> </w:t>
      </w:r>
      <w:r>
        <w:rPr>
          <w:spacing w:val="-64"/>
        </w:rPr>
      </w:r>
      <w:r>
        <w:rPr>
          <w:spacing w:val="-2"/>
        </w:rPr>
        <w:t>广东财经大学金融学院教授。现任全国高等学校金融学类专业教学指导委员会委员，江苏省经济学类研究生教育指导委员会</w:t>
      </w:r>
      <w:r>
        <w:rPr>
          <w:spacing w:val="-64"/>
        </w:rPr>
        <w:t> </w:t>
      </w:r>
      <w:r>
        <w:rPr>
          <w:spacing w:val="-64"/>
        </w:rPr>
      </w:r>
      <w:r>
        <w:rPr>
          <w:spacing w:val="-3"/>
        </w:rPr>
        <w:t>委员，江苏省资本市场研究会副会长，江苏省</w:t>
      </w:r>
      <w:r>
        <w:rPr>
          <w:rFonts w:ascii="Times New Roman" w:hAnsi="Times New Roman" w:cs="Times New Roman" w:eastAsia="Times New Roman" w:hint="default"/>
          <w:spacing w:val="-3"/>
        </w:rPr>
        <w:t>“</w:t>
      </w:r>
      <w:r>
        <w:rPr>
          <w:spacing w:val="-3"/>
        </w:rPr>
        <w:t>青蓝工程</w:t>
      </w:r>
      <w:r>
        <w:rPr>
          <w:rFonts w:ascii="Times New Roman" w:hAnsi="Times New Roman" w:cs="Times New Roman" w:eastAsia="Times New Roman" w:hint="default"/>
          <w:spacing w:val="-3"/>
        </w:rPr>
        <w:t>”</w:t>
      </w:r>
      <w:r>
        <w:rPr>
          <w:spacing w:val="-3"/>
        </w:rPr>
        <w:t>中青年学术带头人，中国金融学年会理事，中国金融工程年会理事，</w:t>
      </w:r>
      <w:r>
        <w:rPr>
          <w:spacing w:val="-77"/>
        </w:rPr>
        <w:t> </w:t>
      </w:r>
      <w:r>
        <w:rPr>
          <w:spacing w:val="-77"/>
        </w:rPr>
      </w:r>
      <w:r>
        <w:rPr>
          <w:spacing w:val="-2"/>
        </w:rPr>
        <w:t>江苏省金融青联常委委员，江苏省国际金融学会常务理事，江苏省科技创业导师，东南大学金融安全大数据实验室主任，东</w:t>
      </w:r>
      <w:r>
        <w:rPr>
          <w:spacing w:val="-64"/>
        </w:rPr>
        <w:t> </w:t>
      </w:r>
      <w:r>
        <w:rPr>
          <w:spacing w:val="-64"/>
        </w:rPr>
      </w:r>
      <w:r>
        <w:rPr/>
        <w:t>南大学金融工程研究中心主任，东南大学人文社科学部委员。</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月至今任东南大学经济管理学院金融系主任、教授， 金融学专业博士生导师。现任江苏宁沪高速公路股份有限公司独立董事。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月至今任本公司独立董事。 </w:t>
      </w:r>
      <w:r>
        <w:rPr>
          <w:rFonts w:ascii="Times New Roman" w:hAnsi="Times New Roman" w:cs="Times New Roman" w:eastAsia="Times New Roman" w:hint="default"/>
        </w:rPr>
        <w:t>9</w:t>
      </w:r>
      <w:r>
        <w:rPr/>
        <w:t>、洪磊先生，</w:t>
      </w:r>
      <w:r>
        <w:rPr>
          <w:rFonts w:ascii="Times New Roman" w:hAnsi="Times New Roman" w:cs="Times New Roman" w:eastAsia="Times New Roman" w:hint="default"/>
        </w:rPr>
        <w:t>1970</w:t>
      </w:r>
      <w:r>
        <w:rPr/>
        <w:t>年出生，大学本科学历，中国国籍，无境外永久居留权</w:t>
      </w:r>
      <w:r>
        <w:rPr>
          <w:rFonts w:ascii="Times New Roman" w:hAnsi="Times New Roman" w:cs="Times New Roman" w:eastAsia="Times New Roman" w:hint="default"/>
        </w:rPr>
        <w:t>,</w:t>
      </w:r>
      <w:r>
        <w:rPr/>
        <w:t>曾担任南京会计师事务所项目经理、南京市注册 </w:t>
      </w:r>
      <w:r>
        <w:rPr>
          <w:spacing w:val="-2"/>
        </w:rPr>
        <w:t>会计师协会监管培训部主任、江苏天宏华信会计师事务所副所长、南京华信融资租赁有限公司董事等职。现任上会会计师事</w:t>
      </w:r>
    </w:p>
    <w:p>
      <w:pPr>
        <w:spacing w:after="0" w:line="304" w:lineRule="auto"/>
        <w:jc w:val="left"/>
        <w:sectPr>
          <w:pgSz w:w="11910" w:h="16840"/>
          <w:pgMar w:header="745" w:footer="979" w:top="1060" w:bottom="1160" w:left="600" w:right="0"/>
        </w:sectPr>
      </w:pPr>
    </w:p>
    <w:p>
      <w:pPr>
        <w:spacing w:line="240" w:lineRule="auto" w:before="10"/>
        <w:rPr>
          <w:rFonts w:ascii="宋体" w:hAnsi="宋体" w:cs="宋体" w:eastAsia="宋体" w:hint="default"/>
          <w:sz w:val="25"/>
          <w:szCs w:val="25"/>
        </w:rPr>
      </w:pPr>
    </w:p>
    <w:p>
      <w:pPr>
        <w:pStyle w:val="BodyText"/>
        <w:spacing w:line="302" w:lineRule="auto" w:before="44"/>
        <w:ind w:right="1033"/>
        <w:jc w:val="left"/>
      </w:pPr>
      <w:r>
        <w:rPr/>
        <w:t>务所南京分所副所长、江苏太平洋石英股份有限公司独立董事。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月任本公司独立董事。 </w:t>
      </w:r>
      <w:r>
        <w:rPr>
          <w:rFonts w:ascii="Times New Roman" w:hAnsi="Times New Roman" w:cs="Times New Roman" w:eastAsia="Times New Roman" w:hint="default"/>
        </w:rPr>
        <w:t>10</w:t>
      </w:r>
      <w:r>
        <w:rPr/>
        <w:t>、周斌先生，</w:t>
      </w:r>
      <w:r>
        <w:rPr>
          <w:rFonts w:ascii="Times New Roman" w:hAnsi="Times New Roman" w:cs="Times New Roman" w:eastAsia="Times New Roman" w:hint="default"/>
        </w:rPr>
        <w:t>1972</w:t>
      </w:r>
      <w:r>
        <w:rPr/>
        <w:t>年出生，大学研究生学历，中国国籍，无境外永久居留权</w:t>
      </w:r>
      <w:r>
        <w:rPr>
          <w:rFonts w:ascii="Times New Roman" w:hAnsi="Times New Roman" w:cs="Times New Roman" w:eastAsia="Times New Roman" w:hint="default"/>
        </w:rPr>
        <w:t>,</w:t>
      </w:r>
      <w:r>
        <w:rPr/>
        <w:t>曾任电子科技大学党委宣传部干事、北京世 </w:t>
      </w:r>
      <w:r>
        <w:rPr>
          <w:spacing w:val="-2"/>
        </w:rPr>
        <w:t>联新纪元律师事务所律师、北京市中伦金通律师事务所律师、北京市君合律师事务所律师、北京市中伦律师事务所合伙人律</w:t>
      </w:r>
      <w:r>
        <w:rPr>
          <w:spacing w:val="-63"/>
        </w:rPr>
        <w:t> </w:t>
      </w:r>
      <w:r>
        <w:rPr>
          <w:spacing w:val="-63"/>
        </w:rPr>
      </w:r>
      <w:r>
        <w:rPr/>
        <w:t>师，现任北京中伦（成都）律师事务所合伙人律师、牡丹江恒丰纸业股份有限公司独立董事、清华大学经管学院</w:t>
      </w:r>
      <w:r>
        <w:rPr>
          <w:rFonts w:ascii="Times New Roman" w:hAnsi="Times New Roman" w:cs="Times New Roman" w:eastAsia="Times New Roman" w:hint="default"/>
        </w:rPr>
        <w:t>MBA</w:t>
      </w:r>
      <w:r>
        <w:rPr/>
        <w:t>校友</w:t>
      </w:r>
      <w:r>
        <w:rPr>
          <w:spacing w:val="2"/>
        </w:rPr>
        <w:t> </w:t>
      </w:r>
      <w:r>
        <w:rPr/>
        <w:t>导师、中国人民大学财金学院专硕校外导师。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月任本公司独立董事。 </w:t>
      </w:r>
      <w:r>
        <w:rPr>
          <w:rFonts w:ascii="Times New Roman" w:hAnsi="Times New Roman" w:cs="Times New Roman" w:eastAsia="Times New Roman" w:hint="default"/>
        </w:rPr>
        <w:t>11</w:t>
      </w:r>
      <w:r>
        <w:rPr/>
        <w:t>、桑传刚先生，</w:t>
      </w:r>
      <w:r>
        <w:rPr>
          <w:rFonts w:ascii="Times New Roman" w:hAnsi="Times New Roman" w:cs="Times New Roman" w:eastAsia="Times New Roman" w:hint="default"/>
        </w:rPr>
        <w:t>1975</w:t>
      </w:r>
      <w:r>
        <w:rPr/>
        <w:t>年出生，硕士学历，中国国籍，无境外永久居留权，曾担任江苏省常州监狱宣教科长、办公室主任、 政治处主任、晶昇服饰有限公司总经理，江苏省监狱管理局行政处副处长、江苏金源置业有限公司董事长兼总经理。</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4</w:t>
      </w:r>
      <w:r>
        <w:rPr/>
        <w:t>月至今担任本公司行政总监。</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月至今任本公司监事会主席。 </w:t>
      </w:r>
      <w:r>
        <w:rPr>
          <w:rFonts w:ascii="Times New Roman" w:hAnsi="Times New Roman" w:cs="Times New Roman" w:eastAsia="Times New Roman" w:hint="default"/>
          <w:spacing w:val="-2"/>
        </w:rPr>
        <w:t>12</w:t>
      </w:r>
      <w:r>
        <w:rPr>
          <w:spacing w:val="-2"/>
        </w:rPr>
        <w:t>、王媛媛女士，</w:t>
      </w:r>
      <w:r>
        <w:rPr>
          <w:rFonts w:ascii="Times New Roman" w:hAnsi="Times New Roman" w:cs="Times New Roman" w:eastAsia="Times New Roman" w:hint="default"/>
          <w:spacing w:val="-2"/>
        </w:rPr>
        <w:t>1980</w:t>
      </w:r>
      <w:r>
        <w:rPr>
          <w:spacing w:val="-2"/>
        </w:rPr>
        <w:t>年出生，本科学历，中国国籍，无境外永久居留权，曾担任南京艾克丝兰特服饰有限公司业务员，南</w:t>
      </w:r>
      <w:r>
        <w:rPr>
          <w:spacing w:val="-70"/>
        </w:rPr>
        <w:t> </w:t>
      </w:r>
      <w:r>
        <w:rPr>
          <w:spacing w:val="-70"/>
        </w:rPr>
      </w:r>
      <w:r>
        <w:rPr/>
        <w:t>京华瑞服装有限公司外贸业务员。</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月至今，担任本公司企宣主管、党委委员、党群部部长、董事长办公室副主任。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月至今任本公司监事。</w:t>
      </w:r>
    </w:p>
    <w:p>
      <w:pPr>
        <w:pStyle w:val="BodyText"/>
        <w:spacing w:line="304" w:lineRule="auto" w:before="11"/>
        <w:ind w:right="1123"/>
        <w:jc w:val="left"/>
      </w:pPr>
      <w:r>
        <w:rPr>
          <w:rFonts w:ascii="Times New Roman" w:hAnsi="Times New Roman" w:cs="Times New Roman" w:eastAsia="Times New Roman" w:hint="default"/>
          <w:spacing w:val="-2"/>
        </w:rPr>
        <w:t>13</w:t>
      </w:r>
      <w:r>
        <w:rPr>
          <w:spacing w:val="-2"/>
        </w:rPr>
        <w:t>、赵澍先生，</w:t>
      </w:r>
      <w:r>
        <w:rPr>
          <w:rFonts w:ascii="Times New Roman" w:hAnsi="Times New Roman" w:cs="Times New Roman" w:eastAsia="Times New Roman" w:hint="default"/>
          <w:spacing w:val="-2"/>
        </w:rPr>
        <w:t>1974</w:t>
      </w:r>
      <w:r>
        <w:rPr>
          <w:spacing w:val="-2"/>
        </w:rPr>
        <w:t>年出生，硕士学历，中国国籍，无永久境外居留权，曾担任捷开通讯（深圳）有限公司，运营中心总经</w:t>
      </w:r>
      <w:r>
        <w:rPr>
          <w:spacing w:val="-64"/>
        </w:rPr>
        <w:t> </w:t>
      </w:r>
      <w:r>
        <w:rPr>
          <w:spacing w:val="-64"/>
        </w:rPr>
      </w:r>
      <w:r>
        <w:rPr/>
        <w:t>理</w:t>
      </w:r>
      <w:r>
        <w:rPr>
          <w:rFonts w:ascii="Times New Roman" w:hAnsi="Times New Roman" w:cs="Times New Roman" w:eastAsia="Times New Roman" w:hint="default"/>
        </w:rPr>
        <w:t>/TCL</w:t>
      </w:r>
      <w:r>
        <w:rPr/>
        <w:t>品牌执委会委员。</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月任本公司智能终端事业部销售总监。</w:t>
      </w:r>
      <w:r>
        <w:rPr>
          <w:rFonts w:ascii="Times New Roman" w:hAnsi="Times New Roman" w:cs="Times New Roman" w:eastAsia="Times New Roman" w:hint="default"/>
        </w:rPr>
        <w:t>2019</w:t>
      </w:r>
      <w:r>
        <w:rPr/>
        <w:t>年至今任本公司助理总裁。</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4</w:t>
      </w:r>
      <w:r>
        <w:rPr/>
        <w:t>月至今任本公司监事。 </w:t>
      </w:r>
      <w:r>
        <w:rPr>
          <w:rFonts w:ascii="Times New Roman" w:hAnsi="Times New Roman" w:cs="Times New Roman" w:eastAsia="Times New Roman" w:hint="default"/>
          <w:spacing w:val="-2"/>
        </w:rPr>
        <w:t>14</w:t>
      </w:r>
      <w:r>
        <w:rPr>
          <w:spacing w:val="-2"/>
        </w:rPr>
        <w:t>、胡传高先生，</w:t>
      </w:r>
      <w:r>
        <w:rPr>
          <w:rFonts w:ascii="Times New Roman" w:hAnsi="Times New Roman" w:cs="Times New Roman" w:eastAsia="Times New Roman" w:hint="default"/>
          <w:spacing w:val="-2"/>
        </w:rPr>
        <w:t>1972</w:t>
      </w:r>
      <w:r>
        <w:rPr>
          <w:spacing w:val="-2"/>
        </w:rPr>
        <w:t>年出生，中共党员，硕士学历，中国国籍，无永久境外居留权，曾担任南京邮电大学教师、江苏博事</w:t>
      </w:r>
      <w:r>
        <w:rPr>
          <w:spacing w:val="-62"/>
        </w:rPr>
        <w:t> </w:t>
      </w:r>
      <w:r>
        <w:rPr>
          <w:spacing w:val="-62"/>
        </w:rPr>
      </w:r>
      <w:r>
        <w:rPr>
          <w:spacing w:val="-2"/>
        </w:rPr>
        <w:t>达律师事务所专职律师、江苏证监局监管干部、中国证监会公职律师、江苏交易场所登记结算公司副总经理、华鑫证券有限</w:t>
      </w:r>
      <w:r>
        <w:rPr>
          <w:spacing w:val="-65"/>
        </w:rPr>
        <w:t> </w:t>
      </w:r>
      <w:r>
        <w:rPr>
          <w:spacing w:val="-65"/>
        </w:rPr>
      </w:r>
      <w:r>
        <w:rPr/>
        <w:t>责任公司董事会秘书。</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月取得深圳证券交易所董事会秘书资格证。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月至今任本公司副总裁，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月至 今任本公司董事会秘书。 </w:t>
      </w:r>
      <w:r>
        <w:rPr>
          <w:rFonts w:ascii="Times New Roman" w:hAnsi="Times New Roman" w:cs="Times New Roman" w:eastAsia="Times New Roman" w:hint="default"/>
          <w:spacing w:val="-2"/>
        </w:rPr>
        <w:t>15</w:t>
      </w:r>
      <w:r>
        <w:rPr>
          <w:spacing w:val="-2"/>
        </w:rPr>
        <w:t>、邵峰先生，</w:t>
      </w:r>
      <w:r>
        <w:rPr>
          <w:rFonts w:ascii="Times New Roman" w:hAnsi="Times New Roman" w:cs="Times New Roman" w:eastAsia="Times New Roman" w:hint="default"/>
          <w:spacing w:val="-2"/>
        </w:rPr>
        <w:t>1980</w:t>
      </w:r>
      <w:r>
        <w:rPr>
          <w:spacing w:val="-2"/>
        </w:rPr>
        <w:t>年出生，大学专科学历，中国国籍，无境外永久居留权。曾担任江苏苏源高科技有限公司软件开发项目</w:t>
      </w:r>
      <w:r>
        <w:rPr>
          <w:spacing w:val="-63"/>
        </w:rPr>
        <w:t> </w:t>
      </w:r>
      <w:r>
        <w:rPr>
          <w:spacing w:val="-63"/>
        </w:rPr>
      </w:r>
      <w:r>
        <w:rPr>
          <w:spacing w:val="-2"/>
        </w:rPr>
        <w:t>经理、项目管理部部长，本公司项目管理部经理、经营计划部经理、财务部副部长等职务。</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w:t>
      </w:r>
      <w:r>
        <w:rPr>
          <w:spacing w:val="-2"/>
        </w:rPr>
        <w:t>月任本公司</w:t>
      </w:r>
      <w:r>
        <w:rPr>
          <w:spacing w:val="-60"/>
        </w:rPr>
        <w:t> </w:t>
      </w:r>
      <w:r>
        <w:rPr>
          <w:spacing w:val="-60"/>
        </w:rPr>
      </w:r>
      <w:r>
        <w:rPr/>
        <w:t>财务总监。</w:t>
      </w:r>
    </w:p>
    <w:p>
      <w:pPr>
        <w:pStyle w:val="BodyText"/>
        <w:spacing w:line="240" w:lineRule="auto" w:before="68"/>
        <w:ind w:right="0"/>
        <w:jc w:val="left"/>
      </w:pPr>
      <w:r>
        <w:rPr/>
        <w:t>在股东单位任职情况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1"/>
        <w:gridCol w:w="1066"/>
        <w:gridCol w:w="1196"/>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9"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江苏润和科技投资集团有限公司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江苏润和科技投资集团有限公司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0"/>
        <w:jc w:val="left"/>
      </w:pPr>
      <w:r>
        <w:rPr/>
        <w:t>在其他单位任职情况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4"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0"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北京联创智融信息技术有限公司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西安润和软件信息技术有限公司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江苏润和南京软件外包园投资有限公司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江苏软信和熙信息科技有限公司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29.709991pt;margin-top:108.259979pt;width:59.35pt;height:35.2pt;mso-position-horizontal-relative:page;mso-position-vertical-relative:page;z-index:-1329232" coordorigin="6594,2165" coordsize="1187,704">
            <v:group style="position:absolute;left:6594;top:2165;width:1187;height:704" coordorigin="6594,2165" coordsize="1187,704">
              <v:shape style="position:absolute;left:6594;top:2165;width:1187;height:704" coordorigin="6594,2165" coordsize="1187,704" path="m6594,2868l7780,2868,7780,2165,6594,2165,6594,2868xe" filled="true" fillcolor="#ffffff" stroked="false">
                <v:path arrowok="t"/>
                <v:fill type="solid"/>
              </v:shape>
            </v:group>
            <v:group style="position:absolute;left:6618;top:2165;width:1141;height:351" coordorigin="6618,2165" coordsize="1141,351">
              <v:shape style="position:absolute;left:6618;top:2165;width:1141;height:351" coordorigin="6618,2165" coordsize="1141,351" path="m6618,2516l7759,2516,7759,2165,6618,2165,6618,2516xe" filled="true" fillcolor="#ffffff" stroked="false">
                <v:path arrowok="t"/>
                <v:fill type="solid"/>
              </v:shape>
            </v:group>
            <v:group style="position:absolute;left:6618;top:2516;width:1141;height:353" coordorigin="6618,2516" coordsize="1141,353">
              <v:shape style="position:absolute;left:6618;top:2516;width:1141;height:353" coordorigin="6618,2516" coordsize="1141,353" path="m6618,2868l7759,2868,7759,2516,6618,2516,6618,286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江苏润和捷诚科技产业投资有限公司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株式会社ホープラン東京</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代表取缔役 社长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HopeRun Technology</w:t>
            </w:r>
            <w:r>
              <w:rPr>
                <w:rFonts w:ascii="Times New Roman"/>
                <w:spacing w:val="-25"/>
                <w:sz w:val="18"/>
              </w:rPr>
              <w:t> </w:t>
            </w:r>
            <w:r>
              <w:rPr>
                <w:rFonts w:ascii="Times New Roman"/>
                <w:sz w:val="18"/>
              </w:rPr>
              <w:t>Corporation</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江苏润联信息技术有限公司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南京市润企科技小额贷款有限公司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江苏红土软件创业投资有限公司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北京捷科智诚科技有限公司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上海捷科智诚科技有限公司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福州捷科智诚信息科技有限公司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上海润和信息技术服务有限公司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上海菲耐得信息科技有限公司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西安润和软件信息技术有限公司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武汉宁润软件信息技术有限公司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北京润和汇智信息技术有限公司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深圳润和汇智信息技术有限公司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江苏润和南京软件外包园投资有限公司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广州润和颐能软件技术有限公司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香港润和信息技术投资有限公司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HopeRun Software Singapore Pte.</w:t>
            </w:r>
            <w:r>
              <w:rPr>
                <w:rFonts w:ascii="Times New Roman"/>
                <w:spacing w:val="-13"/>
                <w:sz w:val="18"/>
              </w:rPr>
              <w:t> </w:t>
            </w:r>
            <w:r>
              <w:rPr>
                <w:rFonts w:ascii="Times New Roman"/>
                <w:sz w:val="18"/>
              </w:rPr>
              <w:t>Ltd.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株式会社ホープラン東京</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取缔役</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HopeRun Technology</w:t>
            </w:r>
            <w:r>
              <w:rPr>
                <w:rFonts w:ascii="Times New Roman"/>
                <w:spacing w:val="-25"/>
                <w:sz w:val="18"/>
              </w:rPr>
              <w:t> </w:t>
            </w:r>
            <w:r>
              <w:rPr>
                <w:rFonts w:ascii="Times New Roman"/>
                <w:sz w:val="18"/>
              </w:rPr>
              <w:t>Corporation</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12"/>
                <w:sz w:val="18"/>
                <w:szCs w:val="18"/>
              </w:rPr>
              <w:t>董事、副总经</w:t>
            </w:r>
            <w:r>
              <w:rPr>
                <w:rFonts w:ascii="宋体" w:hAnsi="宋体" w:cs="宋体" w:eastAsia="宋体" w:hint="default"/>
                <w:sz w:val="18"/>
                <w:szCs w:val="18"/>
              </w:rPr>
              <w:t>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江苏润和智融科技有限公司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南京润和润云科技有限公司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南京润宏置业有限公司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江苏润和南京软件外包园置业有限公司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19"/>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上海润舸投资管理有限公司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南京泉创信息科技有限公司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南京润林网络科技有限公司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北京联创智融信息技术有限公司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北京捷科智诚科技有限公司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上海菲耐得信息科技有限公司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北京润和汇智信息技术有限公司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苏州博纳讯动软件有限公司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江苏泰乐城医疗投资股份有限公司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南京贝元铭企业管理咨询有限公司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南京顿益科技有限公司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刘延新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南京润辰科技有限公司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潘晓虎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南京东方颐年养老服务有限公司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29.709991pt;margin-top:500.949982pt;width:59.35pt;height:66.4pt;mso-position-horizontal-relative:page;mso-position-vertical-relative:page;z-index:-1329208" coordorigin="6594,10019" coordsize="1187,1328">
            <v:group style="position:absolute;left:6594;top:10019;width:1187;height:1328" coordorigin="6594,10019" coordsize="1187,1328">
              <v:shape style="position:absolute;left:6594;top:10019;width:1187;height:1328" coordorigin="6594,10019" coordsize="1187,1328" path="m6594,11346l7780,11346,7780,10019,6594,10019,6594,11346xe" filled="true" fillcolor="#ffffff" stroked="false">
                <v:path arrowok="t"/>
                <v:fill type="solid"/>
              </v:shape>
            </v:group>
            <v:group style="position:absolute;left:6618;top:10331;width:1141;height:353" coordorigin="6618,10331" coordsize="1141,353">
              <v:shape style="position:absolute;left:6618;top:10331;width:1141;height:353" coordorigin="6618,10331" coordsize="1141,353" path="m6618,10684l7759,10684,7759,10331,6618,10331,6618,10684xe" filled="true" fillcolor="#ffffff" stroked="false">
                <v:path arrowok="t"/>
                <v:fill type="solid"/>
              </v:shape>
            </v:group>
            <v:group style="position:absolute;left:6618;top:10684;width:1141;height:351" coordorigin="6618,10684" coordsize="1141,351">
              <v:shape style="position:absolute;left:6618;top:10684;width:1141;height:351" coordorigin="6618,10684" coordsize="1141,351" path="m6618,11034l7759,11034,7759,10684,6618,10684,6618,1103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潘晓虎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江苏柯菲平医药股份有限公司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潘晓虎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南京创业投资管理有限公司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潘晓虎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南京智真电子科技股份有限公司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潘晓虎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南京中源创业投资有限公司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永安行科技股份有限公司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江苏永安行低碳科技有限公司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恒生电子股份有限公司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易视腾科技股份有限公司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杨春福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江苏凯伦建材股份有限公司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杨春福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江苏德纳化学股份有限公司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杨春福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南京新街口百货商店股份有限公司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杨春福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河海大学法学院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12"/>
                <w:sz w:val="18"/>
                <w:szCs w:val="18"/>
              </w:rPr>
              <w:t>教授、博士生</w:t>
            </w:r>
            <w:r>
              <w:rPr>
                <w:rFonts w:ascii="宋体" w:hAnsi="宋体" w:cs="宋体" w:eastAsia="宋体" w:hint="default"/>
                <w:sz w:val="18"/>
                <w:szCs w:val="18"/>
              </w:rPr>
              <w:t> 导师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刘晓星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东南大学经济管理学院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金融系主任 </w:t>
            </w:r>
            <w:r>
              <w:rPr>
                <w:rFonts w:ascii="宋体" w:hAnsi="宋体" w:cs="宋体" w:eastAsia="宋体" w:hint="default"/>
                <w:spacing w:val="-12"/>
                <w:sz w:val="18"/>
                <w:szCs w:val="18"/>
              </w:rPr>
              <w:t>教授，金融学</w:t>
            </w:r>
            <w:r>
              <w:rPr>
                <w:rFonts w:ascii="宋体" w:hAnsi="宋体" w:cs="宋体" w:eastAsia="宋体" w:hint="default"/>
                <w:sz w:val="18"/>
                <w:szCs w:val="18"/>
              </w:rPr>
              <w:t> 专业博士生 导师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刘晓星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江苏宁沪高速公路股份有限公司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刘晓星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6"/>
              <w:jc w:val="left"/>
              <w:rPr>
                <w:rFonts w:ascii="宋体" w:hAnsi="宋体" w:cs="宋体" w:eastAsia="宋体" w:hint="default"/>
                <w:sz w:val="18"/>
                <w:szCs w:val="18"/>
              </w:rPr>
            </w:pPr>
            <w:r>
              <w:rPr>
                <w:rFonts w:ascii="宋体" w:hAnsi="宋体" w:cs="宋体" w:eastAsia="宋体" w:hint="default"/>
                <w:sz w:val="18"/>
                <w:szCs w:val="18"/>
              </w:rPr>
              <w:t>教育部高等学校金融类专业教学指导委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江苏太平洋石英股份有限公司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上会会计师事务所南京分所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副所长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南京新工投资集团有限责任公司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洪磊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南京华信融资租赁有限公司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363"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牡丹江恒丰纸业股份有限公司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松原市善德农业有限公司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深圳阳煤金陵产业投资基金有限公司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盘锦中泽电子产业投资管理有限公司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成都市破产管理人协会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秘书长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北京联创智融信息技术有限公司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北京捷科智诚科技有限公司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上海捷科智诚科技有限公司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福州捷科智诚信息科技有限公司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上海菲耐得信息科技有限公司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上海润和信息技术服务有限公司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武汉宁润软件信息技术有限公司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西安润和软件信息技术有限公司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江苏润和南京软件外包园投资有限公司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江苏软信和熙信息科技有限公司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江苏润和捷诚科技产业投资有限公司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北京润和汇智信息技术有限公司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深圳润和汇智信息技术有限公司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江苏润和智融科技有限公司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新维数联（北京）科技有限公司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南京润和润云科技有限公司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广州润和颐能软件技术有限公司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上海润宁信息科技有限公司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江苏润和智融科技有限公司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南京淳泰投资管理有限公司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南京澜和电子商务有限公司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胡传高</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江苏鑫合易家信息技术有限责任公司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邵峰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北京润和汇智信息技术有限公司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邵峰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深圳润和汇智信息技术有限公司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邵峰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润和云（上海）科技有限公司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邵峰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新维数联（北京）科技有限公司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公司现任及报告期内离任董事、监事和高级管理人员近三年证券监管机构处罚的情况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董事、监事、高级管理人员报酬的决策程序、确定依据、实际支付情况</w:t>
      </w:r>
    </w:p>
    <w:p>
      <w:pPr>
        <w:pStyle w:val="BodyText"/>
        <w:spacing w:line="312" w:lineRule="auto" w:before="118"/>
        <w:ind w:right="0"/>
        <w:jc w:val="left"/>
      </w:pPr>
      <w:r>
        <w:rPr>
          <w:rFonts w:ascii="Times New Roman" w:hAnsi="Times New Roman" w:cs="Times New Roman" w:eastAsia="Times New Roman" w:hint="default"/>
        </w:rPr>
        <w:t>1</w:t>
      </w:r>
      <w:r>
        <w:rPr/>
        <w:t>、董事、监事、高级管理人员报酬的决策程序：公司董事、监事报酬由股东大会决定，高级管理人员报酬由董事会决定； </w:t>
      </w:r>
      <w:r>
        <w:rPr>
          <w:spacing w:val="-2"/>
        </w:rPr>
        <w:t>在公司担任职务的董事、监事和高级管理人员报酬由公司支付，董事、监事不另外支付津贴。独立董事津贴依据股东大会决</w:t>
      </w:r>
      <w:r>
        <w:rPr>
          <w:spacing w:val="-64"/>
        </w:rPr>
        <w:t> </w:t>
      </w:r>
      <w:r>
        <w:rPr>
          <w:spacing w:val="-64"/>
        </w:rPr>
      </w:r>
      <w:r>
        <w:rPr/>
        <w:t>议支付，独立董事会务费据实报销。 </w:t>
      </w:r>
      <w:r>
        <w:rPr>
          <w:rFonts w:ascii="Times New Roman" w:hAnsi="Times New Roman" w:cs="Times New Roman" w:eastAsia="Times New Roman" w:hint="default"/>
          <w:spacing w:val="-2"/>
        </w:rPr>
        <w:t>2</w:t>
      </w:r>
      <w:r>
        <w:rPr>
          <w:spacing w:val="-2"/>
        </w:rPr>
        <w:t>、董事、监事、高级管理人员报酬的确定依据：依据公司盈利水平及各董事、监事、高级管理人员的分工及履行情况确定。</w:t>
      </w:r>
    </w:p>
    <w:p>
      <w:pPr>
        <w:pStyle w:val="BodyText"/>
        <w:spacing w:line="300" w:lineRule="auto" w:before="3"/>
        <w:ind w:right="1118"/>
        <w:jc w:val="left"/>
      </w:pPr>
      <w:r>
        <w:rPr>
          <w:rFonts w:ascii="Times New Roman" w:hAnsi="Times New Roman" w:cs="Times New Roman" w:eastAsia="Times New Roman" w:hint="default"/>
          <w:spacing w:val="-5"/>
        </w:rPr>
        <w:t>3</w:t>
      </w:r>
      <w:r>
        <w:rPr>
          <w:spacing w:val="-5"/>
        </w:rPr>
        <w:t>、董事、监事、高级管理人员报酬的实际支付情况：公司报告期内董事、监事、高级管理人员共</w:t>
      </w:r>
      <w:r>
        <w:rPr>
          <w:rFonts w:ascii="Times New Roman" w:hAnsi="Times New Roman" w:cs="Times New Roman" w:eastAsia="Times New Roman" w:hint="default"/>
          <w:spacing w:val="-5"/>
        </w:rPr>
        <w:t>15</w:t>
      </w:r>
      <w:r>
        <w:rPr>
          <w:spacing w:val="-5"/>
        </w:rPr>
        <w:t>人，</w:t>
      </w:r>
      <w:r>
        <w:rPr>
          <w:rFonts w:ascii="Times New Roman" w:hAnsi="Times New Roman" w:cs="Times New Roman" w:eastAsia="Times New Roman" w:hint="default"/>
          <w:spacing w:val="-5"/>
        </w:rPr>
        <w:t>2019</w:t>
      </w:r>
      <w:r>
        <w:rPr>
          <w:spacing w:val="-5"/>
        </w:rPr>
        <w:t>年实际支付</w:t>
      </w:r>
      <w:r>
        <w:rPr>
          <w:rFonts w:ascii="Times New Roman" w:hAnsi="Times New Roman" w:cs="Times New Roman" w:eastAsia="Times New Roman" w:hint="default"/>
          <w:spacing w:val="-5"/>
        </w:rPr>
        <w:t>699.34</w:t>
      </w:r>
      <w:r>
        <w:rPr>
          <w:rFonts w:ascii="Times New Roman" w:hAnsi="Times New Roman" w:cs="Times New Roman" w:eastAsia="Times New Roman" w:hint="default"/>
        </w:rPr>
        <w:t> </w:t>
      </w:r>
      <w:r>
        <w:rPr/>
        <w:t>万元。</w:t>
      </w:r>
    </w:p>
    <w:p>
      <w:pPr>
        <w:pStyle w:val="BodyText"/>
        <w:spacing w:line="240" w:lineRule="auto" w:before="72"/>
        <w:ind w:right="0"/>
        <w:jc w:val="left"/>
      </w:pPr>
      <w:r>
        <w:rPr/>
        <w:t>公司报告期内董事、监事和高级管理人员报酬情况</w:t>
      </w:r>
    </w:p>
    <w:p>
      <w:pPr>
        <w:pStyle w:val="BodyText"/>
        <w:spacing w:line="240" w:lineRule="auto" w:before="115"/>
        <w:ind w:left="0" w:right="1130"/>
        <w:jc w:val="right"/>
      </w:pPr>
      <w:r>
        <w:rPr/>
        <w:t>单位：万元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1563"/>
        <w:gridCol w:w="1700"/>
        <w:gridCol w:w="1270"/>
        <w:gridCol w:w="1366"/>
        <w:gridCol w:w="1369"/>
        <w:gridCol w:w="1366"/>
        <w:gridCol w:w="1721"/>
      </w:tblGrid>
      <w:tr>
        <w:trPr>
          <w:trHeight w:val="713" w:hRule="exact"/>
        </w:trPr>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93"/>
              <w:jc w:val="right"/>
              <w:rPr>
                <w:rFonts w:ascii="宋体" w:hAnsi="宋体" w:cs="宋体" w:eastAsia="宋体" w:hint="default"/>
                <w:sz w:val="18"/>
                <w:szCs w:val="18"/>
              </w:rPr>
            </w:pPr>
            <w:r>
              <w:rPr>
                <w:rFonts w:ascii="宋体" w:hAnsi="宋体" w:cs="宋体" w:eastAsia="宋体" w:hint="default"/>
                <w:sz w:val="18"/>
                <w:szCs w:val="18"/>
              </w:rPr>
              <w:t>姓名</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5" w:right="45" w:hanging="541"/>
              <w:jc w:val="left"/>
              <w:rPr>
                <w:rFonts w:ascii="宋体" w:hAnsi="宋体" w:cs="宋体" w:eastAsia="宋体" w:hint="default"/>
                <w:sz w:val="18"/>
                <w:szCs w:val="18"/>
              </w:rPr>
            </w:pPr>
            <w:r>
              <w:rPr>
                <w:rFonts w:ascii="宋体" w:hAnsi="宋体" w:cs="宋体" w:eastAsia="宋体" w:hint="default"/>
                <w:sz w:val="18"/>
                <w:szCs w:val="18"/>
              </w:rPr>
              <w:t>是否在公司关联方获 取报酬</w:t>
            </w:r>
          </w:p>
        </w:tc>
      </w:tr>
      <w:tr>
        <w:trPr>
          <w:trHeight w:val="40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18.9</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66.12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135.97</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刘延新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董事、高级副总裁</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潘晓虎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朱超</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洪磊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杨春福</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刘晓星</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周斌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66.8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赵澍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53.44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王媛媛</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16.11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胡传高</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邵峰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93"/>
              <w:jc w:val="right"/>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699.34</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left="533" w:right="1123"/>
        <w:jc w:val="left"/>
      </w:pPr>
      <w:r>
        <w:rPr/>
        <w:t>公司董事、高级管理人员报告期内被授予的股权激励情况</w:t>
      </w:r>
    </w:p>
    <w:p>
      <w:pPr>
        <w:pStyle w:val="BodyText"/>
        <w:spacing w:line="240" w:lineRule="auto" w:before="115"/>
        <w:ind w:left="533"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left="533" w:right="1123"/>
        <w:jc w:val="left"/>
        <w:rPr>
          <w:b w:val="0"/>
          <w:bCs w:val="0"/>
        </w:rPr>
      </w:pPr>
      <w:r>
        <w:rPr/>
        <w:t>五、公司员工情况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left="533" w:right="112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52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7,173</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9,920</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9,217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600" w:right="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564</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9,920</w:t>
            </w:r>
          </w:p>
        </w:tc>
      </w:tr>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硕士及以上学历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6,957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大专及以下学历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9,920</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130"/>
        <w:jc w:val="both"/>
      </w:pPr>
      <w:r>
        <w:rPr>
          <w:spacing w:val="-2"/>
        </w:rPr>
        <w:t>公司的薪酬战略以公司总体经营发展战略为基础，并结合公司年度的营运目标、市场竞争状况，分解确立为年度薪酬管理目</w:t>
      </w:r>
      <w:r>
        <w:rPr>
          <w:spacing w:val="-63"/>
        </w:rPr>
        <w:t> </w:t>
      </w:r>
      <w:r>
        <w:rPr>
          <w:spacing w:val="-63"/>
        </w:rPr>
      </w:r>
      <w:r>
        <w:rPr>
          <w:spacing w:val="-2"/>
        </w:rPr>
        <w:t>标和策略。通过建立以岗位价值和绩效为导向形成的薪酬分配体系，保障核心管理人员和技术人员的稳定性；以及科学的薪</w:t>
      </w:r>
      <w:r>
        <w:rPr>
          <w:spacing w:val="-63"/>
        </w:rPr>
        <w:t> </w:t>
      </w:r>
      <w:r>
        <w:rPr>
          <w:spacing w:val="-63"/>
        </w:rPr>
      </w:r>
      <w:r>
        <w:rPr>
          <w:spacing w:val="-2"/>
        </w:rPr>
        <w:t>酬结构、带宽设置，规范的调整、计发规则，形成责权利相统一，报酬、贡献及风险相对称的激励约束机制，以提高员工的</w:t>
      </w:r>
      <w:r>
        <w:rPr>
          <w:spacing w:val="-73"/>
        </w:rPr>
        <w:t> </w:t>
      </w:r>
      <w:r>
        <w:rPr>
          <w:spacing w:val="-73"/>
        </w:rPr>
      </w:r>
      <w:r>
        <w:rPr/>
        <w:t>工作积极性，促进员工工作业绩与素质的提高，实现公司效益的增长。</w:t>
      </w:r>
    </w:p>
    <w:p>
      <w:pPr>
        <w:pStyle w:val="BodyText"/>
        <w:spacing w:line="319" w:lineRule="auto" w:before="59"/>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w:t>
      </w:r>
      <w:r>
        <w:rPr>
          <w:spacing w:val="-1"/>
        </w:rPr>
        <w:t>职工薪酬总额（计入主营成本部分）为</w:t>
      </w:r>
      <w:r>
        <w:rPr>
          <w:rFonts w:ascii="Times New Roman" w:hAnsi="Times New Roman" w:cs="Times New Roman" w:eastAsia="Times New Roman" w:hint="default"/>
          <w:spacing w:val="-1"/>
        </w:rPr>
        <w:t>115,001.43</w:t>
      </w:r>
      <w:r>
        <w:rPr>
          <w:spacing w:val="-1"/>
        </w:rPr>
        <w:t>万元</w:t>
      </w:r>
      <w:r>
        <w:rPr>
          <w:rFonts w:ascii="Times New Roman" w:hAnsi="Times New Roman" w:cs="Times New Roman" w:eastAsia="Times New Roman" w:hint="default"/>
          <w:spacing w:val="-1"/>
        </w:rPr>
        <w:t>,</w:t>
      </w:r>
      <w:r>
        <w:rPr>
          <w:spacing w:val="-1"/>
        </w:rPr>
        <w:t>职工薪酬总额（计入主营成本部分）及占公司主营业务成本总额的比</w:t>
      </w:r>
      <w:r>
        <w:rPr>
          <w:spacing w:val="-74"/>
        </w:rPr>
        <w:t> </w:t>
      </w:r>
      <w:r>
        <w:rPr>
          <w:spacing w:val="-74"/>
        </w:rPr>
      </w:r>
      <w:r>
        <w:rPr>
          <w:spacing w:val="-1"/>
        </w:rPr>
        <w:t>重为</w:t>
      </w:r>
      <w:r>
        <w:rPr>
          <w:rFonts w:ascii="Times New Roman" w:hAnsi="Times New Roman" w:cs="Times New Roman" w:eastAsia="Times New Roman" w:hint="default"/>
          <w:spacing w:val="-1"/>
        </w:rPr>
        <w:t>75.48%</w:t>
      </w:r>
      <w:r>
        <w:rPr>
          <w:spacing w:val="-1"/>
        </w:rPr>
        <w:t>；归母净利润较上年减少</w:t>
      </w:r>
      <w:r>
        <w:rPr>
          <w:rFonts w:ascii="Times New Roman" w:hAnsi="Times New Roman" w:cs="Times New Roman" w:eastAsia="Times New Roman" w:hint="default"/>
          <w:spacing w:val="-1"/>
        </w:rPr>
        <w:t>670.72%</w:t>
      </w:r>
      <w:r>
        <w:rPr>
          <w:spacing w:val="-1"/>
        </w:rPr>
        <w:t>，职工薪酬总额（计入主营成本部分）较上增长</w:t>
      </w:r>
      <w:r>
        <w:rPr>
          <w:rFonts w:ascii="Times New Roman" w:hAnsi="Times New Roman" w:cs="Times New Roman" w:eastAsia="Times New Roman" w:hint="default"/>
          <w:spacing w:val="-1"/>
        </w:rPr>
        <w:t>58.60%</w:t>
      </w:r>
      <w:r>
        <w:rPr>
          <w:spacing w:val="-1"/>
        </w:rPr>
        <w:t>，归母净利润增长幅度</w:t>
      </w:r>
    </w:p>
    <w:p>
      <w:pPr>
        <w:pStyle w:val="BodyText"/>
        <w:spacing w:line="309" w:lineRule="auto"/>
        <w:ind w:right="1183"/>
        <w:jc w:val="left"/>
      </w:pPr>
      <w:r>
        <w:rPr/>
        <w:t>小于职工薪酬总额（计入主营成本部分）增长幅度。 </w:t>
      </w:r>
      <w:r>
        <w:rPr>
          <w:rFonts w:ascii="Times New Roman" w:hAnsi="Times New Roman" w:cs="Times New Roman" w:eastAsia="Times New Roman" w:hint="default"/>
        </w:rPr>
        <w:t>2019</w:t>
      </w:r>
      <w:r>
        <w:rPr/>
        <w:t>年核心技术人员数量占技术人员数量比重为</w:t>
      </w:r>
      <w:r>
        <w:rPr>
          <w:rFonts w:ascii="Times New Roman" w:hAnsi="Times New Roman" w:cs="Times New Roman" w:eastAsia="Times New Roman" w:hint="default"/>
        </w:rPr>
        <w:t>2.19%</w:t>
      </w:r>
      <w:r>
        <w:rPr/>
        <w:t>，其薪酬占技术人员薪酬比重为</w:t>
      </w:r>
      <w:r>
        <w:rPr>
          <w:rFonts w:ascii="Times New Roman" w:hAnsi="Times New Roman" w:cs="Times New Roman" w:eastAsia="Times New Roman" w:hint="default"/>
        </w:rPr>
        <w:t>6.26%</w:t>
      </w:r>
      <w:r>
        <w:rPr/>
        <w:t>，</w:t>
      </w:r>
      <w:r>
        <w:rPr>
          <w:rFonts w:ascii="Times New Roman" w:hAnsi="Times New Roman" w:cs="Times New Roman" w:eastAsia="Times New Roman" w:hint="default"/>
        </w:rPr>
        <w:t>2018</w:t>
      </w:r>
      <w:r>
        <w:rPr/>
        <w:t>年核心技术人员数量占 技术人员数量比重为</w:t>
      </w:r>
      <w:r>
        <w:rPr>
          <w:rFonts w:ascii="Times New Roman" w:hAnsi="Times New Roman" w:cs="Times New Roman" w:eastAsia="Times New Roman" w:hint="default"/>
        </w:rPr>
        <w:t>1.74%</w:t>
      </w:r>
      <w:r>
        <w:rPr/>
        <w:t>，其薪酬占比</w:t>
      </w:r>
      <w:r>
        <w:rPr>
          <w:rFonts w:ascii="Times New Roman" w:hAnsi="Times New Roman" w:cs="Times New Roman" w:eastAsia="Times New Roman" w:hint="default"/>
        </w:rPr>
        <w:t>5.03%</w:t>
      </w:r>
      <w:r>
        <w:rPr/>
        <w:t>，变动较小。</w:t>
      </w:r>
    </w:p>
    <w:p>
      <w:pPr>
        <w:spacing w:line="240" w:lineRule="auto" w:before="8"/>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9" w:lineRule="auto"/>
        <w:ind w:right="1131"/>
        <w:jc w:val="both"/>
      </w:pPr>
      <w:r>
        <w:rPr>
          <w:spacing w:val="-2"/>
        </w:rPr>
        <w:t>公司以绩效改进和行动学习为核心，以提升员工职业技能、职业素养和公司绩效为目标，建立了以</w:t>
      </w:r>
      <w:r>
        <w:rPr>
          <w:rFonts w:ascii="Times New Roman" w:hAnsi="Times New Roman" w:cs="Times New Roman" w:eastAsia="Times New Roman" w:hint="default"/>
          <w:spacing w:val="-2"/>
        </w:rPr>
        <w:t>“</w:t>
      </w:r>
      <w:r>
        <w:rPr>
          <w:spacing w:val="-2"/>
        </w:rPr>
        <w:t>岗前培训</w:t>
      </w:r>
      <w:r>
        <w:rPr>
          <w:rFonts w:ascii="Times New Roman" w:hAnsi="Times New Roman" w:cs="Times New Roman" w:eastAsia="Times New Roman" w:hint="default"/>
          <w:spacing w:val="-2"/>
        </w:rPr>
        <w:t>+</w:t>
      </w:r>
      <w:r>
        <w:rPr>
          <w:spacing w:val="-2"/>
        </w:rPr>
        <w:t>在岗培训，通</w:t>
      </w:r>
      <w:r>
        <w:rPr>
          <w:spacing w:val="-65"/>
        </w:rPr>
        <w:t> </w:t>
      </w:r>
      <w:r>
        <w:rPr>
          <w:spacing w:val="-65"/>
        </w:rPr>
      </w:r>
      <w:r>
        <w:rPr>
          <w:spacing w:val="-2"/>
        </w:rPr>
        <w:t>用技能</w:t>
      </w:r>
      <w:r>
        <w:rPr>
          <w:rFonts w:ascii="Times New Roman" w:hAnsi="Times New Roman" w:cs="Times New Roman" w:eastAsia="Times New Roman" w:hint="default"/>
          <w:spacing w:val="-2"/>
        </w:rPr>
        <w:t>+</w:t>
      </w:r>
      <w:r>
        <w:rPr>
          <w:spacing w:val="-2"/>
        </w:rPr>
        <w:t>专业技能</w:t>
      </w:r>
      <w:r>
        <w:rPr>
          <w:rFonts w:ascii="Times New Roman" w:hAnsi="Times New Roman" w:cs="Times New Roman" w:eastAsia="Times New Roman" w:hint="default"/>
          <w:spacing w:val="-2"/>
        </w:rPr>
        <w:t>”</w:t>
      </w:r>
      <w:r>
        <w:rPr>
          <w:spacing w:val="-2"/>
        </w:rPr>
        <w:t>为基础的培训总体架构，并按照《年度培训计划》持续实施培训和相应的管理工作。目前，公司培训主要</w:t>
      </w:r>
      <w:r>
        <w:rPr>
          <w:spacing w:val="-66"/>
        </w:rPr>
        <w:t> </w:t>
      </w:r>
      <w:r>
        <w:rPr>
          <w:spacing w:val="-66"/>
        </w:rPr>
      </w:r>
      <w:r>
        <w:rPr>
          <w:spacing w:val="-2"/>
        </w:rPr>
        <w:t>分为新人导引类、管理干部类、项目管理类和技术类，并秉持资源充分利用的原则，合理开发内部培训资源和课程，建立了</w:t>
      </w:r>
      <w:r>
        <w:rPr>
          <w:spacing w:val="-67"/>
        </w:rPr>
        <w:t> </w:t>
      </w:r>
      <w:r>
        <w:rPr>
          <w:spacing w:val="-67"/>
        </w:rPr>
      </w:r>
      <w:r>
        <w:rPr>
          <w:spacing w:val="-2"/>
        </w:rPr>
        <w:t>科学的知识分享体系；在培训效果评估的基础上，对培训效果进行持续跟踪，并在此基础上，进行持续改进，以从培训效果</w:t>
      </w:r>
      <w:r>
        <w:rPr>
          <w:spacing w:val="-67"/>
        </w:rPr>
        <w:t> </w:t>
      </w:r>
      <w:r>
        <w:rPr>
          <w:spacing w:val="-67"/>
        </w:rPr>
      </w:r>
      <w:r>
        <w:rPr/>
        <w:t>转化上，对公司各层次的人员培养提供有力地支撑。</w:t>
      </w:r>
    </w:p>
    <w:p>
      <w:pPr>
        <w:spacing w:line="240" w:lineRule="auto" w:before="1"/>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right="1117"/>
        <w:jc w:val="center"/>
        <w:rPr>
          <w:b w:val="0"/>
          <w:bCs w:val="0"/>
        </w:rPr>
      </w:pPr>
      <w:bookmarkStart w:name="_bookmark8" w:id="9"/>
      <w:bookmarkEnd w:id="9"/>
      <w:r>
        <w:rPr>
          <w:b w:val="0"/>
          <w:bCs w:val="0"/>
        </w:rPr>
      </w:r>
      <w:r>
        <w:rPr/>
        <w:t>第十节公司治理</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一、公司治理的基本状况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16" w:lineRule="auto"/>
        <w:ind w:right="1130"/>
        <w:jc w:val="both"/>
      </w:pPr>
      <w:r>
        <w:rPr>
          <w:spacing w:val="-5"/>
        </w:rPr>
        <w:t>报告期内，公司严格按照《公司法》、《证券法》、《上市公司治理准则》、《深圳证券交易所创业板股票上市规则》、《深</w:t>
      </w:r>
      <w:r>
        <w:rPr>
          <w:spacing w:val="-87"/>
        </w:rPr>
        <w:t> </w:t>
      </w:r>
      <w:r>
        <w:rPr>
          <w:spacing w:val="-87"/>
        </w:rPr>
      </w:r>
      <w:r>
        <w:rPr>
          <w:spacing w:val="-2"/>
        </w:rPr>
        <w:t>圳证券交易所创业板上市公司规范运作指引》和其他有关法律法规的要求，不断完善公司法人治理结构，进一步规范公司法</w:t>
      </w:r>
      <w:r>
        <w:rPr>
          <w:spacing w:val="-63"/>
        </w:rPr>
        <w:t> </w:t>
      </w:r>
      <w:r>
        <w:rPr>
          <w:spacing w:val="-63"/>
        </w:rPr>
      </w:r>
      <w:r>
        <w:rPr>
          <w:spacing w:val="-2"/>
        </w:rPr>
        <w:t>人治理结构，建立健全公司内部管理和控制制度。公司本着对投资者高度负责的精神，诚信经营并规范运作，提高公司治理</w:t>
      </w:r>
      <w:r>
        <w:rPr>
          <w:spacing w:val="-66"/>
        </w:rPr>
        <w:t> </w:t>
      </w:r>
      <w:r>
        <w:rPr>
          <w:spacing w:val="-66"/>
        </w:rPr>
      </w:r>
      <w:r>
        <w:rPr>
          <w:spacing w:val="-2"/>
        </w:rPr>
        <w:t>水平，切实履行上市公司义务，促进公司健康发展。截至报告期末，公司治理结构的实际情况符合中国证监会发布的有关上</w:t>
      </w:r>
      <w:r>
        <w:rPr>
          <w:spacing w:val="-64"/>
        </w:rPr>
        <w:t> </w:t>
      </w:r>
      <w:r>
        <w:rPr>
          <w:spacing w:val="-64"/>
        </w:rPr>
      </w:r>
      <w:r>
        <w:rPr/>
        <w:t>市公司治理规范性文件的要求。</w:t>
      </w:r>
    </w:p>
    <w:p>
      <w:pPr>
        <w:pStyle w:val="BodyText"/>
        <w:spacing w:line="309" w:lineRule="auto" w:before="19"/>
        <w:ind w:right="0"/>
        <w:jc w:val="left"/>
      </w:pPr>
      <w:r>
        <w:rPr>
          <w:rFonts w:ascii="Times New Roman" w:hAnsi="Times New Roman" w:cs="Times New Roman" w:eastAsia="Times New Roman" w:hint="default"/>
        </w:rPr>
        <w:t>1</w:t>
      </w:r>
      <w:r>
        <w:rPr/>
        <w:t>、关于股东和股东大会 </w:t>
      </w:r>
      <w:r>
        <w:rPr>
          <w:spacing w:val="-4"/>
        </w:rPr>
        <w:t>公司严格按照《公司法》、《公司章程》和《股东大会议事规则》等法律、法规要求，规范股东大会召集、召开、表决程序，</w:t>
      </w:r>
      <w:r>
        <w:rPr>
          <w:spacing w:val="-45"/>
        </w:rPr>
        <w:t> </w:t>
      </w:r>
      <w:r>
        <w:rPr>
          <w:spacing w:val="-45"/>
        </w:rPr>
      </w:r>
      <w:r>
        <w:rPr/>
        <w:t>确保所有股东享有平等地位、平等权利，充分行使自己的权利，并承担相应的义务。</w:t>
      </w:r>
    </w:p>
    <w:p>
      <w:pPr>
        <w:pStyle w:val="BodyText"/>
        <w:spacing w:line="309" w:lineRule="auto" w:before="24"/>
        <w:ind w:right="1033"/>
        <w:jc w:val="left"/>
      </w:pPr>
      <w:r>
        <w:rPr>
          <w:rFonts w:ascii="Times New Roman" w:hAnsi="Times New Roman" w:cs="Times New Roman" w:eastAsia="Times New Roman" w:hint="default"/>
        </w:rPr>
        <w:t>2</w:t>
      </w:r>
      <w:r>
        <w:rPr/>
        <w:t>、关于公司与控股股东 公司控股股东严格规范自身行为，没有直接或间接干预公司的决策和经营活动。公司具有独立的经营能力，在业务、人员、 资产、机构、财务上独立于控股股东，公司董事会、监事会和内部机构能够独立运作。</w:t>
      </w:r>
    </w:p>
    <w:p>
      <w:pPr>
        <w:pStyle w:val="BodyText"/>
        <w:spacing w:line="240" w:lineRule="auto" w:before="24"/>
        <w:ind w:right="0"/>
        <w:jc w:val="left"/>
      </w:pPr>
      <w:r>
        <w:rPr>
          <w:rFonts w:ascii="Times New Roman" w:hAnsi="Times New Roman" w:cs="Times New Roman" w:eastAsia="Times New Roman" w:hint="default"/>
        </w:rPr>
        <w:t>3</w:t>
      </w:r>
      <w:r>
        <w:rPr/>
        <w:t>、关于董事与董事会</w:t>
      </w:r>
    </w:p>
    <w:p>
      <w:pPr>
        <w:pStyle w:val="BodyText"/>
        <w:spacing w:line="312" w:lineRule="auto" w:before="63"/>
        <w:ind w:right="1033"/>
        <w:jc w:val="left"/>
      </w:pPr>
      <w:r>
        <w:rPr/>
        <w:t>《公司章程》规定董事会由</w:t>
      </w:r>
      <w:r>
        <w:rPr>
          <w:rFonts w:ascii="Times New Roman" w:hAnsi="Times New Roman" w:cs="Times New Roman" w:eastAsia="Times New Roman" w:hint="default"/>
        </w:rPr>
        <w:t>11</w:t>
      </w:r>
      <w:r>
        <w:rPr/>
        <w:t>名董事组成，其中独立董事</w:t>
      </w:r>
      <w:r>
        <w:rPr>
          <w:rFonts w:ascii="Times New Roman" w:hAnsi="Times New Roman" w:cs="Times New Roman" w:eastAsia="Times New Roman" w:hint="default"/>
        </w:rPr>
        <w:t>4</w:t>
      </w:r>
      <w:r>
        <w:rPr/>
        <w:t>名，报告期内公司实际董事为</w:t>
      </w:r>
      <w:r>
        <w:rPr>
          <w:rFonts w:ascii="Times New Roman" w:hAnsi="Times New Roman" w:cs="Times New Roman" w:eastAsia="Times New Roman" w:hint="default"/>
        </w:rPr>
        <w:t>10</w:t>
      </w:r>
      <w:r>
        <w:rPr/>
        <w:t>名，董事会的人数及人员构成符 </w:t>
      </w:r>
      <w:r>
        <w:rPr>
          <w:spacing w:val="-2"/>
        </w:rPr>
        <w:t>合法律、法规和《公司章程》的要求。各位董事能够严格按照《公司法》、《公司章程》和《董事会议事规则》等法律、法</w:t>
      </w:r>
      <w:r>
        <w:rPr>
          <w:spacing w:val="-71"/>
        </w:rPr>
        <w:t> </w:t>
      </w:r>
      <w:r>
        <w:rPr>
          <w:spacing w:val="-71"/>
        </w:rPr>
      </w:r>
      <w:r>
        <w:rPr/>
        <w:t>规开展工作，诚信、勤勉地履行职责，出席董事会会议和股东大会，勤勉尽责地履行职责和义务，同时积极参加有关培训， 熟悉有关法律法规。</w:t>
      </w:r>
    </w:p>
    <w:p>
      <w:pPr>
        <w:pStyle w:val="BodyText"/>
        <w:spacing w:line="307" w:lineRule="auto" w:before="23"/>
        <w:ind w:right="0"/>
        <w:jc w:val="left"/>
      </w:pPr>
      <w:r>
        <w:rPr>
          <w:rFonts w:ascii="Times New Roman" w:hAnsi="Times New Roman" w:cs="Times New Roman" w:eastAsia="Times New Roman" w:hint="default"/>
        </w:rPr>
        <w:t>4</w:t>
      </w:r>
      <w:r>
        <w:rPr/>
        <w:t>、监事与监事会 </w:t>
      </w:r>
      <w:r>
        <w:rPr>
          <w:spacing w:val="-5"/>
        </w:rPr>
        <w:t>公司监事会设监事</w:t>
      </w:r>
      <w:r>
        <w:rPr>
          <w:rFonts w:ascii="Times New Roman" w:hAnsi="Times New Roman" w:cs="Times New Roman" w:eastAsia="Times New Roman" w:hint="default"/>
          <w:spacing w:val="-5"/>
        </w:rPr>
        <w:t>3</w:t>
      </w:r>
      <w:r>
        <w:rPr>
          <w:spacing w:val="-5"/>
        </w:rPr>
        <w:t>名，其中职工监事</w:t>
      </w:r>
      <w:r>
        <w:rPr>
          <w:rFonts w:ascii="Times New Roman" w:hAnsi="Times New Roman" w:cs="Times New Roman" w:eastAsia="Times New Roman" w:hint="default"/>
          <w:spacing w:val="-5"/>
        </w:rPr>
        <w:t>1</w:t>
      </w:r>
      <w:r>
        <w:rPr>
          <w:spacing w:val="-5"/>
        </w:rPr>
        <w:t>名，监事会的人数和构成符合法律、法规的要求。各位监事严格按照《公司法》、《公</w:t>
      </w:r>
      <w:r>
        <w:rPr>
          <w:spacing w:val="-79"/>
        </w:rPr>
        <w:t> </w:t>
      </w:r>
      <w:r>
        <w:rPr>
          <w:spacing w:val="-79"/>
        </w:rPr>
      </w:r>
      <w:r>
        <w:rPr>
          <w:spacing w:val="-2"/>
        </w:rPr>
        <w:t>司章程》和《监事会议事规则》的有关规定认真履行职责，对公司财务状况、重大事项、关联交易以及公司董事及高级管理</w:t>
      </w:r>
      <w:r>
        <w:rPr>
          <w:spacing w:val="-66"/>
        </w:rPr>
        <w:t> </w:t>
      </w:r>
      <w:r>
        <w:rPr>
          <w:spacing w:val="-66"/>
        </w:rPr>
      </w:r>
      <w:r>
        <w:rPr/>
        <w:t>人员履行职责的合法合规性进行监督，维护公司及股东的合法权益。</w:t>
      </w:r>
    </w:p>
    <w:p>
      <w:pPr>
        <w:pStyle w:val="BodyText"/>
        <w:spacing w:line="309" w:lineRule="auto" w:before="26"/>
        <w:ind w:right="0"/>
        <w:jc w:val="left"/>
      </w:pPr>
      <w:r>
        <w:rPr>
          <w:rFonts w:ascii="Times New Roman" w:hAnsi="Times New Roman" w:cs="Times New Roman" w:eastAsia="Times New Roman" w:hint="default"/>
        </w:rPr>
        <w:t>5</w:t>
      </w:r>
      <w:r>
        <w:rPr/>
        <w:t>、关于绩效评价与激励约束机制 </w:t>
      </w:r>
      <w:r>
        <w:rPr>
          <w:spacing w:val="-2"/>
        </w:rPr>
        <w:t>公司董事会下设的薪酬与考核委员会负责对公司的董事、监事、高级管理人员进行绩效考核，公司现有的考核及激励约束机</w:t>
      </w:r>
      <w:r>
        <w:rPr>
          <w:spacing w:val="-63"/>
        </w:rPr>
        <w:t> </w:t>
      </w:r>
      <w:r>
        <w:rPr>
          <w:spacing w:val="-63"/>
        </w:rPr>
      </w:r>
      <w:r>
        <w:rPr/>
        <w:t>制符合公司的发展现状。</w:t>
      </w:r>
    </w:p>
    <w:p>
      <w:pPr>
        <w:pStyle w:val="BodyText"/>
        <w:spacing w:line="307" w:lineRule="auto" w:before="24"/>
        <w:ind w:right="0"/>
        <w:jc w:val="left"/>
      </w:pPr>
      <w:r>
        <w:rPr>
          <w:rFonts w:ascii="Times New Roman" w:hAnsi="Times New Roman" w:cs="Times New Roman" w:eastAsia="Times New Roman" w:hint="default"/>
        </w:rPr>
        <w:t>6</w:t>
      </w:r>
      <w:r>
        <w:rPr/>
        <w:t>、关于信息披露与透明度 </w:t>
      </w:r>
      <w:r>
        <w:rPr>
          <w:spacing w:val="-2"/>
        </w:rPr>
        <w:t>公司严格按照有关法律法规以及《信息披露管理制度》、《投资者关系管理制度》等的要求，真实、准确、及时、公平、完</w:t>
      </w:r>
      <w:r>
        <w:rPr>
          <w:spacing w:val="-72"/>
        </w:rPr>
        <w:t> </w:t>
      </w:r>
      <w:r>
        <w:rPr>
          <w:spacing w:val="-72"/>
        </w:rPr>
      </w:r>
      <w:r>
        <w:rPr>
          <w:spacing w:val="-1"/>
        </w:rPr>
        <w:t>整地披露有关信息；并指定公司董事会秘书负责信息披露工作，协调公司与投资者的关系，接待股东来访</w:t>
      </w:r>
      <w:r>
        <w:rPr>
          <w:rFonts w:ascii="Times New Roman" w:hAnsi="Times New Roman" w:cs="Times New Roman" w:eastAsia="Times New Roman" w:hint="default"/>
          <w:spacing w:val="-1"/>
        </w:rPr>
        <w:t>,</w:t>
      </w:r>
      <w:r>
        <w:rPr>
          <w:spacing w:val="-1"/>
        </w:rPr>
        <w:t>回答投资者咨询，</w:t>
      </w:r>
      <w:r>
        <w:rPr>
          <w:spacing w:val="-73"/>
        </w:rPr>
        <w:t> </w:t>
      </w:r>
      <w:r>
        <w:rPr/>
        <w:t>向投资者提供公司已披露的资料；并指定《证券时报》、《中国证券报》、《上海证券报》、《证券日报》和巨潮资讯网</w:t>
      </w:r>
    </w:p>
    <w:p>
      <w:pPr>
        <w:pStyle w:val="BodyText"/>
        <w:spacing w:line="307" w:lineRule="auto" w:before="26"/>
        <w:ind w:right="1117"/>
        <w:jc w:val="left"/>
      </w:pPr>
      <w:r>
        <w:rPr/>
        <w:t>（</w:t>
      </w:r>
      <w:hyperlink r:id="rId11">
        <w:r>
          <w:rPr>
            <w:rFonts w:ascii="Times New Roman" w:hAnsi="Times New Roman" w:cs="Times New Roman" w:eastAsia="Times New Roman" w:hint="default"/>
          </w:rPr>
          <w:t>www.cninfo.com.cn</w:t>
        </w:r>
      </w:hyperlink>
      <w:r>
        <w:rPr/>
        <w:t>）为公司信息披露的指定报纸和网站，确保公司所有股东能够以平等的机会获得信息。 </w:t>
      </w:r>
      <w:r>
        <w:rPr>
          <w:rFonts w:ascii="Times New Roman" w:hAnsi="Times New Roman" w:cs="Times New Roman" w:eastAsia="Times New Roman" w:hint="default"/>
        </w:rPr>
        <w:t>7</w:t>
      </w:r>
      <w:r>
        <w:rPr/>
        <w:t>、关于相关利益者 </w:t>
      </w:r>
      <w:r>
        <w:rPr>
          <w:spacing w:val="-2"/>
        </w:rPr>
        <w:t>公司能够充分尊重和维护相关利益者的合法权益，积极与相关利益者合作，加强与各方的沟通和交流，实现股东、员工、社</w:t>
      </w:r>
      <w:r>
        <w:rPr>
          <w:spacing w:val="-66"/>
        </w:rPr>
        <w:t> </w:t>
      </w:r>
      <w:r>
        <w:rPr>
          <w:spacing w:val="-66"/>
        </w:rPr>
      </w:r>
      <w:r>
        <w:rPr/>
        <w:t>会等各方面的均衡，共同推动公司持续、稳定、健康地发展。</w:t>
      </w:r>
    </w:p>
    <w:p>
      <w:pPr>
        <w:pStyle w:val="BodyText"/>
        <w:spacing w:line="240" w:lineRule="auto" w:before="67"/>
        <w:ind w:right="0"/>
        <w:jc w:val="left"/>
      </w:pPr>
      <w:r>
        <w:rPr/>
        <w:t>公司治理的实际状况与中国证监会发布的有关上市公司治理的规范性文件是否存在重大差异</w:t>
      </w:r>
    </w:p>
    <w:p>
      <w:pPr>
        <w:pStyle w:val="BodyText"/>
        <w:spacing w:line="340" w:lineRule="auto" w:before="115"/>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8"/>
        <w:rPr>
          <w:rFonts w:ascii="宋体" w:hAnsi="宋体" w:cs="宋体" w:eastAsia="宋体" w:hint="default"/>
          <w:sz w:val="13"/>
          <w:szCs w:val="13"/>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spacing w:val="-4"/>
        </w:rPr>
        <w:t>公司自成立以来严格按照《公司法》、《证券法》等有关法律、法规和《公司章程》的要求规范运作，在业务、资产、人员、</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机构和财务等方面相互独立，具有完整的业务系统及面向市场独立经营的能力，具体情况如下：</w:t>
      </w:r>
    </w:p>
    <w:p>
      <w:pPr>
        <w:pStyle w:val="BodyText"/>
        <w:spacing w:line="314" w:lineRule="auto" w:before="76"/>
        <w:ind w:right="1033"/>
        <w:jc w:val="left"/>
      </w:pPr>
      <w:r>
        <w:rPr>
          <w:rFonts w:ascii="Times New Roman" w:hAnsi="Times New Roman" w:cs="Times New Roman" w:eastAsia="Times New Roman" w:hint="default"/>
        </w:rPr>
        <w:t>1</w:t>
      </w:r>
      <w:r>
        <w:rPr/>
        <w:t>、资产独立 </w:t>
      </w:r>
      <w:r>
        <w:rPr>
          <w:spacing w:val="-4"/>
        </w:rPr>
        <w:t>公司拥有独立固定的生产经营场所，拥有独立完整的研发、设计、采购、生产和销售配套设施及资产，对相关的设备、厂房、</w:t>
      </w:r>
      <w:r>
        <w:rPr>
          <w:spacing w:val="-44"/>
        </w:rPr>
        <w:t> </w:t>
      </w:r>
      <w:r>
        <w:rPr>
          <w:spacing w:val="-44"/>
        </w:rPr>
      </w:r>
      <w:r>
        <w:rPr/>
        <w:t>土地、以及商标、非专利技术等资产均拥有合法的所有权或使用权，不存在依靠股东的生产经营场所进行生产经营的情况， 不存在以公司资产、权益或信誉为股东提供担保的情况，不存在资产、资金被控股股东占用而损害公司利益的情况。 </w:t>
      </w:r>
      <w:r>
        <w:rPr>
          <w:rFonts w:ascii="Times New Roman" w:hAnsi="Times New Roman" w:cs="Times New Roman" w:eastAsia="Times New Roman" w:hint="default"/>
        </w:rPr>
        <w:t>2</w:t>
      </w:r>
      <w:r>
        <w:rPr/>
        <w:t>、人员独立 </w:t>
      </w:r>
      <w:r>
        <w:rPr>
          <w:spacing w:val="-2"/>
        </w:rPr>
        <w:t>公司董事、监事、高级管理人员均严格按照《公司法》、《公司章程》等规定的程序选举或聘任产生；公司高级管理人员不</w:t>
      </w:r>
      <w:r>
        <w:rPr>
          <w:spacing w:val="-65"/>
        </w:rPr>
        <w:t> </w:t>
      </w:r>
      <w:r>
        <w:rPr>
          <w:spacing w:val="-65"/>
        </w:rPr>
      </w:r>
      <w:r>
        <w:rPr>
          <w:spacing w:val="-2"/>
        </w:rPr>
        <w:t>存在在控股股东、实际控制人及其控制的其他企业中担任除董事、监事以外的其他职务，或在控股股东、实际控制人及其控</w:t>
      </w:r>
      <w:r>
        <w:rPr>
          <w:spacing w:val="-64"/>
        </w:rPr>
        <w:t> </w:t>
      </w:r>
      <w:r>
        <w:rPr>
          <w:spacing w:val="-64"/>
        </w:rPr>
      </w:r>
      <w:r>
        <w:rPr>
          <w:spacing w:val="-4"/>
        </w:rPr>
        <w:t>制的其他企业领薪的情形；公司财务人员不存在在控股股东、实际控制人及其控制的其他企业中兼职的情形。公司拥有独立、</w:t>
      </w:r>
      <w:r>
        <w:rPr>
          <w:spacing w:val="-44"/>
        </w:rPr>
        <w:t> </w:t>
      </w:r>
      <w:r>
        <w:rPr>
          <w:spacing w:val="-44"/>
        </w:rPr>
      </w:r>
      <w:r>
        <w:rPr/>
        <w:t>完整的人事管理体系，制定了独立的劳动人事管理制度，由公司独立与员工签订劳动合同。</w:t>
      </w:r>
    </w:p>
    <w:p>
      <w:pPr>
        <w:pStyle w:val="BodyText"/>
        <w:spacing w:line="314" w:lineRule="auto" w:before="20"/>
        <w:ind w:right="1033"/>
        <w:jc w:val="left"/>
      </w:pPr>
      <w:r>
        <w:rPr>
          <w:rFonts w:ascii="Times New Roman" w:hAnsi="Times New Roman" w:cs="Times New Roman" w:eastAsia="Times New Roman" w:hint="default"/>
        </w:rPr>
        <w:t>3</w:t>
      </w:r>
      <w:r>
        <w:rPr/>
        <w:t>、财务独立 </w:t>
      </w:r>
      <w:r>
        <w:rPr>
          <w:spacing w:val="-2"/>
        </w:rPr>
        <w:t>公司设立了独立的财务会计部门，配备了专职的财务人员，建立了独立的会计核算体系，制定了独立的财务管理制度及各项</w:t>
      </w:r>
      <w:r>
        <w:rPr>
          <w:spacing w:val="-65"/>
        </w:rPr>
        <w:t> </w:t>
      </w:r>
      <w:r>
        <w:rPr>
          <w:spacing w:val="-65"/>
        </w:rPr>
      </w:r>
      <w:r>
        <w:rPr>
          <w:spacing w:val="-2"/>
        </w:rPr>
        <w:t>内部控制制度，独立进行会计核算和财务决策。公司拥有独立银行账户，依法独立纳税。公司不存在与控股股东、实际控制</w:t>
      </w:r>
      <w:r>
        <w:rPr>
          <w:spacing w:val="-67"/>
        </w:rPr>
        <w:t> </w:t>
      </w:r>
      <w:r>
        <w:rPr>
          <w:spacing w:val="-67"/>
        </w:rPr>
      </w:r>
      <w:r>
        <w:rPr/>
        <w:t>人及其控制的其他企业共用银行账户的情形；不存在资金被控股股东、实际控制人及其控制的其他企业以借款、代偿债务、</w:t>
      </w:r>
      <w:r>
        <w:rPr/>
        <w:t> 代垫款项或者其他方式占用的情形。</w:t>
      </w:r>
    </w:p>
    <w:p>
      <w:pPr>
        <w:pStyle w:val="BodyText"/>
        <w:spacing w:line="312" w:lineRule="auto" w:before="20"/>
        <w:ind w:right="1117"/>
        <w:jc w:val="left"/>
      </w:pPr>
      <w:r>
        <w:rPr>
          <w:rFonts w:ascii="Times New Roman" w:hAnsi="Times New Roman" w:cs="Times New Roman" w:eastAsia="Times New Roman" w:hint="default"/>
        </w:rPr>
        <w:t>4</w:t>
      </w:r>
      <w:r>
        <w:rPr/>
        <w:t>、机构独立 </w:t>
      </w:r>
      <w:r>
        <w:rPr>
          <w:spacing w:val="-2"/>
        </w:rPr>
        <w:t>公司根据《公司法》和《公司章程》的要求，设置股东大会作为最高权力机构、设置董事会为决策机构、设置监事会为监督</w:t>
      </w:r>
      <w:r>
        <w:rPr>
          <w:spacing w:val="-73"/>
        </w:rPr>
        <w:t> </w:t>
      </w:r>
      <w:r>
        <w:rPr>
          <w:spacing w:val="-73"/>
        </w:rPr>
      </w:r>
      <w:r>
        <w:rPr>
          <w:spacing w:val="-2"/>
        </w:rPr>
        <w:t>机构，并设有相应的办公机构和经营部门，各职能部门分工协作，形成有机的独立运营主体，不受控股股东和实际控制人的</w:t>
      </w:r>
      <w:r>
        <w:rPr>
          <w:spacing w:val="-65"/>
        </w:rPr>
        <w:t> </w:t>
      </w:r>
      <w:r>
        <w:rPr>
          <w:spacing w:val="-65"/>
        </w:rPr>
      </w:r>
      <w:r>
        <w:rPr/>
        <w:t>干预，与控股股东在机构设置、人员及办公场所等方面完全分开，不存在混合经营、合署办公的情形。</w:t>
      </w:r>
    </w:p>
    <w:p>
      <w:pPr>
        <w:pStyle w:val="BodyText"/>
        <w:spacing w:line="312" w:lineRule="auto" w:before="22"/>
        <w:ind w:right="1033"/>
        <w:jc w:val="left"/>
      </w:pPr>
      <w:r>
        <w:rPr>
          <w:rFonts w:ascii="Times New Roman" w:hAnsi="Times New Roman" w:cs="Times New Roman" w:eastAsia="Times New Roman" w:hint="default"/>
        </w:rPr>
        <w:t>5</w:t>
      </w:r>
      <w:r>
        <w:rPr/>
        <w:t>、业务独立 公司主要从事面向国际、国内客户提供软件和信息技术服务，在业务上独立于股东和其他关联方，拥有独立完整的产、供、 </w:t>
      </w:r>
      <w:r>
        <w:rPr>
          <w:spacing w:val="-2"/>
        </w:rPr>
        <w:t>销系统和研发业务环节，独立开展业务，与控股股东、实际控制人及其控制的其他企业之间不存在同业竞争或显失公平的关</w:t>
      </w:r>
      <w:r>
        <w:rPr>
          <w:spacing w:val="-66"/>
        </w:rPr>
        <w:t> </w:t>
      </w:r>
      <w:r>
        <w:rPr>
          <w:spacing w:val="-66"/>
        </w:rPr>
      </w:r>
      <w:r>
        <w:rPr/>
        <w:t>联交易，具备直接面向市场的独立经营能力。</w:t>
      </w:r>
    </w:p>
    <w:p>
      <w:pPr>
        <w:spacing w:line="240" w:lineRule="auto" w:before="4"/>
        <w:rPr>
          <w:rFonts w:ascii="宋体" w:hAnsi="宋体" w:cs="宋体" w:eastAsia="宋体" w:hint="default"/>
          <w:sz w:val="15"/>
          <w:szCs w:val="15"/>
        </w:rPr>
      </w:pPr>
    </w:p>
    <w:p>
      <w:pPr>
        <w:pStyle w:val="Heading2"/>
        <w:spacing w:line="240" w:lineRule="auto"/>
        <w:ind w:right="0"/>
        <w:jc w:val="left"/>
        <w:rPr>
          <w:b w:val="0"/>
          <w:bCs w:val="0"/>
        </w:rPr>
      </w:pPr>
      <w:r>
        <w:rPr/>
        <w:t>三、同业竞争情况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1"/>
        <w:rPr>
          <w:rFonts w:ascii="Microsoft JhengHei" w:hAnsi="Microsoft JhengHei" w:cs="Microsoft JhengHei" w:eastAsia="Microsoft JhengHei" w:hint="default"/>
          <w:b/>
          <w:bCs/>
          <w:sz w:val="18"/>
          <w:szCs w:val="18"/>
        </w:rPr>
      </w:pPr>
    </w:p>
    <w:p>
      <w:pPr>
        <w:pStyle w:val="Heading3"/>
        <w:spacing w:line="335" w:lineRule="exact"/>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428"/>
        <w:gridCol w:w="1165"/>
        <w:gridCol w:w="1164"/>
        <w:gridCol w:w="1162"/>
        <w:gridCol w:w="1164"/>
        <w:gridCol w:w="1162"/>
        <w:gridCol w:w="1164"/>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8"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5" w:right="34"/>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487" w:right="34"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5" w:right="36"/>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96" w:right="36" w:hanging="361"/>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洪磊</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杨春福</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刘晓星</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周斌</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left"/>
      </w:pPr>
      <w:r>
        <w:rPr/>
        <w:t>连续两次未亲自出席董事会的说明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独立董事对公司有关事项是否提出异议</w:t>
      </w:r>
    </w:p>
    <w:p>
      <w:pPr>
        <w:pStyle w:val="BodyText"/>
        <w:spacing w:line="338" w:lineRule="auto" w:before="117"/>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独立董事对公司有关建议是否被采纳</w:t>
      </w:r>
    </w:p>
    <w:p>
      <w:pPr>
        <w:pStyle w:val="BodyText"/>
        <w:spacing w:line="338" w:lineRule="auto" w:before="117"/>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pStyle w:val="BodyText"/>
        <w:spacing w:line="319" w:lineRule="auto" w:before="43"/>
        <w:ind w:right="1033"/>
        <w:jc w:val="left"/>
      </w:pPr>
      <w:r>
        <w:rPr>
          <w:spacing w:val="-2"/>
        </w:rPr>
        <w:t>报告期内，公司独立董事勤勉尽责，严格按照中国证监会的相关法规、《公司章程》、《董事会议事规则》及《独立董事工</w:t>
      </w:r>
      <w:r>
        <w:rPr>
          <w:spacing w:val="-70"/>
        </w:rPr>
        <w:t> </w:t>
      </w:r>
      <w:r>
        <w:rPr>
          <w:spacing w:val="-70"/>
        </w:rPr>
      </w:r>
      <w:r>
        <w:rPr/>
        <w:t>作规则》等开展工作，积极参加报告期内的历次会议，了解和关注公司生产经营和依法运作情况，对公司的内部控制建设、 </w:t>
      </w:r>
      <w:r>
        <w:rPr>
          <w:spacing w:val="-2"/>
        </w:rPr>
        <w:t>管理体系建设和重大决策提出了专业性建议，对公司财务及经营活动进行了有效监督，促进公司董事会决策及决策程序的科</w:t>
      </w:r>
      <w:r>
        <w:rPr>
          <w:spacing w:val="-64"/>
        </w:rPr>
        <w:t> </w:t>
      </w:r>
      <w:r>
        <w:rPr>
          <w:spacing w:val="-64"/>
        </w:rPr>
      </w:r>
      <w:r>
        <w:rPr/>
        <w:t>学化，为完善公司监督机制，维护公司和全体股东的合法权益发挥了积极的作用。</w:t>
      </w:r>
    </w:p>
    <w:p>
      <w:pPr>
        <w:spacing w:line="240" w:lineRule="auto" w:before="11"/>
        <w:rPr>
          <w:rFonts w:ascii="宋体" w:hAnsi="宋体" w:cs="宋体" w:eastAsia="宋体" w:hint="default"/>
          <w:sz w:val="14"/>
          <w:szCs w:val="14"/>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14" w:lineRule="auto"/>
        <w:ind w:right="0"/>
        <w:jc w:val="left"/>
      </w:pPr>
      <w:r>
        <w:rPr>
          <w:rFonts w:ascii="Times New Roman" w:hAnsi="Times New Roman" w:cs="Times New Roman" w:eastAsia="Times New Roman" w:hint="default"/>
        </w:rPr>
        <w:t>1</w:t>
      </w:r>
      <w:r>
        <w:rPr/>
        <w:t>、战略委员会履职情况 </w:t>
      </w:r>
      <w:r>
        <w:rPr>
          <w:spacing w:val="-2"/>
        </w:rPr>
        <w:t>报告期内，战略与投资委员会根据公司《章程》、《董事会战略委员会工作细则》等有关规定，积极履行职责，在充分分析</w:t>
      </w:r>
      <w:r>
        <w:rPr>
          <w:spacing w:val="-65"/>
        </w:rPr>
        <w:t> </w:t>
      </w:r>
      <w:r>
        <w:rPr>
          <w:spacing w:val="-65"/>
        </w:rPr>
      </w:r>
      <w:r>
        <w:rPr>
          <w:spacing w:val="-2"/>
        </w:rPr>
        <w:t>行业环境、市场形势及公司实际经营情况等的前提下及时进行战略规划研究，对同意润和智融增资暨放弃对其增资优先认缴</w:t>
      </w:r>
      <w:r>
        <w:rPr>
          <w:spacing w:val="-64"/>
        </w:rPr>
        <w:t> </w:t>
      </w:r>
      <w:r>
        <w:rPr>
          <w:spacing w:val="-64"/>
        </w:rPr>
      </w:r>
      <w:r>
        <w:rPr>
          <w:spacing w:val="-2"/>
        </w:rPr>
        <w:t>权、注销润和云、收购广州润和部分少数股东股权、转让润辰科技部分股权、转让博纳讯动部分股权、捷科智诚以未分配利</w:t>
      </w:r>
      <w:r>
        <w:rPr>
          <w:spacing w:val="-67"/>
        </w:rPr>
        <w:t> </w:t>
      </w:r>
      <w:r>
        <w:rPr>
          <w:spacing w:val="-67"/>
        </w:rPr>
      </w:r>
      <w:r>
        <w:rPr/>
        <w:t>润转增注册资本等投资事项进行了充分的讨论与论证，并报董事会审议，为公司持续稳定发展提出了宝贵的意见和建议。 </w:t>
      </w:r>
      <w:r>
        <w:rPr>
          <w:rFonts w:ascii="Times New Roman" w:hAnsi="Times New Roman" w:cs="Times New Roman" w:eastAsia="Times New Roman" w:hint="default"/>
        </w:rPr>
        <w:t>2</w:t>
      </w:r>
      <w:r>
        <w:rPr/>
        <w:t>、审计委员会履职情况</w:t>
      </w:r>
    </w:p>
    <w:p>
      <w:pPr>
        <w:spacing w:after="0" w:line="314"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033"/>
        <w:jc w:val="left"/>
      </w:pPr>
      <w:r>
        <w:rPr>
          <w:spacing w:val="-4"/>
        </w:rPr>
        <w:t>报告期内，审计委员会根据公司《章程》、《董事会审计委员会工作细则》、《内部审计制度》等有关规定，认真履行职责，</w:t>
      </w:r>
      <w:r>
        <w:rPr>
          <w:spacing w:val="-43"/>
        </w:rPr>
        <w:t> </w:t>
      </w:r>
      <w:r>
        <w:rPr>
          <w:spacing w:val="-43"/>
        </w:rPr>
      </w:r>
      <w:r>
        <w:rPr>
          <w:spacing w:val="-2"/>
        </w:rPr>
        <w:t>积极开展工作，主要对公司年度审计工作和公司内审部门工作进行了沟通、监督和核查。审计委员会与年审注册会计师就审</w:t>
      </w:r>
      <w:r>
        <w:rPr>
          <w:spacing w:val="-65"/>
        </w:rPr>
        <w:t> </w:t>
      </w:r>
      <w:r>
        <w:rPr>
          <w:spacing w:val="-65"/>
        </w:rPr>
      </w:r>
      <w:r>
        <w:rPr/>
        <w:t>计计划、业务约定书、风险和控制等事项进行了充分的沟通；审阅了年审注册会计师出具的审计意见及公司财务会计报表， </w:t>
      </w:r>
      <w:r>
        <w:rPr>
          <w:spacing w:val="-2"/>
        </w:rPr>
        <w:t>督促其在约定时限内提交审计报告；对年度审计机构的年报审计工作进行总结和评价。审计委员会认真审阅公司内审部门提</w:t>
      </w:r>
      <w:r>
        <w:rPr>
          <w:spacing w:val="-64"/>
        </w:rPr>
        <w:t> </w:t>
      </w:r>
      <w:r>
        <w:rPr>
          <w:spacing w:val="-64"/>
        </w:rPr>
      </w:r>
      <w:r>
        <w:rPr>
          <w:spacing w:val="-2"/>
        </w:rPr>
        <w:t>交的公司审计报告，督促内审部门严格执行年度审计工作计划，并持续关注公司募集资金存放与使用、对外担保等事项的进</w:t>
      </w:r>
      <w:r>
        <w:rPr>
          <w:spacing w:val="-64"/>
        </w:rPr>
        <w:t> </w:t>
      </w:r>
      <w:r>
        <w:rPr>
          <w:spacing w:val="-64"/>
        </w:rPr>
      </w:r>
      <w:r>
        <w:rPr/>
        <w:t>展情况等。</w:t>
      </w:r>
    </w:p>
    <w:p>
      <w:pPr>
        <w:pStyle w:val="BodyText"/>
        <w:spacing w:line="309" w:lineRule="auto" w:before="19"/>
        <w:ind w:right="0"/>
        <w:jc w:val="left"/>
      </w:pPr>
      <w:r>
        <w:rPr>
          <w:rFonts w:ascii="Times New Roman" w:hAnsi="Times New Roman" w:cs="Times New Roman" w:eastAsia="Times New Roman" w:hint="default"/>
        </w:rPr>
        <w:t>3</w:t>
      </w:r>
      <w:r>
        <w:rPr/>
        <w:t>、提名委员会履职情况 </w:t>
      </w:r>
      <w:r>
        <w:rPr>
          <w:spacing w:val="-2"/>
        </w:rPr>
        <w:t>报告期内，提名委员会根据公司《章程》、《董事会提名委员会工作细则》等有关规定，积极履行职责，主要对聘任董事会</w:t>
      </w:r>
      <w:r>
        <w:rPr>
          <w:spacing w:val="-65"/>
        </w:rPr>
        <w:t> </w:t>
      </w:r>
      <w:r>
        <w:rPr>
          <w:spacing w:val="-65"/>
        </w:rPr>
      </w:r>
      <w:r>
        <w:rPr/>
        <w:t>秘书事项形成决议同意提交公司董事会审议，为公司管理层提供了宝贵意见和建议。</w:t>
      </w:r>
    </w:p>
    <w:p>
      <w:pPr>
        <w:pStyle w:val="BodyText"/>
        <w:spacing w:line="312" w:lineRule="auto" w:before="24"/>
        <w:ind w:right="0"/>
        <w:jc w:val="left"/>
      </w:pPr>
      <w:r>
        <w:rPr>
          <w:rFonts w:ascii="Times New Roman" w:hAnsi="Times New Roman" w:cs="Times New Roman" w:eastAsia="Times New Roman" w:hint="default"/>
        </w:rPr>
        <w:t>4</w:t>
      </w:r>
      <w:r>
        <w:rPr/>
        <w:t>、薪酬与考核委员会 </w:t>
      </w:r>
      <w:r>
        <w:rPr>
          <w:spacing w:val="-2"/>
        </w:rPr>
        <w:t>报告期内，薪酬与考核委员会根据公司《章程》、《董事会薪酬与考核委员会工作细则》的规定，认真履行职责，对公司董</w:t>
      </w:r>
      <w:r>
        <w:rPr>
          <w:spacing w:val="-65"/>
        </w:rPr>
        <w:t> </w:t>
      </w:r>
      <w:r>
        <w:rPr>
          <w:spacing w:val="-65"/>
        </w:rPr>
      </w:r>
      <w:r>
        <w:rPr>
          <w:spacing w:val="-2"/>
        </w:rPr>
        <w:t>事、高管的薪酬及绩效考核情况进行监督和审查，并提交公司董事会审议，促进公司在规范运作的基础上，进一步提高在薪</w:t>
      </w:r>
      <w:r>
        <w:rPr>
          <w:spacing w:val="-64"/>
        </w:rPr>
        <w:t> </w:t>
      </w:r>
      <w:r>
        <w:rPr>
          <w:spacing w:val="-64"/>
        </w:rPr>
      </w:r>
      <w:r>
        <w:rPr/>
        <w:t>酬考核方面的科学性。</w:t>
      </w:r>
    </w:p>
    <w:p>
      <w:pPr>
        <w:spacing w:line="240" w:lineRule="auto" w:before="4"/>
        <w:rPr>
          <w:rFonts w:ascii="宋体" w:hAnsi="宋体" w:cs="宋体" w:eastAsia="宋体" w:hint="default"/>
          <w:sz w:val="15"/>
          <w:szCs w:val="15"/>
        </w:rPr>
      </w:pPr>
    </w:p>
    <w:p>
      <w:pPr>
        <w:pStyle w:val="Heading2"/>
        <w:spacing w:line="240" w:lineRule="auto"/>
        <w:ind w:right="0"/>
        <w:jc w:val="left"/>
        <w:rPr>
          <w:b w:val="0"/>
          <w:bCs w:val="0"/>
        </w:rPr>
      </w:pPr>
      <w:r>
        <w:rPr/>
        <w:t>七、监事会工作情况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监事会在报告期内的监督活动中发现公司是否存在风险</w:t>
      </w:r>
    </w:p>
    <w:p>
      <w:pPr>
        <w:pStyle w:val="BodyText"/>
        <w:spacing w:line="340" w:lineRule="auto" w:before="115"/>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8"/>
        <w:rPr>
          <w:rFonts w:ascii="宋体" w:hAnsi="宋体" w:cs="宋体" w:eastAsia="宋体" w:hint="default"/>
          <w:sz w:val="13"/>
          <w:szCs w:val="13"/>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4"/>
        <w:rPr>
          <w:rFonts w:ascii="Microsoft JhengHei" w:hAnsi="Microsoft JhengHei" w:cs="Microsoft JhengHei" w:eastAsia="Microsoft JhengHei" w:hint="default"/>
          <w:b/>
          <w:bCs/>
          <w:sz w:val="18"/>
          <w:szCs w:val="18"/>
        </w:rPr>
      </w:pPr>
    </w:p>
    <w:p>
      <w:pPr>
        <w:pStyle w:val="BodyText"/>
        <w:spacing w:line="316" w:lineRule="auto"/>
        <w:ind w:right="0"/>
        <w:jc w:val="left"/>
      </w:pPr>
      <w:r>
        <w:rPr/>
        <w:t>公司董事会薪酬与考核委员会根据公司实际经营指标的完成情况以及高级管理人员的工作业绩来执行对高级管理人员的年 </w:t>
      </w:r>
      <w:r>
        <w:rPr>
          <w:spacing w:val="-2"/>
        </w:rPr>
        <w:t>度绩效考核，并严格监督薪酬制度的执行情况。公司组织高级管理人员开展工作述职活动，公司董事会薪酬与考核委员会对</w:t>
      </w:r>
      <w:r>
        <w:rPr>
          <w:spacing w:val="-63"/>
        </w:rPr>
        <w:t> </w:t>
      </w:r>
      <w:r>
        <w:rPr>
          <w:spacing w:val="-63"/>
        </w:rPr>
      </w:r>
      <w:r>
        <w:rPr>
          <w:spacing w:val="-2"/>
        </w:rPr>
        <w:t>其工作能力、工作业绩、创新与学习等指标情况进行考核。高级管理人员薪酬与其所任岗位和绩效挂钩，符合有关法律、法</w:t>
      </w:r>
      <w:r>
        <w:rPr>
          <w:spacing w:val="-66"/>
        </w:rPr>
        <w:t> </w:t>
      </w:r>
      <w:r>
        <w:rPr>
          <w:spacing w:val="-66"/>
        </w:rPr>
      </w:r>
      <w:r>
        <w:rPr/>
        <w:t>规和《公司章程》等规定的要求。</w:t>
      </w:r>
    </w:p>
    <w:p>
      <w:pPr>
        <w:spacing w:line="240" w:lineRule="auto" w:before="0"/>
        <w:rPr>
          <w:rFonts w:ascii="宋体" w:hAnsi="宋体" w:cs="宋体" w:eastAsia="宋体" w:hint="default"/>
          <w:sz w:val="15"/>
          <w:szCs w:val="15"/>
        </w:rPr>
      </w:pPr>
    </w:p>
    <w:p>
      <w:pPr>
        <w:pStyle w:val="Heading2"/>
        <w:spacing w:line="240" w:lineRule="auto"/>
        <w:ind w:right="0"/>
        <w:jc w:val="left"/>
        <w:rPr>
          <w:b w:val="0"/>
          <w:bCs w:val="0"/>
        </w:rPr>
      </w:pPr>
      <w:r>
        <w:rPr/>
        <w:t>九、内部控制评价报告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89"/>
        <w:gridCol w:w="3328"/>
        <w:gridCol w:w="305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1">
              <w:r>
                <w:rPr>
                  <w:rFonts w:ascii="Times New Roman" w:hAnsi="Times New Roman" w:cs="Times New Roman" w:eastAsia="Times New Roman" w:hint="default"/>
                  <w:sz w:val="18"/>
                  <w:szCs w:val="18"/>
                </w:rPr>
                <w:t>http://www.cninfo.com.cn</w:t>
              </w:r>
            </w:hyperlink>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98.70%</w:t>
            </w:r>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90.25%</w:t>
            </w:r>
          </w:p>
        </w:tc>
      </w:tr>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17"/>
        <w:rPr>
          <w:rFonts w:ascii="Microsoft JhengHei" w:hAnsi="Microsoft JhengHei" w:cs="Microsoft JhengHei" w:eastAsia="Microsoft JhengHei" w:hint="default"/>
          <w:b/>
          <w:bCs/>
          <w:sz w:val="21"/>
          <w:szCs w:val="21"/>
        </w:rPr>
      </w:pPr>
    </w:p>
    <w:p>
      <w:pPr>
        <w:spacing w:line="155" w:lineRule="exact"/>
        <w:ind w:left="6678" w:right="0" w:firstLine="0"/>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position w:val="-2"/>
          <w:sz w:val="15"/>
          <w:szCs w:val="15"/>
        </w:rPr>
        <w:pict>
          <v:group style="width:152.1pt;height:7.8pt;mso-position-horizontal-relative:char;mso-position-vertical-relative:line" coordorigin="0,0" coordsize="3042,156">
            <v:group style="position:absolute;left:0;top:0;width:3042;height:156" coordorigin="0,0" coordsize="3042,156">
              <v:shape style="position:absolute;left:0;top:0;width:3042;height:156" coordorigin="0,0" coordsize="3042,156" path="m0,156l3041,156,3041,0,0,0,0,156xe" filled="true" fillcolor="#ffffff" stroked="false">
                <v:path arrowok="t"/>
                <v:fill type="solid"/>
              </v:shape>
            </v:group>
          </v:group>
        </w:pict>
      </w:r>
      <w:r>
        <w:rPr>
          <w:rFonts w:ascii="Microsoft JhengHei" w:hAnsi="Microsoft JhengHei" w:cs="Microsoft JhengHei" w:eastAsia="Microsoft JhengHei" w:hint="default"/>
          <w:position w:val="-2"/>
          <w:sz w:val="15"/>
          <w:szCs w:val="15"/>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13"/>
          <w:szCs w:val="13"/>
        </w:rPr>
      </w:pPr>
    </w:p>
    <w:p>
      <w:pPr>
        <w:pStyle w:val="BodyText"/>
        <w:spacing w:line="240" w:lineRule="auto" w:before="44"/>
        <w:ind w:left="0" w:right="1138"/>
        <w:jc w:val="right"/>
      </w:pPr>
      <w:r>
        <w:rPr/>
        <w:pict>
          <v:shape style="position:absolute;margin-left:232.727005pt;margin-top:-210.89827pt;width:302.25pt;height:347.25pt;mso-position-horizontal-relative:page;mso-position-vertical-relative:paragraph;z-index:-132913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left="0" w:right="0"/>
                    <w:jc w:val="left"/>
                  </w:pPr>
                  <w:r>
                    <w:rPr/>
                    <w:t>而管理层未能在内控运行过程中发现；</w:t>
                  </w:r>
                </w:p>
              </w:txbxContent>
            </v:textbox>
            <w10:wrap type="none"/>
          </v:shape>
        </w:pict>
      </w:r>
      <w:r>
        <w:rPr/>
        <w:pict>
          <v:shape style="position:absolute;margin-left:56.484001pt;margin-top:-211.378265pt;width:479.2pt;height:495.55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3"/>
                    <w:gridCol w:w="3053"/>
                  </w:tblGrid>
                  <w:tr>
                    <w:trPr>
                      <w:trHeight w:val="695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定性标准如下：①重大缺陷：是指一个或 多个控制缺陷的组合，可能导致企业严重 偏离控制目标。出现下列特征的，认定为 </w:t>
                        </w:r>
                        <w:r>
                          <w:rPr>
                            <w:rFonts w:ascii="宋体" w:hAnsi="宋体" w:cs="宋体" w:eastAsia="宋体" w:hint="default"/>
                            <w:spacing w:val="-4"/>
                            <w:sz w:val="18"/>
                            <w:szCs w:val="18"/>
                          </w:rPr>
                          <w:t>重大缺陷：</w:t>
                        </w:r>
                        <w:r>
                          <w:rPr>
                            <w:rFonts w:ascii="Times New Roman" w:hAnsi="Times New Roman" w:cs="Times New Roman" w:eastAsia="Times New Roman" w:hint="default"/>
                            <w:spacing w:val="-4"/>
                            <w:sz w:val="18"/>
                            <w:szCs w:val="18"/>
                          </w:rPr>
                          <w:t>i.</w:t>
                        </w:r>
                        <w:r>
                          <w:rPr>
                            <w:rFonts w:ascii="宋体" w:hAnsi="宋体" w:cs="宋体" w:eastAsia="宋体" w:hint="default"/>
                            <w:spacing w:val="-4"/>
                            <w:sz w:val="18"/>
                            <w:szCs w:val="18"/>
                          </w:rPr>
                          <w:t>公司董事、监事或高管人员的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舞弊行为；</w:t>
                        </w:r>
                        <w:r>
                          <w:rPr>
                            <w:rFonts w:ascii="Times New Roman" w:hAnsi="Times New Roman" w:cs="Times New Roman" w:eastAsia="Times New Roman" w:hint="default"/>
                            <w:sz w:val="18"/>
                            <w:szCs w:val="18"/>
                          </w:rPr>
                          <w:t>ii.</w:t>
                        </w:r>
                        <w:r>
                          <w:rPr>
                            <w:rFonts w:ascii="宋体" w:hAnsi="宋体" w:cs="宋体" w:eastAsia="宋体" w:hint="default"/>
                            <w:sz w:val="18"/>
                            <w:szCs w:val="18"/>
                          </w:rPr>
                          <w:t>发现当期财务报表的重大错 报， </w:t>
                        </w:r>
                        <w:r>
                          <w:rPr>
                            <w:rFonts w:ascii="Times New Roman" w:hAnsi="Times New Roman" w:cs="Times New Roman" w:eastAsia="Times New Roman" w:hint="default"/>
                            <w:sz w:val="18"/>
                            <w:szCs w:val="18"/>
                          </w:rPr>
                          <w:t>iii.</w:t>
                        </w:r>
                        <w:r>
                          <w:rPr>
                            <w:rFonts w:ascii="宋体" w:hAnsi="宋体" w:cs="宋体" w:eastAsia="宋体" w:hint="default"/>
                            <w:sz w:val="18"/>
                            <w:szCs w:val="18"/>
                          </w:rPr>
                          <w:t>内部控制评价的结果，重大缺陷未得到 整改；</w:t>
                        </w:r>
                        <w:r>
                          <w:rPr>
                            <w:rFonts w:ascii="Times New Roman" w:hAnsi="Times New Roman" w:cs="Times New Roman" w:eastAsia="Times New Roman" w:hint="default"/>
                            <w:sz w:val="18"/>
                            <w:szCs w:val="18"/>
                          </w:rPr>
                          <w:t>iv.</w:t>
                        </w:r>
                        <w:r>
                          <w:rPr>
                            <w:rFonts w:ascii="宋体" w:hAnsi="宋体" w:cs="宋体" w:eastAsia="宋体" w:hint="default"/>
                            <w:sz w:val="18"/>
                            <w:szCs w:val="18"/>
                          </w:rPr>
                          <w:t>审计委员会和内部审计机构对内 部控制的监督无效。②重要缺陷：是指一 个或多个控制缺陷的组合，其严重程度和 经济后果低于重大缺陷但仍有可能导致企 业偏离控制目标。出现以下特征的，认定 </w:t>
                        </w:r>
                        <w:r>
                          <w:rPr>
                            <w:rFonts w:ascii="宋体" w:hAnsi="宋体" w:cs="宋体" w:eastAsia="宋体" w:hint="default"/>
                            <w:spacing w:val="-4"/>
                            <w:sz w:val="18"/>
                            <w:szCs w:val="18"/>
                          </w:rPr>
                          <w:t>为重要缺陷：</w:t>
                        </w:r>
                        <w:r>
                          <w:rPr>
                            <w:rFonts w:ascii="Times New Roman" w:hAnsi="Times New Roman" w:cs="Times New Roman" w:eastAsia="Times New Roman" w:hint="default"/>
                            <w:spacing w:val="-4"/>
                            <w:sz w:val="18"/>
                            <w:szCs w:val="18"/>
                          </w:rPr>
                          <w:t>i.</w:t>
                        </w:r>
                        <w:r>
                          <w:rPr>
                            <w:rFonts w:ascii="宋体" w:hAnsi="宋体" w:cs="宋体" w:eastAsia="宋体" w:hint="default"/>
                            <w:spacing w:val="-4"/>
                            <w:sz w:val="18"/>
                            <w:szCs w:val="18"/>
                          </w:rPr>
                          <w:t>未依照公认会计准则选择和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应用会计政策；</w:t>
                        </w:r>
                        <w:r>
                          <w:rPr>
                            <w:rFonts w:ascii="Times New Roman" w:hAnsi="Times New Roman" w:cs="Times New Roman" w:eastAsia="Times New Roman" w:hint="default"/>
                            <w:sz w:val="18"/>
                            <w:szCs w:val="18"/>
                          </w:rPr>
                          <w:t>ii.</w:t>
                        </w:r>
                        <w:r>
                          <w:rPr>
                            <w:rFonts w:ascii="宋体" w:hAnsi="宋体" w:cs="宋体" w:eastAsia="宋体" w:hint="default"/>
                            <w:sz w:val="18"/>
                            <w:szCs w:val="18"/>
                          </w:rPr>
                          <w:t>未建立反舞弊程序和控 制措施；</w:t>
                        </w:r>
                        <w:r>
                          <w:rPr>
                            <w:rFonts w:ascii="Times New Roman" w:hAnsi="Times New Roman" w:cs="Times New Roman" w:eastAsia="Times New Roman" w:hint="default"/>
                            <w:sz w:val="18"/>
                            <w:szCs w:val="18"/>
                          </w:rPr>
                          <w:t>iii.</w:t>
                        </w:r>
                        <w:r>
                          <w:rPr>
                            <w:rFonts w:ascii="宋体" w:hAnsi="宋体" w:cs="宋体" w:eastAsia="宋体" w:hint="default"/>
                            <w:sz w:val="18"/>
                            <w:szCs w:val="18"/>
                          </w:rPr>
                          <w:t>对于非常规或特殊交易的账务 处理没有建立相应的控制机制或没有实施 且没有相应的补偿性控制；</w:t>
                        </w:r>
                        <w:r>
                          <w:rPr>
                            <w:rFonts w:ascii="Times New Roman" w:hAnsi="Times New Roman" w:cs="Times New Roman" w:eastAsia="Times New Roman" w:hint="default"/>
                            <w:sz w:val="18"/>
                            <w:szCs w:val="18"/>
                          </w:rPr>
                          <w:t>iv.</w:t>
                        </w:r>
                        <w:r>
                          <w:rPr>
                            <w:rFonts w:ascii="宋体" w:hAnsi="宋体" w:cs="宋体" w:eastAsia="宋体" w:hint="default"/>
                            <w:sz w:val="18"/>
                            <w:szCs w:val="18"/>
                          </w:rPr>
                          <w:t>对于期末财 务报告过程的控制存在一项或多项缺陷且 不能合理保证编制的财务报表达到真实、 准确的目标。③一般缺陷：是指除上述重 大缺陷、重要缺陷之外的其他控制缺陷。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7" w:lineRule="auto"/>
                          <w:ind w:left="26" w:right="-43"/>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w:t>
                        </w:r>
                        <w:r>
                          <w:rPr>
                            <w:rFonts w:ascii="宋体" w:hAnsi="宋体" w:cs="宋体" w:eastAsia="宋体" w:hint="default"/>
                            <w:spacing w:val="-4"/>
                            <w:sz w:val="18"/>
                            <w:szCs w:val="18"/>
                          </w:rPr>
                          <w:t>评价的定性标准如下：①具有以下特征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的缺陷，认定为重大缺陷：</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i.</w:t>
                        </w:r>
                        <w:r>
                          <w:rPr>
                            <w:rFonts w:ascii="宋体" w:hAnsi="宋体" w:cs="宋体" w:eastAsia="宋体" w:hint="default"/>
                            <w:sz w:val="18"/>
                            <w:szCs w:val="18"/>
                          </w:rPr>
                          <w:t>缺乏民主 </w:t>
                        </w:r>
                        <w:r>
                          <w:rPr>
                            <w:rFonts w:ascii="宋体" w:hAnsi="宋体" w:cs="宋体" w:eastAsia="宋体" w:hint="default"/>
                            <w:spacing w:val="-4"/>
                            <w:sz w:val="18"/>
                            <w:szCs w:val="18"/>
                          </w:rPr>
                          <w:t>决策程序、决策程序不科学，出现重大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失误，给公司造成重大财产损失；</w:t>
                        </w:r>
                        <w:r>
                          <w:rPr>
                            <w:rFonts w:ascii="Times New Roman" w:hAnsi="Times New Roman" w:cs="Times New Roman" w:eastAsia="Times New Roman" w:hint="default"/>
                            <w:sz w:val="18"/>
                            <w:szCs w:val="18"/>
                          </w:rPr>
                          <w:t>ii. </w:t>
                        </w:r>
                        <w:r>
                          <w:rPr>
                            <w:rFonts w:ascii="宋体" w:hAnsi="宋体" w:cs="宋体" w:eastAsia="宋体" w:hint="default"/>
                            <w:spacing w:val="-5"/>
                            <w:sz w:val="18"/>
                            <w:szCs w:val="18"/>
                          </w:rPr>
                          <w:t>严重违反国家法律法规；</w:t>
                        </w:r>
                        <w:r>
                          <w:rPr>
                            <w:rFonts w:ascii="Times New Roman" w:hAnsi="Times New Roman" w:cs="Times New Roman" w:eastAsia="Times New Roman" w:hint="default"/>
                            <w:spacing w:val="-5"/>
                            <w:sz w:val="18"/>
                            <w:szCs w:val="18"/>
                          </w:rPr>
                          <w:t>iii.</w:t>
                        </w:r>
                        <w:r>
                          <w:rPr>
                            <w:rFonts w:ascii="宋体" w:hAnsi="宋体" w:cs="宋体" w:eastAsia="宋体" w:hint="default"/>
                            <w:spacing w:val="-5"/>
                            <w:sz w:val="18"/>
                            <w:szCs w:val="18"/>
                          </w:rPr>
                          <w:t>媒体频现负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面新闻，涉及面广且负面影响一直未能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消除；</w:t>
                        </w:r>
                        <w:r>
                          <w:rPr>
                            <w:rFonts w:ascii="Times New Roman" w:hAnsi="Times New Roman" w:cs="Times New Roman" w:eastAsia="Times New Roman" w:hint="default"/>
                            <w:spacing w:val="-4"/>
                            <w:sz w:val="18"/>
                            <w:szCs w:val="18"/>
                          </w:rPr>
                          <w:t>iv.</w:t>
                        </w:r>
                        <w:r>
                          <w:rPr>
                            <w:rFonts w:ascii="宋体" w:hAnsi="宋体" w:cs="宋体" w:eastAsia="宋体" w:hint="default"/>
                            <w:spacing w:val="-4"/>
                            <w:sz w:val="18"/>
                            <w:szCs w:val="18"/>
                          </w:rPr>
                          <w:t>缺乏重要的业务管理制度或制</w:t>
                        </w:r>
                        <w:r>
                          <w:rPr>
                            <w:rFonts w:ascii="宋体" w:hAnsi="宋体" w:cs="宋体" w:eastAsia="宋体" w:hint="default"/>
                            <w:spacing w:val="-85"/>
                            <w:sz w:val="18"/>
                            <w:szCs w:val="18"/>
                          </w:rPr>
                          <w:t> </w:t>
                        </w:r>
                        <w:r>
                          <w:rPr>
                            <w:rFonts w:ascii="宋体" w:hAnsi="宋体" w:cs="宋体" w:eastAsia="宋体" w:hint="default"/>
                            <w:sz w:val="18"/>
                            <w:szCs w:val="18"/>
                          </w:rPr>
                          <w:t>度运行系统性失效；</w:t>
                        </w:r>
                        <w:r>
                          <w:rPr>
                            <w:rFonts w:ascii="Times New Roman" w:hAnsi="Times New Roman" w:cs="Times New Roman" w:eastAsia="Times New Roman" w:hint="default"/>
                            <w:sz w:val="18"/>
                            <w:szCs w:val="18"/>
                          </w:rPr>
                          <w:t>v.</w:t>
                        </w:r>
                        <w:r>
                          <w:rPr>
                            <w:rFonts w:ascii="宋体" w:hAnsi="宋体" w:cs="宋体" w:eastAsia="宋体" w:hint="default"/>
                            <w:sz w:val="18"/>
                            <w:szCs w:val="18"/>
                          </w:rPr>
                          <w:t>公司的重大或重 </w:t>
                        </w:r>
                        <w:r>
                          <w:rPr>
                            <w:rFonts w:ascii="宋体" w:hAnsi="宋体" w:cs="宋体" w:eastAsia="宋体" w:hint="default"/>
                            <w:spacing w:val="-4"/>
                            <w:sz w:val="18"/>
                            <w:szCs w:val="18"/>
                          </w:rPr>
                          <w:t>要内控缺陷不能得到及时整改；</w:t>
                        </w:r>
                        <w:r>
                          <w:rPr>
                            <w:rFonts w:ascii="Times New Roman" w:hAnsi="Times New Roman" w:cs="Times New Roman" w:eastAsia="Times New Roman" w:hint="default"/>
                            <w:spacing w:val="-4"/>
                            <w:sz w:val="18"/>
                            <w:szCs w:val="18"/>
                          </w:rPr>
                          <w:t>vi.</w:t>
                        </w:r>
                        <w:r>
                          <w:rPr>
                            <w:rFonts w:ascii="宋体" w:hAnsi="宋体" w:cs="宋体" w:eastAsia="宋体" w:hint="default"/>
                            <w:spacing w:val="-4"/>
                            <w:sz w:val="18"/>
                            <w:szCs w:val="18"/>
                          </w:rPr>
                          <w:t>公司</w:t>
                        </w:r>
                        <w:r>
                          <w:rPr>
                            <w:rFonts w:ascii="宋体" w:hAnsi="宋体" w:cs="宋体" w:eastAsia="宋体" w:hint="default"/>
                            <w:spacing w:val="-85"/>
                            <w:sz w:val="18"/>
                            <w:szCs w:val="18"/>
                          </w:rPr>
                          <w:t> </w:t>
                        </w:r>
                        <w:r>
                          <w:rPr>
                            <w:rFonts w:ascii="宋体" w:hAnsi="宋体" w:cs="宋体" w:eastAsia="宋体" w:hint="default"/>
                            <w:sz w:val="18"/>
                            <w:szCs w:val="18"/>
                          </w:rPr>
                          <w:t>持续或大量出现重要内控缺陷；</w:t>
                        </w:r>
                        <w:r>
                          <w:rPr>
                            <w:rFonts w:ascii="Times New Roman" w:hAnsi="Times New Roman" w:cs="Times New Roman" w:eastAsia="Times New Roman" w:hint="default"/>
                            <w:sz w:val="18"/>
                            <w:szCs w:val="18"/>
                          </w:rPr>
                          <w:t>vii.</w:t>
                        </w:r>
                        <w:r>
                          <w:rPr>
                            <w:rFonts w:ascii="宋体" w:hAnsi="宋体" w:cs="宋体" w:eastAsia="宋体" w:hint="default"/>
                            <w:sz w:val="18"/>
                            <w:szCs w:val="18"/>
                          </w:rPr>
                          <w:t>公 司遭受证监会处罚或证券交易所警告。</w:t>
                        </w:r>
                      </w:p>
                      <w:p>
                        <w:pPr>
                          <w:pStyle w:val="TableParagraph"/>
                          <w:spacing w:line="307" w:lineRule="auto" w:before="26"/>
                          <w:ind w:left="26" w:right="-36"/>
                          <w:jc w:val="left"/>
                          <w:rPr>
                            <w:rFonts w:ascii="宋体" w:hAnsi="宋体" w:cs="宋体" w:eastAsia="宋体" w:hint="default"/>
                            <w:sz w:val="18"/>
                            <w:szCs w:val="18"/>
                          </w:rPr>
                        </w:pPr>
                        <w:r>
                          <w:rPr>
                            <w:rFonts w:ascii="宋体" w:hAnsi="宋体" w:cs="宋体" w:eastAsia="宋体" w:hint="default"/>
                            <w:spacing w:val="-4"/>
                            <w:sz w:val="18"/>
                            <w:szCs w:val="18"/>
                          </w:rPr>
                          <w:t>②具有以下特征的缺陷，认定为重要缺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陷：</w:t>
                        </w:r>
                        <w:r>
                          <w:rPr>
                            <w:rFonts w:ascii="Times New Roman" w:hAnsi="Times New Roman" w:cs="Times New Roman" w:eastAsia="Times New Roman" w:hint="default"/>
                            <w:spacing w:val="-5"/>
                            <w:sz w:val="18"/>
                            <w:szCs w:val="18"/>
                          </w:rPr>
                          <w:t>i.</w:t>
                        </w:r>
                        <w:r>
                          <w:rPr>
                            <w:rFonts w:ascii="宋体" w:hAnsi="宋体" w:cs="宋体" w:eastAsia="宋体" w:hint="default"/>
                            <w:spacing w:val="-5"/>
                            <w:sz w:val="18"/>
                            <w:szCs w:val="18"/>
                          </w:rPr>
                          <w:t>公司决策程序导致出现一般失误</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Times New Roman" w:hAnsi="Times New Roman" w:cs="Times New Roman" w:eastAsia="Times New Roman" w:hint="default"/>
                            <w:sz w:val="18"/>
                            <w:szCs w:val="18"/>
                          </w:rPr>
                          <w:t>ii.</w:t>
                        </w:r>
                        <w:r>
                          <w:rPr>
                            <w:rFonts w:ascii="宋体" w:hAnsi="宋体" w:cs="宋体" w:eastAsia="宋体" w:hint="default"/>
                            <w:sz w:val="18"/>
                            <w:szCs w:val="18"/>
                          </w:rPr>
                          <w:t>公司违反企业内部规章，形成损失； </w:t>
                        </w:r>
                        <w:r>
                          <w:rPr>
                            <w:rFonts w:ascii="Times New Roman" w:hAnsi="Times New Roman" w:cs="Times New Roman" w:eastAsia="Times New Roman" w:hint="default"/>
                            <w:sz w:val="18"/>
                            <w:szCs w:val="18"/>
                          </w:rPr>
                          <w:t>iii.</w:t>
                        </w:r>
                        <w:r>
                          <w:rPr>
                            <w:rFonts w:ascii="宋体" w:hAnsi="宋体" w:cs="宋体" w:eastAsia="宋体" w:hint="default"/>
                            <w:sz w:val="18"/>
                            <w:szCs w:val="18"/>
                          </w:rPr>
                          <w:t>公司关键岗位业务人员流失严重； </w:t>
                        </w:r>
                        <w:r>
                          <w:rPr>
                            <w:rFonts w:ascii="Times New Roman" w:hAnsi="Times New Roman" w:cs="Times New Roman" w:eastAsia="Times New Roman" w:hint="default"/>
                            <w:spacing w:val="-1"/>
                            <w:sz w:val="18"/>
                            <w:szCs w:val="18"/>
                          </w:rPr>
                          <w:t>iv.</w:t>
                        </w:r>
                        <w:r>
                          <w:rPr>
                            <w:rFonts w:ascii="宋体" w:hAnsi="宋体" w:cs="宋体" w:eastAsia="宋体" w:hint="default"/>
                            <w:spacing w:val="-1"/>
                            <w:sz w:val="18"/>
                            <w:szCs w:val="18"/>
                          </w:rPr>
                          <w:t>公司重要业务制度或系统存在缺陷；</w:t>
                        </w:r>
                        <w:r>
                          <w:rPr>
                            <w:rFonts w:ascii="宋体" w:hAnsi="宋体" w:cs="宋体" w:eastAsia="宋体" w:hint="default"/>
                            <w:spacing w:val="-84"/>
                            <w:sz w:val="18"/>
                            <w:szCs w:val="18"/>
                          </w:rPr>
                          <w:t> </w:t>
                        </w:r>
                        <w:r>
                          <w:rPr>
                            <w:rFonts w:ascii="Times New Roman" w:hAnsi="Times New Roman" w:cs="Times New Roman" w:eastAsia="Times New Roman" w:hint="default"/>
                            <w:sz w:val="18"/>
                            <w:szCs w:val="18"/>
                          </w:rPr>
                          <w:t>v.</w:t>
                        </w:r>
                        <w:r>
                          <w:rPr>
                            <w:rFonts w:ascii="宋体" w:hAnsi="宋体" w:cs="宋体" w:eastAsia="宋体" w:hint="default"/>
                            <w:sz w:val="18"/>
                            <w:szCs w:val="18"/>
                          </w:rPr>
                          <w:t>公司的重要或一般缺陷不能得到及 时整改。</w:t>
                        </w:r>
                        <w:r>
                          <w:rPr>
                            <w:rFonts w:ascii="宋体" w:hAnsi="宋体" w:cs="宋体" w:eastAsia="宋体" w:hint="default"/>
                            <w:spacing w:val="1"/>
                            <w:sz w:val="18"/>
                            <w:szCs w:val="18"/>
                          </w:rPr>
                          <w:t> </w:t>
                        </w:r>
                        <w:r>
                          <w:rPr>
                            <w:rFonts w:ascii="宋体" w:hAnsi="宋体" w:cs="宋体" w:eastAsia="宋体" w:hint="default"/>
                            <w:sz w:val="18"/>
                            <w:szCs w:val="18"/>
                          </w:rPr>
                          <w:t>③具有以下特征的缺陷，认</w:t>
                        </w:r>
                        <w:r>
                          <w:rPr>
                            <w:rFonts w:ascii="宋体" w:hAnsi="宋体" w:cs="宋体" w:eastAsia="宋体" w:hint="default"/>
                            <w:sz w:val="18"/>
                            <w:szCs w:val="18"/>
                          </w:rPr>
                          <w:t> </w:t>
                        </w:r>
                        <w:r>
                          <w:rPr>
                            <w:rFonts w:ascii="宋体" w:hAnsi="宋体" w:cs="宋体" w:eastAsia="宋体" w:hint="default"/>
                            <w:spacing w:val="-4"/>
                            <w:sz w:val="18"/>
                            <w:szCs w:val="18"/>
                          </w:rPr>
                          <w:t>定为一般缺陷：除上述重大缺陷、重要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缺陷之外的其他缺陷。</w:t>
                        </w:r>
                      </w:p>
                    </w:tc>
                  </w:tr>
                  <w:tr>
                    <w:trPr>
                      <w:trHeight w:val="134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、重大缺陷：财务报表的错报金额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 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13"/>
                            <w:sz w:val="18"/>
                            <w:szCs w:val="18"/>
                          </w:rPr>
                          <w:t>5%</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、重要缺陷：利润总额的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39"/>
                            <w:sz w:val="18"/>
                            <w:szCs w:val="18"/>
                          </w:rPr>
                          <w:t>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、一般缺陷：错报</w:t>
                        </w:r>
                      </w:p>
                      <w:p>
                        <w:pPr>
                          <w:pStyle w:val="TableParagraph"/>
                          <w:spacing w:line="240" w:lineRule="auto" w:before="1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6"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、重大缺陷：财务报表的错报金额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利润总额的</w:t>
                        </w:r>
                        <w:r>
                          <w:rPr>
                            <w:rFonts w:ascii="宋体" w:hAnsi="宋体" w:cs="宋体" w:eastAsia="宋体" w:hint="default"/>
                            <w:spacing w:val="-39"/>
                            <w:sz w:val="18"/>
                            <w:szCs w:val="18"/>
                          </w:rPr>
                          <w:t>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、重要缺陷：利润总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、一</w:t>
                        </w:r>
                        <w:r>
                          <w:rPr>
                            <w:rFonts w:ascii="宋体" w:hAnsi="宋体" w:cs="宋体" w:eastAsia="宋体" w:hint="default"/>
                            <w:spacing w:val="-12"/>
                            <w:sz w:val="18"/>
                            <w:szCs w:val="18"/>
                          </w:rPr>
                          <w:t> </w:t>
                        </w:r>
                        <w:r>
                          <w:rPr>
                            <w:rFonts w:ascii="宋体" w:hAnsi="宋体" w:cs="宋体" w:eastAsia="宋体" w:hint="default"/>
                            <w:sz w:val="18"/>
                            <w:szCs w:val="18"/>
                          </w:rPr>
                          <w:t>般缺陷：错报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line="156" w:lineRule="exact"/>
        <w:ind w:left="6678" w:right="0" w:firstLine="0"/>
        <w:rPr>
          <w:rFonts w:ascii="宋体" w:hAnsi="宋体" w:cs="宋体" w:eastAsia="宋体" w:hint="default"/>
          <w:sz w:val="15"/>
          <w:szCs w:val="15"/>
        </w:rPr>
      </w:pPr>
      <w:r>
        <w:rPr>
          <w:rFonts w:ascii="宋体" w:hAnsi="宋体" w:cs="宋体" w:eastAsia="宋体" w:hint="default"/>
          <w:position w:val="-2"/>
          <w:sz w:val="15"/>
          <w:szCs w:val="15"/>
        </w:rPr>
        <w:pict>
          <v:group style="width:152.1pt;height:7.8pt;mso-position-horizontal-relative:char;mso-position-vertical-relative:line" coordorigin="0,0" coordsize="3042,156">
            <v:group style="position:absolute;left:0;top:0;width:3042;height:156" coordorigin="0,0" coordsize="3042,156">
              <v:shape style="position:absolute;left:0;top:0;width:3042;height:156" coordorigin="0,0" coordsize="3042,156" path="m0,156l3041,156,3041,0,0,0,0,156xe" filled="true" fillcolor="#ffffff" stroked="false">
                <v:path arrowok="t"/>
                <v:fill type="solid"/>
              </v:shape>
            </v:group>
          </v:group>
        </w:pict>
      </w:r>
      <w:r>
        <w:rPr>
          <w:rFonts w:ascii="宋体" w:hAnsi="宋体" w:cs="宋体" w:eastAsia="宋体" w:hint="default"/>
          <w:position w:val="-2"/>
          <w:sz w:val="15"/>
          <w:szCs w:val="15"/>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Heading2"/>
        <w:spacing w:line="367" w:lineRule="exact"/>
        <w:ind w:right="0"/>
        <w:jc w:val="left"/>
        <w:rPr>
          <w:b w:val="0"/>
          <w:bCs w:val="0"/>
        </w:rPr>
      </w:pPr>
      <w:r>
        <w:rPr/>
        <w:t>十、内部控制审计报告或鉴证报告</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内部控制鉴证报告</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2"/>
        <w:gridCol w:w="6909"/>
      </w:tblGrid>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3"/>
              <w:jc w:val="left"/>
              <w:rPr>
                <w:rFonts w:ascii="宋体" w:hAnsi="宋体" w:cs="宋体" w:eastAsia="宋体" w:hint="default"/>
                <w:sz w:val="18"/>
                <w:szCs w:val="18"/>
              </w:rPr>
            </w:pPr>
            <w:r>
              <w:rPr>
                <w:rFonts w:ascii="宋体" w:hAnsi="宋体" w:cs="宋体" w:eastAsia="宋体" w:hint="default"/>
                <w:sz w:val="18"/>
                <w:szCs w:val="18"/>
              </w:rPr>
              <w:t>我们认为，润和软件于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日按照《企业内部控制基本规范》和相关规定在所有重大方面保持了有效的财务 报告内部控制。</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1">
              <w:r>
                <w:rPr>
                  <w:rFonts w:ascii="Times New Roman" w:hAnsi="Times New Roman" w:cs="Times New Roman" w:eastAsia="Times New Roman" w:hint="default"/>
                  <w:sz w:val="18"/>
                  <w:szCs w:val="18"/>
                </w:rPr>
                <w:t>http://www.cninfo.com.cn</w:t>
              </w:r>
            </w:hyperlink>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661"/>
        <w:gridCol w:w="6909"/>
      </w:tblGrid>
      <w:tr>
        <w:trPr>
          <w:trHeight w:val="334" w:hRule="exact"/>
        </w:trPr>
        <w:tc>
          <w:tcPr>
            <w:tcW w:w="2661" w:type="dxa"/>
            <w:tcBorders>
              <w:top w:val="single" w:sz="6" w:space="0" w:color="000000"/>
              <w:left w:val="nil" w:sz="6" w:space="0" w:color="auto"/>
              <w:bottom w:val="single" w:sz="4" w:space="0" w:color="000000"/>
              <w:right w:val="nil" w:sz="6" w:space="0" w:color="auto"/>
            </w:tcBorders>
          </w:tcPr>
          <w:p>
            <w:pPr/>
          </w:p>
        </w:tc>
        <w:tc>
          <w:tcPr>
            <w:tcW w:w="6909" w:type="dxa"/>
            <w:tcBorders>
              <w:top w:val="single" w:sz="6" w:space="0" w:color="000000"/>
              <w:left w:val="nil" w:sz="6" w:space="0" w:color="auto"/>
              <w:bottom w:val="single" w:sz="4" w:space="0" w:color="000000"/>
              <w:right w:val="nil" w:sz="6" w:space="0" w:color="auto"/>
            </w:tcBorders>
          </w:tcPr>
          <w:p>
            <w:pP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left="113" w:right="4633"/>
        <w:jc w:val="left"/>
      </w:pPr>
      <w:r>
        <w:rPr/>
        <w:t>会计师事务所是否出具非标准意见的内部控制鉴证报告</w:t>
      </w:r>
    </w:p>
    <w:p>
      <w:pPr>
        <w:pStyle w:val="BodyText"/>
        <w:spacing w:line="340" w:lineRule="auto" w:before="115"/>
        <w:ind w:left="113"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39"/>
        <w:ind w:left="113"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79" w:top="1060" w:bottom="1160" w:left="1020" w:right="0"/>
        </w:sectPr>
      </w:pPr>
    </w:p>
    <w:p>
      <w:pPr>
        <w:spacing w:line="240" w:lineRule="auto" w:before="11"/>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456" w:lineRule="exact"/>
        <w:ind w:left="3045" w:right="0"/>
        <w:jc w:val="left"/>
        <w:rPr>
          <w:b w:val="0"/>
          <w:bCs w:val="0"/>
        </w:rPr>
      </w:pPr>
      <w:bookmarkStart w:name="_bookmark9" w:id="10"/>
      <w:bookmarkEnd w:id="10"/>
      <w:r>
        <w:rPr>
          <w:b w:val="0"/>
          <w:bCs w:val="0"/>
        </w:rPr>
      </w:r>
      <w:r>
        <w:rPr/>
        <w:t>第十一节公司债券相关情况</w:t>
      </w:r>
      <w:r>
        <w:rPr>
          <w:b w:val="0"/>
          <w:bCs w:val="0"/>
        </w:rPr>
      </w:r>
    </w:p>
    <w:p>
      <w:pPr>
        <w:spacing w:line="240" w:lineRule="auto" w:before="17"/>
        <w:rPr>
          <w:rFonts w:ascii="Microsoft JhengHei" w:hAnsi="Microsoft JhengHei" w:cs="Microsoft JhengHei" w:eastAsia="Microsoft JhengHei" w:hint="default"/>
          <w:b/>
          <w:bCs/>
          <w:sz w:val="29"/>
          <w:szCs w:val="29"/>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right="1123"/>
        <w:jc w:val="center"/>
        <w:rPr>
          <w:b w:val="0"/>
          <w:bCs w:val="0"/>
        </w:rPr>
      </w:pPr>
      <w:bookmarkStart w:name="_bookmark10" w:id="11"/>
      <w:bookmarkEnd w:id="11"/>
      <w:r>
        <w:rPr>
          <w:b w:val="0"/>
          <w:bCs w:val="0"/>
        </w:rPr>
      </w:r>
      <w:r>
        <w:rPr/>
        <w:t>第十二节财务报告</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一、审计报告</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容诚会计师事务所（特殊普通合伙）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容诚审字</w:t>
            </w:r>
            <w:r>
              <w:rPr>
                <w:rFonts w:ascii="Times New Roman" w:hAnsi="Times New Roman" w:cs="Times New Roman" w:eastAsia="Times New Roman" w:hint="default"/>
                <w:sz w:val="18"/>
                <w:szCs w:val="18"/>
              </w:rPr>
              <w:t>[2020]230Z1060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汪玉寿、孔令莉、李丹</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Microsoft JhengHei" w:hAnsi="Microsoft JhengHei" w:cs="Microsoft JhengHei" w:eastAsia="Microsoft JhengHei" w:hint="default"/>
          <w:b/>
          <w:bCs/>
          <w:sz w:val="18"/>
          <w:szCs w:val="18"/>
        </w:rPr>
      </w:pPr>
    </w:p>
    <w:p>
      <w:pPr>
        <w:spacing w:line="240" w:lineRule="auto" w:before="15"/>
        <w:rPr>
          <w:rFonts w:ascii="Microsoft JhengHei" w:hAnsi="Microsoft JhengHei" w:cs="Microsoft JhengHei" w:eastAsia="Microsoft JhengHei" w:hint="default"/>
          <w:b/>
          <w:bCs/>
          <w:sz w:val="22"/>
          <w:szCs w:val="22"/>
        </w:rPr>
      </w:pPr>
    </w:p>
    <w:p>
      <w:pPr>
        <w:pStyle w:val="BodyText"/>
        <w:spacing w:line="636" w:lineRule="auto"/>
        <w:ind w:right="-19"/>
        <w:jc w:val="left"/>
      </w:pPr>
      <w:r>
        <w:rPr/>
        <w:t>告 容诚审字</w:t>
      </w:r>
      <w:r>
        <w:rPr>
          <w:rFonts w:ascii="Times New Roman" w:hAnsi="Times New Roman" w:cs="Times New Roman" w:eastAsia="Times New Roman" w:hint="default"/>
        </w:rPr>
        <w:t>[2020]230Z1060</w:t>
      </w:r>
      <w:r>
        <w:rPr/>
        <w:t>号</w:t>
      </w:r>
    </w:p>
    <w:p>
      <w:pPr>
        <w:pStyle w:val="BodyText"/>
        <w:spacing w:line="240" w:lineRule="auto" w:before="49"/>
        <w:ind w:right="-20"/>
        <w:jc w:val="left"/>
      </w:pPr>
      <w:r>
        <w:rPr/>
        <w:br w:type="column"/>
      </w:r>
      <w:r>
        <w:rPr/>
        <w:t>审计报告正文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2"/>
          <w:szCs w:val="12"/>
        </w:rPr>
      </w:pPr>
    </w:p>
    <w:p>
      <w:pPr>
        <w:pStyle w:val="BodyText"/>
        <w:spacing w:line="240" w:lineRule="auto"/>
        <w:ind w:right="0"/>
        <w:jc w:val="left"/>
      </w:pPr>
      <w:r>
        <w:rPr/>
        <w:t>审 计</w:t>
      </w:r>
      <w:r>
        <w:rPr>
          <w:spacing w:val="-36"/>
        </w:rPr>
        <w:t> </w:t>
      </w:r>
      <w:r>
        <w:rPr/>
        <w:t>报</w:t>
      </w:r>
    </w:p>
    <w:p>
      <w:pPr>
        <w:spacing w:after="0" w:line="240" w:lineRule="auto"/>
        <w:jc w:val="left"/>
        <w:sectPr>
          <w:type w:val="continuous"/>
          <w:pgSz w:w="11910" w:h="16840"/>
          <w:pgMar w:top="1060" w:bottom="1160" w:left="980" w:right="0"/>
          <w:cols w:num="3" w:equalWidth="0">
            <w:col w:w="2275" w:space="2005"/>
            <w:col w:w="1234" w:space="3214"/>
            <w:col w:w="2202"/>
          </w:cols>
        </w:sectPr>
      </w:pPr>
    </w:p>
    <w:p>
      <w:pPr>
        <w:pStyle w:val="BodyText"/>
        <w:spacing w:line="316" w:lineRule="auto" w:before="46"/>
        <w:ind w:left="657" w:right="7693" w:hanging="504"/>
        <w:jc w:val="left"/>
      </w:pPr>
      <w:r>
        <w:rPr/>
        <w:t>江苏润和软件股份有限公司全体股东： 一、审计意见</w:t>
      </w:r>
    </w:p>
    <w:p>
      <w:pPr>
        <w:pStyle w:val="BodyText"/>
        <w:spacing w:line="300" w:lineRule="auto" w:before="19"/>
        <w:ind w:right="0" w:firstLine="504"/>
        <w:jc w:val="left"/>
      </w:pPr>
      <w:r>
        <w:rPr/>
        <w:t>我们审计了江苏润和软件股份有限公司（以下简称润和软件）财务报表，包括</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 </w:t>
      </w:r>
      <w:r>
        <w:rPr>
          <w:spacing w:val="-4"/>
        </w:rPr>
        <w:t>债表，</w:t>
      </w:r>
      <w:r>
        <w:rPr>
          <w:rFonts w:ascii="Times New Roman" w:hAnsi="Times New Roman" w:cs="Times New Roman" w:eastAsia="Times New Roman" w:hint="default"/>
          <w:spacing w:val="-4"/>
        </w:rPr>
        <w:t>2019</w:t>
      </w:r>
      <w:r>
        <w:rPr>
          <w:spacing w:val="-4"/>
        </w:rPr>
        <w:t>年度的合并及母公司利润表、合并及母公司现金流量表、合并及母公司所有者权益变动表以及相关财务报表附注。</w:t>
      </w:r>
    </w:p>
    <w:p>
      <w:pPr>
        <w:pStyle w:val="BodyText"/>
        <w:spacing w:line="300" w:lineRule="auto" w:before="13"/>
        <w:ind w:right="1124" w:firstLine="504"/>
        <w:jc w:val="left"/>
      </w:pPr>
      <w:r>
        <w:rPr>
          <w:spacing w:val="-1"/>
        </w:rPr>
        <w:t>我们认为，后附的财务报表在所有重大方面按照企业会计准则的规定编制，公允反映了润和软件</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w:t>
      </w:r>
      <w:r>
        <w:rPr/>
        <w:t> 并及母公司财务状况以及</w:t>
      </w:r>
      <w:r>
        <w:rPr>
          <w:rFonts w:ascii="Times New Roman" w:hAnsi="Times New Roman" w:cs="Times New Roman" w:eastAsia="Times New Roman" w:hint="default"/>
        </w:rPr>
        <w:t>2019</w:t>
      </w:r>
      <w:r>
        <w:rPr/>
        <w:t>年度的合并及母公司经营成果和现金流量。</w:t>
      </w:r>
    </w:p>
    <w:p>
      <w:pPr>
        <w:pStyle w:val="BodyText"/>
        <w:spacing w:line="316" w:lineRule="auto" w:before="13"/>
        <w:ind w:left="657" w:right="0"/>
        <w:jc w:val="left"/>
      </w:pPr>
      <w:r>
        <w:rPr/>
        <w:t>二、形成审计意见的基础 </w:t>
      </w:r>
      <w:r>
        <w:rPr>
          <w:spacing w:val="-1"/>
        </w:rPr>
        <w:t>我们按照中国注册会计师审计准则的规定执行了审计工作。审计报告的</w:t>
      </w:r>
      <w:r>
        <w:rPr>
          <w:rFonts w:ascii="Times New Roman" w:hAnsi="Times New Roman" w:cs="Times New Roman" w:eastAsia="Times New Roman" w:hint="default"/>
          <w:spacing w:val="-1"/>
        </w:rPr>
        <w:t>“</w:t>
      </w:r>
      <w:r>
        <w:rPr>
          <w:spacing w:val="-1"/>
        </w:rPr>
        <w:t>注册会计师对财务报表审计的责任</w:t>
      </w:r>
      <w:r>
        <w:rPr>
          <w:rFonts w:ascii="Times New Roman" w:hAnsi="Times New Roman" w:cs="Times New Roman" w:eastAsia="Times New Roman" w:hint="default"/>
          <w:spacing w:val="-1"/>
        </w:rPr>
        <w:t>”</w:t>
      </w:r>
      <w:r>
        <w:rPr>
          <w:spacing w:val="-1"/>
        </w:rPr>
        <w:t>部分进一</w:t>
      </w:r>
    </w:p>
    <w:p>
      <w:pPr>
        <w:pStyle w:val="BodyText"/>
        <w:spacing w:line="316" w:lineRule="auto"/>
        <w:ind w:right="0"/>
        <w:jc w:val="left"/>
      </w:pPr>
      <w:r>
        <w:rPr>
          <w:spacing w:val="-2"/>
        </w:rPr>
        <w:t>步阐述了我们在这些准则下的责任。按照中国注册会计师职业道德守则，我们独立于润和软件，并履行了职业道德方面的其</w:t>
      </w:r>
      <w:r>
        <w:rPr>
          <w:spacing w:val="-63"/>
        </w:rPr>
        <w:t> </w:t>
      </w:r>
      <w:r>
        <w:rPr>
          <w:spacing w:val="-63"/>
        </w:rPr>
      </w:r>
      <w:r>
        <w:rPr/>
        <w:t>他责任。我们相信，我们获取的审计证据是充分、适当的，为发表审计意见提供了基础。</w:t>
      </w:r>
    </w:p>
    <w:p>
      <w:pPr>
        <w:pStyle w:val="BodyText"/>
        <w:spacing w:line="316" w:lineRule="auto" w:before="19"/>
        <w:ind w:left="657" w:right="1120"/>
        <w:jc w:val="left"/>
      </w:pPr>
      <w:r>
        <w:rPr/>
        <w:t>三、关键审计事项 </w:t>
      </w:r>
      <w:r>
        <w:rPr>
          <w:spacing w:val="-1"/>
        </w:rPr>
        <w:t>关键审计事项是我们根据职业判断，认为对本期财务报表审计最为重要的事项。这些事项的应对以对财务报表整体进</w:t>
      </w:r>
    </w:p>
    <w:p>
      <w:pPr>
        <w:pStyle w:val="BodyText"/>
        <w:spacing w:line="240" w:lineRule="auto" w:before="19"/>
        <w:ind w:right="0"/>
        <w:jc w:val="left"/>
      </w:pPr>
      <w:r>
        <w:rPr/>
        <w:t>行审计并形成审计意见为背景，我们不对这些事项单独发表意见。</w:t>
      </w:r>
    </w:p>
    <w:p>
      <w:pPr>
        <w:pStyle w:val="BodyText"/>
        <w:spacing w:line="240" w:lineRule="auto" w:before="76"/>
        <w:ind w:left="657" w:right="0"/>
        <w:jc w:val="left"/>
      </w:pPr>
      <w:r>
        <w:rPr/>
        <w:t>（一）收入确认</w:t>
      </w:r>
    </w:p>
    <w:p>
      <w:pPr>
        <w:pStyle w:val="BodyText"/>
        <w:spacing w:line="300" w:lineRule="auto" w:before="77"/>
        <w:ind w:left="657" w:right="1124"/>
        <w:jc w:val="left"/>
      </w:pPr>
      <w:r>
        <w:rPr>
          <w:rFonts w:ascii="Times New Roman" w:hAnsi="Times New Roman" w:cs="Times New Roman" w:eastAsia="Times New Roman" w:hint="default"/>
        </w:rPr>
        <w:t>1</w:t>
      </w:r>
      <w:r>
        <w:rPr/>
        <w:t>、事项描述 参见财务报表附注五、重要会计政策及会计估计</w:t>
      </w:r>
      <w:r>
        <w:rPr>
          <w:rFonts w:ascii="Times New Roman" w:hAnsi="Times New Roman" w:cs="Times New Roman" w:eastAsia="Times New Roman" w:hint="default"/>
        </w:rPr>
        <w:t>39</w:t>
      </w:r>
      <w:r>
        <w:rPr/>
        <w:t>，润和软件的主要收入分为软件开发业务及外购产品销售业务。 软件开发业务分为以下两类：</w:t>
      </w:r>
      <w:r>
        <w:rPr>
          <w:rFonts w:ascii="Times New Roman" w:hAnsi="Times New Roman" w:cs="Times New Roman" w:eastAsia="Times New Roman" w:hint="default"/>
        </w:rPr>
        <w:t>a.</w:t>
      </w:r>
      <w:r>
        <w:rPr/>
        <w:t>软件外包业务：软件外包业务分为软件定制业务和技术服务业务，其中软件定制业务</w:t>
      </w:r>
    </w:p>
    <w:p>
      <w:pPr>
        <w:pStyle w:val="BodyText"/>
        <w:spacing w:line="240" w:lineRule="auto" w:before="13"/>
        <w:ind w:right="0"/>
        <w:jc w:val="left"/>
      </w:pPr>
      <w:r>
        <w:rPr/>
        <w:t>按照合同约定提交软件开发成果并经客户验收后确认收入；技术服务业务按照合同约定提供服务并经客户确认后确认收入；</w:t>
      </w:r>
    </w:p>
    <w:p>
      <w:pPr>
        <w:pStyle w:val="BodyText"/>
        <w:spacing w:line="300" w:lineRule="auto" w:before="76"/>
        <w:ind w:left="657" w:right="1120" w:hanging="504"/>
        <w:jc w:val="left"/>
      </w:pPr>
      <w:r>
        <w:rPr>
          <w:rFonts w:ascii="Times New Roman" w:hAnsi="Times New Roman" w:cs="Times New Roman" w:eastAsia="Times New Roman" w:hint="default"/>
        </w:rPr>
        <w:t>b.</w:t>
      </w:r>
      <w:r>
        <w:rPr/>
        <w:t>自主软件产品销售业务：按照合同约定在产品交付并经客户验收后确认收入。 </w:t>
      </w:r>
      <w:r>
        <w:rPr>
          <w:spacing w:val="-1"/>
        </w:rPr>
        <w:t>外购产品销售业务中，合同约定需要安装的于产品安装完成并经客户验收后确认收入，合同约定不需要安装的以产品</w:t>
      </w:r>
    </w:p>
    <w:p>
      <w:pPr>
        <w:pStyle w:val="BodyText"/>
        <w:spacing w:line="316" w:lineRule="auto" w:before="31"/>
        <w:ind w:left="657" w:right="1120" w:hanging="504"/>
        <w:jc w:val="left"/>
      </w:pPr>
      <w:r>
        <w:rPr/>
        <w:t>交付并经客户验收后确认收入。 </w:t>
      </w:r>
      <w:r>
        <w:rPr>
          <w:spacing w:val="-1"/>
        </w:rPr>
        <w:t>由于收入是公司的关键业绩指标之一，从而存在管理层为了达到特定目标或期望而操纵收入确认时点的固有风险，我</w:t>
      </w:r>
    </w:p>
    <w:p>
      <w:pPr>
        <w:pStyle w:val="BodyText"/>
        <w:spacing w:line="309" w:lineRule="auto" w:before="19"/>
        <w:ind w:left="657" w:right="7513" w:hanging="504"/>
        <w:jc w:val="left"/>
      </w:pPr>
      <w:r>
        <w:rPr/>
        <w:t>们将公司收入确认识别为关键审计事项。 </w:t>
      </w:r>
      <w:r>
        <w:rPr>
          <w:rFonts w:ascii="Times New Roman" w:hAnsi="Times New Roman" w:cs="Times New Roman" w:eastAsia="Times New Roman" w:hint="default"/>
        </w:rPr>
        <w:t>2</w:t>
      </w:r>
      <w:r>
        <w:rPr/>
        <w:t>、审计应对 我们实施的审计程序主要包括：</w:t>
      </w:r>
    </w:p>
    <w:p>
      <w:pPr>
        <w:spacing w:after="0" w:line="309" w:lineRule="auto"/>
        <w:jc w:val="left"/>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657" w:right="0"/>
        <w:jc w:val="left"/>
      </w:pPr>
      <w:r>
        <w:rPr/>
        <w:t>（</w:t>
      </w:r>
      <w:r>
        <w:rPr>
          <w:rFonts w:ascii="Times New Roman" w:hAnsi="Times New Roman" w:cs="Times New Roman" w:eastAsia="Times New Roman" w:hint="default"/>
        </w:rPr>
        <w:t>1</w:t>
      </w:r>
      <w:r>
        <w:rPr/>
        <w:t>）评估并测试了公司在收入和成本确认流程中的关键控制；</w:t>
      </w:r>
    </w:p>
    <w:p>
      <w:pPr>
        <w:pStyle w:val="BodyText"/>
        <w:spacing w:line="240" w:lineRule="auto" w:before="63"/>
        <w:ind w:left="657" w:right="0"/>
        <w:jc w:val="left"/>
      </w:pPr>
      <w:r>
        <w:rPr/>
        <w:t>（</w:t>
      </w:r>
      <w:r>
        <w:rPr>
          <w:rFonts w:ascii="Times New Roman" w:hAnsi="Times New Roman" w:cs="Times New Roman" w:eastAsia="Times New Roman" w:hint="default"/>
        </w:rPr>
        <w:t>2</w:t>
      </w:r>
      <w:r>
        <w:rPr/>
        <w:t>）执行分析性复核程序，判断销售收入和毛利变动的合理性，与前期指标进行对比分析；</w:t>
      </w:r>
    </w:p>
    <w:p>
      <w:pPr>
        <w:pStyle w:val="BodyText"/>
        <w:spacing w:line="240" w:lineRule="auto" w:before="63"/>
        <w:ind w:left="657" w:right="0"/>
        <w:jc w:val="left"/>
      </w:pPr>
      <w:r>
        <w:rPr/>
        <w:t>（</w:t>
      </w:r>
      <w:r>
        <w:rPr>
          <w:rFonts w:ascii="Times New Roman" w:hAnsi="Times New Roman" w:cs="Times New Roman" w:eastAsia="Times New Roman" w:hint="default"/>
        </w:rPr>
        <w:t>3</w:t>
      </w:r>
      <w:r>
        <w:rPr/>
        <w:t>）使用抽样方法选取了部分合同，对收入的确认进行检查：</w:t>
      </w:r>
    </w:p>
    <w:p>
      <w:pPr>
        <w:pStyle w:val="BodyText"/>
        <w:spacing w:line="240" w:lineRule="auto" w:before="63"/>
        <w:ind w:left="657" w:right="0"/>
        <w:jc w:val="left"/>
      </w:pPr>
      <w:r>
        <w:rPr/>
        <w:t>①检查合同条款，核对合同金额的准确性；</w:t>
      </w:r>
    </w:p>
    <w:p>
      <w:pPr>
        <w:pStyle w:val="BodyText"/>
        <w:spacing w:line="240" w:lineRule="auto" w:before="76"/>
        <w:ind w:left="657" w:right="0"/>
        <w:jc w:val="left"/>
      </w:pPr>
      <w:r>
        <w:rPr/>
        <w:t>②检查重要项目客户签收的合同收入进度确认单；</w:t>
      </w:r>
    </w:p>
    <w:p>
      <w:pPr>
        <w:pStyle w:val="BodyText"/>
        <w:spacing w:line="240" w:lineRule="auto" w:before="76"/>
        <w:ind w:left="657" w:right="0"/>
        <w:jc w:val="left"/>
      </w:pPr>
      <w:r>
        <w:rPr/>
        <w:t>③重新计算公司账面收入确认的准确性；</w:t>
      </w:r>
    </w:p>
    <w:p>
      <w:pPr>
        <w:pStyle w:val="BodyText"/>
        <w:spacing w:line="240" w:lineRule="auto" w:before="76"/>
        <w:ind w:left="657" w:right="0"/>
        <w:jc w:val="left"/>
      </w:pPr>
      <w:r>
        <w:rPr/>
        <w:t>④针对</w:t>
      </w:r>
      <w:r>
        <w:rPr>
          <w:rFonts w:ascii="Times New Roman" w:hAnsi="Times New Roman" w:cs="Times New Roman" w:eastAsia="Times New Roman" w:hint="default"/>
        </w:rPr>
        <w:t>2019</w:t>
      </w:r>
      <w:r>
        <w:rPr/>
        <w:t>年度销售金额较大的客户执行函证程序；</w:t>
      </w:r>
    </w:p>
    <w:p>
      <w:pPr>
        <w:pStyle w:val="BodyText"/>
        <w:spacing w:line="240" w:lineRule="auto" w:before="63"/>
        <w:ind w:left="657" w:right="0"/>
        <w:jc w:val="left"/>
      </w:pPr>
      <w:r>
        <w:rPr/>
        <w:t>⑤结合函证程序，对重点客户执行视频、电话以及现场走访核查程序。</w:t>
      </w:r>
    </w:p>
    <w:p>
      <w:pPr>
        <w:pStyle w:val="BodyText"/>
        <w:spacing w:line="240" w:lineRule="auto" w:before="76"/>
        <w:ind w:left="657" w:right="0"/>
        <w:jc w:val="left"/>
      </w:pPr>
      <w:r>
        <w:rPr/>
        <w:t>（二）应收账款坏账准备</w:t>
      </w:r>
    </w:p>
    <w:p>
      <w:pPr>
        <w:pStyle w:val="BodyText"/>
        <w:spacing w:line="300" w:lineRule="auto" w:before="76"/>
        <w:ind w:left="657" w:right="1249"/>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、事项描述 参见财务报表附注七、</w:t>
      </w:r>
      <w:r>
        <w:rPr>
          <w:rFonts w:ascii="Times New Roman" w:hAnsi="Times New Roman" w:cs="Times New Roman" w:eastAsia="Times New Roman" w:hint="default"/>
        </w:rPr>
        <w:t>5</w:t>
      </w:r>
      <w:r>
        <w:rPr/>
        <w:t>，截止至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日，润和软件应收账款余额</w:t>
      </w:r>
      <w:r>
        <w:rPr>
          <w:rFonts w:ascii="Times New Roman" w:hAnsi="Times New Roman" w:cs="Times New Roman" w:eastAsia="Times New Roman" w:hint="default"/>
        </w:rPr>
        <w:t>146,037.18</w:t>
      </w:r>
      <w:r>
        <w:rPr/>
        <w:t>万元，坏账准备金额</w:t>
      </w:r>
      <w:r>
        <w:rPr>
          <w:rFonts w:ascii="Times New Roman" w:hAnsi="Times New Roman" w:cs="Times New Roman" w:eastAsia="Times New Roman" w:hint="default"/>
        </w:rPr>
        <w:t>28,783.18</w:t>
      </w:r>
    </w:p>
    <w:p>
      <w:pPr>
        <w:pStyle w:val="BodyText"/>
        <w:spacing w:line="300" w:lineRule="auto" w:before="13"/>
        <w:ind w:left="657" w:right="1120" w:hanging="504"/>
        <w:jc w:val="left"/>
      </w:pPr>
      <w:r>
        <w:rPr/>
        <w:t>万元，应收账款余额</w:t>
      </w:r>
      <w:r>
        <w:rPr>
          <w:rFonts w:ascii="Times New Roman" w:hAnsi="Times New Roman" w:cs="Times New Roman" w:eastAsia="Times New Roman" w:hint="default"/>
        </w:rPr>
        <w:t>117,254.00</w:t>
      </w:r>
      <w:r>
        <w:rPr/>
        <w:t>万元，应收账款净值占合并资产总额</w:t>
      </w:r>
      <w:r>
        <w:rPr>
          <w:rFonts w:ascii="Times New Roman" w:hAnsi="Times New Roman" w:cs="Times New Roman" w:eastAsia="Times New Roman" w:hint="default"/>
        </w:rPr>
        <w:t>25.34%</w:t>
      </w:r>
      <w:r>
        <w:rPr/>
        <w:t>。 </w:t>
      </w:r>
      <w:r>
        <w:rPr>
          <w:spacing w:val="-1"/>
        </w:rPr>
        <w:t>由于应收账款不能按期收回或无法收回而发生坏账对财务报表影响较为重大，我们将应收账款坏账准备确定为关键审</w:t>
      </w:r>
    </w:p>
    <w:p>
      <w:pPr>
        <w:pStyle w:val="BodyText"/>
        <w:spacing w:line="240" w:lineRule="auto" w:before="31"/>
        <w:ind w:right="0"/>
        <w:jc w:val="left"/>
      </w:pPr>
      <w:r>
        <w:rPr/>
        <w:t>计事项。</w:t>
      </w:r>
    </w:p>
    <w:p>
      <w:pPr>
        <w:pStyle w:val="BodyText"/>
        <w:spacing w:line="300" w:lineRule="auto" w:before="76"/>
        <w:ind w:left="657" w:right="6469"/>
        <w:jc w:val="left"/>
      </w:pPr>
      <w:r>
        <w:rPr>
          <w:rFonts w:ascii="Times New Roman" w:hAnsi="Times New Roman" w:cs="Times New Roman" w:eastAsia="Times New Roman" w:hint="default"/>
        </w:rPr>
        <w:t>2</w:t>
      </w:r>
      <w:r>
        <w:rPr/>
        <w:t>、审计应对 我们对应收账款坏账准备实施的程序主要包括：</w:t>
      </w:r>
    </w:p>
    <w:p>
      <w:pPr>
        <w:pStyle w:val="BodyText"/>
        <w:spacing w:line="300" w:lineRule="auto" w:before="31"/>
        <w:ind w:right="1159" w:firstLine="504"/>
        <w:jc w:val="left"/>
      </w:pPr>
      <w:r>
        <w:rPr/>
        <w:t>（</w:t>
      </w:r>
      <w:r>
        <w:rPr>
          <w:rFonts w:ascii="Times New Roman" w:hAnsi="Times New Roman" w:cs="Times New Roman" w:eastAsia="Times New Roman" w:hint="default"/>
        </w:rPr>
        <w:t>1</w:t>
      </w:r>
      <w:r>
        <w:rPr/>
        <w:t>）获取润和软件销售与应收账款管理相关的内部控制制度，了解和评价内部控制的设计并实施穿行测试检查相关 内控制度是否得到有效执行；</w:t>
      </w:r>
    </w:p>
    <w:p>
      <w:pPr>
        <w:pStyle w:val="BodyText"/>
        <w:spacing w:line="240" w:lineRule="auto" w:before="31"/>
        <w:ind w:left="657" w:right="0"/>
        <w:jc w:val="left"/>
      </w:pPr>
      <w:r>
        <w:rPr/>
        <w:t>（</w:t>
      </w:r>
      <w:r>
        <w:rPr>
          <w:rFonts w:ascii="Times New Roman" w:hAnsi="Times New Roman" w:cs="Times New Roman" w:eastAsia="Times New Roman" w:hint="default"/>
        </w:rPr>
        <w:t>2</w:t>
      </w:r>
      <w:r>
        <w:rPr/>
        <w:t>）获取润和软件应收账款预期信用损失模型，复核管理层对应收款项预期信用损失进行评估的相关考虑及客观证</w:t>
      </w:r>
    </w:p>
    <w:p>
      <w:pPr>
        <w:pStyle w:val="BodyText"/>
        <w:spacing w:line="240" w:lineRule="auto" w:before="63"/>
        <w:ind w:right="0"/>
        <w:jc w:val="left"/>
      </w:pPr>
      <w:r>
        <w:rPr/>
        <w:t>据；</w:t>
      </w:r>
    </w:p>
    <w:p>
      <w:pPr>
        <w:pStyle w:val="BodyText"/>
        <w:spacing w:line="240" w:lineRule="auto" w:before="76"/>
        <w:ind w:left="657" w:right="0"/>
        <w:jc w:val="left"/>
      </w:pPr>
      <w:r>
        <w:rPr/>
        <w:t>（</w:t>
      </w:r>
      <w:r>
        <w:rPr>
          <w:rFonts w:ascii="Times New Roman" w:hAnsi="Times New Roman" w:cs="Times New Roman" w:eastAsia="Times New Roman" w:hint="default"/>
        </w:rPr>
        <w:t>3</w:t>
      </w:r>
      <w:r>
        <w:rPr/>
        <w:t>）对于以共同信用风险特征为依据采用减值矩阵确定预期信用损失的应收款项，结合历史实际损失率和前瞻性信</w:t>
      </w:r>
    </w:p>
    <w:p>
      <w:pPr>
        <w:pStyle w:val="BodyText"/>
        <w:spacing w:line="316" w:lineRule="auto" w:before="63"/>
        <w:ind w:right="1130"/>
        <w:jc w:val="both"/>
      </w:pPr>
      <w:r>
        <w:rPr>
          <w:spacing w:val="-2"/>
        </w:rPr>
        <w:t>息，评价管理层确定的预期信用损失率的合理性；分析检查应收账款坏账准备的计提依据是否充分合理，重新计算坏账计提</w:t>
      </w:r>
      <w:r>
        <w:rPr>
          <w:spacing w:val="-63"/>
        </w:rPr>
        <w:t> </w:t>
      </w:r>
      <w:r>
        <w:rPr>
          <w:spacing w:val="-63"/>
        </w:rPr>
      </w:r>
      <w:r>
        <w:rPr/>
        <w:t>金额是否准确；</w:t>
      </w:r>
    </w:p>
    <w:p>
      <w:pPr>
        <w:pStyle w:val="BodyText"/>
        <w:spacing w:line="300" w:lineRule="auto" w:before="19"/>
        <w:ind w:right="1159" w:firstLine="504"/>
        <w:jc w:val="left"/>
      </w:pPr>
      <w:r>
        <w:rPr/>
        <w:t>（</w:t>
      </w:r>
      <w:r>
        <w:rPr>
          <w:rFonts w:ascii="Times New Roman" w:hAnsi="Times New Roman" w:cs="Times New Roman" w:eastAsia="Times New Roman" w:hint="default"/>
        </w:rPr>
        <w:t>4</w:t>
      </w:r>
      <w:r>
        <w:rPr/>
        <w:t>）通过分析润和软件应收账款的账龄和客户信誉情况，并执行应收账款函证程序及检查期后回款情况，评价应收 账款坏账准备计提的合理性；</w:t>
      </w:r>
    </w:p>
    <w:p>
      <w:pPr>
        <w:pStyle w:val="BodyText"/>
        <w:spacing w:line="300" w:lineRule="auto" w:before="31"/>
        <w:ind w:right="1159" w:firstLine="504"/>
        <w:jc w:val="left"/>
      </w:pPr>
      <w:r>
        <w:rPr/>
        <w:t>（</w:t>
      </w:r>
      <w:r>
        <w:rPr>
          <w:rFonts w:ascii="Times New Roman" w:hAnsi="Times New Roman" w:cs="Times New Roman" w:eastAsia="Times New Roman" w:hint="default"/>
        </w:rPr>
        <w:t>5</w:t>
      </w:r>
      <w:r>
        <w:rPr/>
        <w:t>）对于单独计提坏账准备的应收账款，选取样本获取管理层对预计未来可收回金额做出估计的依据，包括客户信 用记录、违约或延迟付款记录及期后实际还款情况，并复核其合理性；</w:t>
      </w:r>
    </w:p>
    <w:p>
      <w:pPr>
        <w:pStyle w:val="BodyText"/>
        <w:spacing w:line="300" w:lineRule="auto" w:before="31"/>
        <w:ind w:right="1159" w:firstLine="504"/>
        <w:jc w:val="left"/>
      </w:pPr>
      <w:r>
        <w:rPr/>
        <w:t>（</w:t>
      </w:r>
      <w:r>
        <w:rPr>
          <w:rFonts w:ascii="Times New Roman" w:hAnsi="Times New Roman" w:cs="Times New Roman" w:eastAsia="Times New Roman" w:hint="default"/>
        </w:rPr>
        <w:t>6</w:t>
      </w:r>
      <w:r>
        <w:rPr/>
        <w:t>）了解逾期款项客户欠款原因，检查报告期内润和软件涉及诉讼的全部资料，核查润和软件报告期末是否存在交 易争议的应收账款，核查应收账款坏账计提充分性；</w:t>
      </w:r>
    </w:p>
    <w:p>
      <w:pPr>
        <w:pStyle w:val="BodyText"/>
        <w:spacing w:line="300" w:lineRule="auto" w:before="31"/>
        <w:ind w:right="1159" w:firstLine="504"/>
        <w:jc w:val="left"/>
      </w:pPr>
      <w:r>
        <w:rPr/>
        <w:t>（</w:t>
      </w:r>
      <w:r>
        <w:rPr>
          <w:rFonts w:ascii="Times New Roman" w:hAnsi="Times New Roman" w:cs="Times New Roman" w:eastAsia="Times New Roman" w:hint="default"/>
        </w:rPr>
        <w:t>7</w:t>
      </w:r>
      <w:r>
        <w:rPr/>
        <w:t>）查询客户的工商资料，并对重要客户执行实地走访、视频以及电话访谈程序，了解重要客户的经营状况及持续 经营能力，评估客户的回款意愿和能力。</w:t>
      </w:r>
    </w:p>
    <w:p>
      <w:pPr>
        <w:pStyle w:val="BodyText"/>
        <w:spacing w:line="240" w:lineRule="auto" w:before="31"/>
        <w:ind w:left="657" w:right="0"/>
        <w:jc w:val="left"/>
      </w:pPr>
      <w:r>
        <w:rPr/>
        <w:t>（三）商誉减值</w:t>
      </w:r>
    </w:p>
    <w:p>
      <w:pPr>
        <w:pStyle w:val="BodyText"/>
        <w:spacing w:line="300" w:lineRule="auto" w:before="76"/>
        <w:ind w:left="657" w:right="1159"/>
        <w:jc w:val="left"/>
      </w:pPr>
      <w:r>
        <w:rPr>
          <w:rFonts w:ascii="Times New Roman" w:hAnsi="Times New Roman" w:cs="Times New Roman" w:eastAsia="Times New Roman" w:hint="default"/>
        </w:rPr>
        <w:t>1</w:t>
      </w:r>
      <w:r>
        <w:rPr/>
        <w:t>、事项描述 参见财务报表附注七、</w:t>
      </w:r>
      <w:r>
        <w:rPr>
          <w:rFonts w:ascii="Times New Roman" w:hAnsi="Times New Roman" w:cs="Times New Roman" w:eastAsia="Times New Roman" w:hint="default"/>
        </w:rPr>
        <w:t>28</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日，润和软件商誉的账面原值为</w:t>
      </w:r>
      <w:r>
        <w:rPr>
          <w:rFonts w:ascii="Times New Roman" w:hAnsi="Times New Roman" w:cs="Times New Roman" w:eastAsia="Times New Roman" w:hint="default"/>
        </w:rPr>
        <w:t>261,614.40</w:t>
      </w:r>
      <w:r>
        <w:rPr/>
        <w:t>万元，相应的减值准备金额</w:t>
      </w:r>
    </w:p>
    <w:p>
      <w:pPr>
        <w:pStyle w:val="BodyText"/>
        <w:spacing w:line="314" w:lineRule="auto" w:before="13"/>
        <w:ind w:right="1130"/>
        <w:jc w:val="both"/>
      </w:pPr>
      <w:r>
        <w:rPr/>
        <w:t>为</w:t>
      </w:r>
      <w:r>
        <w:rPr>
          <w:rFonts w:ascii="Times New Roman" w:hAnsi="Times New Roman" w:cs="Times New Roman" w:eastAsia="Times New Roman" w:hint="default"/>
        </w:rPr>
        <w:t>162,996.29</w:t>
      </w:r>
      <w:r>
        <w:rPr/>
        <w:t>万元，商誉资产金额以及减值金额重大，商誉为润和软件历次收购子公司形成，如果商誉有发生任何减值的情 </w:t>
      </w:r>
      <w:r>
        <w:rPr>
          <w:spacing w:val="-2"/>
        </w:rPr>
        <w:t>况，对润和软件财务报表可能产生重大影响。管理层聘请第三方评估机构对相关商誉资产组可收回金额进行评估，以协助管</w:t>
      </w:r>
      <w:r>
        <w:rPr>
          <w:spacing w:val="-63"/>
        </w:rPr>
        <w:t> </w:t>
      </w:r>
      <w:r>
        <w:rPr>
          <w:spacing w:val="-63"/>
        </w:rPr>
      </w:r>
      <w:r>
        <w:rPr>
          <w:spacing w:val="-2"/>
        </w:rPr>
        <w:t>理层对公司商誉进行减值测试。管理层根据包含分摊的商誉的资产组或资产组组合的可收回金额低于其账面价值的部分，确</w:t>
      </w:r>
      <w:r>
        <w:rPr>
          <w:spacing w:val="-64"/>
        </w:rPr>
        <w:t> </w:t>
      </w:r>
      <w:r>
        <w:rPr>
          <w:spacing w:val="-64"/>
        </w:rPr>
      </w:r>
      <w:r>
        <w:rPr>
          <w:spacing w:val="-2"/>
        </w:rPr>
        <w:t>认相应的减值准备。商誉减值评估涉及的关键假设包括收入增长率、毛利率、费用率及折现率。由于相关减值评估与测试需</w:t>
      </w:r>
      <w:r>
        <w:rPr>
          <w:spacing w:val="-65"/>
        </w:rPr>
        <w:t> </w:t>
      </w:r>
      <w:r>
        <w:rPr>
          <w:spacing w:val="-65"/>
        </w:rPr>
      </w:r>
      <w:r>
        <w:rPr/>
        <w:t>要管理层作出重大判断，因此我们将该类资产的减值评估确认为关键审计事项。</w:t>
      </w:r>
    </w:p>
    <w:p>
      <w:pPr>
        <w:pStyle w:val="BodyText"/>
        <w:spacing w:line="300" w:lineRule="auto" w:before="20"/>
        <w:ind w:left="657" w:right="7729"/>
        <w:jc w:val="left"/>
      </w:pPr>
      <w:r>
        <w:rPr>
          <w:rFonts w:ascii="Times New Roman" w:hAnsi="Times New Roman" w:cs="Times New Roman" w:eastAsia="Times New Roman" w:hint="default"/>
        </w:rPr>
        <w:t>2</w:t>
      </w:r>
      <w:r>
        <w:rPr/>
        <w:t>、审计应对 我们实施的审计程序主要包括：</w:t>
      </w:r>
    </w:p>
    <w:p>
      <w:pPr>
        <w:pStyle w:val="BodyText"/>
        <w:spacing w:line="240" w:lineRule="auto" w:before="31"/>
        <w:ind w:left="657" w:right="0"/>
        <w:jc w:val="left"/>
      </w:pPr>
      <w:r>
        <w:rPr/>
        <w:t>（</w:t>
      </w:r>
      <w:r>
        <w:rPr>
          <w:rFonts w:ascii="Times New Roman" w:hAnsi="Times New Roman" w:cs="Times New Roman" w:eastAsia="Times New Roman" w:hint="default"/>
        </w:rPr>
        <w:t>1</w:t>
      </w:r>
      <w:r>
        <w:rPr/>
        <w:t>）了解公司与商誉评估相关的内部控制的设计及运行有效性；</w:t>
      </w:r>
    </w:p>
    <w:p>
      <w:pPr>
        <w:pStyle w:val="BodyText"/>
        <w:spacing w:line="240" w:lineRule="auto" w:before="63"/>
        <w:ind w:left="657" w:right="0"/>
        <w:jc w:val="left"/>
      </w:pPr>
      <w:r>
        <w:rPr/>
        <w:t>（</w:t>
      </w:r>
      <w:r>
        <w:rPr>
          <w:rFonts w:ascii="Times New Roman" w:hAnsi="Times New Roman" w:cs="Times New Roman" w:eastAsia="Times New Roman" w:hint="default"/>
        </w:rPr>
        <w:t>2</w:t>
      </w:r>
      <w:r>
        <w:rPr/>
        <w:t>）了解并评价管理层聘用的外部估值专家的胜任能力、专业素质和客观性；</w:t>
      </w:r>
    </w:p>
    <w:p>
      <w:pPr>
        <w:pStyle w:val="BodyText"/>
        <w:spacing w:line="240" w:lineRule="auto" w:before="62"/>
        <w:ind w:left="657" w:right="0"/>
        <w:jc w:val="left"/>
      </w:pPr>
      <w:r>
        <w:rPr/>
        <w:t>（</w:t>
      </w:r>
      <w:r>
        <w:rPr>
          <w:rFonts w:ascii="Times New Roman" w:hAnsi="Times New Roman" w:cs="Times New Roman" w:eastAsia="Times New Roman" w:hint="default"/>
        </w:rPr>
        <w:t>3</w:t>
      </w:r>
      <w:r>
        <w:rPr/>
        <w:t>）与外部专家进行沟通，判断对商誉减值测试所依据的评估和预测采用的相关假设是否合理，评估方法是否恰当；</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75" w:firstLine="504"/>
        <w:jc w:val="both"/>
      </w:pPr>
      <w:r>
        <w:rPr/>
        <w:t>（</w:t>
      </w:r>
      <w:r>
        <w:rPr>
          <w:rFonts w:ascii="Times New Roman" w:hAnsi="Times New Roman" w:cs="Times New Roman" w:eastAsia="Times New Roman" w:hint="default"/>
        </w:rPr>
        <w:t>4</w:t>
      </w:r>
      <w:r>
        <w:rPr/>
        <w:t>）复核管理层以前年度对未来现金流量现值的预测和实际经营结果，评价管理层过往预测的准确性，评价管理层 对未来现金流量的预测编制是否存在偏向性；</w:t>
      </w:r>
    </w:p>
    <w:p>
      <w:pPr>
        <w:pStyle w:val="BodyText"/>
        <w:spacing w:line="300" w:lineRule="auto" w:before="31"/>
        <w:ind w:right="1175" w:firstLine="504"/>
        <w:jc w:val="both"/>
      </w:pPr>
      <w:r>
        <w:rPr/>
        <w:t>（</w:t>
      </w:r>
      <w:r>
        <w:rPr>
          <w:rFonts w:ascii="Times New Roman" w:hAnsi="Times New Roman" w:cs="Times New Roman" w:eastAsia="Times New Roman" w:hint="default"/>
        </w:rPr>
        <w:t>5</w:t>
      </w:r>
      <w:r>
        <w:rPr/>
        <w:t>）评估预计未来现金流量现值计算中选取的关键参数包括预测期以及稳定期的收入增长率和毛利率，折现率的合 理性以及恰当性；</w:t>
      </w:r>
    </w:p>
    <w:p>
      <w:pPr>
        <w:pStyle w:val="BodyText"/>
        <w:spacing w:line="300" w:lineRule="auto" w:before="31"/>
        <w:ind w:left="657" w:right="6199"/>
        <w:jc w:val="left"/>
      </w:pPr>
      <w:r>
        <w:rPr/>
        <w:t>（</w:t>
      </w:r>
      <w:r>
        <w:rPr>
          <w:rFonts w:ascii="Times New Roman" w:hAnsi="Times New Roman" w:cs="Times New Roman" w:eastAsia="Times New Roman" w:hint="default"/>
        </w:rPr>
        <w:t>6</w:t>
      </w:r>
      <w:r>
        <w:rPr/>
        <w:t>）评估管理层对商誉的财务报表披露是否恰当。 四、其他信息</w:t>
      </w:r>
    </w:p>
    <w:p>
      <w:pPr>
        <w:pStyle w:val="BodyText"/>
        <w:spacing w:line="300" w:lineRule="auto" w:before="31"/>
        <w:ind w:right="1131" w:firstLine="504"/>
        <w:jc w:val="both"/>
      </w:pPr>
      <w:r>
        <w:rPr>
          <w:spacing w:val="-1"/>
        </w:rPr>
        <w:t>润和软件管理层（以下简称管理层）对其他信息负责。其他信息包括润和软件</w:t>
      </w:r>
      <w:r>
        <w:rPr>
          <w:rFonts w:ascii="Times New Roman" w:hAnsi="Times New Roman" w:cs="Times New Roman" w:eastAsia="Times New Roman" w:hint="default"/>
          <w:spacing w:val="-1"/>
        </w:rPr>
        <w:t>2019</w:t>
      </w:r>
      <w:r>
        <w:rPr>
          <w:spacing w:val="-1"/>
        </w:rPr>
        <w:t>年度报告中涵盖的信息，但不包括</w:t>
      </w:r>
      <w:r>
        <w:rPr/>
        <w:t> 财务报表和我们的审计报告。</w:t>
      </w:r>
    </w:p>
    <w:p>
      <w:pPr>
        <w:pStyle w:val="BodyText"/>
        <w:spacing w:line="316" w:lineRule="auto" w:before="31"/>
        <w:ind w:left="657" w:right="1120"/>
        <w:jc w:val="left"/>
      </w:pPr>
      <w:r>
        <w:rPr/>
        <w:t>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结合我们对财务报表的审计，我们的责任是阅读其他信息，在此过程中，考虑其他信息是否与财务报表或我们在审计</w:t>
      </w:r>
    </w:p>
    <w:p>
      <w:pPr>
        <w:pStyle w:val="BodyText"/>
        <w:spacing w:line="319" w:lineRule="auto" w:before="19"/>
        <w:ind w:left="657" w:right="1120" w:hanging="504"/>
        <w:jc w:val="left"/>
      </w:pPr>
      <w:r>
        <w:rPr/>
        <w:t>过程中了解到的情况存在重大不一致或者似乎存在重大错报。 </w:t>
      </w:r>
      <w:r>
        <w:rPr>
          <w:spacing w:val="-1"/>
        </w:rPr>
        <w:t>基于我们已执行的工作，如果我们确定其他信息存在重大错报，我们应当报告该事实。在这方面，我们无任何事项需</w:t>
      </w:r>
    </w:p>
    <w:p>
      <w:pPr>
        <w:pStyle w:val="BodyText"/>
        <w:spacing w:line="240" w:lineRule="auto" w:before="17"/>
        <w:ind w:right="0"/>
        <w:jc w:val="left"/>
      </w:pPr>
      <w:r>
        <w:rPr/>
        <w:t>要报告。</w:t>
      </w:r>
    </w:p>
    <w:p>
      <w:pPr>
        <w:pStyle w:val="BodyText"/>
        <w:spacing w:line="316" w:lineRule="auto" w:before="76"/>
        <w:ind w:left="657" w:right="1120"/>
        <w:jc w:val="left"/>
      </w:pPr>
      <w:r>
        <w:rPr/>
        <w:t>五、管理层和治理层对财务报表的责任 </w:t>
      </w:r>
      <w:r>
        <w:rPr>
          <w:spacing w:val="-1"/>
        </w:rPr>
        <w:t>润和软件管理层负责按照企业会计准则的规定编制财务报表，使其实现公允反映，并设计、执行和维护必要的内部控</w:t>
      </w:r>
    </w:p>
    <w:p>
      <w:pPr>
        <w:pStyle w:val="BodyText"/>
        <w:spacing w:line="316" w:lineRule="auto" w:before="19"/>
        <w:ind w:left="657" w:right="1120" w:hanging="504"/>
        <w:jc w:val="left"/>
      </w:pPr>
      <w:r>
        <w:rPr/>
        <w:t>制，以使财务报表不存在由于舞弊或错误导致的重大错报。 </w:t>
      </w:r>
      <w:r>
        <w:rPr>
          <w:spacing w:val="-1"/>
        </w:rPr>
        <w:t>在编制财务报表时，管理层负责评估润和软件的持续经营能力，披露与持续经营相关的事项（如适用），并运用持续</w:t>
      </w:r>
    </w:p>
    <w:p>
      <w:pPr>
        <w:pStyle w:val="BodyText"/>
        <w:spacing w:line="316" w:lineRule="auto" w:before="19"/>
        <w:ind w:left="657" w:right="4633" w:hanging="504"/>
        <w:jc w:val="left"/>
      </w:pPr>
      <w:r>
        <w:rPr/>
        <w:t>经营假设，除非管理层计划清算润和软件、终止运营或别无其他现实的选择。 治理层负责监督润和软件的财务报告过程。 六、注册会计师对财务报表审计的责任</w:t>
      </w:r>
    </w:p>
    <w:p>
      <w:pPr>
        <w:pStyle w:val="BodyText"/>
        <w:spacing w:line="319" w:lineRule="auto" w:before="19"/>
        <w:ind w:right="1130" w:firstLine="504"/>
        <w:jc w:val="both"/>
      </w:pPr>
      <w:r>
        <w:rPr>
          <w:spacing w:val="-1"/>
        </w:rPr>
        <w:t>我们的目标是对财务报表整体是否不存在由于舞弊或错误导致的重大错报获取合理保证，并出具包含审计意见的审计</w:t>
      </w:r>
      <w:r>
        <w:rPr/>
        <w:t> </w:t>
      </w:r>
      <w:r>
        <w:rPr>
          <w:spacing w:val="-2"/>
        </w:rPr>
        <w:t>报告。合理保证是高水平的保证，但并不能保证按照审计准则执行的审计在某一重大错报存在时总能发现。错报可能由于舞</w:t>
      </w:r>
      <w:r>
        <w:rPr>
          <w:spacing w:val="-63"/>
        </w:rPr>
        <w:t> </w:t>
      </w:r>
      <w:r>
        <w:rPr>
          <w:spacing w:val="-63"/>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17"/>
        <w:ind w:left="657" w:right="0"/>
        <w:jc w:val="left"/>
      </w:pPr>
      <w:r>
        <w:rPr/>
        <w:t>在按照审计准则执行审计工作的过程中，我们运用职业判断，并保持职业怀疑。同时，我们也执行以下工作：</w:t>
      </w:r>
    </w:p>
    <w:p>
      <w:pPr>
        <w:pStyle w:val="BodyText"/>
        <w:spacing w:line="309" w:lineRule="auto" w:before="76"/>
        <w:ind w:right="1041" w:firstLine="504"/>
        <w:jc w:val="both"/>
      </w:pPr>
      <w:r>
        <w:rPr>
          <w:spacing w:val="-1"/>
        </w:rPr>
        <w:t>（</w:t>
      </w:r>
      <w:r>
        <w:rPr>
          <w:rFonts w:ascii="Times New Roman" w:hAnsi="Times New Roman" w:cs="Times New Roman" w:eastAsia="Times New Roman" w:hint="default"/>
          <w:spacing w:val="-1"/>
        </w:rPr>
        <w:t>1</w:t>
      </w:r>
      <w:r>
        <w:rPr>
          <w:spacing w:val="-1"/>
        </w:rPr>
        <w:t>）识别和评估由于舞弊或错误导致的财务报表重大错报风险，设计和实施审计程序以应对这些风险，并获取充分、</w:t>
      </w:r>
      <w:r>
        <w:rPr/>
        <w:t>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24"/>
        <w:ind w:left="657" w:right="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left="657"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right="1132" w:firstLine="504"/>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）对管理层使用持续经营假设的恰当性得出结论。同时，根据获取的审计证据，就可能导致对润和软件持续经营 </w:t>
      </w:r>
      <w:r>
        <w:rPr>
          <w:spacing w:val="-2"/>
        </w:rPr>
        <w:t>能力产生重大疑虑的事项或情况是否存在重大不确定性得出结论。如果我们得出结论认为存在重大不确定性，审计准则要求</w:t>
      </w:r>
      <w:r>
        <w:rPr>
          <w:spacing w:val="-64"/>
        </w:rPr>
        <w:t> </w:t>
      </w:r>
      <w:r>
        <w:rPr>
          <w:spacing w:val="-64"/>
        </w:rPr>
      </w:r>
      <w:r>
        <w:rPr>
          <w:spacing w:val="-2"/>
        </w:rPr>
        <w:t>我们在审计报告中提请报表使用者注意财务报表中的相关披露；如果披露不充分，我们应当发表非无保留意见。我们的结论</w:t>
      </w:r>
      <w:r>
        <w:rPr>
          <w:spacing w:val="-66"/>
        </w:rPr>
        <w:t> </w:t>
      </w:r>
      <w:r>
        <w:rPr>
          <w:spacing w:val="-66"/>
        </w:rPr>
      </w:r>
      <w:r>
        <w:rPr/>
        <w:t>基于截至审计报告日可获得的信息。然而，未来的事项或情况可能导致润和软件不能持续经营。</w:t>
      </w:r>
    </w:p>
    <w:p>
      <w:pPr>
        <w:pStyle w:val="BodyText"/>
        <w:spacing w:line="240" w:lineRule="auto" w:before="23"/>
        <w:ind w:left="657" w:right="0"/>
        <w:jc w:val="left"/>
      </w:pPr>
      <w:r>
        <w:rPr/>
        <w:t>（</w:t>
      </w:r>
      <w:r>
        <w:rPr>
          <w:rFonts w:ascii="Times New Roman" w:hAnsi="Times New Roman" w:cs="Times New Roman" w:eastAsia="Times New Roman" w:hint="default"/>
        </w:rPr>
        <w:t>5</w:t>
      </w:r>
      <w:r>
        <w:rPr/>
        <w:t>）评价财务报表的总体列报、结构和内容，并评价财务报表是否公允反映相关交易和事项。</w:t>
      </w:r>
    </w:p>
    <w:p>
      <w:pPr>
        <w:pStyle w:val="BodyText"/>
        <w:spacing w:line="300" w:lineRule="auto" w:before="63"/>
        <w:ind w:right="1175" w:firstLine="504"/>
        <w:jc w:val="both"/>
      </w:pPr>
      <w:r>
        <w:rPr/>
        <w:t>（</w:t>
      </w:r>
      <w:r>
        <w:rPr>
          <w:rFonts w:ascii="Times New Roman" w:hAnsi="Times New Roman" w:cs="Times New Roman" w:eastAsia="Times New Roman" w:hint="default"/>
        </w:rPr>
        <w:t>6</w:t>
      </w:r>
      <w:r>
        <w:rPr/>
        <w:t>）就润和软件中实体或业务活动的财务信息获取充分、适当的审计证据，以对财务报表发表审计意见。我们负责 指导、监督和执行集团审计，并对审计意见承担全部责任。</w:t>
      </w:r>
    </w:p>
    <w:p>
      <w:pPr>
        <w:pStyle w:val="BodyText"/>
        <w:spacing w:line="316" w:lineRule="auto" w:before="31"/>
        <w:ind w:right="1132" w:firstLine="504"/>
        <w:jc w:val="both"/>
      </w:pPr>
      <w:r>
        <w:rPr>
          <w:spacing w:val="-1"/>
        </w:rPr>
        <w:t>我们与治理层就计划的审计范围、时间安排和重大审计发现等事项进行沟通，包括沟通我们在审计中识别出的值得关</w:t>
      </w:r>
      <w:r>
        <w:rPr/>
        <w:t> 注的内部控制缺陷。</w:t>
      </w:r>
    </w:p>
    <w:p>
      <w:pPr>
        <w:pStyle w:val="BodyText"/>
        <w:spacing w:line="316" w:lineRule="auto" w:before="19"/>
        <w:ind w:right="1133" w:firstLine="504"/>
        <w:jc w:val="both"/>
      </w:pPr>
      <w:r>
        <w:rPr>
          <w:spacing w:val="-1"/>
        </w:rPr>
        <w:t>我们还就已遵守与独立性相关的职业道德要求向治理层提供声明，并与治理层沟通可能被合理认为影响我们独立性的</w:t>
      </w:r>
      <w:r>
        <w:rPr/>
        <w:t> 所有关系和其他事项，以及相关的防范措施。</w:t>
      </w:r>
    </w:p>
    <w:p>
      <w:pPr>
        <w:pStyle w:val="BodyText"/>
        <w:spacing w:line="316" w:lineRule="auto" w:before="19"/>
        <w:ind w:right="1131" w:firstLine="504"/>
        <w:jc w:val="both"/>
      </w:pPr>
      <w:r>
        <w:rPr>
          <w:spacing w:val="-1"/>
        </w:rPr>
        <w:t>从与治理层沟通过的事项中，我们确定哪些事项对本期财务报表审计最为重要，因而构成关键审计事项。我们在审计</w:t>
      </w:r>
      <w:r>
        <w:rPr/>
        <w:t> </w:t>
      </w:r>
      <w:r>
        <w:rPr>
          <w:spacing w:val="-2"/>
        </w:rPr>
        <w:t>报告中描述这些事项，除非法律法规禁止公开披露这些事项，或在极少数情形下，如果合理预期在审计报告中沟通某事项造</w:t>
      </w:r>
      <w:r>
        <w:rPr>
          <w:spacing w:val="-65"/>
        </w:rPr>
        <w:t> </w:t>
      </w:r>
      <w:r>
        <w:rPr>
          <w:spacing w:val="-65"/>
        </w:rPr>
      </w:r>
      <w:r>
        <w:rPr/>
        <w:t>成的负面后果超过在公众利益方面产生的益处，我们确定不应在审计报告中沟通该事项。</w:t>
      </w:r>
    </w:p>
    <w:p>
      <w:pPr>
        <w:spacing w:after="0" w:line="316"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6"/>
          <w:pgSz w:w="11910" w:h="16840"/>
          <w:pgMar w:footer="979" w:header="745" w:top="1060" w:bottom="1160" w:left="980" w:right="0"/>
        </w:sectPr>
      </w:pPr>
    </w:p>
    <w:p>
      <w:pPr>
        <w:pStyle w:val="BodyText"/>
        <w:spacing w:line="316" w:lineRule="auto" w:before="44"/>
        <w:ind w:left="2709" w:right="-16" w:hanging="611"/>
        <w:jc w:val="left"/>
      </w:pPr>
      <w:r>
        <w:rPr/>
        <w:t>容诚会计师事务所（特殊普通合伙） 中国</w:t>
      </w:r>
      <w:r>
        <w:rPr>
          <w:rFonts w:ascii="Times New Roman" w:hAnsi="Times New Roman" w:cs="Times New Roman" w:eastAsia="Times New Roman" w:hint="default"/>
        </w:rPr>
        <w:t>·</w:t>
      </w:r>
      <w:r>
        <w:rPr/>
        <w:t>北京</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240" w:lineRule="auto"/>
        <w:ind w:left="1530" w:right="0"/>
        <w:jc w:val="left"/>
      </w:pPr>
      <w:r>
        <w:rPr/>
        <w:t>中国注册会计师（项目合伙人）：汪玉寿</w:t>
      </w:r>
    </w:p>
    <w:p>
      <w:pPr>
        <w:spacing w:line="240" w:lineRule="auto" w:before="0"/>
        <w:rPr>
          <w:rFonts w:ascii="宋体" w:hAnsi="宋体" w:cs="宋体" w:eastAsia="宋体" w:hint="default"/>
          <w:sz w:val="18"/>
          <w:szCs w:val="18"/>
        </w:rPr>
      </w:pPr>
    </w:p>
    <w:p>
      <w:pPr>
        <w:pStyle w:val="BodyText"/>
        <w:spacing w:line="636" w:lineRule="auto" w:before="153"/>
        <w:ind w:left="2970" w:right="1113" w:hanging="180"/>
        <w:jc w:val="left"/>
      </w:pPr>
      <w:r>
        <w:rPr/>
        <w:t>中国注册会计师：孔令莉 中国注册会计师：李丹</w:t>
      </w:r>
    </w:p>
    <w:p>
      <w:pPr>
        <w:spacing w:after="0" w:line="636" w:lineRule="auto"/>
        <w:jc w:val="left"/>
        <w:sectPr>
          <w:type w:val="continuous"/>
          <w:pgSz w:w="11910" w:h="16840"/>
          <w:pgMar w:top="1060" w:bottom="1160" w:left="980" w:right="0"/>
          <w:cols w:num="2" w:equalWidth="0">
            <w:col w:w="4983" w:space="40"/>
            <w:col w:w="5907"/>
          </w:cols>
        </w:sectPr>
      </w:pPr>
    </w:p>
    <w:p>
      <w:pPr>
        <w:pStyle w:val="Heading2"/>
        <w:spacing w:line="375" w:lineRule="exact"/>
        <w:ind w:right="0"/>
        <w:jc w:val="left"/>
        <w:rPr>
          <w:b w:val="0"/>
          <w:bCs w:val="0"/>
        </w:rPr>
      </w:pPr>
      <w:r>
        <w:rPr/>
        <w:t>二、财务报表</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财务附注中报表的单位为：元</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type w:val="continuous"/>
          <w:pgSz w:w="11910" w:h="16840"/>
          <w:pgMar w:top="1060" w:bottom="1160" w:left="980" w:right="0"/>
        </w:sectPr>
      </w:pPr>
    </w:p>
    <w:p>
      <w:pPr>
        <w:pStyle w:val="BodyText"/>
        <w:spacing w:line="240" w:lineRule="auto" w:before="44"/>
        <w:ind w:right="-20"/>
        <w:jc w:val="left"/>
      </w:pPr>
      <w:r>
        <w:rPr/>
        <w:t>编制单位：江苏润和软件股份有限公司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214" w:space="862"/>
            <w:col w:w="1642" w:space="3202"/>
            <w:col w:w="201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760,601,549.27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1,252,551,826.69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18,418,420.20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16,743,972.11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1,172,540,005.76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1,209,334,647.06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5,369,196.03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6,092,603.34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9,582,685.90</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22,312,614.60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29,220,197.73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391,111.11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17,386,124.67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278,361,508.40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2,470,720,513.87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2,795,794,837.89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20,892,385.13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89,474,576.86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46,858,875.12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233,637,522.46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613,875,908.21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630,185,392.19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55,045.87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59,537.93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132,423,144.44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87,916,054.97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22,046,257.36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60,442,202.13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986,181,014.18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2,638,024,655.66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13,080,292.92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9,580,254.46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65,629,985.57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65,700,603.40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2,156,403,747.87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3,559,659,960.99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4,627,124,261.74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6,355,454,798.88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825,413,393.43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979" w:header="745"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90,530,731.70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32,568,373.74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8,692,766.75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5,098,770.22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173,789,631.25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119,714,775.59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32,997,323.85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40,185,803.35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22,335,464.56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21,772,945.85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2,034,038.71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7"/>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121,976,853.63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68,091,813.51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71,874,092.70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1,343,827,978.68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1,591,214,761.45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448,305,478.19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16,932,500.00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16,172,500.00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3,908.14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1,220,862.16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465,241,886.33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117,393,362.16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1,809,069,865.01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1,708,608,123.61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796,410,841.00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796,410,841.00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2,879,893,912.55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2,877,828,295.13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162,988,941.20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148,976,163.45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-605,657.19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-1,757,368.61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79,632,498.72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79,632,498.72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-771,624,550.68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1,022,608,372.38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2,820,718,103.20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4,625,746,475.17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-2,663,706.47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21,100,200.10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2,818,054,396.73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4,646,846,675.27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4,627,124,261.74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6,355,454,798.88</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0"/>
        <w:jc w:val="left"/>
      </w:pPr>
      <w:r>
        <w:rPr/>
        <w:t>法定代表人：周红卫</w:t>
        <w:tab/>
      </w:r>
      <w:r>
        <w:rPr>
          <w:spacing w:val="-1"/>
        </w:rPr>
        <w:t>主管会计工作负责人：马玉峰</w:t>
        <w:tab/>
      </w:r>
      <w:r>
        <w:rPr/>
        <w:t>会计机构负责人：张新宇</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98"/>
              <w:jc w:val="right"/>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331,972,901.99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436,310,814.07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11"/>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18,418,420.20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16,743,972.11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486,031,018.92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412,289,426.40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5,369,196.03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1,191,392.26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3,788,983.99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37,930,534.76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648,446,514.66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7"/>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8,822,642.55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277,262,513.12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1,337,736,106.71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1,794,842,224.35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14,008,355.32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1,866,818,691.98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3,370,110,481.95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226,508,355.32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32,570,259.11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32,972,568.63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96,956,545.64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42,880,154.38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22,046,257.36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60,442,202.13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511,695.14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2,168,774.71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45,235,221.57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45,025,092.63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2,290,647,026.12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3,567,607,629.75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3,628,383,132.83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5,362,449,854.10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635,122,695.41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72,032,978.68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65,201,367.00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2,835,954.00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57,997,547.14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32,306,719.86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8,239,925.07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3,872,390.83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116,804,709.32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79,730,350.48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1,675,272.98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7"/>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105,138,607.64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14,511,494.05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11,447,426.57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1,012,683,911.31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1,262,658,254.74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25,039,913.19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33,539,913.19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1,046,223,824.50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1,370,158,254.74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796,410,841.00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796,410,841.00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2,893,883,236.82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2,891,486,208.31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162,988,941.20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148,976,163.45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79,311,389.74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79,512,634.75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-1,024,457,218.03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373,858,078.75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2,582,159,308.33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3,992,291,599.36</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3,628,383,132.83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5,362,449,854.10</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2,121,173,720.66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2,037,713,936.33</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2,121,173,720.66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2,037,713,936.33</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4"/>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2,144,005,081.65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1,743,172,146.58</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1,554,940,283.04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1,202,806,187.26</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4"/>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25,103,599.03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22,137,191.35</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80,968,982.29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70,002,961.69</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176,818,147.72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150,158,425.30</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227,000,503.23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231,799,180.39</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79,173,566.34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66,268,200.59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77.889999pt;margin-top:498.909973pt;width:193.1pt;height:19.6pt;mso-position-horizontal-relative:page;mso-position-vertical-relative:page;z-index:-1329064"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11.009995pt;margin-top:239.905975pt;width:160pt;height:19.6pt;mso-position-horizontal-relative:page;mso-position-vertical-relative:page;z-index:-1329040" coordorigin="4220,4798" coordsize="3200,392">
            <v:group style="position:absolute;left:7398;top:4798;width:22;height:392" coordorigin="7398,4798" coordsize="22,392">
              <v:shape style="position:absolute;left:7398;top:4798;width:22;height:392" coordorigin="7398,4798" coordsize="22,392" path="m7398,5190l7420,5190,7420,4798,7398,4798,7398,5190xe" filled="true" fillcolor="#ffffff" stroked="false">
                <v:path arrowok="t"/>
                <v:fill type="solid"/>
              </v:shape>
            </v:group>
            <v:group style="position:absolute;left:4220;top:4798;width:22;height:392" coordorigin="4220,4798" coordsize="22,392">
              <v:shape style="position:absolute;left:4220;top:4798;width:22;height:392" coordorigin="4220,4798" coordsize="22,392" path="m4220,5190l4242,5190,4242,4798,4220,4798,4220,5190xe" filled="true" fillcolor="#ffffff" stroked="false">
                <v:path arrowok="t"/>
                <v:fill type="solid"/>
              </v:shape>
            </v:group>
            <v:group style="position:absolute;left:4242;top:4798;width:3157;height:392" coordorigin="4242,4798" coordsize="3157,392">
              <v:shape style="position:absolute;left:4242;top:4798;width:3157;height:392" coordorigin="4242,4798" coordsize="3157,392" path="m4242,5190l7398,5190,7398,4798,4242,4798,4242,519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964"/>
        <w:gridCol w:w="2248"/>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83,653,895.61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81,443,987.59</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4,314,018.06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6,071,749.14</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19,017,456.78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18,524,094.87</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19,407,074.72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11,894,455.33</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-2,985,247.70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82,530.00</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4" w:firstLine="1079"/>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1" w:firstLine="720"/>
              <w:jc w:val="left"/>
              <w:rPr>
                <w:rFonts w:ascii="宋体" w:hAnsi="宋体" w:cs="宋体" w:eastAsia="宋体"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985" w:right="0"/>
              <w:jc w:val="left"/>
              <w:rPr>
                <w:rFonts w:ascii="Times New Roman" w:hAnsi="Times New Roman" w:cs="Times New Roman" w:eastAsia="Times New Roman" w:hint="default"/>
                <w:sz w:val="18"/>
                <w:szCs w:val="18"/>
              </w:rPr>
            </w:pPr>
            <w:r>
              <w:rPr>
                <w:rFonts w:ascii="Times New Roman"/>
                <w:sz w:val="18"/>
              </w:rPr>
              <w:t>-197,254,100.52</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50" w:right="0"/>
              <w:jc w:val="left"/>
              <w:rPr>
                <w:rFonts w:ascii="Times New Roman" w:hAnsi="Times New Roman" w:cs="Times New Roman" w:eastAsia="Times New Roman" w:hint="default"/>
                <w:sz w:val="18"/>
                <w:szCs w:val="18"/>
              </w:rPr>
            </w:pPr>
            <w:r>
              <w:rPr>
                <w:rFonts w:ascii="Times New Roman"/>
                <w:sz w:val="18"/>
              </w:rPr>
              <w:t>-1,629,666,940.32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-9,010,653.06</w:t>
            </w: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-238,724.50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585,062.18</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5" w:right="0"/>
              <w:jc w:val="left"/>
              <w:rPr>
                <w:rFonts w:ascii="Times New Roman" w:hAnsi="Times New Roman" w:cs="Times New Roman" w:eastAsia="Times New Roman" w:hint="default"/>
                <w:sz w:val="18"/>
                <w:szCs w:val="18"/>
              </w:rPr>
            </w:pPr>
            <w:r>
              <w:rPr>
                <w:rFonts w:ascii="Times New Roman"/>
                <w:sz w:val="18"/>
              </w:rPr>
              <w:t>-1,811,566,594.83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316,534,749.07</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12,978,921.86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11,031,309.71</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1,371,503.25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1,630,487.37</w:t>
            </w:r>
          </w:p>
        </w:tc>
      </w:tr>
      <w:tr>
        <w:trPr>
          <w:trHeight w:val="403" w:hRule="exact"/>
        </w:trPr>
        <w:tc>
          <w:tcPr>
            <w:tcW w:w="3080"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964" w:type="dxa"/>
            <w:tcBorders>
              <w:top w:val="single" w:sz="4" w:space="0" w:color="000000"/>
              <w:left w:val="single" w:sz="13" w:space="0" w:color="FFFFFF"/>
              <w:bottom w:val="single" w:sz="4" w:space="0" w:color="000000"/>
              <w:right w:val="nil" w:sz="6" w:space="0" w:color="auto"/>
            </w:tcBorders>
          </w:tcPr>
          <w:p>
            <w:pPr/>
          </w:p>
        </w:tc>
        <w:tc>
          <w:tcPr>
            <w:tcW w:w="2248"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left="898" w:right="0"/>
              <w:jc w:val="left"/>
              <w:rPr>
                <w:rFonts w:ascii="Times New Roman" w:hAnsi="Times New Roman" w:cs="Times New Roman" w:eastAsia="Times New Roman" w:hint="default"/>
                <w:sz w:val="18"/>
                <w:szCs w:val="18"/>
              </w:rPr>
            </w:pPr>
            <w:r>
              <w:rPr>
                <w:rFonts w:ascii="Times New Roman"/>
                <w:sz w:val="18"/>
              </w:rPr>
              <w:t>-1,799,959,176.22</w:t>
            </w:r>
          </w:p>
        </w:tc>
        <w:tc>
          <w:tcPr>
            <w:tcW w:w="3277"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325,935,571.41</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1,698,996.59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18,024,964.62</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58" w:right="0"/>
              <w:jc w:val="left"/>
              <w:rPr>
                <w:rFonts w:ascii="Times New Roman" w:hAnsi="Times New Roman" w:cs="Times New Roman" w:eastAsia="Times New Roman" w:hint="default"/>
                <w:sz w:val="18"/>
                <w:szCs w:val="18"/>
              </w:rPr>
            </w:pPr>
            <w:r>
              <w:rPr>
                <w:rFonts w:ascii="Times New Roman"/>
                <w:sz w:val="18"/>
              </w:rPr>
              <w:t>-1,801,658,172.81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307,910,606.79</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1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850" w:right="0"/>
              <w:jc w:val="left"/>
              <w:rPr>
                <w:rFonts w:ascii="Times New Roman" w:hAnsi="Times New Roman" w:cs="Times New Roman" w:eastAsia="Times New Roman" w:hint="default"/>
                <w:sz w:val="18"/>
                <w:szCs w:val="18"/>
              </w:rPr>
            </w:pPr>
            <w:r>
              <w:rPr>
                <w:rFonts w:ascii="Times New Roman"/>
                <w:sz w:val="18"/>
              </w:rPr>
              <w:t>-1,801,658,172.81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307,910,606.79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1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8" w:right="0"/>
              <w:jc w:val="left"/>
              <w:rPr>
                <w:rFonts w:ascii="Times New Roman" w:hAnsi="Times New Roman" w:cs="Times New Roman" w:eastAsia="Times New Roman" w:hint="default"/>
                <w:sz w:val="18"/>
                <w:szCs w:val="18"/>
              </w:rPr>
            </w:pPr>
            <w:r>
              <w:rPr>
                <w:rFonts w:ascii="Times New Roman"/>
                <w:sz w:val="18"/>
              </w:rPr>
              <w:t>-1,794,232,923.06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314,377,918.28</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-7,425,249.75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-6,467,311.49</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1,169,485.80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6,076,754.84</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1,151,711.42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6,064,785.38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firstLine="340"/>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9"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 他综合收益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firstLine="34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1,151,711.42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6,064,785.38</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9"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 值变动损益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9"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9"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1,151,711.42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6,064,785.38</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17,774.38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11,969.46</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-1,800,488,687.01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313,987,361.63</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-1,793,081,211.64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320,442,703.66</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-7,407,475.37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-6,455,342.03</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0.40</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0.40</w:t>
            </w:r>
          </w:p>
        </w:tc>
      </w:tr>
    </w:tbl>
    <w:p>
      <w:pPr>
        <w:pStyle w:val="BodyText"/>
        <w:spacing w:line="240" w:lineRule="auto" w:before="49"/>
        <w:ind w:right="0"/>
        <w:jc w:val="left"/>
      </w:pPr>
      <w:r>
        <w:rPr/>
        <w:t>本期发生同一控制下企业合并的，被合并方在合并前实现的净利润为：元，上期被合并方实现的净利润为：元。</w:t>
      </w:r>
    </w:p>
    <w:p>
      <w:pPr>
        <w:spacing w:after="0" w:line="240" w:lineRule="auto"/>
        <w:jc w:val="left"/>
        <w:sectPr>
          <w:footerReference w:type="default" r:id="rId18"/>
          <w:pgSz w:w="11910" w:h="16840"/>
          <w:pgMar w:footer="979" w:header="745" w:top="1060" w:bottom="1160" w:left="980" w:right="0"/>
          <w:pgNumType w:start="108"/>
        </w:sectPr>
      </w:pPr>
    </w:p>
    <w:p>
      <w:pPr>
        <w:spacing w:line="240" w:lineRule="auto" w:before="10"/>
        <w:rPr>
          <w:rFonts w:ascii="宋体" w:hAnsi="宋体" w:cs="宋体" w:eastAsia="宋体" w:hint="default"/>
          <w:sz w:val="25"/>
          <w:szCs w:val="25"/>
        </w:rPr>
      </w:pPr>
    </w:p>
    <w:p>
      <w:pPr>
        <w:pStyle w:val="BodyText"/>
        <w:tabs>
          <w:tab w:pos="3578" w:val="left" w:leader="none"/>
          <w:tab w:pos="7721" w:val="left" w:leader="none"/>
        </w:tabs>
        <w:spacing w:line="240" w:lineRule="auto" w:before="44"/>
        <w:ind w:right="0"/>
        <w:jc w:val="left"/>
      </w:pPr>
      <w:r>
        <w:rPr/>
        <w:t>法定代表人：周红卫</w:t>
        <w:tab/>
      </w:r>
      <w:r>
        <w:rPr>
          <w:spacing w:val="-1"/>
        </w:rPr>
        <w:t>主管会计工作负责人：马玉峰</w:t>
        <w:tab/>
      </w:r>
      <w:r>
        <w:rPr/>
        <w:t>会计机构负责人：张新宇</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1,080,455,466.01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799,189,754.94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927,609,694.46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599,990,067.89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2,613,501.56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2,156,430.45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52,233,679.06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26,066,540.26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85,104,954.46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57,746,547.69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87,915,479.26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87,000,518.83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36,563,489.41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43,614,927.18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49,207,330.82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69,357,023.50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12,167,411.08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23,223,733.31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6,235,552.03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6,730,038.02</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209,022,497.51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161,894,455.33</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-3,623,389.35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82,530.00</w:t>
            </w:r>
          </w:p>
        </w:tc>
      </w:tr>
      <w:tr>
        <w:trPr>
          <w:trHeight w:val="102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51" w:firstLine="1079"/>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-11,032,458.14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-1,496,686,900.00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-1,396,007.29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176.43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-1,404,046,464.37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149,843,208.70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8,569,108.49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8,929,241.11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1,236,864.79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1,590,049.27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-1,396,714,220.67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157,182,400.54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-210,128.94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-9,602,383.94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-1,396,504,091.73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166,784,784.48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-1,396,504,091.73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166,784,784.48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-1,396,504,091.73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166,784,784.48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19"/>
          <w:pgSz w:w="11910" w:h="16840"/>
          <w:pgMar w:footer="979" w:header="745" w:top="1060" w:bottom="1160" w:left="980" w:right="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0.21</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2,070,941,757.30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1,983,481,796.16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10,573,163.92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11,790,552.81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24,609,469.63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35,944,174.83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2,106,124,390.85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2,031,216,523.80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324,541,918.41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515,014,032.66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1,451,094,931.35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1,009,116,492.89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143,263,063.44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137,880,171.64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77,368,724.58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93,942,194.94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1,996,268,637.78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1,755,952,892.13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109,855,753.07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275,263,631.67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1,677,050,000.00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14,951,296.36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11,811,925.33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253,196.61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4,038,688.59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4,270,681.85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7,650,129.17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5,680,638.03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1,704,175,303.99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1,420,631,251.95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94,874,347.45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97,846,457.89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2,110,132,653.96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1,677,839,030.55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24,408,901.38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2,205,007,001.41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1,800,094,389.82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-500,831,697.42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-379,463,137.87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4,030,350.00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803,301,513.96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4,030,350.00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8,249,650.00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1,559,000,000.00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1,563,230,350.00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1,743,501,513.96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1,554,200,000.00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980,000,000.00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72,620,035.17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152,473,311.55</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36,142,777.75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156,143,794.88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1,662,962,812.92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1,288,617,106.43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-99,732,462.92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454,884,407.53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51"/>
              <w:jc w:val="right"/>
              <w:rPr>
                <w:rFonts w:ascii="宋体" w:hAnsi="宋体" w:cs="宋体" w:eastAsia="宋体" w:hint="default"/>
                <w:sz w:val="18"/>
                <w:szCs w:val="18"/>
              </w:rPr>
            </w:pPr>
            <w:r>
              <w:rPr>
                <w:rFonts w:ascii="宋体" w:hAnsi="宋体" w:cs="宋体" w:eastAsia="宋体" w:hint="default"/>
                <w:sz w:val="18"/>
                <w:szCs w:val="18"/>
              </w:rPr>
              <w:t>四、汇率变动对现金及现金等价物的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1,077,821.67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15,501,508.58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6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-489,630,585.60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366,186,409.91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1,246,576,668.69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880,390,258.78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756,946,083.09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1,246,576,668.69</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1,052,073,265.94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759,529,184.20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2,006,406.70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272,454.68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15,024,214.35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29,179,049.13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1,069,103,886.99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788,980,688.01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693,323,096.23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436,732,824.97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371,682,330.39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279,578,100.88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11,954,311.91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16,321,201.88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38,800,123.05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33,592,057.35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1,115,759,861.58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766,224,185.08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-46,655,974.59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22,756,502.93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1,613,000,000.00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1,518,804,000.00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214,592,145.85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161,811,925.33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166,371.61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16,925.80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22,160,853.68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pacing w:val="-1"/>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1,173,636,690.33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931,781,506.45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3,023,556,061.47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2,631,514,357.58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76,751,870.08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67,466,518.34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2,032,380,000.00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1,699,420,000.00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504,205,000.00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1,207,921,642.23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2,613,336,870.08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2,984,808,160.57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410,219,191.39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-353,293,802.99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795,051,863.96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789,200,000.00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1,565,251,863.96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780,000,000.00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47,745,062.71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140,366,176.18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15,323,811.35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155,514,549.59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1,258,068,874.06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1,075,880,725.77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-468,868,874.06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489,371,138.19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56,045.18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2,884,654.46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-105,249,612.08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161,718,492.59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435,633,314.07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273,914,821.48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330,383,701.99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435,633,314.07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本期金额</w:t>
      </w:r>
    </w:p>
    <w:p>
      <w:pPr>
        <w:pStyle w:val="BodyText"/>
        <w:spacing w:line="240" w:lineRule="auto" w:before="115"/>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68"/>
        <w:gridCol w:w="583"/>
        <w:gridCol w:w="586"/>
        <w:gridCol w:w="583"/>
        <w:gridCol w:w="583"/>
        <w:gridCol w:w="583"/>
        <w:gridCol w:w="584"/>
        <w:gridCol w:w="586"/>
        <w:gridCol w:w="583"/>
        <w:gridCol w:w="583"/>
        <w:gridCol w:w="586"/>
        <w:gridCol w:w="578"/>
      </w:tblGrid>
      <w:tr>
        <w:trPr>
          <w:trHeight w:val="403" w:hRule="exact"/>
        </w:trPr>
        <w:tc>
          <w:tcPr>
            <w:tcW w:w="1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1253" w:type="dxa"/>
            <w:vMerge/>
            <w:tcBorders>
              <w:left w:val="single" w:sz="4" w:space="0" w:color="000000"/>
              <w:right w:val="single" w:sz="4" w:space="0" w:color="000000"/>
            </w:tcBorders>
            <w:shd w:val="clear" w:color="auto" w:fill="D2D2D2"/>
          </w:tcPr>
          <w:p>
            <w:pPr/>
          </w:p>
        </w:tc>
        <w:tc>
          <w:tcPr>
            <w:tcW w:w="714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110" w:right="105"/>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37"/>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3" w:hRule="exact"/>
        </w:trPr>
        <w:tc>
          <w:tcPr>
            <w:tcW w:w="1253" w:type="dxa"/>
            <w:vMerge/>
            <w:tcBorders>
              <w:left w:val="single" w:sz="4" w:space="0" w:color="000000"/>
              <w:right w:val="single" w:sz="4" w:space="0" w:color="000000"/>
            </w:tcBorders>
            <w:shd w:val="clear" w:color="auto" w:fill="D2D2D2"/>
          </w:tcPr>
          <w:p>
            <w:pP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7"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7" w:right="10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7" w:right="10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713"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39" w:right="46"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39" w:right="47"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796,4</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10,84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1.00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2,877,</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828,29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5.13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148,97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6,163.</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45</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-1,757,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368.61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79,632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1,022,</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608,37</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2.38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4,625,</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746,47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5.17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4,646,</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846,67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5.27</w:t>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7"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37" w:firstLine="720"/>
              <w:jc w:val="left"/>
              <w:rPr>
                <w:rFonts w:ascii="宋体" w:hAnsi="宋体" w:cs="宋体" w:eastAsia="宋体" w:hint="default"/>
                <w:sz w:val="18"/>
                <w:szCs w:val="18"/>
              </w:rPr>
            </w:pPr>
            <w:r>
              <w:rPr>
                <w:rFonts w:ascii="宋体" w:hAnsi="宋体" w:cs="宋体" w:eastAsia="宋体" w:hint="default"/>
                <w:sz w:val="18"/>
                <w:szCs w:val="18"/>
              </w:rPr>
              <w:t>同一 控制下企业合</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3"/>
        <w:gridCol w:w="583"/>
        <w:gridCol w:w="584"/>
        <w:gridCol w:w="586"/>
        <w:gridCol w:w="583"/>
        <w:gridCol w:w="583"/>
        <w:gridCol w:w="586"/>
        <w:gridCol w:w="578"/>
      </w:tblGrid>
      <w:tr>
        <w:trPr>
          <w:trHeight w:val="36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796,4</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10,84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1.00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2,877,</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828,29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5.13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148,97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6,163.</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45</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-1,757,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368.61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79,632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1,022,</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608,37</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2.38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4,625,</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746,47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5.17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4,646,</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846,67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5.27</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2,065,</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617.42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,777.7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1,151,</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711.42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-1,794,</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232,92</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3.06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-1,805,</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028,37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1.97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-23,76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3,906.</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-1,828,</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792,27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8.54</w:t>
            </w: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1,151,</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711.42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-1,794,</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232,92</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3.06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-1,793,</w:t>
            </w:r>
          </w:p>
          <w:p>
            <w:pPr>
              <w:pStyle w:val="TableParagraph"/>
              <w:spacing w:line="240" w:lineRule="auto" w:before="105"/>
              <w:ind w:left="50" w:right="0"/>
              <w:jc w:val="center"/>
              <w:rPr>
                <w:rFonts w:ascii="Times New Roman" w:hAnsi="Times New Roman" w:cs="Times New Roman" w:eastAsia="Times New Roman" w:hint="default"/>
                <w:sz w:val="18"/>
                <w:szCs w:val="18"/>
              </w:rPr>
            </w:pPr>
            <w:r>
              <w:rPr>
                <w:rFonts w:ascii="Times New Roman"/>
                <w:sz w:val="18"/>
              </w:rPr>
              <w:t>081,21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1.64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-7,407,</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475.37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-1,800,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488,68</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7.01</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,777.7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-14,01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2,777.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-16,35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6,431.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-30,36</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9,208.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95</w:t>
            </w: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4,030,</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350.00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4,030,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350.00</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,777.7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-14,01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2,777.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-20,38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6,781.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-34,39</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9,558.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3"/>
        <w:gridCol w:w="583"/>
        <w:gridCol w:w="584"/>
        <w:gridCol w:w="586"/>
        <w:gridCol w:w="583"/>
        <w:gridCol w:w="583"/>
        <w:gridCol w:w="586"/>
        <w:gridCol w:w="578"/>
      </w:tblGrid>
      <w:tr>
        <w:trPr>
          <w:trHeight w:val="67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137"/>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2,065,</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617.42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2,065,</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617.42</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2,065,</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617.42</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796,4</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10,84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1.00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2,879,</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893,91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2.55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162,98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8,941.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-605,6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57.19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79,632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-771,6</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24,550</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.68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2,820,</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718,10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3.20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-2,663,</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706.47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2,818,</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054,39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6.73</w:t>
            </w:r>
          </w:p>
        </w:tc>
      </w:tr>
    </w:tbl>
    <w:p>
      <w:pPr>
        <w:pStyle w:val="BodyText"/>
        <w:spacing w:line="240" w:lineRule="auto" w:before="49"/>
        <w:ind w:right="0"/>
        <w:jc w:val="left"/>
      </w:pPr>
      <w:r>
        <w:rPr/>
        <w:t>上期金额</w:t>
      </w:r>
    </w:p>
    <w:p>
      <w:pPr>
        <w:pStyle w:val="BodyText"/>
        <w:spacing w:line="240" w:lineRule="auto" w:before="117"/>
        <w:ind w:left="0" w:right="1130"/>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12"/>
        <w:gridCol w:w="490"/>
        <w:gridCol w:w="449"/>
        <w:gridCol w:w="449"/>
        <w:gridCol w:w="492"/>
        <w:gridCol w:w="576"/>
        <w:gridCol w:w="576"/>
        <w:gridCol w:w="578"/>
        <w:gridCol w:w="576"/>
        <w:gridCol w:w="576"/>
        <w:gridCol w:w="579"/>
        <w:gridCol w:w="588"/>
        <w:gridCol w:w="566"/>
        <w:gridCol w:w="569"/>
        <w:gridCol w:w="641"/>
        <w:gridCol w:w="653"/>
      </w:tblGrid>
      <w:tr>
        <w:trPr>
          <w:trHeight w:val="402" w:hRule="exact"/>
        </w:trPr>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2" w:hRule="exact"/>
        </w:trPr>
        <w:tc>
          <w:tcPr>
            <w:tcW w:w="1212" w:type="dxa"/>
            <w:vMerge/>
            <w:tcBorders>
              <w:left w:val="single" w:sz="4" w:space="0" w:color="000000"/>
              <w:right w:val="single" w:sz="4" w:space="0" w:color="000000"/>
            </w:tcBorders>
            <w:shd w:val="clear" w:color="auto" w:fill="D2D2D2"/>
          </w:tcPr>
          <w:p>
            <w:pPr/>
          </w:p>
        </w:tc>
        <w:tc>
          <w:tcPr>
            <w:tcW w:w="706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4" w:lineRule="auto"/>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212"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03" w:right="20"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03" w:right="10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713" w:hRule="exact"/>
        </w:trPr>
        <w:tc>
          <w:tcPr>
            <w:tcW w:w="1212"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8"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9"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715,4</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66,70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2,158,</w:t>
            </w:r>
          </w:p>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045,92</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6.73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-7,822,</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153.99</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62,954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,020.2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804,55</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0,016.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 w:right="0"/>
              <w:jc w:val="center"/>
              <w:rPr>
                <w:rFonts w:ascii="Times New Roman" w:hAnsi="Times New Roman" w:cs="Times New Roman" w:eastAsia="Times New Roman" w:hint="default"/>
                <w:sz w:val="18"/>
                <w:szCs w:val="18"/>
              </w:rPr>
            </w:pPr>
            <w:r>
              <w:rPr>
                <w:rFonts w:ascii="Times New Roman"/>
                <w:sz w:val="18"/>
              </w:rPr>
              <w:t>3,733,</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194,50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9.66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1,051,5</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28.16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3,734,2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46,037.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82</w:t>
            </w: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6"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6"/>
              <w:jc w:val="righ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96"/>
              <w:jc w:val="right"/>
              <w:rPr>
                <w:rFonts w:ascii="宋体" w:hAnsi="宋体" w:cs="宋体" w:eastAsia="宋体" w:hint="default"/>
                <w:sz w:val="18"/>
                <w:szCs w:val="18"/>
              </w:rPr>
            </w:pPr>
            <w:r>
              <w:rPr>
                <w:rFonts w:ascii="宋体" w:hAnsi="宋体" w:cs="宋体" w:eastAsia="宋体" w:hint="default"/>
                <w:sz w:val="18"/>
                <w:szCs w:val="18"/>
              </w:rPr>
              <w:t>二、本年期初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715,4</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3" w:right="0"/>
              <w:jc w:val="left"/>
              <w:rPr>
                <w:rFonts w:ascii="Times New Roman" w:hAnsi="Times New Roman" w:cs="Times New Roman" w:eastAsia="Times New Roman" w:hint="default"/>
                <w:sz w:val="18"/>
                <w:szCs w:val="18"/>
              </w:rPr>
            </w:pPr>
            <w:r>
              <w:rPr>
                <w:rFonts w:ascii="Times New Roman"/>
                <w:sz w:val="18"/>
              </w:rPr>
              <w:t>2,158,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5" w:right="0"/>
              <w:jc w:val="left"/>
              <w:rPr>
                <w:rFonts w:ascii="Times New Roman" w:hAnsi="Times New Roman" w:cs="Times New Roman" w:eastAsia="Times New Roman" w:hint="default"/>
                <w:sz w:val="18"/>
                <w:szCs w:val="18"/>
              </w:rPr>
            </w:pPr>
            <w:r>
              <w:rPr>
                <w:rFonts w:ascii="Times New Roman"/>
                <w:sz w:val="18"/>
              </w:rPr>
              <w:t>-7,822,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 w:right="0"/>
              <w:jc w:val="left"/>
              <w:rPr>
                <w:rFonts w:ascii="Times New Roman" w:hAnsi="Times New Roman" w:cs="Times New Roman" w:eastAsia="Times New Roman" w:hint="default"/>
                <w:sz w:val="18"/>
                <w:szCs w:val="18"/>
              </w:rPr>
            </w:pPr>
            <w:r>
              <w:rPr>
                <w:rFonts w:ascii="Times New Roman"/>
                <w:sz w:val="18"/>
              </w:rPr>
              <w:t>62,954</w:t>
            </w: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2" w:right="0"/>
              <w:jc w:val="left"/>
              <w:rPr>
                <w:rFonts w:ascii="Times New Roman" w:hAnsi="Times New Roman" w:cs="Times New Roman" w:eastAsia="Times New Roman" w:hint="default"/>
                <w:sz w:val="18"/>
                <w:szCs w:val="18"/>
              </w:rPr>
            </w:pPr>
            <w:r>
              <w:rPr>
                <w:rFonts w:ascii="Times New Roman"/>
                <w:sz w:val="18"/>
              </w:rPr>
              <w:t>804,55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4" w:right="0"/>
              <w:jc w:val="left"/>
              <w:rPr>
                <w:rFonts w:ascii="Times New Roman" w:hAnsi="Times New Roman" w:cs="Times New Roman" w:eastAsia="Times New Roman" w:hint="default"/>
                <w:sz w:val="18"/>
                <w:szCs w:val="18"/>
              </w:rPr>
            </w:pPr>
            <w:r>
              <w:rPr>
                <w:rFonts w:ascii="Times New Roman"/>
                <w:sz w:val="18"/>
              </w:rPr>
              <w:t>3,733,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sz w:val="18"/>
              </w:rPr>
              <w:t>1,051,5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1" w:right="0"/>
              <w:jc w:val="left"/>
              <w:rPr>
                <w:rFonts w:ascii="Times New Roman" w:hAnsi="Times New Roman" w:cs="Times New Roman" w:eastAsia="Times New Roman" w:hint="default"/>
                <w:sz w:val="18"/>
                <w:szCs w:val="18"/>
              </w:rPr>
            </w:pPr>
            <w:r>
              <w:rPr>
                <w:rFonts w:ascii="Times New Roman"/>
                <w:sz w:val="18"/>
              </w:rPr>
              <w:t>3,734,2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9"/>
        <w:gridCol w:w="588"/>
        <w:gridCol w:w="566"/>
        <w:gridCol w:w="569"/>
        <w:gridCol w:w="641"/>
        <w:gridCol w:w="653"/>
      </w:tblGrid>
      <w:tr>
        <w:trPr>
          <w:trHeight w:val="67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 w:right="0"/>
              <w:jc w:val="left"/>
              <w:rPr>
                <w:rFonts w:ascii="Times New Roman" w:hAnsi="Times New Roman" w:cs="Times New Roman" w:eastAsia="Times New Roman" w:hint="default"/>
                <w:sz w:val="18"/>
                <w:szCs w:val="18"/>
              </w:rPr>
            </w:pPr>
            <w:r>
              <w:rPr>
                <w:rFonts w:ascii="Times New Roman"/>
                <w:sz w:val="18"/>
              </w:rPr>
              <w:t>66,70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 w:right="0"/>
              <w:jc w:val="center"/>
              <w:rPr>
                <w:rFonts w:ascii="Times New Roman" w:hAnsi="Times New Roman" w:cs="Times New Roman" w:eastAsia="Times New Roman" w:hint="default"/>
                <w:sz w:val="18"/>
                <w:szCs w:val="18"/>
              </w:rPr>
            </w:pPr>
            <w:r>
              <w:rPr>
                <w:rFonts w:ascii="Times New Roman"/>
                <w:sz w:val="18"/>
              </w:rPr>
              <w:t>045,92</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6.73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0" w:right="0"/>
              <w:jc w:val="left"/>
              <w:rPr>
                <w:rFonts w:ascii="Times New Roman" w:hAnsi="Times New Roman" w:cs="Times New Roman" w:eastAsia="Times New Roman" w:hint="default"/>
                <w:sz w:val="18"/>
                <w:szCs w:val="18"/>
              </w:rPr>
            </w:pPr>
            <w:r>
              <w:rPr>
                <w:rFonts w:ascii="Times New Roman"/>
                <w:sz w:val="18"/>
              </w:rPr>
              <w:t>153.99</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,020.2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0,016.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 w:right="0"/>
              <w:jc w:val="center"/>
              <w:rPr>
                <w:rFonts w:ascii="Times New Roman" w:hAnsi="Times New Roman" w:cs="Times New Roman" w:eastAsia="Times New Roman" w:hint="default"/>
                <w:sz w:val="18"/>
                <w:szCs w:val="18"/>
              </w:rPr>
            </w:pPr>
            <w:r>
              <w:rPr>
                <w:rFonts w:ascii="Times New Roman"/>
                <w:sz w:val="18"/>
              </w:rPr>
              <w:t>194,50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9.66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6" w:right="0"/>
              <w:jc w:val="left"/>
              <w:rPr>
                <w:rFonts w:ascii="Times New Roman" w:hAnsi="Times New Roman" w:cs="Times New Roman" w:eastAsia="Times New Roman" w:hint="default"/>
                <w:sz w:val="18"/>
                <w:szCs w:val="18"/>
              </w:rPr>
            </w:pPr>
            <w:r>
              <w:rPr>
                <w:rFonts w:ascii="Times New Roman"/>
                <w:sz w:val="18"/>
              </w:rPr>
              <w:t>28.16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46,037.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82</w:t>
            </w:r>
          </w:p>
        </w:tc>
      </w:tr>
      <w:tr>
        <w:trPr>
          <w:trHeight w:val="133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80,94</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4,141</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719,78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2,368.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148,97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6,163.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6,064,</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785.38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16,678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218,05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8,355.</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73</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892,55</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1,965.</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51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20,048,</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671.94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912,600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,637.45</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6,064,</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785.38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314,37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7,918.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28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320,44</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2,703.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-6,455,</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342.03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313,987</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,361.63</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80,94</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4,141</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707,41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1,011.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82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148,97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6,163.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45</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639,37</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8,989.</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37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26,504,</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013.97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665,883</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,003.34</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81,32</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6,141</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709,40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8,071.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82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790,73</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4,212.</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82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18,249,</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650.00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808,983</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,862.82</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-1,997,</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060.00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148,97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6,163.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45</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-151,3</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55,223</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.45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8,254,3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63.97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0,859.4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16,678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-96,31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9,562.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55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-79,64</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1,084.</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-79,641</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,084.10</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16,678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-16,67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8,478.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-79,64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1,084.</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10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-79,64</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1,084.</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-79,641</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,084.10</w:t>
            </w: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9"/>
        <w:gridCol w:w="588"/>
        <w:gridCol w:w="566"/>
        <w:gridCol w:w="569"/>
        <w:gridCol w:w="641"/>
        <w:gridCol w:w="653"/>
      </w:tblGrid>
      <w:tr>
        <w:trPr>
          <w:trHeight w:val="36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12,371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,356.5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12,371,</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356.58</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796,4</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10,84</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1.00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2,877,</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828,29</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5.13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148,97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6,163.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-1,757,</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368.61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79,632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1,022,</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608,37</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2.38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4,625,</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746,47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5.17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21,100,</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200.10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4,646,8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46,675.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本期金额</w:t>
      </w:r>
    </w:p>
    <w:p>
      <w:pPr>
        <w:pStyle w:val="BodyText"/>
        <w:spacing w:line="240" w:lineRule="auto" w:before="115"/>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2"/>
        <w:gridCol w:w="605"/>
        <w:gridCol w:w="728"/>
        <w:gridCol w:w="727"/>
        <w:gridCol w:w="725"/>
        <w:gridCol w:w="728"/>
        <w:gridCol w:w="727"/>
        <w:gridCol w:w="614"/>
        <w:gridCol w:w="711"/>
        <w:gridCol w:w="862"/>
      </w:tblGrid>
      <w:tr>
        <w:trPr>
          <w:trHeight w:val="402"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306" w:type="dxa"/>
            <w:vMerge/>
            <w:tcBorders>
              <w:left w:val="single" w:sz="4" w:space="0" w:color="000000"/>
              <w:right w:val="single" w:sz="4" w:space="0" w:color="000000"/>
            </w:tcBorders>
            <w:shd w:val="clear" w:color="auto" w:fill="D2D2D2"/>
          </w:tcPr>
          <w:p>
            <w:pP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3"/>
              <w:ind w:left="268" w:right="87"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3"/>
              <w:ind w:left="268" w:right="19"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3"/>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3"/>
              <w:ind w:left="268" w:right="87"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3"/>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3"/>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3"/>
              <w:ind w:left="156"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8"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796,41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0,841.0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2,891,48</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6,208.31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148,976,</w:t>
            </w:r>
          </w:p>
          <w:p>
            <w:pPr>
              <w:pStyle w:val="TableParagraph"/>
              <w:spacing w:line="240" w:lineRule="auto" w:before="102"/>
              <w:ind w:left="180" w:right="0"/>
              <w:jc w:val="center"/>
              <w:rPr>
                <w:rFonts w:ascii="Times New Roman" w:hAnsi="Times New Roman" w:cs="Times New Roman" w:eastAsia="Times New Roman" w:hint="default"/>
                <w:sz w:val="18"/>
                <w:szCs w:val="18"/>
              </w:rPr>
            </w:pPr>
            <w:r>
              <w:rPr>
                <w:rFonts w:ascii="Times New Roman"/>
                <w:sz w:val="18"/>
              </w:rPr>
              <w:t>163.45</w:t>
            </w: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79,512,6</w:t>
            </w:r>
          </w:p>
          <w:p>
            <w:pPr>
              <w:pStyle w:val="TableParagraph"/>
              <w:spacing w:line="240" w:lineRule="auto" w:before="102"/>
              <w:ind w:left="288" w:right="0"/>
              <w:jc w:val="left"/>
              <w:rPr>
                <w:rFonts w:ascii="Times New Roman" w:hAnsi="Times New Roman" w:cs="Times New Roman" w:eastAsia="Times New Roman" w:hint="default"/>
                <w:sz w:val="18"/>
                <w:szCs w:val="18"/>
              </w:rPr>
            </w:pPr>
            <w:r>
              <w:rPr>
                <w:rFonts w:ascii="Times New Roman"/>
                <w:sz w:val="18"/>
              </w:rPr>
              <w:t>34.75</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373,85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8,078.7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3,992,291,</w:t>
            </w:r>
          </w:p>
          <w:p>
            <w:pPr>
              <w:pStyle w:val="TableParagraph"/>
              <w:spacing w:line="240" w:lineRule="auto" w:before="102"/>
              <w:ind w:left="336" w:right="0"/>
              <w:jc w:val="left"/>
              <w:rPr>
                <w:rFonts w:ascii="Times New Roman" w:hAnsi="Times New Roman" w:cs="Times New Roman" w:eastAsia="Times New Roman" w:hint="default"/>
                <w:sz w:val="18"/>
                <w:szCs w:val="18"/>
              </w:rPr>
            </w:pPr>
            <w:r>
              <w:rPr>
                <w:rFonts w:ascii="Times New Roman"/>
                <w:sz w:val="18"/>
              </w:rPr>
              <w:t>599.36</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9"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8" w:right="0"/>
              <w:jc w:val="left"/>
              <w:rPr>
                <w:rFonts w:ascii="Times New Roman" w:hAnsi="Times New Roman" w:cs="Times New Roman" w:eastAsia="Times New Roman" w:hint="default"/>
                <w:sz w:val="18"/>
                <w:szCs w:val="18"/>
              </w:rPr>
            </w:pPr>
            <w:r>
              <w:rPr>
                <w:rFonts w:ascii="Times New Roman"/>
                <w:sz w:val="18"/>
              </w:rPr>
              <w:t>-201,245</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9" w:right="0"/>
              <w:jc w:val="left"/>
              <w:rPr>
                <w:rFonts w:ascii="Times New Roman" w:hAnsi="Times New Roman" w:cs="Times New Roman" w:eastAsia="Times New Roman" w:hint="default"/>
                <w:sz w:val="18"/>
                <w:szCs w:val="18"/>
              </w:rPr>
            </w:pPr>
            <w:r>
              <w:rPr>
                <w:rFonts w:ascii="Times New Roman"/>
                <w:sz w:val="18"/>
              </w:rPr>
              <w:t>-1,811,</w:t>
            </w: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 w:right="0"/>
              <w:jc w:val="left"/>
              <w:rPr>
                <w:rFonts w:ascii="Times New Roman" w:hAnsi="Times New Roman" w:cs="Times New Roman" w:eastAsia="Times New Roman" w:hint="default"/>
                <w:sz w:val="18"/>
                <w:szCs w:val="18"/>
              </w:rPr>
            </w:pPr>
            <w:r>
              <w:rPr>
                <w:rFonts w:ascii="Times New Roman"/>
                <w:sz w:val="18"/>
              </w:rPr>
              <w:t>-2,012,450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4"/>
        <w:gridCol w:w="629"/>
        <w:gridCol w:w="605"/>
        <w:gridCol w:w="602"/>
        <w:gridCol w:w="605"/>
        <w:gridCol w:w="728"/>
        <w:gridCol w:w="727"/>
        <w:gridCol w:w="725"/>
        <w:gridCol w:w="728"/>
        <w:gridCol w:w="727"/>
        <w:gridCol w:w="614"/>
        <w:gridCol w:w="711"/>
        <w:gridCol w:w="862"/>
      </w:tblGrid>
      <w:tr>
        <w:trPr>
          <w:trHeight w:val="363"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8" w:right="0"/>
              <w:jc w:val="left"/>
              <w:rPr>
                <w:rFonts w:ascii="Times New Roman" w:hAnsi="Times New Roman" w:cs="Times New Roman" w:eastAsia="Times New Roman" w:hint="default"/>
                <w:sz w:val="18"/>
                <w:szCs w:val="18"/>
              </w:rPr>
            </w:pPr>
            <w:r>
              <w:rPr>
                <w:rFonts w:ascii="Times New Roman"/>
                <w:sz w:val="18"/>
              </w:rPr>
              <w:t>.01</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8" w:right="0"/>
              <w:jc w:val="left"/>
              <w:rPr>
                <w:rFonts w:ascii="Times New Roman" w:hAnsi="Times New Roman" w:cs="Times New Roman" w:eastAsia="Times New Roman" w:hint="default"/>
                <w:sz w:val="18"/>
                <w:szCs w:val="18"/>
              </w:rPr>
            </w:pPr>
            <w:r>
              <w:rPr>
                <w:rFonts w:ascii="Times New Roman"/>
                <w:sz w:val="18"/>
              </w:rPr>
              <w:t>205.05</w:t>
            </w: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.06</w:t>
            </w:r>
          </w:p>
        </w:tc>
      </w:tr>
      <w:tr>
        <w:trPr>
          <w:trHeight w:val="1025"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0,841.0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2,891,48</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6,208.31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148,976,</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163.45</w:t>
            </w: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79,311,3</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89.74</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6,873.7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3,990,279,</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149.30</w:t>
            </w:r>
          </w:p>
        </w:tc>
      </w:tr>
      <w:tr>
        <w:trPr>
          <w:trHeight w:val="1027"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2,397,02</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8.51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14,012,7</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77.75</w:t>
            </w: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-1,396,</w:t>
            </w:r>
          </w:p>
          <w:p>
            <w:pPr>
              <w:pStyle w:val="TableParagraph"/>
              <w:spacing w:line="240" w:lineRule="auto" w:before="105"/>
              <w:ind w:left="67" w:right="0"/>
              <w:jc w:val="center"/>
              <w:rPr>
                <w:rFonts w:ascii="Times New Roman" w:hAnsi="Times New Roman" w:cs="Times New Roman" w:eastAsia="Times New Roman" w:hint="default"/>
                <w:sz w:val="18"/>
                <w:szCs w:val="18"/>
              </w:rPr>
            </w:pPr>
            <w:r>
              <w:rPr>
                <w:rFonts w:ascii="Times New Roman"/>
                <w:sz w:val="18"/>
              </w:rPr>
              <w:t>504,09</w:t>
            </w:r>
          </w:p>
          <w:p>
            <w:pPr>
              <w:pStyle w:val="TableParagraph"/>
              <w:spacing w:line="240" w:lineRule="auto" w:before="105"/>
              <w:ind w:left="247" w:right="0"/>
              <w:jc w:val="center"/>
              <w:rPr>
                <w:rFonts w:ascii="Times New Roman" w:hAnsi="Times New Roman" w:cs="Times New Roman" w:eastAsia="Times New Roman" w:hint="default"/>
                <w:sz w:val="18"/>
                <w:szCs w:val="18"/>
              </w:rPr>
            </w:pPr>
            <w:r>
              <w:rPr>
                <w:rFonts w:ascii="Times New Roman"/>
                <w:sz w:val="18"/>
              </w:rPr>
              <w:t>1.73</w:t>
            </w: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-1,408,119</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,840.97</w:t>
            </w:r>
          </w:p>
        </w:tc>
      </w:tr>
      <w:tr>
        <w:trPr>
          <w:trHeight w:val="1025"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-1,396,</w:t>
            </w:r>
          </w:p>
          <w:p>
            <w:pPr>
              <w:pStyle w:val="TableParagraph"/>
              <w:spacing w:line="240" w:lineRule="auto" w:before="105"/>
              <w:ind w:left="67" w:right="0"/>
              <w:jc w:val="center"/>
              <w:rPr>
                <w:rFonts w:ascii="Times New Roman" w:hAnsi="Times New Roman" w:cs="Times New Roman" w:eastAsia="Times New Roman" w:hint="default"/>
                <w:sz w:val="18"/>
                <w:szCs w:val="18"/>
              </w:rPr>
            </w:pPr>
            <w:r>
              <w:rPr>
                <w:rFonts w:ascii="Times New Roman"/>
                <w:sz w:val="18"/>
              </w:rPr>
              <w:t>504,09</w:t>
            </w:r>
          </w:p>
          <w:p>
            <w:pPr>
              <w:pStyle w:val="TableParagraph"/>
              <w:spacing w:line="240" w:lineRule="auto" w:before="105"/>
              <w:ind w:left="247" w:right="0"/>
              <w:jc w:val="center"/>
              <w:rPr>
                <w:rFonts w:ascii="Times New Roman" w:hAnsi="Times New Roman" w:cs="Times New Roman" w:eastAsia="Times New Roman" w:hint="default"/>
                <w:sz w:val="18"/>
                <w:szCs w:val="18"/>
              </w:rPr>
            </w:pPr>
            <w:r>
              <w:rPr>
                <w:rFonts w:ascii="Times New Roman"/>
                <w:sz w:val="18"/>
              </w:rPr>
              <w:t>1.73</w:t>
            </w: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-1,396,504</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,091.73</w:t>
            </w:r>
          </w:p>
        </w:tc>
      </w:tr>
      <w:tr>
        <w:trPr>
          <w:trHeight w:val="716"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14,012,7</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77.75</w:t>
            </w: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-14,012,77</w:t>
            </w:r>
          </w:p>
          <w:p>
            <w:pPr>
              <w:pStyle w:val="TableParagraph"/>
              <w:spacing w:line="240" w:lineRule="auto" w:before="105"/>
              <w:ind w:left="516" w:right="0"/>
              <w:jc w:val="left"/>
              <w:rPr>
                <w:rFonts w:ascii="Times New Roman" w:hAnsi="Times New Roman" w:cs="Times New Roman" w:eastAsia="Times New Roman" w:hint="default"/>
                <w:sz w:val="18"/>
                <w:szCs w:val="18"/>
              </w:rPr>
            </w:pPr>
            <w:r>
              <w:rPr>
                <w:rFonts w:ascii="Times New Roman"/>
                <w:sz w:val="18"/>
              </w:rPr>
              <w:t>7.75</w:t>
            </w:r>
          </w:p>
        </w:tc>
      </w:tr>
      <w:tr>
        <w:trPr>
          <w:trHeight w:val="713"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14,012,7</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77.75</w:t>
            </w: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-14,012,77</w:t>
            </w:r>
          </w:p>
          <w:p>
            <w:pPr>
              <w:pStyle w:val="TableParagraph"/>
              <w:spacing w:line="240" w:lineRule="auto" w:before="105"/>
              <w:ind w:left="516" w:right="0"/>
              <w:jc w:val="left"/>
              <w:rPr>
                <w:rFonts w:ascii="Times New Roman" w:hAnsi="Times New Roman" w:cs="Times New Roman" w:eastAsia="Times New Roman" w:hint="default"/>
                <w:sz w:val="18"/>
                <w:szCs w:val="18"/>
              </w:rPr>
            </w:pPr>
            <w:r>
              <w:rPr>
                <w:rFonts w:ascii="Times New Roman"/>
                <w:sz w:val="18"/>
              </w:rPr>
              <w:t>7.75</w:t>
            </w:r>
          </w:p>
        </w:tc>
      </w:tr>
      <w:tr>
        <w:trPr>
          <w:trHeight w:val="401"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4"/>
        <w:gridCol w:w="629"/>
        <w:gridCol w:w="605"/>
        <w:gridCol w:w="602"/>
        <w:gridCol w:w="605"/>
        <w:gridCol w:w="728"/>
        <w:gridCol w:w="727"/>
        <w:gridCol w:w="725"/>
        <w:gridCol w:w="728"/>
        <w:gridCol w:w="727"/>
        <w:gridCol w:w="614"/>
        <w:gridCol w:w="711"/>
        <w:gridCol w:w="862"/>
      </w:tblGrid>
      <w:tr>
        <w:trPr>
          <w:trHeight w:val="675"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189"/>
              <w:jc w:val="left"/>
              <w:rPr>
                <w:rFonts w:ascii="宋体" w:hAnsi="宋体" w:cs="宋体" w:eastAsia="宋体" w:hint="default"/>
                <w:sz w:val="18"/>
                <w:szCs w:val="18"/>
              </w:rPr>
            </w:pPr>
            <w:r>
              <w:rPr>
                <w:rFonts w:ascii="宋体" w:hAnsi="宋体" w:cs="宋体" w:eastAsia="宋体" w:hint="default"/>
                <w:sz w:val="18"/>
                <w:szCs w:val="18"/>
              </w:rPr>
              <w:t>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2,397,02</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8.51</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2,397,028.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r>
      <w:tr>
        <w:trPr>
          <w:trHeight w:val="1025"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0,841.0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2,893,88</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3,236.82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162,988,</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941.20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79,311,3</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89.74</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-1,024,</w:t>
            </w:r>
          </w:p>
          <w:p>
            <w:pPr>
              <w:pStyle w:val="TableParagraph"/>
              <w:spacing w:line="240" w:lineRule="auto" w:before="105"/>
              <w:ind w:left="67" w:right="0"/>
              <w:jc w:val="center"/>
              <w:rPr>
                <w:rFonts w:ascii="Times New Roman" w:hAnsi="Times New Roman" w:cs="Times New Roman" w:eastAsia="Times New Roman" w:hint="default"/>
                <w:sz w:val="18"/>
                <w:szCs w:val="18"/>
              </w:rPr>
            </w:pPr>
            <w:r>
              <w:rPr>
                <w:rFonts w:ascii="Times New Roman"/>
                <w:sz w:val="18"/>
              </w:rPr>
              <w:t>457,21</w:t>
            </w:r>
          </w:p>
          <w:p>
            <w:pPr>
              <w:pStyle w:val="TableParagraph"/>
              <w:spacing w:line="240" w:lineRule="auto" w:before="105"/>
              <w:ind w:left="247" w:right="0"/>
              <w:jc w:val="center"/>
              <w:rPr>
                <w:rFonts w:ascii="Times New Roman" w:hAnsi="Times New Roman" w:cs="Times New Roman" w:eastAsia="Times New Roman" w:hint="default"/>
                <w:sz w:val="18"/>
                <w:szCs w:val="18"/>
              </w:rPr>
            </w:pPr>
            <w:r>
              <w:rPr>
                <w:rFonts w:ascii="Times New Roman"/>
                <w:sz w:val="18"/>
              </w:rPr>
              <w:t>8.03</w:t>
            </w: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2,582,159,</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308.33</w:t>
            </w:r>
          </w:p>
        </w:tc>
      </w:tr>
    </w:tbl>
    <w:p>
      <w:pPr>
        <w:pStyle w:val="BodyText"/>
        <w:spacing w:line="240" w:lineRule="auto" w:before="49"/>
        <w:ind w:right="0"/>
        <w:jc w:val="left"/>
      </w:pPr>
      <w:r>
        <w:rPr/>
        <w:t>上期金额</w:t>
      </w:r>
    </w:p>
    <w:p>
      <w:pPr>
        <w:pStyle w:val="BodyText"/>
        <w:spacing w:line="240" w:lineRule="auto" w:before="117"/>
        <w:ind w:left="0" w:right="1130"/>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31"/>
        <w:gridCol w:w="593"/>
        <w:gridCol w:w="574"/>
        <w:gridCol w:w="571"/>
        <w:gridCol w:w="571"/>
        <w:gridCol w:w="687"/>
        <w:gridCol w:w="686"/>
        <w:gridCol w:w="684"/>
        <w:gridCol w:w="783"/>
        <w:gridCol w:w="665"/>
        <w:gridCol w:w="797"/>
        <w:gridCol w:w="797"/>
        <w:gridCol w:w="931"/>
      </w:tblGrid>
      <w:tr>
        <w:trPr>
          <w:trHeight w:val="402" w:hRule="exact"/>
        </w:trPr>
        <w:tc>
          <w:tcPr>
            <w:tcW w:w="12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4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2" w:hRule="exact"/>
        </w:trPr>
        <w:tc>
          <w:tcPr>
            <w:tcW w:w="1231" w:type="dxa"/>
            <w:vMerge/>
            <w:tcBorders>
              <w:left w:val="single" w:sz="4" w:space="0" w:color="000000"/>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04" w:right="31"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4" w:hRule="exact"/>
        </w:trPr>
        <w:tc>
          <w:tcPr>
            <w:tcW w:w="1231"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94" w:right="99"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91" w:right="98"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7"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715,46</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6,700.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2,171,7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03,839.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62,834,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156.30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303,392,8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56.82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3,253,397,5</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53.03</w:t>
            </w:r>
          </w:p>
        </w:tc>
      </w:tr>
      <w:tr>
        <w:trPr>
          <w:trHeight w:val="715"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5"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715,46</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6,700.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2,171,7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03,839.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62,834,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156.30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303,392,8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56.82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3,253,397,5</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53.03</w:t>
            </w:r>
          </w:p>
        </w:tc>
      </w:tr>
      <w:tr>
        <w:trPr>
          <w:trHeight w:val="1027"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80,944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,141.0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719,782</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,368.40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148,976,</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163.45</w:t>
            </w:r>
          </w:p>
        </w:tc>
        <w:tc>
          <w:tcPr>
            <w:tcW w:w="684"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16,678,</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478.45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70,465,22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1.93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738,894,04</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6.33</w:t>
            </w:r>
          </w:p>
        </w:tc>
      </w:tr>
      <w:tr>
        <w:trPr>
          <w:trHeight w:val="713"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166,784,7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84.48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166,784,78</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4.48</w:t>
            </w:r>
          </w:p>
        </w:tc>
      </w:tr>
      <w:tr>
        <w:trPr>
          <w:trHeight w:val="715"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7" w:right="0"/>
              <w:jc w:val="left"/>
              <w:rPr>
                <w:rFonts w:ascii="Times New Roman" w:hAnsi="Times New Roman" w:cs="Times New Roman" w:eastAsia="Times New Roman" w:hint="default"/>
                <w:sz w:val="18"/>
                <w:szCs w:val="18"/>
              </w:rPr>
            </w:pPr>
            <w:r>
              <w:rPr>
                <w:rFonts w:ascii="Times New Roman"/>
                <w:sz w:val="18"/>
              </w:rPr>
              <w:t>80,944</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,141.0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707,411,</w:t>
            </w:r>
          </w:p>
          <w:p>
            <w:pPr>
              <w:pStyle w:val="TableParagraph"/>
              <w:spacing w:line="240" w:lineRule="auto" w:before="102"/>
              <w:ind w:left="146" w:right="0"/>
              <w:jc w:val="center"/>
              <w:rPr>
                <w:rFonts w:ascii="Times New Roman" w:hAnsi="Times New Roman" w:cs="Times New Roman" w:eastAsia="Times New Roman" w:hint="default"/>
                <w:sz w:val="18"/>
                <w:szCs w:val="18"/>
              </w:rPr>
            </w:pPr>
            <w:r>
              <w:rPr>
                <w:rFonts w:ascii="Times New Roman"/>
                <w:sz w:val="18"/>
              </w:rPr>
              <w:t>011.82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148,976,</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163.45</w:t>
            </w:r>
          </w:p>
        </w:tc>
        <w:tc>
          <w:tcPr>
            <w:tcW w:w="684"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639,378,98</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9.37</w:t>
            </w:r>
          </w:p>
        </w:tc>
      </w:tr>
    </w:tbl>
    <w:p>
      <w:pPr>
        <w:spacing w:after="0" w:line="240" w:lineRule="auto"/>
        <w:jc w:val="left"/>
        <w:rPr>
          <w:rFonts w:ascii="Times New Roman" w:hAnsi="Times New Roman" w:cs="Times New Roman" w:eastAsia="Times New Roman" w:hint="default"/>
          <w:sz w:val="18"/>
          <w:szCs w:val="18"/>
        </w:rPr>
        <w:sectPr>
          <w:footerReference w:type="default" r:id="rId20"/>
          <w:pgSz w:w="11910" w:h="16840"/>
          <w:pgMar w:footer="979" w:header="745" w:top="1060" w:bottom="1160" w:left="980" w:right="0"/>
          <w:pgNumType w:start="1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1"/>
        <w:gridCol w:w="571"/>
        <w:gridCol w:w="687"/>
        <w:gridCol w:w="686"/>
        <w:gridCol w:w="684"/>
        <w:gridCol w:w="783"/>
        <w:gridCol w:w="665"/>
        <w:gridCol w:w="797"/>
        <w:gridCol w:w="797"/>
        <w:gridCol w:w="931"/>
      </w:tblGrid>
      <w:tr>
        <w:trPr>
          <w:trHeight w:val="36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81,326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,141.0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709,408</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,071.82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790,734,21</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2.82</w:t>
            </w: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-382,0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-1,997,0</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60.00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148,976,</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163.45</w:t>
            </w:r>
          </w:p>
        </w:tc>
        <w:tc>
          <w:tcPr>
            <w:tcW w:w="684"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-151,355,22</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3.45</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16,678,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478.45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-96,319,5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62.55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-79,641,084</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16,678,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478.45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-16,678,4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78.45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-79,641,0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84.10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-79,641,084</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1"/>
        <w:gridCol w:w="571"/>
        <w:gridCol w:w="687"/>
        <w:gridCol w:w="686"/>
        <w:gridCol w:w="684"/>
        <w:gridCol w:w="783"/>
        <w:gridCol w:w="665"/>
        <w:gridCol w:w="797"/>
        <w:gridCol w:w="797"/>
        <w:gridCol w:w="931"/>
      </w:tblGrid>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12,371,</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356.58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12,371,356.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58</w:t>
            </w: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796,41</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0,841.</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2,891,4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86,208.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31</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148,976,</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163.45</w:t>
            </w:r>
          </w:p>
        </w:tc>
        <w:tc>
          <w:tcPr>
            <w:tcW w:w="684"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79,512,</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634.75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373,858,0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78.75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3,992,291,5</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99.36</w:t>
            </w:r>
          </w:p>
        </w:tc>
      </w:tr>
    </w:tbl>
    <w:p>
      <w:pPr>
        <w:spacing w:line="240" w:lineRule="auto" w:before="6"/>
        <w:rPr>
          <w:rFonts w:ascii="Times New Roman" w:hAnsi="Times New Roman" w:cs="Times New Roman" w:eastAsia="Times New Roman" w:hint="default"/>
          <w:sz w:val="20"/>
          <w:szCs w:val="20"/>
        </w:rPr>
      </w:pPr>
    </w:p>
    <w:p>
      <w:pPr>
        <w:pStyle w:val="Heading2"/>
        <w:spacing w:line="367" w:lineRule="exact"/>
        <w:ind w:right="0"/>
        <w:jc w:val="left"/>
        <w:rPr>
          <w:b w:val="0"/>
          <w:bCs w:val="0"/>
        </w:rPr>
      </w:pPr>
      <w:r>
        <w:rPr/>
        <w:t>三、公司基本情况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00" w:lineRule="auto"/>
        <w:ind w:left="657" w:right="1037"/>
        <w:jc w:val="left"/>
      </w:pPr>
      <w:r>
        <w:rPr>
          <w:rFonts w:ascii="Times New Roman" w:hAnsi="Times New Roman" w:cs="Times New Roman" w:eastAsia="Times New Roman" w:hint="default"/>
        </w:rPr>
        <w:t>1</w:t>
      </w:r>
      <w:r>
        <w:rPr/>
        <w:t>．公司概况 </w:t>
      </w:r>
      <w:r>
        <w:rPr>
          <w:spacing w:val="-2"/>
        </w:rPr>
        <w:t>江苏润和软件股份有限公司（以下简称</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）系周红卫、姚宁、孙强、周庆、隋宏旭、马玉峰、蒋志坚、</w:t>
      </w:r>
    </w:p>
    <w:p>
      <w:pPr>
        <w:pStyle w:val="BodyText"/>
        <w:spacing w:line="300" w:lineRule="auto" w:before="13"/>
        <w:ind w:right="1123"/>
        <w:jc w:val="left"/>
      </w:pPr>
      <w:r>
        <w:rPr/>
        <w:t>殷则堂等八位自然人共同发起设立的股份有限公司，于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日取得江苏省工商行政管理局核准登记。公司设立时注 册资本为人民币</w:t>
      </w:r>
      <w:r>
        <w:rPr>
          <w:rFonts w:ascii="Times New Roman" w:hAnsi="Times New Roman" w:cs="Times New Roman" w:eastAsia="Times New Roman" w:hint="default"/>
        </w:rPr>
        <w:t>1,000</w:t>
      </w:r>
      <w:r>
        <w:rPr/>
        <w:t>万元，经历次变更后公司注册资本为人民币</w:t>
      </w:r>
      <w:r>
        <w:rPr>
          <w:rFonts w:ascii="Times New Roman" w:hAnsi="Times New Roman" w:cs="Times New Roman" w:eastAsia="Times New Roman" w:hint="default"/>
        </w:rPr>
        <w:t>5,755</w:t>
      </w:r>
      <w:r>
        <w:rPr/>
        <w:t>万元。</w:t>
      </w:r>
    </w:p>
    <w:p>
      <w:pPr>
        <w:pStyle w:val="BodyText"/>
        <w:spacing w:line="300" w:lineRule="auto" w:before="13"/>
        <w:ind w:right="1130" w:firstLine="504"/>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日，经中国证券监督管理委员会《关于核准江苏润和软件股份有限公司首次公开发行股票并在创业板上 </w:t>
      </w:r>
      <w:r>
        <w:rPr>
          <w:spacing w:val="-2"/>
        </w:rPr>
        <w:t>市的批复》证监许可</w:t>
      </w:r>
      <w:r>
        <w:rPr>
          <w:rFonts w:ascii="Times New Roman" w:hAnsi="Times New Roman" w:cs="Times New Roman" w:eastAsia="Times New Roman" w:hint="default"/>
          <w:spacing w:val="-2"/>
        </w:rPr>
        <w:t>[2012]812</w:t>
      </w:r>
      <w:r>
        <w:rPr>
          <w:spacing w:val="-2"/>
        </w:rPr>
        <w:t>号文核准，本公司首次向社会公开发行人民币普通股</w:t>
      </w:r>
      <w:r>
        <w:rPr>
          <w:rFonts w:ascii="Times New Roman" w:hAnsi="Times New Roman" w:cs="Times New Roman" w:eastAsia="Times New Roman" w:hint="default"/>
          <w:spacing w:val="-2"/>
        </w:rPr>
        <w:t>1,919</w:t>
      </w:r>
      <w:r>
        <w:rPr>
          <w:spacing w:val="-2"/>
        </w:rPr>
        <w:t>万股，并于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18</w:t>
      </w:r>
      <w:r>
        <w:rPr>
          <w:spacing w:val="-2"/>
        </w:rPr>
        <w:t>日在深圳证</w:t>
      </w:r>
      <w:r>
        <w:rPr>
          <w:spacing w:val="-37"/>
        </w:rPr>
        <w:t> </w:t>
      </w:r>
      <w:r>
        <w:rPr>
          <w:spacing w:val="-37"/>
        </w:rPr>
      </w:r>
      <w:r>
        <w:rPr/>
        <w:t>券交易所创业板上市交易（股票简称</w:t>
      </w:r>
      <w:r>
        <w:rPr>
          <w:rFonts w:ascii="Times New Roman" w:hAnsi="Times New Roman" w:cs="Times New Roman" w:eastAsia="Times New Roman" w:hint="default"/>
        </w:rPr>
        <w:t>“</w:t>
      </w:r>
      <w:r>
        <w:rPr/>
        <w:t>润和软件</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“300339”</w:t>
      </w:r>
      <w:r>
        <w:rPr/>
        <w:t>），发行后注册资本变更为人民币</w:t>
      </w:r>
      <w:r>
        <w:rPr>
          <w:rFonts w:ascii="Times New Roman" w:hAnsi="Times New Roman" w:cs="Times New Roman" w:eastAsia="Times New Roman" w:hint="default"/>
        </w:rPr>
        <w:t>7,674</w:t>
      </w:r>
      <w:r>
        <w:rPr/>
        <w:t>万元。</w:t>
      </w:r>
    </w:p>
    <w:p>
      <w:pPr>
        <w:pStyle w:val="BodyText"/>
        <w:spacing w:line="300" w:lineRule="auto" w:before="13"/>
        <w:ind w:right="1204" w:firstLine="504"/>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日，经公司</w:t>
      </w:r>
      <w:r>
        <w:rPr>
          <w:rFonts w:ascii="Times New Roman" w:hAnsi="Times New Roman" w:cs="Times New Roman" w:eastAsia="Times New Roman" w:hint="default"/>
        </w:rPr>
        <w:t>2012</w:t>
      </w:r>
      <w:r>
        <w:rPr/>
        <w:t>年度股东大会决议审议通过，决议以</w:t>
      </w:r>
      <w:r>
        <w:rPr>
          <w:rFonts w:ascii="Times New Roman" w:hAnsi="Times New Roman" w:cs="Times New Roman" w:eastAsia="Times New Roman" w:hint="default"/>
        </w:rPr>
        <w:t>2012</w:t>
      </w:r>
      <w:r>
        <w:rPr/>
        <w:t>年末公司总股本</w:t>
      </w:r>
      <w:r>
        <w:rPr>
          <w:rFonts w:ascii="Times New Roman" w:hAnsi="Times New Roman" w:cs="Times New Roman" w:eastAsia="Times New Roman" w:hint="default"/>
        </w:rPr>
        <w:t>7,674</w:t>
      </w:r>
      <w:r>
        <w:rPr/>
        <w:t>万股为基数，用资本公积 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7,674</w:t>
      </w:r>
      <w:r>
        <w:rPr/>
        <w:t>万股，转增后公司注册资本变更为人民币</w:t>
      </w:r>
      <w:r>
        <w:rPr>
          <w:rFonts w:ascii="Times New Roman" w:hAnsi="Times New Roman" w:cs="Times New Roman" w:eastAsia="Times New Roman" w:hint="default"/>
        </w:rPr>
        <w:t>15,348</w:t>
      </w:r>
      <w:r>
        <w:rPr/>
        <w:t>万元。</w:t>
      </w:r>
    </w:p>
    <w:p>
      <w:pPr>
        <w:pStyle w:val="BodyText"/>
        <w:spacing w:line="300" w:lineRule="auto" w:before="13"/>
        <w:ind w:right="1204" w:firstLine="504"/>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日，经公司</w:t>
      </w:r>
      <w:r>
        <w:rPr>
          <w:rFonts w:ascii="Times New Roman" w:hAnsi="Times New Roman" w:cs="Times New Roman" w:eastAsia="Times New Roman" w:hint="default"/>
        </w:rPr>
        <w:t>2013</w:t>
      </w:r>
      <w:r>
        <w:rPr/>
        <w:t>年度股东大会决议审议通过，以</w:t>
      </w:r>
      <w:r>
        <w:rPr>
          <w:rFonts w:ascii="Times New Roman" w:hAnsi="Times New Roman" w:cs="Times New Roman" w:eastAsia="Times New Roman" w:hint="default"/>
        </w:rPr>
        <w:t>2013</w:t>
      </w:r>
      <w:r>
        <w:rPr/>
        <w:t>年末总股本</w:t>
      </w:r>
      <w:r>
        <w:rPr>
          <w:rFonts w:ascii="Times New Roman" w:hAnsi="Times New Roman" w:cs="Times New Roman" w:eastAsia="Times New Roman" w:hint="default"/>
        </w:rPr>
        <w:t>15,348</w:t>
      </w:r>
      <w:r>
        <w:rPr/>
        <w:t>万股为基数，以资本公积转增股 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股，共转增股本</w:t>
      </w:r>
      <w:r>
        <w:rPr>
          <w:rFonts w:ascii="Times New Roman" w:hAnsi="Times New Roman" w:cs="Times New Roman" w:eastAsia="Times New Roman" w:hint="default"/>
        </w:rPr>
        <w:t>7,674</w:t>
      </w:r>
      <w:r>
        <w:rPr/>
        <w:t>万股，转增后注册资本变更为人民币</w:t>
      </w:r>
      <w:r>
        <w:rPr>
          <w:rFonts w:ascii="Times New Roman" w:hAnsi="Times New Roman" w:cs="Times New Roman" w:eastAsia="Times New Roman" w:hint="default"/>
        </w:rPr>
        <w:t>23,022</w:t>
      </w:r>
      <w:r>
        <w:rPr/>
        <w:t>万元。</w:t>
      </w:r>
    </w:p>
    <w:p>
      <w:pPr>
        <w:pStyle w:val="BodyText"/>
        <w:spacing w:line="300" w:lineRule="auto" w:before="13"/>
        <w:ind w:right="0" w:firstLine="504"/>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日，经公司</w:t>
      </w:r>
      <w:r>
        <w:rPr>
          <w:rFonts w:ascii="Times New Roman" w:hAnsi="Times New Roman" w:cs="Times New Roman" w:eastAsia="Times New Roman" w:hint="default"/>
        </w:rPr>
        <w:t>2014</w:t>
      </w:r>
      <w:r>
        <w:rPr/>
        <w:t>年度第二次临时股东大会决议和修改后的章程规定，并经中国证券监督管理委员会《关 </w:t>
      </w:r>
      <w:r>
        <w:rPr>
          <w:spacing w:val="-1"/>
        </w:rPr>
        <w:t>于核准江苏润和软件股份有限公司向王杰等发行股份购买资产并募集配套资金的批复》（证监许可</w:t>
      </w:r>
      <w:r>
        <w:rPr>
          <w:rFonts w:ascii="Times New Roman" w:hAnsi="Times New Roman" w:cs="Times New Roman" w:eastAsia="Times New Roman" w:hint="default"/>
          <w:spacing w:val="-1"/>
        </w:rPr>
        <w:t>[2014]747</w:t>
      </w:r>
      <w:r>
        <w:rPr>
          <w:spacing w:val="-1"/>
        </w:rPr>
        <w:t>号文）的核准，</w:t>
      </w:r>
      <w:r>
        <w:rPr>
          <w:spacing w:val="-59"/>
        </w:rPr>
        <w:t> </w:t>
      </w:r>
      <w:r>
        <w:rPr>
          <w:spacing w:val="-59"/>
        </w:rPr>
      </w:r>
      <w:r>
        <w:rPr/>
        <w:t>由公司向王杰等</w:t>
      </w:r>
      <w:r>
        <w:rPr>
          <w:rFonts w:ascii="Times New Roman" w:hAnsi="Times New Roman" w:cs="Times New Roman" w:eastAsia="Times New Roman" w:hint="default"/>
        </w:rPr>
        <w:t>6</w:t>
      </w:r>
      <w:r>
        <w:rPr/>
        <w:t>名发行对象发行人民币普通股</w:t>
      </w:r>
      <w:r>
        <w:rPr>
          <w:rFonts w:ascii="Times New Roman" w:hAnsi="Times New Roman" w:cs="Times New Roman" w:eastAsia="Times New Roman" w:hint="default"/>
        </w:rPr>
        <w:t>26,068,064</w:t>
      </w:r>
      <w:r>
        <w:rPr/>
        <w:t>股（每股发行价均为人民币</w:t>
      </w:r>
      <w:r>
        <w:rPr>
          <w:rFonts w:ascii="Times New Roman" w:hAnsi="Times New Roman" w:cs="Times New Roman" w:eastAsia="Times New Roman" w:hint="default"/>
        </w:rPr>
        <w:t>13.81</w:t>
      </w:r>
      <w:r>
        <w:rPr/>
        <w:t>元）购买相关资产；同时，由公 司向特定投资者周红卫发行人民币普通股</w:t>
      </w:r>
      <w:r>
        <w:rPr>
          <w:rFonts w:ascii="Times New Roman" w:hAnsi="Times New Roman" w:cs="Times New Roman" w:eastAsia="Times New Roman" w:hint="default"/>
        </w:rPr>
        <w:t>13,034,033</w:t>
      </w:r>
      <w:r>
        <w:rPr/>
        <w:t>股、向浙江海宁嘉慧投资合伙企业（有限合伙）发行人民币普通股 </w:t>
      </w:r>
      <w:r>
        <w:rPr>
          <w:rFonts w:ascii="Times New Roman" w:hAnsi="Times New Roman" w:cs="Times New Roman" w:eastAsia="Times New Roman" w:hint="default"/>
          <w:spacing w:val="-2"/>
        </w:rPr>
        <w:t>4,344,677</w:t>
      </w:r>
      <w:r>
        <w:rPr>
          <w:spacing w:val="-2"/>
        </w:rPr>
        <w:t>股（每股发行价均为人民币</w:t>
      </w:r>
      <w:r>
        <w:rPr>
          <w:rFonts w:ascii="Times New Roman" w:hAnsi="Times New Roman" w:cs="Times New Roman" w:eastAsia="Times New Roman" w:hint="default"/>
          <w:spacing w:val="-2"/>
        </w:rPr>
        <w:t>13.81</w:t>
      </w:r>
      <w:r>
        <w:rPr>
          <w:spacing w:val="-2"/>
        </w:rPr>
        <w:t>元）募集配套资金，以上合计申请增加注册资本及股本人民币</w:t>
      </w:r>
      <w:r>
        <w:rPr>
          <w:rFonts w:ascii="Times New Roman" w:hAnsi="Times New Roman" w:cs="Times New Roman" w:eastAsia="Times New Roman" w:hint="default"/>
          <w:spacing w:val="-2"/>
        </w:rPr>
        <w:t>43,446,774.00</w:t>
      </w:r>
      <w:r>
        <w:rPr>
          <w:spacing w:val="-2"/>
        </w:rPr>
        <w:t>元，变</w:t>
      </w:r>
      <w:r>
        <w:rPr>
          <w:spacing w:val="-41"/>
        </w:rPr>
        <w:t> </w:t>
      </w:r>
      <w:r>
        <w:rPr>
          <w:spacing w:val="-41"/>
        </w:rPr>
      </w:r>
      <w:r>
        <w:rPr/>
        <w:t>更后的注册资本及股本为人民币</w:t>
      </w:r>
      <w:r>
        <w:rPr>
          <w:rFonts w:ascii="Times New Roman" w:hAnsi="Times New Roman" w:cs="Times New Roman" w:eastAsia="Times New Roman" w:hint="default"/>
        </w:rPr>
        <w:t>273,666,774.00</w:t>
      </w:r>
      <w:r>
        <w:rPr/>
        <w:t>元。</w:t>
      </w:r>
    </w:p>
    <w:p>
      <w:pPr>
        <w:pStyle w:val="BodyText"/>
        <w:spacing w:line="307" w:lineRule="auto" w:before="13"/>
        <w:ind w:right="0" w:firstLine="504"/>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日，经公司</w:t>
      </w:r>
      <w:r>
        <w:rPr>
          <w:rFonts w:ascii="Times New Roman" w:hAnsi="Times New Roman" w:cs="Times New Roman" w:eastAsia="Times New Roman" w:hint="default"/>
        </w:rPr>
        <w:t>2014</w:t>
      </w:r>
      <w:r>
        <w:rPr/>
        <w:t>年度第五次临时股东大会审议通过的《江苏润和软件股份有限公司</w:t>
      </w:r>
      <w:r>
        <w:rPr>
          <w:rFonts w:ascii="Times New Roman" w:hAnsi="Times New Roman" w:cs="Times New Roman" w:eastAsia="Times New Roman" w:hint="default"/>
        </w:rPr>
        <w:t>2014</w:t>
      </w:r>
      <w:r>
        <w:rPr>
          <w:rFonts w:ascii="Times New Roman" w:hAnsi="Times New Roman" w:cs="Times New Roman" w:eastAsia="Times New Roman" w:hint="default"/>
          <w:spacing w:val="25"/>
        </w:rPr>
        <w:t> </w:t>
      </w:r>
      <w:r>
        <w:rPr/>
        <w:t>年限制性股票 </w:t>
      </w:r>
      <w:r>
        <w:rPr>
          <w:spacing w:val="-4"/>
        </w:rPr>
        <w:t>激励计划（草案修订稿）》、第四届董事会第二十三次会议决议、第四届董事会第二十四次会议决议以及修改后的章程规定，</w:t>
      </w:r>
      <w:r>
        <w:rPr>
          <w:spacing w:val="-43"/>
        </w:rPr>
        <w:t> </w:t>
      </w:r>
      <w:r>
        <w:rPr>
          <w:spacing w:val="-43"/>
        </w:rPr>
      </w:r>
      <w:r>
        <w:rPr/>
        <w:t>公司对钟峻等</w:t>
      </w:r>
      <w:r>
        <w:rPr>
          <w:rFonts w:ascii="Times New Roman" w:hAnsi="Times New Roman" w:cs="Times New Roman" w:eastAsia="Times New Roman" w:hint="default"/>
        </w:rPr>
        <w:t>300</w:t>
      </w:r>
      <w:r>
        <w:rPr/>
        <w:t>名激励对象授予限制性股票，公司申请增加股本及注册资本人民币</w:t>
      </w:r>
      <w:r>
        <w:rPr>
          <w:rFonts w:ascii="Times New Roman" w:hAnsi="Times New Roman" w:cs="Times New Roman" w:eastAsia="Times New Roman" w:hint="default"/>
        </w:rPr>
        <w:t>10,950,000.00</w:t>
      </w:r>
      <w:r>
        <w:rPr/>
        <w:t>元，变更后注册资本为人 民币</w:t>
      </w:r>
      <w:r>
        <w:rPr>
          <w:rFonts w:ascii="Times New Roman" w:hAnsi="Times New Roman" w:cs="Times New Roman" w:eastAsia="Times New Roman" w:hint="default"/>
        </w:rPr>
        <w:t>284,616,774.00</w:t>
      </w:r>
      <w:r>
        <w:rPr/>
        <w:t>元。</w:t>
      </w:r>
    </w:p>
    <w:p>
      <w:pPr>
        <w:pStyle w:val="BodyText"/>
        <w:spacing w:line="302" w:lineRule="auto" w:before="7"/>
        <w:ind w:right="1129" w:firstLine="504"/>
        <w:jc w:val="both"/>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10</w:t>
      </w:r>
      <w:r>
        <w:rPr>
          <w:spacing w:val="-3"/>
        </w:rPr>
        <w:t>日，经公司</w:t>
      </w:r>
      <w:r>
        <w:rPr>
          <w:rFonts w:ascii="Times New Roman" w:hAnsi="Times New Roman" w:cs="Times New Roman" w:eastAsia="Times New Roman" w:hint="default"/>
          <w:spacing w:val="-3"/>
        </w:rPr>
        <w:t>2015</w:t>
      </w:r>
      <w:r>
        <w:rPr>
          <w:spacing w:val="-3"/>
        </w:rPr>
        <w:t>年度第二次临时股东大会决议和修改后的章程规定，并经过中国证券监督管理委员会《关</w:t>
      </w:r>
      <w:r>
        <w:rPr/>
        <w:t> </w:t>
      </w:r>
      <w:r>
        <w:rPr>
          <w:spacing w:val="-5"/>
        </w:rPr>
        <w:t>于核准江苏润和软件股份有限公司向宁波宏创股权投资合伙企业（有限合伙）发行股份购买资产并募集配套资金的批复》（证</w:t>
      </w:r>
      <w:r>
        <w:rPr>
          <w:spacing w:val="-81"/>
        </w:rPr>
        <w:t> </w:t>
      </w:r>
      <w:r>
        <w:rPr>
          <w:spacing w:val="-81"/>
        </w:rPr>
      </w:r>
      <w:r>
        <w:rPr/>
        <w:t>监许可</w:t>
      </w:r>
      <w:r>
        <w:rPr>
          <w:rFonts w:ascii="Times New Roman" w:hAnsi="Times New Roman" w:cs="Times New Roman" w:eastAsia="Times New Roman" w:hint="default"/>
        </w:rPr>
        <w:t>[2015]1856</w:t>
      </w:r>
      <w:r>
        <w:rPr/>
        <w:t>号）的核准，由公司向宁波宏创股权投资合伙企业（有限合伙）（以下简称</w:t>
      </w:r>
      <w:r>
        <w:rPr>
          <w:rFonts w:ascii="Times New Roman" w:hAnsi="Times New Roman" w:cs="Times New Roman" w:eastAsia="Times New Roman" w:hint="default"/>
        </w:rPr>
        <w:t>“</w:t>
      </w:r>
      <w:r>
        <w:rPr/>
        <w:t>宁波宏创</w:t>
      </w:r>
      <w:r>
        <w:rPr>
          <w:rFonts w:ascii="Times New Roman" w:hAnsi="Times New Roman" w:cs="Times New Roman" w:eastAsia="Times New Roman" w:hint="default"/>
        </w:rPr>
        <w:t>”</w:t>
      </w:r>
      <w:r>
        <w:rPr/>
        <w:t>）发行人民币普通 </w:t>
      </w:r>
      <w:r>
        <w:rPr>
          <w:spacing w:val="-1"/>
        </w:rPr>
        <w:t>股</w:t>
      </w:r>
      <w:r>
        <w:rPr>
          <w:rFonts w:ascii="Times New Roman" w:hAnsi="Times New Roman" w:cs="Times New Roman" w:eastAsia="Times New Roman" w:hint="default"/>
          <w:spacing w:val="-1"/>
        </w:rPr>
        <w:t>48,124,698</w:t>
      </w:r>
      <w:r>
        <w:rPr>
          <w:spacing w:val="-1"/>
        </w:rPr>
        <w:t>股（每股发行价格为人民币</w:t>
      </w:r>
      <w:r>
        <w:rPr>
          <w:rFonts w:ascii="Times New Roman" w:hAnsi="Times New Roman" w:cs="Times New Roman" w:eastAsia="Times New Roman" w:hint="default"/>
          <w:spacing w:val="-1"/>
        </w:rPr>
        <w:t>22.39</w:t>
      </w:r>
      <w:r>
        <w:rPr>
          <w:spacing w:val="-1"/>
        </w:rPr>
        <w:t>元）购买相关资产，同时，由公司向特定对象西藏瑞华投资发展有限公司发行</w:t>
      </w:r>
      <w:r>
        <w:rPr>
          <w:spacing w:val="-71"/>
        </w:rPr>
        <w:t> </w:t>
      </w:r>
      <w:r>
        <w:rPr>
          <w:spacing w:val="-71"/>
        </w:rPr>
      </w:r>
      <w:r>
        <w:rPr/>
        <w:t>人民币普通股</w:t>
      </w:r>
      <w:r>
        <w:rPr>
          <w:rFonts w:ascii="Times New Roman" w:hAnsi="Times New Roman" w:cs="Times New Roman" w:eastAsia="Times New Roman" w:hint="default"/>
        </w:rPr>
        <w:t>11,165,698</w:t>
      </w:r>
      <w:r>
        <w:rPr/>
        <w:t>股、向黄学军发行人民币普通股</w:t>
      </w:r>
      <w:r>
        <w:rPr>
          <w:rFonts w:ascii="Times New Roman" w:hAnsi="Times New Roman" w:cs="Times New Roman" w:eastAsia="Times New Roman" w:hint="default"/>
        </w:rPr>
        <w:t>5,582,849</w:t>
      </w:r>
      <w:r>
        <w:rPr/>
        <w:t>股、向曹荣发行人民币普通股</w:t>
      </w:r>
      <w:r>
        <w:rPr>
          <w:rFonts w:ascii="Times New Roman" w:hAnsi="Times New Roman" w:cs="Times New Roman" w:eastAsia="Times New Roman" w:hint="default"/>
        </w:rPr>
        <w:t>5,582,849</w:t>
      </w:r>
      <w:r>
        <w:rPr/>
        <w:t>股、向南京泰瑞投 资管理中心（有限合伙）发行人民币普通股</w:t>
      </w:r>
      <w:r>
        <w:rPr>
          <w:rFonts w:ascii="Times New Roman" w:hAnsi="Times New Roman" w:cs="Times New Roman" w:eastAsia="Times New Roman" w:hint="default"/>
        </w:rPr>
        <w:t>2,207,982</w:t>
      </w:r>
      <w:r>
        <w:rPr/>
        <w:t>股（以上每股发行价格为人民币</w:t>
      </w:r>
      <w:r>
        <w:rPr>
          <w:rFonts w:ascii="Times New Roman" w:hAnsi="Times New Roman" w:cs="Times New Roman" w:eastAsia="Times New Roman" w:hint="default"/>
        </w:rPr>
        <w:t>22.39</w:t>
      </w:r>
      <w:r>
        <w:rPr/>
        <w:t>元）募集配套资金，以上合计申 请增加注册资本及股本人民币</w:t>
      </w:r>
      <w:r>
        <w:rPr>
          <w:rFonts w:ascii="Times New Roman" w:hAnsi="Times New Roman" w:cs="Times New Roman" w:eastAsia="Times New Roman" w:hint="default"/>
        </w:rPr>
        <w:t>72,664,076.00</w:t>
      </w:r>
      <w:r>
        <w:rPr/>
        <w:t>元，变更后的注册资本及股本为人民币</w:t>
      </w:r>
      <w:r>
        <w:rPr>
          <w:rFonts w:ascii="Times New Roman" w:hAnsi="Times New Roman" w:cs="Times New Roman" w:eastAsia="Times New Roman" w:hint="default"/>
        </w:rPr>
        <w:t>357,280,850.00</w:t>
      </w:r>
      <w:r>
        <w:rPr/>
        <w:t>元。</w:t>
      </w:r>
    </w:p>
    <w:p>
      <w:pPr>
        <w:pStyle w:val="BodyText"/>
        <w:spacing w:line="307" w:lineRule="auto" w:before="11"/>
        <w:ind w:right="0" w:firstLine="504"/>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日，经公司</w:t>
      </w:r>
      <w:r>
        <w:rPr>
          <w:rFonts w:ascii="Times New Roman" w:hAnsi="Times New Roman" w:cs="Times New Roman" w:eastAsia="Times New Roman" w:hint="default"/>
        </w:rPr>
        <w:t>2014</w:t>
      </w:r>
      <w:r>
        <w:rPr/>
        <w:t>年第五次临时股东大会审议通过的《江苏润和软件股份有限公司</w:t>
      </w:r>
      <w:r>
        <w:rPr>
          <w:rFonts w:ascii="Times New Roman" w:hAnsi="Times New Roman" w:cs="Times New Roman" w:eastAsia="Times New Roman" w:hint="default"/>
        </w:rPr>
        <w:t>2014</w:t>
      </w:r>
      <w:r>
        <w:rPr>
          <w:rFonts w:ascii="Times New Roman" w:hAnsi="Times New Roman" w:cs="Times New Roman" w:eastAsia="Times New Roman" w:hint="default"/>
          <w:spacing w:val="25"/>
        </w:rPr>
        <w:t> </w:t>
      </w:r>
      <w:r>
        <w:rPr/>
        <w:t>年限制性股票激 </w:t>
      </w:r>
      <w:r>
        <w:rPr>
          <w:spacing w:val="-4"/>
        </w:rPr>
        <w:t>励计划（草案修订稿）》、第四届董事会第三十二次会议决议和修改后的章程规定，公司对张传位、范蕾、孙明志、王继伟、</w:t>
      </w:r>
      <w:r>
        <w:rPr>
          <w:spacing w:val="-46"/>
        </w:rPr>
        <w:t> </w:t>
      </w:r>
      <w:r>
        <w:rPr>
          <w:spacing w:val="-46"/>
        </w:rPr>
      </w:r>
      <w:r>
        <w:rPr/>
        <w:t>王莹、顾进峰、蒋新星、吴茵、戴岱、涂庆红、陈立菲已获授但尚未解锁的限制性股票股本人民币</w:t>
      </w:r>
      <w:r>
        <w:rPr>
          <w:rFonts w:ascii="Times New Roman" w:hAnsi="Times New Roman" w:cs="Times New Roman" w:eastAsia="Times New Roman" w:hint="default"/>
        </w:rPr>
        <w:t>185,000.00</w:t>
      </w:r>
      <w:r>
        <w:rPr/>
        <w:t>元进行回购注 销，申请减少注册资本及股本人民币</w:t>
      </w:r>
      <w:r>
        <w:rPr>
          <w:rFonts w:ascii="Times New Roman" w:hAnsi="Times New Roman" w:cs="Times New Roman" w:eastAsia="Times New Roman" w:hint="default"/>
        </w:rPr>
        <w:t>185,000.00</w:t>
      </w:r>
      <w:r>
        <w:rPr/>
        <w:t>元，变更后的注册资本及股本为人民币</w:t>
      </w:r>
      <w:r>
        <w:rPr>
          <w:rFonts w:ascii="Times New Roman" w:hAnsi="Times New Roman" w:cs="Times New Roman" w:eastAsia="Times New Roman" w:hint="default"/>
        </w:rPr>
        <w:t>357,095,850.00</w:t>
      </w:r>
      <w:r>
        <w:rPr/>
        <w:t>元。</w:t>
      </w:r>
    </w:p>
    <w:p>
      <w:pPr>
        <w:pStyle w:val="BodyText"/>
        <w:spacing w:line="300" w:lineRule="auto" w:before="7"/>
        <w:ind w:right="1131" w:firstLine="504"/>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日，经公司</w:t>
      </w:r>
      <w:r>
        <w:rPr>
          <w:rFonts w:ascii="Times New Roman" w:hAnsi="Times New Roman" w:cs="Times New Roman" w:eastAsia="Times New Roman" w:hint="default"/>
        </w:rPr>
        <w:t>2014</w:t>
      </w:r>
      <w:r>
        <w:rPr/>
        <w:t>年第五次临时股东大会审议通过的《江苏润和软件股份有限公司</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年限制性股票激励 </w:t>
      </w:r>
      <w:r>
        <w:rPr>
          <w:spacing w:val="-2"/>
        </w:rPr>
        <w:t>计划（草案修订稿）》、第四届董事会第三十七次会议决议和修改后的章程规定，公司对董必华等</w:t>
      </w:r>
      <w:r>
        <w:rPr>
          <w:rFonts w:ascii="Times New Roman" w:hAnsi="Times New Roman" w:cs="Times New Roman" w:eastAsia="Times New Roman" w:hint="default"/>
          <w:spacing w:val="-2"/>
        </w:rPr>
        <w:t>91</w:t>
      </w:r>
      <w:r>
        <w:rPr>
          <w:spacing w:val="-2"/>
        </w:rPr>
        <w:t>名激励对象授予限制性</w:t>
      </w:r>
      <w:r>
        <w:rPr>
          <w:spacing w:val="-63"/>
        </w:rPr>
        <w:t> </w:t>
      </w:r>
      <w:r>
        <w:rPr>
          <w:spacing w:val="-63"/>
        </w:rPr>
      </w:r>
      <w:r>
        <w:rPr/>
        <w:t>股票，公司申请增加注册资本及股本人民币</w:t>
      </w:r>
      <w:r>
        <w:rPr>
          <w:rFonts w:ascii="Times New Roman" w:hAnsi="Times New Roman" w:cs="Times New Roman" w:eastAsia="Times New Roman" w:hint="default"/>
        </w:rPr>
        <w:t>1,080,000.00</w:t>
      </w:r>
      <w:r>
        <w:rPr/>
        <w:t>元，变更后注册资本及股本为人民币</w:t>
      </w:r>
      <w:r>
        <w:rPr>
          <w:rFonts w:ascii="Times New Roman" w:hAnsi="Times New Roman" w:cs="Times New Roman" w:eastAsia="Times New Roman" w:hint="default"/>
        </w:rPr>
        <w:t>358,175,850.00</w:t>
      </w:r>
      <w:r>
        <w:rPr/>
        <w:t>元。</w:t>
      </w:r>
    </w:p>
    <w:p>
      <w:pPr>
        <w:pStyle w:val="BodyText"/>
        <w:spacing w:line="240" w:lineRule="auto" w:before="13"/>
        <w:ind w:left="657" w:right="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日，经公司</w:t>
      </w:r>
      <w:r>
        <w:rPr>
          <w:rFonts w:ascii="Times New Roman" w:hAnsi="Times New Roman" w:cs="Times New Roman" w:eastAsia="Times New Roman" w:hint="default"/>
        </w:rPr>
        <w:t>2014</w:t>
      </w:r>
      <w:r>
        <w:rPr/>
        <w:t>年第五次临时股东大会审议通过的《江苏润和软件股份有限公司</w:t>
      </w:r>
      <w:r>
        <w:rPr>
          <w:rFonts w:ascii="Times New Roman" w:hAnsi="Times New Roman" w:cs="Times New Roman" w:eastAsia="Times New Roman" w:hint="default"/>
        </w:rPr>
        <w:t>2014</w:t>
      </w:r>
      <w:r>
        <w:rPr>
          <w:rFonts w:ascii="Times New Roman" w:hAnsi="Times New Roman" w:cs="Times New Roman" w:eastAsia="Times New Roman" w:hint="default"/>
          <w:spacing w:val="26"/>
        </w:rPr>
        <w:t> </w:t>
      </w:r>
      <w:r>
        <w:rPr/>
        <w:t>年限制性股票激励</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9" w:lineRule="auto" w:before="44"/>
        <w:ind w:right="1033"/>
        <w:jc w:val="left"/>
      </w:pPr>
      <w:r>
        <w:rPr/>
        <w:t>计划（草案修订稿）》、第四届董事会第三十九次会议决议和修改后的章程，公司对张峥、邓一波、强征、杨凡、韩孝阳、 </w:t>
      </w:r>
      <w:r>
        <w:rPr>
          <w:spacing w:val="-2"/>
        </w:rPr>
        <w:t>杨斌已获授但尚未解锁的限制性股票股本人民币</w:t>
      </w:r>
      <w:r>
        <w:rPr>
          <w:rFonts w:ascii="Times New Roman" w:hAnsi="Times New Roman" w:cs="Times New Roman" w:eastAsia="Times New Roman" w:hint="default"/>
          <w:spacing w:val="-2"/>
        </w:rPr>
        <w:t>74,500.00</w:t>
      </w:r>
      <w:r>
        <w:rPr>
          <w:spacing w:val="-2"/>
        </w:rPr>
        <w:t>元进行回购注销，申请减少注册资本及股本人民币</w:t>
      </w:r>
      <w:r>
        <w:rPr>
          <w:rFonts w:ascii="Times New Roman" w:hAnsi="Times New Roman" w:cs="Times New Roman" w:eastAsia="Times New Roman" w:hint="default"/>
          <w:spacing w:val="-2"/>
        </w:rPr>
        <w:t>74,500.00</w:t>
      </w:r>
      <w:r>
        <w:rPr>
          <w:spacing w:val="-2"/>
        </w:rPr>
        <w:t>元，变</w:t>
      </w:r>
      <w:r>
        <w:rPr>
          <w:spacing w:val="-50"/>
        </w:rPr>
        <w:t> </w:t>
      </w:r>
      <w:r>
        <w:rPr>
          <w:spacing w:val="-50"/>
        </w:rPr>
      </w:r>
      <w:r>
        <w:rPr/>
        <w:t>更后的注册资本及股本为人民币</w:t>
      </w:r>
      <w:r>
        <w:rPr>
          <w:rFonts w:ascii="Times New Roman" w:hAnsi="Times New Roman" w:cs="Times New Roman" w:eastAsia="Times New Roman" w:hint="default"/>
        </w:rPr>
        <w:t>358,101,350.00</w:t>
      </w:r>
      <w:r>
        <w:rPr/>
        <w:t>元。</w:t>
      </w:r>
    </w:p>
    <w:p>
      <w:pPr>
        <w:pStyle w:val="BodyText"/>
        <w:spacing w:line="309" w:lineRule="auto" w:before="5"/>
        <w:ind w:right="0" w:firstLine="504"/>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日，经公司</w:t>
      </w:r>
      <w:r>
        <w:rPr>
          <w:rFonts w:ascii="Times New Roman" w:hAnsi="Times New Roman" w:cs="Times New Roman" w:eastAsia="Times New Roman" w:hint="default"/>
        </w:rPr>
        <w:t>2014</w:t>
      </w:r>
      <w:r>
        <w:rPr/>
        <w:t>年第五次临时股东大会审议通过的《江苏润和软件股份有限公司</w:t>
      </w:r>
      <w:r>
        <w:rPr>
          <w:rFonts w:ascii="Times New Roman" w:hAnsi="Times New Roman" w:cs="Times New Roman" w:eastAsia="Times New Roman" w:hint="default"/>
        </w:rPr>
        <w:t>2014</w:t>
      </w:r>
      <w:r>
        <w:rPr>
          <w:rFonts w:ascii="Times New Roman" w:hAnsi="Times New Roman" w:cs="Times New Roman" w:eastAsia="Times New Roman" w:hint="default"/>
          <w:spacing w:val="27"/>
        </w:rPr>
        <w:t> </w:t>
      </w:r>
      <w:r>
        <w:rPr/>
        <w:t>年限制性股票激励 </w:t>
      </w:r>
      <w:r>
        <w:rPr>
          <w:spacing w:val="-2"/>
        </w:rPr>
        <w:t>计划（草案修订稿）》、第五届董事会第四次会议决议和修改后的章程，公司对钱罡、仇释、张凯、田勇、韩静、强征，孙</w:t>
      </w:r>
      <w:r>
        <w:rPr>
          <w:spacing w:val="-70"/>
        </w:rPr>
        <w:t> </w:t>
      </w:r>
      <w:r>
        <w:rPr>
          <w:spacing w:val="-70"/>
        </w:rPr>
      </w:r>
      <w:r>
        <w:rPr>
          <w:spacing w:val="-2"/>
        </w:rPr>
        <w:t>剑峰、顾凯、徐远、查维强、甘明春、孙国卿、陈磊、李华、秦智超、翁存中、徐仙仙、陈守章、孙月军已获授但尚未解锁</w:t>
      </w:r>
      <w:r>
        <w:rPr>
          <w:spacing w:val="-70"/>
        </w:rPr>
        <w:t> </w:t>
      </w:r>
      <w:r>
        <w:rPr>
          <w:spacing w:val="-70"/>
        </w:rPr>
      </w:r>
      <w:r>
        <w:rPr>
          <w:spacing w:val="-2"/>
        </w:rPr>
        <w:t>的限制性股票股本人民币</w:t>
      </w:r>
      <w:r>
        <w:rPr>
          <w:rFonts w:ascii="Times New Roman" w:hAnsi="Times New Roman" w:cs="Times New Roman" w:eastAsia="Times New Roman" w:hint="default"/>
          <w:spacing w:val="-2"/>
        </w:rPr>
        <w:t>249,500.00</w:t>
      </w:r>
      <w:r>
        <w:rPr>
          <w:spacing w:val="-2"/>
        </w:rPr>
        <w:t>元进行回购注销，申请减少注册资本及股本人民币</w:t>
      </w:r>
      <w:r>
        <w:rPr>
          <w:rFonts w:ascii="Times New Roman" w:hAnsi="Times New Roman" w:cs="Times New Roman" w:eastAsia="Times New Roman" w:hint="default"/>
          <w:spacing w:val="-2"/>
        </w:rPr>
        <w:t>249,500.00</w:t>
      </w:r>
      <w:r>
        <w:rPr>
          <w:spacing w:val="-2"/>
        </w:rPr>
        <w:t>元，变更后的注册资本及股</w:t>
      </w:r>
      <w:r>
        <w:rPr>
          <w:spacing w:val="-46"/>
        </w:rPr>
        <w:t> </w:t>
      </w:r>
      <w:r>
        <w:rPr>
          <w:spacing w:val="-46"/>
        </w:rPr>
      </w:r>
      <w:r>
        <w:rPr/>
        <w:t>本为人民币</w:t>
      </w:r>
      <w:r>
        <w:rPr>
          <w:rFonts w:ascii="Times New Roman" w:hAnsi="Times New Roman" w:cs="Times New Roman" w:eastAsia="Times New Roman" w:hint="default"/>
        </w:rPr>
        <w:t>357,851,850.00</w:t>
      </w:r>
      <w:r>
        <w:rPr/>
        <w:t>元。</w:t>
      </w:r>
    </w:p>
    <w:p>
      <w:pPr>
        <w:pStyle w:val="BodyText"/>
        <w:spacing w:line="307" w:lineRule="auto" w:before="5"/>
        <w:ind w:right="1134" w:firstLine="504"/>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日，经公司</w:t>
      </w:r>
      <w:r>
        <w:rPr>
          <w:rFonts w:ascii="Times New Roman" w:hAnsi="Times New Roman" w:cs="Times New Roman" w:eastAsia="Times New Roman" w:hint="default"/>
        </w:rPr>
        <w:t>2014</w:t>
      </w:r>
      <w:r>
        <w:rPr/>
        <w:t>年第五次临时股东大会审议通过的《江苏润和软件股份有限公司</w:t>
      </w:r>
      <w:r>
        <w:rPr>
          <w:rFonts w:ascii="Times New Roman" w:hAnsi="Times New Roman" w:cs="Times New Roman" w:eastAsia="Times New Roman" w:hint="default"/>
        </w:rPr>
        <w:t>2014</w:t>
      </w:r>
      <w:r>
        <w:rPr>
          <w:rFonts w:ascii="Times New Roman" w:hAnsi="Times New Roman" w:cs="Times New Roman" w:eastAsia="Times New Roman" w:hint="default"/>
          <w:spacing w:val="26"/>
        </w:rPr>
        <w:t> </w:t>
      </w:r>
      <w:r>
        <w:rPr/>
        <w:t>年限制性股票激励 </w:t>
      </w:r>
      <w:r>
        <w:rPr>
          <w:spacing w:val="-2"/>
        </w:rPr>
        <w:t>计划（草案修订稿）》、第五届董事会第四次会议决议和修改后的章程，公司对顾辰飞、胡良民、李玎、李剑、薛瑞、赵瑶</w:t>
      </w:r>
      <w:r>
        <w:rPr>
          <w:spacing w:val="-74"/>
        </w:rPr>
        <w:t> </w:t>
      </w:r>
      <w:r>
        <w:rPr>
          <w:spacing w:val="-74"/>
        </w:rPr>
      </w:r>
      <w:r>
        <w:rPr/>
        <w:t>彬、王慧、钱忠斌、陈业新、吴胜周、戴安宁已获授但尚未解锁的限制性股票股本人民币</w:t>
      </w:r>
      <w:r>
        <w:rPr>
          <w:rFonts w:ascii="Times New Roman" w:hAnsi="Times New Roman" w:cs="Times New Roman" w:eastAsia="Times New Roman" w:hint="default"/>
        </w:rPr>
        <w:t>118,500.00</w:t>
      </w:r>
      <w:r>
        <w:rPr/>
        <w:t>元进行回购注销，申请 减少注册资本及股本人民币</w:t>
      </w:r>
      <w:r>
        <w:rPr>
          <w:rFonts w:ascii="Times New Roman" w:hAnsi="Times New Roman" w:cs="Times New Roman" w:eastAsia="Times New Roman" w:hint="default"/>
        </w:rPr>
        <w:t>118,500.00</w:t>
      </w:r>
      <w:r>
        <w:rPr/>
        <w:t>元，变更后的注册资本及股本为人民币</w:t>
      </w:r>
      <w:r>
        <w:rPr>
          <w:rFonts w:ascii="Times New Roman" w:hAnsi="Times New Roman" w:cs="Times New Roman" w:eastAsia="Times New Roman" w:hint="default"/>
        </w:rPr>
        <w:t>357,733,350.00</w:t>
      </w:r>
      <w:r>
        <w:rPr/>
        <w:t>元。</w:t>
      </w:r>
    </w:p>
    <w:p>
      <w:pPr>
        <w:pStyle w:val="BodyText"/>
        <w:spacing w:line="300" w:lineRule="auto" w:before="7"/>
        <w:ind w:right="1127" w:firstLine="504"/>
        <w:jc w:val="left"/>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w:t>
      </w:r>
      <w:r>
        <w:rPr>
          <w:spacing w:val="-1"/>
        </w:rPr>
        <w:t>日，根据公司</w:t>
      </w:r>
      <w:r>
        <w:rPr>
          <w:rFonts w:ascii="Times New Roman" w:hAnsi="Times New Roman" w:cs="Times New Roman" w:eastAsia="Times New Roman" w:hint="default"/>
          <w:spacing w:val="-1"/>
        </w:rPr>
        <w:t>2016</w:t>
      </w:r>
      <w:r>
        <w:rPr>
          <w:spacing w:val="-1"/>
        </w:rPr>
        <w:t>年度股东大会决议和修改后章程的规定，公司以资本公积金每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股，变更后注</w:t>
      </w:r>
      <w:r>
        <w:rPr/>
        <w:t> 册资本为</w:t>
      </w:r>
      <w:r>
        <w:rPr>
          <w:rFonts w:ascii="Times New Roman" w:hAnsi="Times New Roman" w:cs="Times New Roman" w:eastAsia="Times New Roman" w:hint="default"/>
        </w:rPr>
        <w:t>715,466,700.00</w:t>
      </w:r>
      <w:r>
        <w:rPr/>
        <w:t>元。</w:t>
      </w:r>
    </w:p>
    <w:p>
      <w:pPr>
        <w:pStyle w:val="BodyText"/>
        <w:spacing w:line="300" w:lineRule="auto" w:before="13"/>
        <w:ind w:right="1121" w:firstLine="504"/>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日，根据公司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日召开的</w:t>
      </w:r>
      <w:r>
        <w:rPr>
          <w:rFonts w:ascii="Times New Roman" w:hAnsi="Times New Roman" w:cs="Times New Roman" w:eastAsia="Times New Roman" w:hint="default"/>
        </w:rPr>
        <w:t>2016</w:t>
      </w:r>
      <w:r>
        <w:rPr/>
        <w:t>年第三次临时股东大会审议通过的《关于公司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年度非公开 发行 </w:t>
      </w:r>
      <w:r>
        <w:rPr>
          <w:rFonts w:ascii="Times New Roman" w:hAnsi="Times New Roman" w:cs="Times New Roman" w:eastAsia="Times New Roman" w:hint="default"/>
        </w:rPr>
        <w:t>A</w:t>
      </w:r>
      <w:r>
        <w:rPr>
          <w:rFonts w:ascii="Times New Roman" w:hAnsi="Times New Roman" w:cs="Times New Roman" w:eastAsia="Times New Roman" w:hint="default"/>
          <w:spacing w:val="7"/>
        </w:rPr>
        <w:t> </w:t>
      </w:r>
      <w:r>
        <w:rPr/>
        <w:t>股股票方案的议案》和修改后的公司章程，并经中国证券监督管理委员会《关于核准江苏润和软件股份有限公司非 </w:t>
      </w:r>
      <w:r>
        <w:rPr>
          <w:spacing w:val="-1"/>
        </w:rPr>
        <w:t>公开发行股票的批复》（证监许可</w:t>
      </w:r>
      <w:r>
        <w:rPr>
          <w:rFonts w:ascii="Times New Roman" w:hAnsi="Times New Roman" w:cs="Times New Roman" w:eastAsia="Times New Roman" w:hint="default"/>
          <w:spacing w:val="-1"/>
        </w:rPr>
        <w:t>[2017]1213</w:t>
      </w:r>
      <w:r>
        <w:rPr>
          <w:spacing w:val="-1"/>
        </w:rPr>
        <w:t>号文）的核准，公司向特定投资者泰达宏利基金管理有限公司、浙江浙商产融</w:t>
      </w:r>
      <w:r>
        <w:rPr>
          <w:spacing w:val="-60"/>
        </w:rPr>
        <w:t> </w:t>
      </w:r>
      <w:r>
        <w:rPr>
          <w:spacing w:val="-60"/>
        </w:rPr>
      </w:r>
      <w:r>
        <w:rPr/>
        <w:t>控股有限公司、财通基金管理有限公司、申万宏源证券有限公司发行人民币普通股股票</w:t>
      </w:r>
      <w:r>
        <w:rPr>
          <w:rFonts w:ascii="Times New Roman" w:hAnsi="Times New Roman" w:cs="Times New Roman" w:eastAsia="Times New Roman" w:hint="default"/>
        </w:rPr>
        <w:t>81,326,141</w:t>
      </w:r>
      <w:r>
        <w:rPr/>
        <w:t>股，增加注册资本 </w:t>
      </w:r>
      <w:r>
        <w:rPr>
          <w:rFonts w:ascii="Times New Roman" w:hAnsi="Times New Roman" w:cs="Times New Roman" w:eastAsia="Times New Roman" w:hint="default"/>
        </w:rPr>
        <w:t>81,326,141.00</w:t>
      </w:r>
      <w:r>
        <w:rPr/>
        <w:t>元，变更后的注册资本为人民币</w:t>
      </w:r>
      <w:r>
        <w:rPr>
          <w:rFonts w:ascii="Times New Roman" w:hAnsi="Times New Roman" w:cs="Times New Roman" w:eastAsia="Times New Roman" w:hint="default"/>
        </w:rPr>
        <w:t>796,792,841.00</w:t>
      </w:r>
      <w:r>
        <w:rPr/>
        <w:t>元。</w:t>
      </w:r>
    </w:p>
    <w:p>
      <w:pPr>
        <w:pStyle w:val="BodyText"/>
        <w:spacing w:line="309" w:lineRule="auto" w:before="13"/>
        <w:ind w:right="1033" w:firstLine="504"/>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日，经公司</w:t>
      </w:r>
      <w:r>
        <w:rPr>
          <w:rFonts w:ascii="Times New Roman" w:hAnsi="Times New Roman" w:cs="Times New Roman" w:eastAsia="Times New Roman" w:hint="default"/>
        </w:rPr>
        <w:t>2014</w:t>
      </w:r>
      <w:r>
        <w:rPr/>
        <w:t>年第五次临时股东大会审议通过的《江苏润和软件股份有限公司</w:t>
      </w:r>
      <w:r>
        <w:rPr>
          <w:rFonts w:ascii="Times New Roman" w:hAnsi="Times New Roman" w:cs="Times New Roman" w:eastAsia="Times New Roman" w:hint="default"/>
        </w:rPr>
        <w:t>2014</w:t>
      </w:r>
      <w:r>
        <w:rPr>
          <w:rFonts w:ascii="Times New Roman" w:hAnsi="Times New Roman" w:cs="Times New Roman" w:eastAsia="Times New Roman" w:hint="default"/>
          <w:spacing w:val="27"/>
        </w:rPr>
        <w:t> </w:t>
      </w:r>
      <w:r>
        <w:rPr/>
        <w:t>年限制性股票激励 计划（草案修订稿）》、第五届董事会第二十八次会议决议和修改后的章程，公司对周磊、周蛟、郑蓓、赵振平、张玉峰、 </w:t>
      </w:r>
      <w:r>
        <w:rPr>
          <w:spacing w:val="-2"/>
        </w:rPr>
        <w:t>许波、徐苏君、徐珩、吴烨、魏榕祠、王宇、王天、汤鹏川、孙嘉琛、苏南、沈欣慧、秦伟娜、牟际生、莫华军、刘珏、刘</w:t>
      </w:r>
      <w:r>
        <w:rPr>
          <w:spacing w:val="-69"/>
        </w:rPr>
        <w:t> </w:t>
      </w:r>
      <w:r>
        <w:rPr>
          <w:spacing w:val="-69"/>
        </w:rPr>
      </w:r>
      <w:r>
        <w:rPr/>
        <w:t>恩道、李治勇、雷彤、蒋昕、果鹏、邓茜、陈钟鹏、陈希、蔡雷鸣已获授但尚未解锁的限制性股票股本人民币</w:t>
      </w:r>
      <w:r>
        <w:rPr>
          <w:rFonts w:ascii="Times New Roman" w:hAnsi="Times New Roman" w:cs="Times New Roman" w:eastAsia="Times New Roman" w:hint="default"/>
        </w:rPr>
        <w:t>382,000.00</w:t>
      </w:r>
      <w:r>
        <w:rPr/>
        <w:t>元 进行回购注销，申请减少注册资本及股本人民币</w:t>
      </w:r>
      <w:r>
        <w:rPr>
          <w:rFonts w:ascii="Times New Roman" w:hAnsi="Times New Roman" w:cs="Times New Roman" w:eastAsia="Times New Roman" w:hint="default"/>
        </w:rPr>
        <w:t>382,000.00</w:t>
      </w:r>
      <w:r>
        <w:rPr/>
        <w:t>元，变更后的注册资本及股本为人民币</w:t>
      </w:r>
      <w:r>
        <w:rPr>
          <w:rFonts w:ascii="Times New Roman" w:hAnsi="Times New Roman" w:cs="Times New Roman" w:eastAsia="Times New Roman" w:hint="default"/>
        </w:rPr>
        <w:t>796,410,841.00</w:t>
      </w:r>
      <w:r>
        <w:rPr/>
        <w:t>元。</w:t>
      </w:r>
    </w:p>
    <w:p>
      <w:pPr>
        <w:pStyle w:val="BodyText"/>
        <w:spacing w:line="316" w:lineRule="auto" w:before="5"/>
        <w:ind w:right="1133" w:firstLine="504"/>
        <w:jc w:val="both"/>
      </w:pPr>
      <w:r>
        <w:rPr>
          <w:spacing w:val="-1"/>
        </w:rPr>
        <w:t>公司的经营范围：计算机软、硬件的研发，相关产品的销售以及售后综合技术服务；自营和代理各类商品及技术的进</w:t>
      </w:r>
      <w:r>
        <w:rPr/>
        <w:t> </w:t>
      </w:r>
      <w:r>
        <w:rPr>
          <w:spacing w:val="-2"/>
        </w:rPr>
        <w:t>出口业务；计算机网络系统集成，楼宇智能化系统工程的设计、施工、安装；通信终端设备制造；工业自动控制系统装置制</w:t>
      </w:r>
      <w:r>
        <w:rPr>
          <w:spacing w:val="-70"/>
        </w:rPr>
        <w:t> </w:t>
      </w:r>
      <w:r>
        <w:rPr>
          <w:spacing w:val="-70"/>
        </w:rPr>
      </w:r>
      <w:r>
        <w:rPr/>
        <w:t>造。网络文化经营（按许可证所列范围经营）。（依法须经批准的项目，经相关部门批准后方可开展经营活动）</w:t>
      </w:r>
    </w:p>
    <w:p>
      <w:pPr>
        <w:pStyle w:val="BodyText"/>
        <w:spacing w:line="300" w:lineRule="auto" w:before="19"/>
        <w:ind w:left="657" w:right="3499"/>
        <w:jc w:val="left"/>
      </w:pPr>
      <w:r>
        <w:rPr/>
        <w:t>公司的经营地址：南京市雨花台区软件大道</w:t>
      </w:r>
      <w:r>
        <w:rPr>
          <w:rFonts w:ascii="Times New Roman" w:hAnsi="Times New Roman" w:cs="Times New Roman" w:eastAsia="Times New Roman" w:hint="default"/>
        </w:rPr>
        <w:t>168</w:t>
      </w:r>
      <w:r>
        <w:rPr/>
        <w:t>号。法定代表人：周红卫。 财务报告批准报出日：本财务报表业经本公司董事会于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日决议批准报出。 </w:t>
      </w:r>
      <w:r>
        <w:rPr>
          <w:rFonts w:ascii="Times New Roman" w:hAnsi="Times New Roman" w:cs="Times New Roman" w:eastAsia="Times New Roman" w:hint="default"/>
        </w:rPr>
        <w:t>2</w:t>
      </w:r>
      <w:r>
        <w:rPr/>
        <w:t>．合并财务报表范围</w:t>
      </w:r>
    </w:p>
    <w:p>
      <w:pPr>
        <w:pStyle w:val="BodyText"/>
        <w:spacing w:line="240" w:lineRule="auto" w:before="13"/>
        <w:ind w:left="657" w:right="0"/>
        <w:jc w:val="left"/>
      </w:pPr>
      <w:r>
        <w:rPr/>
        <w:t>（</w:t>
      </w:r>
      <w:r>
        <w:rPr>
          <w:rFonts w:ascii="Times New Roman" w:hAnsi="Times New Roman" w:cs="Times New Roman" w:eastAsia="Times New Roman" w:hint="default"/>
        </w:rPr>
        <w:t>1</w:t>
      </w:r>
      <w:r>
        <w:rPr/>
        <w:t>）本公司本期纳入合并范围的子公司</w:t>
      </w:r>
    </w:p>
    <w:p>
      <w:pPr>
        <w:spacing w:line="240" w:lineRule="auto" w:before="2"/>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859"/>
        <w:gridCol w:w="4146"/>
        <w:gridCol w:w="1861"/>
        <w:gridCol w:w="1001"/>
        <w:gridCol w:w="992"/>
      </w:tblGrid>
      <w:tr>
        <w:trPr>
          <w:trHeight w:val="350" w:hRule="exact"/>
        </w:trPr>
        <w:tc>
          <w:tcPr>
            <w:tcW w:w="859" w:type="dxa"/>
            <w:vMerge w:val="restart"/>
            <w:tcBorders>
              <w:top w:val="single" w:sz="6" w:space="0" w:color="000000"/>
              <w:left w:val="single" w:sz="6" w:space="0" w:color="000000"/>
              <w:right w:val="single" w:sz="6" w:space="0" w:color="000000"/>
            </w:tcBorders>
          </w:tcPr>
          <w:p>
            <w:pPr>
              <w:pStyle w:val="TableParagraph"/>
              <w:spacing w:line="272" w:lineRule="exact"/>
              <w:ind w:left="213"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4146" w:type="dxa"/>
            <w:vMerge w:val="restart"/>
            <w:tcBorders>
              <w:top w:val="single" w:sz="6" w:space="0" w:color="000000"/>
              <w:left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1861" w:type="dxa"/>
            <w:vMerge w:val="restart"/>
            <w:tcBorders>
              <w:top w:val="single" w:sz="6" w:space="0" w:color="000000"/>
              <w:left w:val="single" w:sz="6" w:space="0" w:color="000000"/>
              <w:right w:val="single" w:sz="6" w:space="0" w:color="000000"/>
            </w:tcBorders>
          </w:tcPr>
          <w:p>
            <w:pPr>
              <w:pStyle w:val="TableParagraph"/>
              <w:spacing w:line="272" w:lineRule="exact"/>
              <w:ind w:left="398" w:right="0"/>
              <w:jc w:val="left"/>
              <w:rPr>
                <w:rFonts w:ascii="宋体" w:hAnsi="宋体" w:cs="宋体" w:eastAsia="宋体" w:hint="default"/>
                <w:sz w:val="21"/>
                <w:szCs w:val="21"/>
              </w:rPr>
            </w:pPr>
            <w:r>
              <w:rPr>
                <w:rFonts w:ascii="宋体" w:hAnsi="宋体" w:cs="宋体" w:eastAsia="宋体" w:hint="default"/>
                <w:sz w:val="21"/>
                <w:szCs w:val="21"/>
              </w:rPr>
              <w:t>子公司简称</w:t>
            </w:r>
          </w:p>
        </w:tc>
        <w:tc>
          <w:tcPr>
            <w:tcW w:w="1992" w:type="dxa"/>
            <w:gridSpan w:val="2"/>
            <w:tcBorders>
              <w:top w:val="single" w:sz="6" w:space="0" w:color="000000"/>
              <w:left w:val="single" w:sz="6" w:space="0" w:color="000000"/>
              <w:bottom w:val="single" w:sz="8" w:space="0" w:color="000000"/>
              <w:right w:val="nil" w:sz="6" w:space="0" w:color="auto"/>
            </w:tcBorders>
          </w:tcPr>
          <w:p>
            <w:pPr>
              <w:pStyle w:val="TableParagraph"/>
              <w:spacing w:line="288" w:lineRule="exact"/>
              <w:ind w:left="48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p>
        </w:tc>
      </w:tr>
      <w:tr>
        <w:trPr>
          <w:trHeight w:val="346" w:hRule="exact"/>
        </w:trPr>
        <w:tc>
          <w:tcPr>
            <w:tcW w:w="859" w:type="dxa"/>
            <w:vMerge/>
            <w:tcBorders>
              <w:left w:val="single" w:sz="6" w:space="0" w:color="000000"/>
              <w:bottom w:val="single" w:sz="8" w:space="0" w:color="000000"/>
              <w:right w:val="single" w:sz="6" w:space="0" w:color="000000"/>
            </w:tcBorders>
          </w:tcPr>
          <w:p>
            <w:pPr/>
          </w:p>
        </w:tc>
        <w:tc>
          <w:tcPr>
            <w:tcW w:w="4146" w:type="dxa"/>
            <w:vMerge/>
            <w:tcBorders>
              <w:left w:val="single" w:sz="6" w:space="0" w:color="000000"/>
              <w:bottom w:val="single" w:sz="8" w:space="0" w:color="000000"/>
              <w:right w:val="single" w:sz="6" w:space="0" w:color="000000"/>
            </w:tcBorders>
          </w:tcPr>
          <w:p>
            <w:pPr/>
          </w:p>
        </w:tc>
        <w:tc>
          <w:tcPr>
            <w:tcW w:w="1861" w:type="dxa"/>
            <w:vMerge/>
            <w:tcBorders>
              <w:left w:val="single" w:sz="6" w:space="0" w:color="000000"/>
              <w:bottom w:val="single" w:sz="8" w:space="0" w:color="000000"/>
              <w:right w:val="single" w:sz="6" w:space="0" w:color="000000"/>
            </w:tcBorders>
          </w:tcPr>
          <w:p>
            <w:pPr/>
          </w:p>
        </w:tc>
        <w:tc>
          <w:tcPr>
            <w:tcW w:w="100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992" w:type="dxa"/>
            <w:tcBorders>
              <w:top w:val="single" w:sz="8" w:space="0" w:color="000000"/>
              <w:left w:val="single" w:sz="6" w:space="0" w:color="000000"/>
              <w:bottom w:val="single" w:sz="8" w:space="0" w:color="000000"/>
              <w:right w:val="nil" w:sz="6" w:space="0" w:color="auto"/>
            </w:tcBorders>
          </w:tcPr>
          <w:p>
            <w:pPr>
              <w:pStyle w:val="TableParagraph"/>
              <w:spacing w:line="267" w:lineRule="exact"/>
              <w:ind w:right="3"/>
              <w:jc w:val="center"/>
              <w:rPr>
                <w:rFonts w:ascii="宋体" w:hAnsi="宋体" w:cs="宋体" w:eastAsia="宋体" w:hint="default"/>
                <w:sz w:val="21"/>
                <w:szCs w:val="21"/>
              </w:rPr>
            </w:pPr>
            <w:r>
              <w:rPr>
                <w:rFonts w:ascii="宋体" w:hAnsi="宋体" w:cs="宋体" w:eastAsia="宋体" w:hint="default"/>
                <w:sz w:val="21"/>
                <w:szCs w:val="21"/>
              </w:rPr>
              <w:t>间接</w:t>
            </w:r>
          </w:p>
        </w:tc>
      </w:tr>
      <w:tr>
        <w:trPr>
          <w:trHeight w:val="349" w:hRule="exact"/>
        </w:trPr>
        <w:tc>
          <w:tcPr>
            <w:tcW w:w="8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2"/>
              <w:ind w:left="4" w:right="0"/>
              <w:jc w:val="center"/>
              <w:rPr>
                <w:rFonts w:ascii="Times New Roman" w:hAnsi="Times New Roman" w:cs="Times New Roman" w:eastAsia="Times New Roman" w:hint="default"/>
                <w:sz w:val="21"/>
                <w:szCs w:val="21"/>
              </w:rPr>
            </w:pPr>
            <w:r>
              <w:rPr>
                <w:rFonts w:ascii="Times New Roman"/>
                <w:w w:val="100"/>
                <w:sz w:val="21"/>
              </w:rPr>
              <w:t>1</w:t>
            </w:r>
          </w:p>
        </w:tc>
        <w:tc>
          <w:tcPr>
            <w:tcW w:w="4146"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江苏润和南京软件外包园投资有限公司</w:t>
            </w:r>
          </w:p>
        </w:tc>
        <w:tc>
          <w:tcPr>
            <w:tcW w:w="186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外包园公司</w:t>
            </w:r>
          </w:p>
        </w:tc>
        <w:tc>
          <w:tcPr>
            <w:tcW w:w="10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2"/>
              <w:ind w:left="2" w:right="0"/>
              <w:jc w:val="center"/>
              <w:rPr>
                <w:rFonts w:ascii="Times New Roman" w:hAnsi="Times New Roman" w:cs="Times New Roman" w:eastAsia="Times New Roman" w:hint="default"/>
                <w:sz w:val="21"/>
                <w:szCs w:val="21"/>
              </w:rPr>
            </w:pPr>
            <w:r>
              <w:rPr>
                <w:rFonts w:ascii="Times New Roman"/>
                <w:sz w:val="21"/>
              </w:rPr>
              <w:t>100</w:t>
            </w:r>
          </w:p>
        </w:tc>
        <w:tc>
          <w:tcPr>
            <w:tcW w:w="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2"/>
              <w:ind w:right="8"/>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8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1-1</w:t>
            </w:r>
          </w:p>
        </w:tc>
        <w:tc>
          <w:tcPr>
            <w:tcW w:w="4146"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江苏软信和熙信息科技有限公司</w:t>
            </w:r>
          </w:p>
        </w:tc>
        <w:tc>
          <w:tcPr>
            <w:tcW w:w="186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软信和熙</w:t>
            </w:r>
          </w:p>
        </w:tc>
        <w:tc>
          <w:tcPr>
            <w:tcW w:w="10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center"/>
              <w:rPr>
                <w:rFonts w:ascii="Times New Roman" w:hAnsi="Times New Roman" w:cs="Times New Roman" w:eastAsia="Times New Roman" w:hint="default"/>
                <w:sz w:val="21"/>
                <w:szCs w:val="21"/>
              </w:rPr>
            </w:pPr>
            <w:r>
              <w:rPr>
                <w:rFonts w:ascii="Times New Roman"/>
                <w:sz w:val="21"/>
              </w:rPr>
              <w:t>100</w:t>
            </w:r>
          </w:p>
        </w:tc>
      </w:tr>
      <w:tr>
        <w:trPr>
          <w:trHeight w:val="348" w:hRule="exact"/>
        </w:trPr>
        <w:tc>
          <w:tcPr>
            <w:tcW w:w="8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4" w:right="0"/>
              <w:jc w:val="center"/>
              <w:rPr>
                <w:rFonts w:ascii="Times New Roman" w:hAnsi="Times New Roman" w:cs="Times New Roman" w:eastAsia="Times New Roman" w:hint="default"/>
                <w:sz w:val="21"/>
                <w:szCs w:val="21"/>
              </w:rPr>
            </w:pPr>
            <w:r>
              <w:rPr>
                <w:rFonts w:ascii="Times New Roman"/>
                <w:w w:val="100"/>
                <w:sz w:val="21"/>
              </w:rPr>
              <w:t>2</w:t>
            </w:r>
          </w:p>
        </w:tc>
        <w:tc>
          <w:tcPr>
            <w:tcW w:w="4146"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西安润和软件信息技术有限公司</w:t>
            </w:r>
          </w:p>
        </w:tc>
        <w:tc>
          <w:tcPr>
            <w:tcW w:w="186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西安润和</w:t>
            </w:r>
          </w:p>
        </w:tc>
        <w:tc>
          <w:tcPr>
            <w:tcW w:w="10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sz w:val="21"/>
              </w:rPr>
              <w:t>100</w:t>
            </w:r>
          </w:p>
        </w:tc>
        <w:tc>
          <w:tcPr>
            <w:tcW w:w="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8"/>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8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w w:val="100"/>
                <w:sz w:val="21"/>
              </w:rPr>
              <w:t>3</w:t>
            </w:r>
          </w:p>
        </w:tc>
        <w:tc>
          <w:tcPr>
            <w:tcW w:w="4146"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北京润和汇智信息技术有限公司</w:t>
            </w:r>
          </w:p>
        </w:tc>
        <w:tc>
          <w:tcPr>
            <w:tcW w:w="186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北京润和</w:t>
            </w:r>
          </w:p>
        </w:tc>
        <w:tc>
          <w:tcPr>
            <w:tcW w:w="10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2" w:right="0"/>
              <w:jc w:val="center"/>
              <w:rPr>
                <w:rFonts w:ascii="Times New Roman" w:hAnsi="Times New Roman" w:cs="Times New Roman" w:eastAsia="Times New Roman" w:hint="default"/>
                <w:sz w:val="21"/>
                <w:szCs w:val="21"/>
              </w:rPr>
            </w:pPr>
            <w:r>
              <w:rPr>
                <w:rFonts w:ascii="Times New Roman"/>
                <w:sz w:val="21"/>
              </w:rPr>
              <w:t>100</w:t>
            </w:r>
          </w:p>
        </w:tc>
        <w:tc>
          <w:tcPr>
            <w:tcW w:w="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8"/>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8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3-1</w:t>
            </w:r>
          </w:p>
        </w:tc>
        <w:tc>
          <w:tcPr>
            <w:tcW w:w="4146"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深圳润和汇智信息技术有限公司</w:t>
            </w:r>
          </w:p>
        </w:tc>
        <w:tc>
          <w:tcPr>
            <w:tcW w:w="186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深圳润和汇智</w:t>
            </w:r>
          </w:p>
        </w:tc>
        <w:tc>
          <w:tcPr>
            <w:tcW w:w="10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3"/>
              <w:jc w:val="center"/>
              <w:rPr>
                <w:rFonts w:ascii="Times New Roman" w:hAnsi="Times New Roman" w:cs="Times New Roman" w:eastAsia="Times New Roman" w:hint="default"/>
                <w:sz w:val="21"/>
                <w:szCs w:val="21"/>
              </w:rPr>
            </w:pPr>
            <w:r>
              <w:rPr>
                <w:rFonts w:ascii="Times New Roman"/>
                <w:sz w:val="21"/>
              </w:rPr>
              <w:t>100</w:t>
            </w:r>
          </w:p>
        </w:tc>
      </w:tr>
      <w:tr>
        <w:trPr>
          <w:trHeight w:val="348" w:hRule="exact"/>
        </w:trPr>
        <w:tc>
          <w:tcPr>
            <w:tcW w:w="8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w w:val="100"/>
                <w:sz w:val="21"/>
              </w:rPr>
              <w:t>4</w:t>
            </w:r>
          </w:p>
        </w:tc>
        <w:tc>
          <w:tcPr>
            <w:tcW w:w="4146"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上海润和信息技术服务有限公司</w:t>
            </w:r>
          </w:p>
        </w:tc>
        <w:tc>
          <w:tcPr>
            <w:tcW w:w="186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上海润和</w:t>
            </w:r>
          </w:p>
        </w:tc>
        <w:tc>
          <w:tcPr>
            <w:tcW w:w="10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2" w:right="0"/>
              <w:jc w:val="center"/>
              <w:rPr>
                <w:rFonts w:ascii="Times New Roman" w:hAnsi="Times New Roman" w:cs="Times New Roman" w:eastAsia="Times New Roman" w:hint="default"/>
                <w:sz w:val="21"/>
                <w:szCs w:val="21"/>
              </w:rPr>
            </w:pPr>
            <w:r>
              <w:rPr>
                <w:rFonts w:ascii="Times New Roman"/>
                <w:sz w:val="21"/>
              </w:rPr>
              <w:t>100</w:t>
            </w:r>
          </w:p>
        </w:tc>
        <w:tc>
          <w:tcPr>
            <w:tcW w:w="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8"/>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8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w w:val="100"/>
                <w:sz w:val="21"/>
              </w:rPr>
              <w:t>5</w:t>
            </w:r>
          </w:p>
        </w:tc>
        <w:tc>
          <w:tcPr>
            <w:tcW w:w="4146" w:type="dxa"/>
            <w:tcBorders>
              <w:top w:val="single" w:sz="8" w:space="0" w:color="000000"/>
              <w:left w:val="single" w:sz="6" w:space="0" w:color="000000"/>
              <w:bottom w:val="single" w:sz="8" w:space="0" w:color="000000"/>
              <w:right w:val="single" w:sz="6" w:space="0" w:color="000000"/>
            </w:tcBorders>
          </w:tcPr>
          <w:p>
            <w:pPr>
              <w:pStyle w:val="TableParagraph"/>
              <w:spacing w:line="283"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株式会社ホープラン東京</w:t>
            </w:r>
            <w:r>
              <w:rPr>
                <w:rFonts w:ascii="宋体" w:hAnsi="宋体" w:cs="宋体" w:eastAsia="宋体" w:hint="default"/>
                <w:spacing w:val="-21"/>
                <w:sz w:val="21"/>
                <w:szCs w:val="21"/>
              </w:rPr>
              <w:t> </w:t>
            </w:r>
            <w:r>
              <w:rPr>
                <w:rFonts w:ascii="宋体" w:hAnsi="宋体" w:cs="宋体" w:eastAsia="宋体" w:hint="default"/>
                <w:sz w:val="21"/>
                <w:szCs w:val="21"/>
              </w:rPr>
              <w:t>注</w:t>
            </w:r>
            <w:r>
              <w:rPr>
                <w:rFonts w:ascii="Times New Roman" w:hAnsi="Times New Roman" w:cs="Times New Roman" w:eastAsia="Times New Roman" w:hint="default"/>
                <w:sz w:val="21"/>
                <w:szCs w:val="21"/>
              </w:rPr>
              <w:t>1</w:t>
            </w:r>
          </w:p>
        </w:tc>
        <w:tc>
          <w:tcPr>
            <w:tcW w:w="186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东京润和</w:t>
            </w:r>
          </w:p>
        </w:tc>
        <w:tc>
          <w:tcPr>
            <w:tcW w:w="10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2" w:right="0"/>
              <w:jc w:val="center"/>
              <w:rPr>
                <w:rFonts w:ascii="Times New Roman" w:hAnsi="Times New Roman" w:cs="Times New Roman" w:eastAsia="Times New Roman" w:hint="default"/>
                <w:sz w:val="21"/>
                <w:szCs w:val="21"/>
              </w:rPr>
            </w:pPr>
            <w:r>
              <w:rPr>
                <w:rFonts w:ascii="Times New Roman"/>
                <w:sz w:val="21"/>
              </w:rPr>
              <w:t>91.67</w:t>
            </w:r>
          </w:p>
        </w:tc>
        <w:tc>
          <w:tcPr>
            <w:tcW w:w="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8"/>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660" w:hRule="exact"/>
        </w:trPr>
        <w:tc>
          <w:tcPr>
            <w:tcW w:w="8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5-1</w:t>
            </w:r>
          </w:p>
        </w:tc>
        <w:tc>
          <w:tcPr>
            <w:tcW w:w="4146" w:type="dxa"/>
            <w:tcBorders>
              <w:top w:val="single" w:sz="8" w:space="0" w:color="000000"/>
              <w:left w:val="single" w:sz="6" w:space="0" w:color="000000"/>
              <w:bottom w:val="single" w:sz="8" w:space="0" w:color="000000"/>
              <w:right w:val="single" w:sz="6" w:space="0" w:color="000000"/>
            </w:tcBorders>
          </w:tcPr>
          <w:p>
            <w:pPr>
              <w:pStyle w:val="TableParagraph"/>
              <w:spacing w:line="264" w:lineRule="auto" w:before="41"/>
              <w:ind w:left="4" w:right="1"/>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HOPERUN SOFTWARE SINGAPORE</w:t>
            </w:r>
            <w:r>
              <w:rPr>
                <w:rFonts w:ascii="Times New Roman" w:hAnsi="Times New Roman" w:cs="Times New Roman" w:eastAsia="Times New Roman" w:hint="default"/>
                <w:spacing w:val="19"/>
                <w:sz w:val="21"/>
                <w:szCs w:val="21"/>
              </w:rPr>
              <w:t> </w:t>
            </w:r>
            <w:r>
              <w:rPr>
                <w:rFonts w:ascii="Times New Roman" w:hAnsi="Times New Roman" w:cs="Times New Roman" w:eastAsia="Times New Roman" w:hint="default"/>
                <w:sz w:val="21"/>
                <w:szCs w:val="21"/>
              </w:rPr>
              <w:t>PTE.</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z w:val="21"/>
                <w:szCs w:val="21"/>
              </w:rPr>
              <w:t>LTD.</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注</w:t>
            </w:r>
            <w:r>
              <w:rPr>
                <w:rFonts w:ascii="Times New Roman" w:hAnsi="Times New Roman" w:cs="Times New Roman" w:eastAsia="Times New Roman" w:hint="default"/>
                <w:sz w:val="21"/>
                <w:szCs w:val="21"/>
              </w:rPr>
              <w:t>2</w:t>
            </w:r>
          </w:p>
        </w:tc>
        <w:tc>
          <w:tcPr>
            <w:tcW w:w="186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新加坡润和</w:t>
            </w:r>
          </w:p>
        </w:tc>
        <w:tc>
          <w:tcPr>
            <w:tcW w:w="10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8"/>
              <w:jc w:val="center"/>
              <w:rPr>
                <w:rFonts w:ascii="Times New Roman" w:hAnsi="Times New Roman" w:cs="Times New Roman" w:eastAsia="Times New Roman" w:hint="default"/>
                <w:sz w:val="21"/>
                <w:szCs w:val="21"/>
              </w:rPr>
            </w:pPr>
            <w:r>
              <w:rPr>
                <w:rFonts w:ascii="Times New Roman"/>
                <w:sz w:val="21"/>
              </w:rPr>
              <w:t>70</w:t>
            </w:r>
          </w:p>
        </w:tc>
      </w:tr>
      <w:tr>
        <w:trPr>
          <w:trHeight w:val="348" w:hRule="exact"/>
        </w:trPr>
        <w:tc>
          <w:tcPr>
            <w:tcW w:w="8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w w:val="100"/>
                <w:sz w:val="21"/>
              </w:rPr>
              <w:t>6</w:t>
            </w:r>
          </w:p>
        </w:tc>
        <w:tc>
          <w:tcPr>
            <w:tcW w:w="41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1"/>
                <w:szCs w:val="21"/>
              </w:rPr>
            </w:pPr>
            <w:r>
              <w:rPr>
                <w:rFonts w:ascii="Times New Roman"/>
                <w:sz w:val="21"/>
              </w:rPr>
              <w:t>HopeRun Technology Co.,</w:t>
            </w:r>
            <w:r>
              <w:rPr>
                <w:rFonts w:ascii="Times New Roman"/>
                <w:spacing w:val="-9"/>
                <w:sz w:val="21"/>
              </w:rPr>
              <w:t> </w:t>
            </w:r>
            <w:r>
              <w:rPr>
                <w:rFonts w:ascii="Times New Roman"/>
                <w:sz w:val="21"/>
              </w:rPr>
              <w:t>Ltd.</w:t>
            </w:r>
          </w:p>
        </w:tc>
        <w:tc>
          <w:tcPr>
            <w:tcW w:w="186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波士顿润和</w:t>
            </w:r>
          </w:p>
        </w:tc>
        <w:tc>
          <w:tcPr>
            <w:tcW w:w="10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2" w:right="0"/>
              <w:jc w:val="center"/>
              <w:rPr>
                <w:rFonts w:ascii="Times New Roman" w:hAnsi="Times New Roman" w:cs="Times New Roman" w:eastAsia="Times New Roman" w:hint="default"/>
                <w:sz w:val="21"/>
                <w:szCs w:val="21"/>
              </w:rPr>
            </w:pPr>
            <w:r>
              <w:rPr>
                <w:rFonts w:ascii="Times New Roman"/>
                <w:sz w:val="21"/>
              </w:rPr>
              <w:t>100</w:t>
            </w:r>
          </w:p>
        </w:tc>
        <w:tc>
          <w:tcPr>
            <w:tcW w:w="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8"/>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859"/>
        <w:gridCol w:w="4146"/>
        <w:gridCol w:w="1861"/>
        <w:gridCol w:w="1001"/>
        <w:gridCol w:w="992"/>
      </w:tblGrid>
      <w:tr>
        <w:trPr>
          <w:trHeight w:val="351" w:hRule="exact"/>
        </w:trPr>
        <w:tc>
          <w:tcPr>
            <w:tcW w:w="85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w w:val="100"/>
                <w:sz w:val="21"/>
              </w:rPr>
              <w:t>7</w:t>
            </w:r>
          </w:p>
        </w:tc>
        <w:tc>
          <w:tcPr>
            <w:tcW w:w="4146"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武汉宁润软件信息技术有限公司</w:t>
            </w:r>
          </w:p>
        </w:tc>
        <w:tc>
          <w:tcPr>
            <w:tcW w:w="1861"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武汉宁润</w:t>
            </w:r>
          </w:p>
        </w:tc>
        <w:tc>
          <w:tcPr>
            <w:tcW w:w="100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100</w:t>
            </w:r>
          </w:p>
        </w:tc>
        <w:tc>
          <w:tcPr>
            <w:tcW w:w="992"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44"/>
              <w:ind w:left="38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8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w w:val="100"/>
                <w:sz w:val="21"/>
              </w:rPr>
              <w:t>8</w:t>
            </w:r>
          </w:p>
        </w:tc>
        <w:tc>
          <w:tcPr>
            <w:tcW w:w="4146"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北京捷科智诚科技有限公司</w:t>
            </w:r>
          </w:p>
        </w:tc>
        <w:tc>
          <w:tcPr>
            <w:tcW w:w="186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捷科智诚</w:t>
            </w:r>
          </w:p>
        </w:tc>
        <w:tc>
          <w:tcPr>
            <w:tcW w:w="10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2" w:right="0"/>
              <w:jc w:val="center"/>
              <w:rPr>
                <w:rFonts w:ascii="Times New Roman" w:hAnsi="Times New Roman" w:cs="Times New Roman" w:eastAsia="Times New Roman" w:hint="default"/>
                <w:sz w:val="21"/>
                <w:szCs w:val="21"/>
              </w:rPr>
            </w:pPr>
            <w:r>
              <w:rPr>
                <w:rFonts w:ascii="Times New Roman"/>
                <w:sz w:val="21"/>
              </w:rPr>
              <w:t>100</w:t>
            </w:r>
          </w:p>
        </w:tc>
        <w:tc>
          <w:tcPr>
            <w:tcW w:w="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left="38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8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8-1</w:t>
            </w:r>
          </w:p>
        </w:tc>
        <w:tc>
          <w:tcPr>
            <w:tcW w:w="4146"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上海捷科智诚科技有限公司</w:t>
            </w:r>
          </w:p>
        </w:tc>
        <w:tc>
          <w:tcPr>
            <w:tcW w:w="186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上海捷科</w:t>
            </w:r>
          </w:p>
        </w:tc>
        <w:tc>
          <w:tcPr>
            <w:tcW w:w="10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left="331" w:right="0"/>
              <w:jc w:val="left"/>
              <w:rPr>
                <w:rFonts w:ascii="Times New Roman" w:hAnsi="Times New Roman" w:cs="Times New Roman" w:eastAsia="Times New Roman" w:hint="default"/>
                <w:sz w:val="21"/>
                <w:szCs w:val="21"/>
              </w:rPr>
            </w:pPr>
            <w:r>
              <w:rPr>
                <w:rFonts w:ascii="Times New Roman"/>
                <w:sz w:val="21"/>
              </w:rPr>
              <w:t>100</w:t>
            </w:r>
          </w:p>
        </w:tc>
      </w:tr>
      <w:tr>
        <w:trPr>
          <w:trHeight w:val="346" w:hRule="exact"/>
        </w:trPr>
        <w:tc>
          <w:tcPr>
            <w:tcW w:w="8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8-2</w:t>
            </w:r>
          </w:p>
        </w:tc>
        <w:tc>
          <w:tcPr>
            <w:tcW w:w="4146"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福州捷科智诚信息科技有限公司</w:t>
            </w:r>
          </w:p>
        </w:tc>
        <w:tc>
          <w:tcPr>
            <w:tcW w:w="186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福州捷科</w:t>
            </w:r>
          </w:p>
        </w:tc>
        <w:tc>
          <w:tcPr>
            <w:tcW w:w="10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left="331" w:right="0"/>
              <w:jc w:val="left"/>
              <w:rPr>
                <w:rFonts w:ascii="Times New Roman" w:hAnsi="Times New Roman" w:cs="Times New Roman" w:eastAsia="Times New Roman" w:hint="default"/>
                <w:sz w:val="21"/>
                <w:szCs w:val="21"/>
              </w:rPr>
            </w:pPr>
            <w:r>
              <w:rPr>
                <w:rFonts w:ascii="Times New Roman"/>
                <w:sz w:val="21"/>
              </w:rPr>
              <w:t>100</w:t>
            </w:r>
          </w:p>
        </w:tc>
      </w:tr>
      <w:tr>
        <w:trPr>
          <w:trHeight w:val="348" w:hRule="exact"/>
        </w:trPr>
        <w:tc>
          <w:tcPr>
            <w:tcW w:w="8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4" w:right="0"/>
              <w:jc w:val="center"/>
              <w:rPr>
                <w:rFonts w:ascii="Times New Roman" w:hAnsi="Times New Roman" w:cs="Times New Roman" w:eastAsia="Times New Roman" w:hint="default"/>
                <w:sz w:val="21"/>
                <w:szCs w:val="21"/>
              </w:rPr>
            </w:pPr>
            <w:r>
              <w:rPr>
                <w:rFonts w:ascii="Times New Roman"/>
                <w:w w:val="100"/>
                <w:sz w:val="21"/>
              </w:rPr>
              <w:t>9</w:t>
            </w:r>
          </w:p>
        </w:tc>
        <w:tc>
          <w:tcPr>
            <w:tcW w:w="4146"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北京联创智融信息技术有限公司</w:t>
            </w:r>
          </w:p>
        </w:tc>
        <w:tc>
          <w:tcPr>
            <w:tcW w:w="186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联创智融</w:t>
            </w:r>
          </w:p>
        </w:tc>
        <w:tc>
          <w:tcPr>
            <w:tcW w:w="10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sz w:val="21"/>
              </w:rPr>
              <w:t>100</w:t>
            </w:r>
          </w:p>
        </w:tc>
        <w:tc>
          <w:tcPr>
            <w:tcW w:w="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left="38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8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9-1</w:t>
            </w:r>
          </w:p>
        </w:tc>
        <w:tc>
          <w:tcPr>
            <w:tcW w:w="4146" w:type="dxa"/>
            <w:tcBorders>
              <w:top w:val="single" w:sz="8" w:space="0" w:color="000000"/>
              <w:left w:val="single" w:sz="6" w:space="0" w:color="000000"/>
              <w:bottom w:val="single" w:sz="8" w:space="0" w:color="000000"/>
              <w:right w:val="single" w:sz="6" w:space="0" w:color="000000"/>
            </w:tcBorders>
          </w:tcPr>
          <w:p>
            <w:pPr>
              <w:pStyle w:val="TableParagraph"/>
              <w:spacing w:line="283"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重庆度融信息技术有限公司</w:t>
            </w:r>
            <w:r>
              <w:rPr>
                <w:rFonts w:ascii="宋体" w:hAnsi="宋体" w:cs="宋体" w:eastAsia="宋体" w:hint="default"/>
                <w:spacing w:val="-20"/>
                <w:sz w:val="21"/>
                <w:szCs w:val="21"/>
              </w:rPr>
              <w:t> </w:t>
            </w:r>
            <w:r>
              <w:rPr>
                <w:rFonts w:ascii="宋体" w:hAnsi="宋体" w:cs="宋体" w:eastAsia="宋体" w:hint="default"/>
                <w:sz w:val="21"/>
                <w:szCs w:val="21"/>
              </w:rPr>
              <w:t>注</w:t>
            </w:r>
            <w:r>
              <w:rPr>
                <w:rFonts w:ascii="Times New Roman" w:hAnsi="Times New Roman" w:cs="Times New Roman" w:eastAsia="Times New Roman" w:hint="default"/>
                <w:sz w:val="21"/>
                <w:szCs w:val="21"/>
              </w:rPr>
              <w:t>3</w:t>
            </w:r>
          </w:p>
        </w:tc>
        <w:tc>
          <w:tcPr>
            <w:tcW w:w="186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重庆度融</w:t>
            </w:r>
          </w:p>
        </w:tc>
        <w:tc>
          <w:tcPr>
            <w:tcW w:w="10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left="381" w:right="0"/>
              <w:jc w:val="left"/>
              <w:rPr>
                <w:rFonts w:ascii="Times New Roman" w:hAnsi="Times New Roman" w:cs="Times New Roman" w:eastAsia="Times New Roman" w:hint="default"/>
                <w:sz w:val="21"/>
                <w:szCs w:val="21"/>
              </w:rPr>
            </w:pPr>
            <w:r>
              <w:rPr>
                <w:rFonts w:ascii="Times New Roman"/>
                <w:sz w:val="21"/>
              </w:rPr>
              <w:t>60</w:t>
            </w:r>
          </w:p>
        </w:tc>
      </w:tr>
      <w:tr>
        <w:trPr>
          <w:trHeight w:val="346" w:hRule="exact"/>
        </w:trPr>
        <w:tc>
          <w:tcPr>
            <w:tcW w:w="8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9-2</w:t>
            </w:r>
          </w:p>
        </w:tc>
        <w:tc>
          <w:tcPr>
            <w:tcW w:w="4146" w:type="dxa"/>
            <w:tcBorders>
              <w:top w:val="single" w:sz="8" w:space="0" w:color="000000"/>
              <w:left w:val="single" w:sz="6" w:space="0" w:color="000000"/>
              <w:bottom w:val="single" w:sz="8" w:space="0" w:color="000000"/>
              <w:right w:val="single" w:sz="6" w:space="0" w:color="000000"/>
            </w:tcBorders>
          </w:tcPr>
          <w:p>
            <w:pPr>
              <w:pStyle w:val="TableParagraph"/>
              <w:spacing w:line="283"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成都联创智融信息技术有限公司</w:t>
            </w:r>
            <w:r>
              <w:rPr>
                <w:rFonts w:ascii="宋体" w:hAnsi="宋体" w:cs="宋体" w:eastAsia="宋体" w:hint="default"/>
                <w:spacing w:val="-21"/>
                <w:sz w:val="21"/>
                <w:szCs w:val="21"/>
              </w:rPr>
              <w:t> </w:t>
            </w:r>
            <w:r>
              <w:rPr>
                <w:rFonts w:ascii="宋体" w:hAnsi="宋体" w:cs="宋体" w:eastAsia="宋体" w:hint="default"/>
                <w:sz w:val="21"/>
                <w:szCs w:val="21"/>
              </w:rPr>
              <w:t>注</w:t>
            </w:r>
            <w:r>
              <w:rPr>
                <w:rFonts w:ascii="Times New Roman" w:hAnsi="Times New Roman" w:cs="Times New Roman" w:eastAsia="Times New Roman" w:hint="default"/>
                <w:sz w:val="21"/>
                <w:szCs w:val="21"/>
              </w:rPr>
              <w:t>3</w:t>
            </w:r>
          </w:p>
        </w:tc>
        <w:tc>
          <w:tcPr>
            <w:tcW w:w="186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成都联创</w:t>
            </w:r>
          </w:p>
        </w:tc>
        <w:tc>
          <w:tcPr>
            <w:tcW w:w="10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left="331" w:right="0"/>
              <w:jc w:val="left"/>
              <w:rPr>
                <w:rFonts w:ascii="Times New Roman" w:hAnsi="Times New Roman" w:cs="Times New Roman" w:eastAsia="Times New Roman" w:hint="default"/>
                <w:sz w:val="21"/>
                <w:szCs w:val="21"/>
              </w:rPr>
            </w:pPr>
            <w:r>
              <w:rPr>
                <w:rFonts w:ascii="Times New Roman"/>
                <w:sz w:val="21"/>
              </w:rPr>
              <w:t>100</w:t>
            </w:r>
          </w:p>
        </w:tc>
      </w:tr>
      <w:tr>
        <w:trPr>
          <w:trHeight w:val="348" w:hRule="exact"/>
        </w:trPr>
        <w:tc>
          <w:tcPr>
            <w:tcW w:w="8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9-3</w:t>
            </w:r>
          </w:p>
        </w:tc>
        <w:tc>
          <w:tcPr>
            <w:tcW w:w="4146"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合肥汇聚智融信息技术有限公司</w:t>
            </w:r>
            <w:r>
              <w:rPr>
                <w:rFonts w:ascii="宋体" w:hAnsi="宋体" w:cs="宋体" w:eastAsia="宋体" w:hint="default"/>
                <w:spacing w:val="-21"/>
                <w:sz w:val="21"/>
                <w:szCs w:val="21"/>
              </w:rPr>
              <w:t> </w:t>
            </w:r>
            <w:r>
              <w:rPr>
                <w:rFonts w:ascii="宋体" w:hAnsi="宋体" w:cs="宋体" w:eastAsia="宋体" w:hint="default"/>
                <w:sz w:val="21"/>
                <w:szCs w:val="21"/>
              </w:rPr>
              <w:t>注</w:t>
            </w:r>
            <w:r>
              <w:rPr>
                <w:rFonts w:ascii="Times New Roman" w:hAnsi="Times New Roman" w:cs="Times New Roman" w:eastAsia="Times New Roman" w:hint="default"/>
                <w:sz w:val="21"/>
                <w:szCs w:val="21"/>
              </w:rPr>
              <w:t>3</w:t>
            </w:r>
          </w:p>
        </w:tc>
        <w:tc>
          <w:tcPr>
            <w:tcW w:w="186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合肥汇聚</w:t>
            </w:r>
          </w:p>
        </w:tc>
        <w:tc>
          <w:tcPr>
            <w:tcW w:w="10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left="331" w:right="0"/>
              <w:jc w:val="left"/>
              <w:rPr>
                <w:rFonts w:ascii="Times New Roman" w:hAnsi="Times New Roman" w:cs="Times New Roman" w:eastAsia="Times New Roman" w:hint="default"/>
                <w:sz w:val="21"/>
                <w:szCs w:val="21"/>
              </w:rPr>
            </w:pPr>
            <w:r>
              <w:rPr>
                <w:rFonts w:ascii="Times New Roman"/>
                <w:sz w:val="21"/>
              </w:rPr>
              <w:t>100</w:t>
            </w:r>
          </w:p>
        </w:tc>
      </w:tr>
      <w:tr>
        <w:trPr>
          <w:trHeight w:val="346" w:hRule="exact"/>
        </w:trPr>
        <w:tc>
          <w:tcPr>
            <w:tcW w:w="8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9-4</w:t>
            </w:r>
          </w:p>
        </w:tc>
        <w:tc>
          <w:tcPr>
            <w:tcW w:w="4146" w:type="dxa"/>
            <w:tcBorders>
              <w:top w:val="single" w:sz="8" w:space="0" w:color="000000"/>
              <w:left w:val="single" w:sz="6" w:space="0" w:color="000000"/>
              <w:bottom w:val="single" w:sz="8" w:space="0" w:color="000000"/>
              <w:right w:val="single" w:sz="6" w:space="0" w:color="000000"/>
            </w:tcBorders>
          </w:tcPr>
          <w:p>
            <w:pPr>
              <w:pStyle w:val="TableParagraph"/>
              <w:spacing w:line="283"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南京汇聚智融信息技术有限公司</w:t>
            </w:r>
            <w:r>
              <w:rPr>
                <w:rFonts w:ascii="宋体" w:hAnsi="宋体" w:cs="宋体" w:eastAsia="宋体" w:hint="default"/>
                <w:spacing w:val="-21"/>
                <w:sz w:val="21"/>
                <w:szCs w:val="21"/>
              </w:rPr>
              <w:t> </w:t>
            </w:r>
            <w:r>
              <w:rPr>
                <w:rFonts w:ascii="宋体" w:hAnsi="宋体" w:cs="宋体" w:eastAsia="宋体" w:hint="default"/>
                <w:sz w:val="21"/>
                <w:szCs w:val="21"/>
              </w:rPr>
              <w:t>注</w:t>
            </w:r>
            <w:r>
              <w:rPr>
                <w:rFonts w:ascii="Times New Roman" w:hAnsi="Times New Roman" w:cs="Times New Roman" w:eastAsia="Times New Roman" w:hint="default"/>
                <w:sz w:val="21"/>
                <w:szCs w:val="21"/>
              </w:rPr>
              <w:t>3</w:t>
            </w:r>
          </w:p>
        </w:tc>
        <w:tc>
          <w:tcPr>
            <w:tcW w:w="186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南京汇聚</w:t>
            </w:r>
          </w:p>
        </w:tc>
        <w:tc>
          <w:tcPr>
            <w:tcW w:w="10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left="381" w:right="0"/>
              <w:jc w:val="left"/>
              <w:rPr>
                <w:rFonts w:ascii="Times New Roman" w:hAnsi="Times New Roman" w:cs="Times New Roman" w:eastAsia="Times New Roman" w:hint="default"/>
                <w:sz w:val="21"/>
                <w:szCs w:val="21"/>
              </w:rPr>
            </w:pPr>
            <w:r>
              <w:rPr>
                <w:rFonts w:ascii="Times New Roman"/>
                <w:sz w:val="21"/>
              </w:rPr>
              <w:t>60</w:t>
            </w:r>
          </w:p>
        </w:tc>
      </w:tr>
      <w:tr>
        <w:trPr>
          <w:trHeight w:val="348" w:hRule="exact"/>
        </w:trPr>
        <w:tc>
          <w:tcPr>
            <w:tcW w:w="8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9-5</w:t>
            </w:r>
          </w:p>
        </w:tc>
        <w:tc>
          <w:tcPr>
            <w:tcW w:w="4146"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深圳联创智融信息技术有限公司</w:t>
            </w:r>
            <w:r>
              <w:rPr>
                <w:rFonts w:ascii="宋体" w:hAnsi="宋体" w:cs="宋体" w:eastAsia="宋体" w:hint="default"/>
                <w:spacing w:val="-21"/>
                <w:sz w:val="21"/>
                <w:szCs w:val="21"/>
              </w:rPr>
              <w:t> </w:t>
            </w:r>
            <w:r>
              <w:rPr>
                <w:rFonts w:ascii="宋体" w:hAnsi="宋体" w:cs="宋体" w:eastAsia="宋体" w:hint="default"/>
                <w:sz w:val="21"/>
                <w:szCs w:val="21"/>
              </w:rPr>
              <w:t>注</w:t>
            </w:r>
            <w:r>
              <w:rPr>
                <w:rFonts w:ascii="Times New Roman" w:hAnsi="Times New Roman" w:cs="Times New Roman" w:eastAsia="Times New Roman" w:hint="default"/>
                <w:sz w:val="21"/>
                <w:szCs w:val="21"/>
              </w:rPr>
              <w:t>3</w:t>
            </w:r>
          </w:p>
        </w:tc>
        <w:tc>
          <w:tcPr>
            <w:tcW w:w="186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深圳联创</w:t>
            </w:r>
          </w:p>
        </w:tc>
        <w:tc>
          <w:tcPr>
            <w:tcW w:w="10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left="331" w:right="0"/>
              <w:jc w:val="left"/>
              <w:rPr>
                <w:rFonts w:ascii="Times New Roman" w:hAnsi="Times New Roman" w:cs="Times New Roman" w:eastAsia="Times New Roman" w:hint="default"/>
                <w:sz w:val="21"/>
                <w:szCs w:val="21"/>
              </w:rPr>
            </w:pPr>
            <w:r>
              <w:rPr>
                <w:rFonts w:ascii="Times New Roman"/>
                <w:sz w:val="21"/>
              </w:rPr>
              <w:t>100</w:t>
            </w:r>
          </w:p>
        </w:tc>
      </w:tr>
      <w:tr>
        <w:trPr>
          <w:trHeight w:val="346" w:hRule="exact"/>
        </w:trPr>
        <w:tc>
          <w:tcPr>
            <w:tcW w:w="8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10</w:t>
            </w:r>
          </w:p>
        </w:tc>
        <w:tc>
          <w:tcPr>
            <w:tcW w:w="4146" w:type="dxa"/>
            <w:tcBorders>
              <w:top w:val="single" w:sz="8" w:space="0" w:color="000000"/>
              <w:left w:val="single" w:sz="6" w:space="0" w:color="000000"/>
              <w:bottom w:val="single" w:sz="8" w:space="0" w:color="000000"/>
              <w:right w:val="single" w:sz="6" w:space="0" w:color="000000"/>
            </w:tcBorders>
          </w:tcPr>
          <w:p>
            <w:pPr>
              <w:pStyle w:val="TableParagraph"/>
              <w:spacing w:line="268" w:lineRule="exact"/>
              <w:ind w:left="4" w:right="0"/>
              <w:jc w:val="left"/>
              <w:rPr>
                <w:rFonts w:ascii="宋体" w:hAnsi="宋体" w:cs="宋体" w:eastAsia="宋体" w:hint="default"/>
                <w:sz w:val="21"/>
                <w:szCs w:val="21"/>
              </w:rPr>
            </w:pPr>
            <w:r>
              <w:rPr>
                <w:rFonts w:ascii="宋体" w:hAnsi="宋体" w:cs="宋体" w:eastAsia="宋体" w:hint="default"/>
                <w:sz w:val="21"/>
                <w:szCs w:val="21"/>
              </w:rPr>
              <w:t>香港润和信息技术投资有限公司</w:t>
            </w:r>
          </w:p>
        </w:tc>
        <w:tc>
          <w:tcPr>
            <w:tcW w:w="1861" w:type="dxa"/>
            <w:tcBorders>
              <w:top w:val="single" w:sz="8" w:space="0" w:color="000000"/>
              <w:left w:val="single" w:sz="6" w:space="0" w:color="000000"/>
              <w:bottom w:val="single" w:sz="8" w:space="0" w:color="000000"/>
              <w:right w:val="single" w:sz="6" w:space="0" w:color="000000"/>
            </w:tcBorders>
          </w:tcPr>
          <w:p>
            <w:pPr>
              <w:pStyle w:val="TableParagraph"/>
              <w:spacing w:line="268" w:lineRule="exact"/>
              <w:ind w:left="4" w:right="0"/>
              <w:jc w:val="center"/>
              <w:rPr>
                <w:rFonts w:ascii="宋体" w:hAnsi="宋体" w:cs="宋体" w:eastAsia="宋体" w:hint="default"/>
                <w:sz w:val="21"/>
                <w:szCs w:val="21"/>
              </w:rPr>
            </w:pPr>
            <w:r>
              <w:rPr>
                <w:rFonts w:ascii="宋体" w:hAnsi="宋体" w:cs="宋体" w:eastAsia="宋体" w:hint="default"/>
                <w:sz w:val="21"/>
                <w:szCs w:val="21"/>
              </w:rPr>
              <w:t>香港润和</w:t>
            </w:r>
          </w:p>
        </w:tc>
        <w:tc>
          <w:tcPr>
            <w:tcW w:w="10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2" w:right="0"/>
              <w:jc w:val="center"/>
              <w:rPr>
                <w:rFonts w:ascii="Times New Roman" w:hAnsi="Times New Roman" w:cs="Times New Roman" w:eastAsia="Times New Roman" w:hint="default"/>
                <w:sz w:val="21"/>
                <w:szCs w:val="21"/>
              </w:rPr>
            </w:pPr>
            <w:r>
              <w:rPr>
                <w:rFonts w:ascii="Times New Roman"/>
                <w:sz w:val="21"/>
              </w:rPr>
              <w:t>100</w:t>
            </w:r>
          </w:p>
        </w:tc>
        <w:tc>
          <w:tcPr>
            <w:tcW w:w="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left="38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8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4" w:right="0"/>
              <w:jc w:val="center"/>
              <w:rPr>
                <w:rFonts w:ascii="Times New Roman" w:hAnsi="Times New Roman" w:cs="Times New Roman" w:eastAsia="Times New Roman" w:hint="default"/>
                <w:sz w:val="21"/>
                <w:szCs w:val="21"/>
              </w:rPr>
            </w:pPr>
            <w:r>
              <w:rPr>
                <w:rFonts w:ascii="Times New Roman"/>
                <w:sz w:val="21"/>
              </w:rPr>
              <w:t>11</w:t>
            </w:r>
          </w:p>
        </w:tc>
        <w:tc>
          <w:tcPr>
            <w:tcW w:w="4146"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上海菲耐得信息科技有限公司</w:t>
            </w:r>
          </w:p>
        </w:tc>
        <w:tc>
          <w:tcPr>
            <w:tcW w:w="186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菲耐得</w:t>
            </w:r>
          </w:p>
        </w:tc>
        <w:tc>
          <w:tcPr>
            <w:tcW w:w="10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sz w:val="21"/>
              </w:rPr>
              <w:t>100</w:t>
            </w:r>
          </w:p>
        </w:tc>
        <w:tc>
          <w:tcPr>
            <w:tcW w:w="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left="38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8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12</w:t>
            </w:r>
          </w:p>
        </w:tc>
        <w:tc>
          <w:tcPr>
            <w:tcW w:w="4146"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广州润和颐能软件技术有限公司</w:t>
            </w:r>
          </w:p>
        </w:tc>
        <w:tc>
          <w:tcPr>
            <w:tcW w:w="186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广州润和</w:t>
            </w:r>
          </w:p>
        </w:tc>
        <w:tc>
          <w:tcPr>
            <w:tcW w:w="10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70</w:t>
            </w:r>
          </w:p>
        </w:tc>
        <w:tc>
          <w:tcPr>
            <w:tcW w:w="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left="38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8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13</w:t>
            </w:r>
          </w:p>
        </w:tc>
        <w:tc>
          <w:tcPr>
            <w:tcW w:w="4146"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江苏润和智融科技有限公司</w:t>
            </w:r>
          </w:p>
        </w:tc>
        <w:tc>
          <w:tcPr>
            <w:tcW w:w="186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润和智融</w:t>
            </w:r>
          </w:p>
        </w:tc>
        <w:tc>
          <w:tcPr>
            <w:tcW w:w="10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60</w:t>
            </w:r>
          </w:p>
        </w:tc>
        <w:tc>
          <w:tcPr>
            <w:tcW w:w="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left="38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8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4" w:right="0"/>
              <w:jc w:val="center"/>
              <w:rPr>
                <w:rFonts w:ascii="Times New Roman" w:hAnsi="Times New Roman" w:cs="Times New Roman" w:eastAsia="Times New Roman" w:hint="default"/>
                <w:sz w:val="21"/>
                <w:szCs w:val="21"/>
              </w:rPr>
            </w:pPr>
            <w:r>
              <w:rPr>
                <w:rFonts w:ascii="Times New Roman"/>
                <w:sz w:val="21"/>
              </w:rPr>
              <w:t>14</w:t>
            </w:r>
          </w:p>
        </w:tc>
        <w:tc>
          <w:tcPr>
            <w:tcW w:w="4146"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江苏润和捷诚科技产业投资有限公司</w:t>
            </w:r>
          </w:p>
        </w:tc>
        <w:tc>
          <w:tcPr>
            <w:tcW w:w="186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润和捷诚</w:t>
            </w:r>
          </w:p>
        </w:tc>
        <w:tc>
          <w:tcPr>
            <w:tcW w:w="10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sz w:val="21"/>
              </w:rPr>
              <w:t>100</w:t>
            </w:r>
          </w:p>
        </w:tc>
        <w:tc>
          <w:tcPr>
            <w:tcW w:w="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left="38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8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15</w:t>
            </w:r>
          </w:p>
        </w:tc>
        <w:tc>
          <w:tcPr>
            <w:tcW w:w="4146"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南京润和润云科技有限公司</w:t>
            </w:r>
          </w:p>
        </w:tc>
        <w:tc>
          <w:tcPr>
            <w:tcW w:w="186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润和润云</w:t>
            </w:r>
          </w:p>
        </w:tc>
        <w:tc>
          <w:tcPr>
            <w:tcW w:w="10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51</w:t>
            </w:r>
          </w:p>
        </w:tc>
        <w:tc>
          <w:tcPr>
            <w:tcW w:w="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left="38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8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4" w:right="0"/>
              <w:jc w:val="center"/>
              <w:rPr>
                <w:rFonts w:ascii="Times New Roman" w:hAnsi="Times New Roman" w:cs="Times New Roman" w:eastAsia="Times New Roman" w:hint="default"/>
                <w:sz w:val="21"/>
                <w:szCs w:val="21"/>
              </w:rPr>
            </w:pPr>
            <w:r>
              <w:rPr>
                <w:rFonts w:ascii="Times New Roman"/>
                <w:sz w:val="21"/>
              </w:rPr>
              <w:t>16</w:t>
            </w:r>
          </w:p>
        </w:tc>
        <w:tc>
          <w:tcPr>
            <w:tcW w:w="4146"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南京润辰科技有限公司</w:t>
            </w:r>
          </w:p>
        </w:tc>
        <w:tc>
          <w:tcPr>
            <w:tcW w:w="186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润辰科技</w:t>
            </w:r>
          </w:p>
        </w:tc>
        <w:tc>
          <w:tcPr>
            <w:tcW w:w="10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55</w:t>
            </w:r>
          </w:p>
        </w:tc>
        <w:tc>
          <w:tcPr>
            <w:tcW w:w="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left="38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8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17</w:t>
            </w:r>
          </w:p>
        </w:tc>
        <w:tc>
          <w:tcPr>
            <w:tcW w:w="4146"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北京润链科技有限公司</w:t>
            </w:r>
          </w:p>
        </w:tc>
        <w:tc>
          <w:tcPr>
            <w:tcW w:w="186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北京润链</w:t>
            </w:r>
          </w:p>
        </w:tc>
        <w:tc>
          <w:tcPr>
            <w:tcW w:w="10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left="381" w:right="0"/>
              <w:jc w:val="left"/>
              <w:rPr>
                <w:rFonts w:ascii="Times New Roman" w:hAnsi="Times New Roman" w:cs="Times New Roman" w:eastAsia="Times New Roman" w:hint="default"/>
                <w:sz w:val="21"/>
                <w:szCs w:val="21"/>
              </w:rPr>
            </w:pPr>
            <w:r>
              <w:rPr>
                <w:rFonts w:ascii="Times New Roman"/>
                <w:sz w:val="21"/>
              </w:rPr>
              <w:t>85</w:t>
            </w:r>
          </w:p>
        </w:tc>
      </w:tr>
      <w:tr>
        <w:trPr>
          <w:trHeight w:val="346" w:hRule="exact"/>
        </w:trPr>
        <w:tc>
          <w:tcPr>
            <w:tcW w:w="8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18</w:t>
            </w:r>
          </w:p>
        </w:tc>
        <w:tc>
          <w:tcPr>
            <w:tcW w:w="4146"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润和云（上海）科技有限公司</w:t>
            </w:r>
          </w:p>
        </w:tc>
        <w:tc>
          <w:tcPr>
            <w:tcW w:w="186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润和云</w:t>
            </w:r>
          </w:p>
        </w:tc>
        <w:tc>
          <w:tcPr>
            <w:tcW w:w="10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2" w:right="0"/>
              <w:jc w:val="center"/>
              <w:rPr>
                <w:rFonts w:ascii="Times New Roman" w:hAnsi="Times New Roman" w:cs="Times New Roman" w:eastAsia="Times New Roman" w:hint="default"/>
                <w:sz w:val="21"/>
                <w:szCs w:val="21"/>
              </w:rPr>
            </w:pPr>
            <w:r>
              <w:rPr>
                <w:rFonts w:ascii="Times New Roman"/>
                <w:sz w:val="21"/>
              </w:rPr>
              <w:t>100</w:t>
            </w:r>
          </w:p>
        </w:tc>
        <w:tc>
          <w:tcPr>
            <w:tcW w:w="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left="38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8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4" w:right="0"/>
              <w:jc w:val="center"/>
              <w:rPr>
                <w:rFonts w:ascii="Times New Roman" w:hAnsi="Times New Roman" w:cs="Times New Roman" w:eastAsia="Times New Roman" w:hint="default"/>
                <w:sz w:val="21"/>
                <w:szCs w:val="21"/>
              </w:rPr>
            </w:pPr>
            <w:r>
              <w:rPr>
                <w:rFonts w:ascii="Times New Roman"/>
                <w:sz w:val="21"/>
              </w:rPr>
              <w:t>19</w:t>
            </w:r>
          </w:p>
        </w:tc>
        <w:tc>
          <w:tcPr>
            <w:tcW w:w="4146"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新维数联（北京）科技有限公司</w:t>
            </w:r>
          </w:p>
        </w:tc>
        <w:tc>
          <w:tcPr>
            <w:tcW w:w="186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新维数联</w:t>
            </w:r>
          </w:p>
        </w:tc>
        <w:tc>
          <w:tcPr>
            <w:tcW w:w="10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30</w:t>
            </w:r>
          </w:p>
        </w:tc>
        <w:tc>
          <w:tcPr>
            <w:tcW w:w="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left="38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bl>
    <w:p>
      <w:pPr>
        <w:pStyle w:val="BodyText"/>
        <w:spacing w:line="300" w:lineRule="auto" w:before="8"/>
        <w:ind w:right="0" w:firstLine="504"/>
        <w:jc w:val="left"/>
      </w:pPr>
      <w:r>
        <w:rPr>
          <w:spacing w:val="-2"/>
        </w:rPr>
        <w:t>注</w:t>
      </w:r>
      <w:r>
        <w:rPr>
          <w:rFonts w:ascii="Times New Roman" w:hAnsi="Times New Roman" w:cs="Times New Roman" w:eastAsia="Times New Roman" w:hint="default"/>
          <w:spacing w:val="-2"/>
        </w:rPr>
        <w:t>1</w:t>
      </w:r>
      <w:r>
        <w:rPr>
          <w:spacing w:val="-2"/>
        </w:rPr>
        <w:t>：本公司直接拥有东京润和</w:t>
      </w:r>
      <w:r>
        <w:rPr>
          <w:rFonts w:ascii="Times New Roman" w:hAnsi="Times New Roman" w:cs="Times New Roman" w:eastAsia="Times New Roman" w:hint="default"/>
          <w:spacing w:val="-2"/>
        </w:rPr>
        <w:t>91.67%</w:t>
      </w:r>
      <w:r>
        <w:rPr>
          <w:spacing w:val="-2"/>
        </w:rPr>
        <w:t>的股权，东京润和持有</w:t>
      </w:r>
      <w:r>
        <w:rPr>
          <w:rFonts w:ascii="Times New Roman" w:hAnsi="Times New Roman" w:cs="Times New Roman" w:eastAsia="Times New Roman" w:hint="default"/>
          <w:spacing w:val="-2"/>
        </w:rPr>
        <w:t>8.33%</w:t>
      </w:r>
      <w:r>
        <w:rPr>
          <w:spacing w:val="-2"/>
        </w:rPr>
        <w:t>的库存股股权，该库存股股权不仅没有表决权，也</w:t>
      </w:r>
      <w:r>
        <w:rPr/>
        <w:t> 没有分红请求权和剩余财产分配请求权等其他权利，因此本公司实际拥有东京润和</w:t>
      </w:r>
      <w:r>
        <w:rPr>
          <w:rFonts w:ascii="Times New Roman" w:hAnsi="Times New Roman" w:cs="Times New Roman" w:eastAsia="Times New Roman" w:hint="default"/>
        </w:rPr>
        <w:t>100%</w:t>
      </w:r>
      <w:r>
        <w:rPr/>
        <w:t>权益；</w:t>
      </w:r>
    </w:p>
    <w:p>
      <w:pPr>
        <w:pStyle w:val="BodyText"/>
        <w:spacing w:line="300" w:lineRule="auto" w:before="13"/>
        <w:ind w:left="657" w:right="1159"/>
        <w:jc w:val="left"/>
      </w:pPr>
      <w:r>
        <w:rPr/>
        <w:t>注</w:t>
      </w:r>
      <w:r>
        <w:rPr>
          <w:rFonts w:ascii="Times New Roman" w:hAnsi="Times New Roman" w:cs="Times New Roman" w:eastAsia="Times New Roman" w:hint="default"/>
        </w:rPr>
        <w:t>2</w:t>
      </w:r>
      <w:r>
        <w:rPr/>
        <w:t>：新加坡润和为东京润和持股</w:t>
      </w:r>
      <w:r>
        <w:rPr>
          <w:rFonts w:ascii="Times New Roman" w:hAnsi="Times New Roman" w:cs="Times New Roman" w:eastAsia="Times New Roman" w:hint="default"/>
        </w:rPr>
        <w:t>70%</w:t>
      </w:r>
      <w:r>
        <w:rPr/>
        <w:t>的控股子公司； 注</w:t>
      </w:r>
      <w:r>
        <w:rPr>
          <w:rFonts w:ascii="Times New Roman" w:hAnsi="Times New Roman" w:cs="Times New Roman" w:eastAsia="Times New Roman" w:hint="default"/>
        </w:rPr>
        <w:t>3</w:t>
      </w:r>
      <w:r>
        <w:rPr/>
        <w:t>：重庆度融、南京汇聚为联创智融的控股子公司，成都联创、合肥汇聚、深圳联创为联创智融的全资子公司。截</w:t>
      </w:r>
    </w:p>
    <w:p>
      <w:pPr>
        <w:pStyle w:val="BodyText"/>
        <w:spacing w:line="300" w:lineRule="auto" w:before="13"/>
        <w:ind w:left="657" w:right="4273" w:hanging="504"/>
        <w:jc w:val="left"/>
      </w:pPr>
      <w:r>
        <w:rPr/>
        <w:t>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日，联创智融尚未对深圳联创出资，深圳联创尚未正式开展经营。 上述子公司具体情况详见本附注九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w:t>
      </w:r>
    </w:p>
    <w:p>
      <w:pPr>
        <w:pStyle w:val="BodyText"/>
        <w:spacing w:line="300" w:lineRule="auto" w:before="13"/>
        <w:ind w:left="657" w:right="7099"/>
        <w:jc w:val="left"/>
      </w:pPr>
      <w:r>
        <w:rPr/>
        <w:t>（</w:t>
      </w:r>
      <w:r>
        <w:rPr>
          <w:rFonts w:ascii="Times New Roman" w:hAnsi="Times New Roman" w:cs="Times New Roman" w:eastAsia="Times New Roman" w:hint="default"/>
        </w:rPr>
        <w:t>2</w:t>
      </w:r>
      <w:r>
        <w:rPr/>
        <w:t>）本公司本期合并财务报表范围变化 本期新增子公司：</w:t>
      </w:r>
    </w:p>
    <w:tbl>
      <w:tblPr>
        <w:tblW w:w="0" w:type="auto"/>
        <w:jc w:val="left"/>
        <w:tblInd w:w="146" w:type="dxa"/>
        <w:tblLayout w:type="fixed"/>
        <w:tblCellMar>
          <w:top w:w="0" w:type="dxa"/>
          <w:left w:w="0" w:type="dxa"/>
          <w:bottom w:w="0" w:type="dxa"/>
          <w:right w:w="0" w:type="dxa"/>
        </w:tblCellMar>
        <w:tblLook w:val="01E0"/>
      </w:tblPr>
      <w:tblGrid>
        <w:gridCol w:w="994"/>
        <w:gridCol w:w="2835"/>
        <w:gridCol w:w="2127"/>
        <w:gridCol w:w="2977"/>
      </w:tblGrid>
      <w:tr>
        <w:trPr>
          <w:trHeight w:val="350" w:hRule="exact"/>
        </w:trPr>
        <w:tc>
          <w:tcPr>
            <w:tcW w:w="994"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835" w:type="dxa"/>
            <w:tcBorders>
              <w:top w:val="single" w:sz="6" w:space="0" w:color="000000"/>
              <w:left w:val="single" w:sz="6" w:space="0" w:color="000000"/>
              <w:bottom w:val="single" w:sz="8" w:space="0" w:color="000000"/>
              <w:right w:val="single" w:sz="6" w:space="0" w:color="000000"/>
            </w:tcBorders>
          </w:tcPr>
          <w:p>
            <w:pPr>
              <w:pStyle w:val="TableParagraph"/>
              <w:spacing w:line="288" w:lineRule="exact"/>
              <w:ind w:left="542" w:right="0"/>
              <w:jc w:val="left"/>
              <w:rPr>
                <w:rFonts w:ascii="宋体" w:hAnsi="宋体" w:cs="宋体" w:eastAsia="宋体" w:hint="default"/>
                <w:sz w:val="21"/>
                <w:szCs w:val="21"/>
              </w:rPr>
            </w:pPr>
            <w:r>
              <w:rPr>
                <w:rFonts w:ascii="宋体" w:hAnsi="宋体" w:cs="宋体" w:eastAsia="宋体" w:hint="default"/>
                <w:sz w:val="21"/>
                <w:szCs w:val="21"/>
              </w:rPr>
              <w:t>子公司</w:t>
            </w:r>
            <w:r>
              <w:rPr>
                <w:rFonts w:ascii="Times New Roman" w:hAnsi="Times New Roman" w:cs="Times New Roman" w:eastAsia="Times New Roman" w:hint="default"/>
                <w:sz w:val="21"/>
                <w:szCs w:val="21"/>
              </w:rPr>
              <w:t>/</w:t>
            </w:r>
            <w:r>
              <w:rPr>
                <w:rFonts w:ascii="宋体" w:hAnsi="宋体" w:cs="宋体" w:eastAsia="宋体" w:hint="default"/>
                <w:sz w:val="21"/>
                <w:szCs w:val="21"/>
              </w:rPr>
              <w:t>孙公司全称</w:t>
            </w:r>
          </w:p>
        </w:tc>
        <w:tc>
          <w:tcPr>
            <w:tcW w:w="2127" w:type="dxa"/>
            <w:tcBorders>
              <w:top w:val="single" w:sz="6" w:space="0" w:color="000000"/>
              <w:left w:val="single" w:sz="6" w:space="0" w:color="000000"/>
              <w:bottom w:val="single" w:sz="8" w:space="0" w:color="000000"/>
              <w:right w:val="single" w:sz="6" w:space="0" w:color="000000"/>
            </w:tcBorders>
          </w:tcPr>
          <w:p>
            <w:pPr>
              <w:pStyle w:val="TableParagraph"/>
              <w:spacing w:line="288" w:lineRule="exact"/>
              <w:ind w:left="7" w:right="0"/>
              <w:jc w:val="center"/>
              <w:rPr>
                <w:rFonts w:ascii="宋体" w:hAnsi="宋体" w:cs="宋体" w:eastAsia="宋体" w:hint="default"/>
                <w:sz w:val="21"/>
                <w:szCs w:val="21"/>
              </w:rPr>
            </w:pPr>
            <w:r>
              <w:rPr>
                <w:rFonts w:ascii="宋体" w:hAnsi="宋体" w:cs="宋体" w:eastAsia="宋体" w:hint="default"/>
                <w:sz w:val="21"/>
                <w:szCs w:val="21"/>
              </w:rPr>
              <w:t>子公司</w:t>
            </w:r>
            <w:r>
              <w:rPr>
                <w:rFonts w:ascii="Times New Roman" w:hAnsi="Times New Roman" w:cs="Times New Roman" w:eastAsia="Times New Roman" w:hint="default"/>
                <w:sz w:val="21"/>
                <w:szCs w:val="21"/>
              </w:rPr>
              <w:t>/</w:t>
            </w:r>
            <w:r>
              <w:rPr>
                <w:rFonts w:ascii="宋体" w:hAnsi="宋体" w:cs="宋体" w:eastAsia="宋体" w:hint="default"/>
                <w:sz w:val="21"/>
                <w:szCs w:val="21"/>
              </w:rPr>
              <w:t>孙公司简称</w:t>
            </w:r>
          </w:p>
        </w:tc>
        <w:tc>
          <w:tcPr>
            <w:tcW w:w="2977" w:type="dxa"/>
            <w:tcBorders>
              <w:top w:val="single" w:sz="6" w:space="0" w:color="000000"/>
              <w:left w:val="single" w:sz="6" w:space="0" w:color="000000"/>
              <w:bottom w:val="single" w:sz="8" w:space="0" w:color="000000"/>
              <w:right w:val="nil" w:sz="6" w:space="0" w:color="auto"/>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纳入合并范围原因</w:t>
            </w:r>
          </w:p>
        </w:tc>
      </w:tr>
      <w:tr>
        <w:trPr>
          <w:trHeight w:val="348"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w w:val="100"/>
                <w:sz w:val="21"/>
              </w:rPr>
              <w:t>1</w:t>
            </w:r>
          </w:p>
        </w:tc>
        <w:tc>
          <w:tcPr>
            <w:tcW w:w="2835"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北京润链科技有限公司</w:t>
            </w:r>
          </w:p>
        </w:tc>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7" w:right="0"/>
              <w:jc w:val="center"/>
              <w:rPr>
                <w:rFonts w:ascii="宋体" w:hAnsi="宋体" w:cs="宋体" w:eastAsia="宋体" w:hint="default"/>
                <w:sz w:val="21"/>
                <w:szCs w:val="21"/>
              </w:rPr>
            </w:pPr>
            <w:r>
              <w:rPr>
                <w:rFonts w:ascii="宋体" w:hAnsi="宋体" w:cs="宋体" w:eastAsia="宋体" w:hint="default"/>
                <w:sz w:val="21"/>
                <w:szCs w:val="21"/>
              </w:rPr>
              <w:t>北京润链</w:t>
            </w:r>
          </w:p>
        </w:tc>
        <w:tc>
          <w:tcPr>
            <w:tcW w:w="2977" w:type="dxa"/>
            <w:tcBorders>
              <w:top w:val="single" w:sz="8" w:space="0" w:color="000000"/>
              <w:left w:val="single" w:sz="6" w:space="0" w:color="000000"/>
              <w:bottom w:val="single" w:sz="8" w:space="0" w:color="000000"/>
              <w:right w:val="nil" w:sz="6" w:space="0" w:color="auto"/>
            </w:tcBorders>
          </w:tcPr>
          <w:p>
            <w:pPr>
              <w:pStyle w:val="TableParagraph"/>
              <w:spacing w:line="267" w:lineRule="exact"/>
              <w:ind w:right="2"/>
              <w:jc w:val="center"/>
              <w:rPr>
                <w:rFonts w:ascii="宋体" w:hAnsi="宋体" w:cs="宋体" w:eastAsia="宋体" w:hint="default"/>
                <w:sz w:val="21"/>
                <w:szCs w:val="21"/>
              </w:rPr>
            </w:pPr>
            <w:r>
              <w:rPr>
                <w:rFonts w:ascii="宋体" w:hAnsi="宋体" w:cs="宋体" w:eastAsia="宋体" w:hint="default"/>
                <w:sz w:val="21"/>
                <w:szCs w:val="21"/>
              </w:rPr>
              <w:t>对外投资</w:t>
            </w:r>
          </w:p>
        </w:tc>
      </w:tr>
    </w:tbl>
    <w:p>
      <w:pPr>
        <w:pStyle w:val="BodyText"/>
        <w:spacing w:line="240" w:lineRule="auto" w:before="31"/>
        <w:ind w:left="657" w:right="0"/>
        <w:jc w:val="left"/>
      </w:pPr>
      <w:r>
        <w:rPr/>
        <w:t>本期减少子公司：</w:t>
      </w: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854"/>
        <w:gridCol w:w="2977"/>
        <w:gridCol w:w="1416"/>
        <w:gridCol w:w="1558"/>
        <w:gridCol w:w="2127"/>
      </w:tblGrid>
      <w:tr>
        <w:trPr>
          <w:trHeight w:val="661" w:hRule="exact"/>
        </w:trPr>
        <w:tc>
          <w:tcPr>
            <w:tcW w:w="854" w:type="dxa"/>
            <w:tcBorders>
              <w:top w:val="single" w:sz="6" w:space="0" w:color="000000"/>
              <w:left w:val="single" w:sz="6" w:space="0" w:color="000000"/>
              <w:bottom w:val="single" w:sz="8" w:space="0" w:color="000000"/>
              <w:right w:val="single" w:sz="6" w:space="0" w:color="000000"/>
            </w:tcBorders>
          </w:tcPr>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977" w:type="dxa"/>
            <w:tcBorders>
              <w:top w:val="single" w:sz="6" w:space="0" w:color="000000"/>
              <w:left w:val="single" w:sz="6" w:space="0" w:color="000000"/>
              <w:bottom w:val="single" w:sz="8" w:space="0" w:color="000000"/>
              <w:right w:val="single" w:sz="6" w:space="0" w:color="000000"/>
            </w:tcBorders>
          </w:tcPr>
          <w:p>
            <w:pPr>
              <w:pStyle w:val="TableParagraph"/>
              <w:spacing w:line="288" w:lineRule="exact"/>
              <w:ind w:left="611" w:right="0"/>
              <w:jc w:val="left"/>
              <w:rPr>
                <w:rFonts w:ascii="宋体" w:hAnsi="宋体" w:cs="宋体" w:eastAsia="宋体" w:hint="default"/>
                <w:sz w:val="21"/>
                <w:szCs w:val="21"/>
              </w:rPr>
            </w:pPr>
            <w:r>
              <w:rPr>
                <w:rFonts w:ascii="宋体" w:hAnsi="宋体" w:cs="宋体" w:eastAsia="宋体" w:hint="default"/>
                <w:sz w:val="21"/>
                <w:szCs w:val="21"/>
              </w:rPr>
              <w:t>子公司</w:t>
            </w:r>
            <w:r>
              <w:rPr>
                <w:rFonts w:ascii="Times New Roman" w:hAnsi="Times New Roman" w:cs="Times New Roman" w:eastAsia="Times New Roman" w:hint="default"/>
                <w:sz w:val="21"/>
                <w:szCs w:val="21"/>
              </w:rPr>
              <w:t>/</w:t>
            </w:r>
            <w:r>
              <w:rPr>
                <w:rFonts w:ascii="宋体" w:hAnsi="宋体" w:cs="宋体" w:eastAsia="宋体" w:hint="default"/>
                <w:sz w:val="21"/>
                <w:szCs w:val="21"/>
              </w:rPr>
              <w:t>孙公司全称</w:t>
            </w:r>
          </w:p>
        </w:tc>
        <w:tc>
          <w:tcPr>
            <w:tcW w:w="1416" w:type="dxa"/>
            <w:tcBorders>
              <w:top w:val="single" w:sz="6" w:space="0" w:color="000000"/>
              <w:left w:val="single" w:sz="6" w:space="0" w:color="000000"/>
              <w:bottom w:val="single" w:sz="8" w:space="0" w:color="000000"/>
              <w:right w:val="single" w:sz="6" w:space="0" w:color="000000"/>
            </w:tcBorders>
          </w:tcPr>
          <w:p>
            <w:pPr>
              <w:pStyle w:val="TableParagraph"/>
              <w:spacing w:line="256" w:lineRule="auto"/>
              <w:ind w:left="490" w:right="38" w:hanging="450"/>
              <w:jc w:val="left"/>
              <w:rPr>
                <w:rFonts w:ascii="宋体" w:hAnsi="宋体" w:cs="宋体" w:eastAsia="宋体" w:hint="default"/>
                <w:sz w:val="21"/>
                <w:szCs w:val="21"/>
              </w:rPr>
            </w:pPr>
            <w:r>
              <w:rPr>
                <w:rFonts w:ascii="宋体" w:hAnsi="宋体" w:cs="宋体" w:eastAsia="宋体" w:hint="default"/>
                <w:sz w:val="21"/>
                <w:szCs w:val="21"/>
              </w:rPr>
              <w:t>子公司</w:t>
            </w:r>
            <w:r>
              <w:rPr>
                <w:rFonts w:ascii="Times New Roman" w:hAnsi="Times New Roman" w:cs="Times New Roman" w:eastAsia="Times New Roman" w:hint="default"/>
                <w:sz w:val="21"/>
                <w:szCs w:val="21"/>
              </w:rPr>
              <w:t>/</w:t>
            </w:r>
            <w:r>
              <w:rPr>
                <w:rFonts w:ascii="宋体" w:hAnsi="宋体" w:cs="宋体" w:eastAsia="宋体" w:hint="default"/>
                <w:sz w:val="21"/>
                <w:szCs w:val="21"/>
              </w:rPr>
              <w:t>孙公司</w:t>
            </w:r>
            <w:r>
              <w:rPr>
                <w:rFonts w:ascii="宋体" w:hAnsi="宋体" w:cs="宋体" w:eastAsia="宋体" w:hint="default"/>
                <w:w w:val="100"/>
                <w:sz w:val="21"/>
                <w:szCs w:val="21"/>
              </w:rPr>
              <w:t> </w:t>
            </w:r>
            <w:r>
              <w:rPr>
                <w:rFonts w:ascii="宋体" w:hAnsi="宋体" w:cs="宋体" w:eastAsia="宋体" w:hint="default"/>
                <w:sz w:val="21"/>
                <w:szCs w:val="21"/>
              </w:rPr>
              <w:t>简称</w:t>
            </w:r>
          </w:p>
        </w:tc>
        <w:tc>
          <w:tcPr>
            <w:tcW w:w="1558" w:type="dxa"/>
            <w:tcBorders>
              <w:top w:val="single" w:sz="6" w:space="0" w:color="000000"/>
              <w:left w:val="single" w:sz="6" w:space="0" w:color="000000"/>
              <w:bottom w:val="single" w:sz="8" w:space="0" w:color="000000"/>
              <w:right w:val="single" w:sz="6" w:space="0" w:color="000000"/>
            </w:tcBorders>
          </w:tcPr>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报告期间</w:t>
            </w:r>
          </w:p>
        </w:tc>
        <w:tc>
          <w:tcPr>
            <w:tcW w:w="2127" w:type="dxa"/>
            <w:tcBorders>
              <w:top w:val="single" w:sz="6" w:space="0" w:color="000000"/>
              <w:left w:val="single" w:sz="6" w:space="0" w:color="000000"/>
              <w:bottom w:val="single" w:sz="8" w:space="0" w:color="000000"/>
              <w:right w:val="nil" w:sz="6" w:space="0" w:color="auto"/>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未纳入合并范围原因</w:t>
            </w:r>
          </w:p>
        </w:tc>
      </w:tr>
      <w:tr>
        <w:trPr>
          <w:trHeight w:val="348" w:hRule="exact"/>
        </w:trPr>
        <w:tc>
          <w:tcPr>
            <w:tcW w:w="8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4" w:right="0"/>
              <w:jc w:val="center"/>
              <w:rPr>
                <w:rFonts w:ascii="Times New Roman" w:hAnsi="Times New Roman" w:cs="Times New Roman" w:eastAsia="Times New Roman" w:hint="default"/>
                <w:sz w:val="21"/>
                <w:szCs w:val="21"/>
              </w:rPr>
            </w:pPr>
            <w:r>
              <w:rPr>
                <w:rFonts w:ascii="Times New Roman"/>
                <w:w w:val="100"/>
                <w:sz w:val="21"/>
              </w:rPr>
              <w:t>1</w:t>
            </w:r>
          </w:p>
        </w:tc>
        <w:tc>
          <w:tcPr>
            <w:tcW w:w="2977"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南京润辰科技有限公司</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润辰科技</w:t>
            </w:r>
          </w:p>
        </w:tc>
        <w:tc>
          <w:tcPr>
            <w:tcW w:w="1558"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1-4</w:t>
            </w:r>
            <w:r>
              <w:rPr>
                <w:rFonts w:ascii="宋体" w:hAnsi="宋体" w:cs="宋体" w:eastAsia="宋体" w:hint="default"/>
                <w:sz w:val="21"/>
                <w:szCs w:val="21"/>
              </w:rPr>
              <w:t>月</w:t>
            </w:r>
          </w:p>
        </w:tc>
        <w:tc>
          <w:tcPr>
            <w:tcW w:w="2127"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出售股权</w:t>
            </w:r>
          </w:p>
        </w:tc>
      </w:tr>
      <w:tr>
        <w:trPr>
          <w:trHeight w:val="346" w:hRule="exact"/>
        </w:trPr>
        <w:tc>
          <w:tcPr>
            <w:tcW w:w="8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w w:val="100"/>
                <w:sz w:val="21"/>
              </w:rPr>
              <w:t>2</w:t>
            </w:r>
          </w:p>
        </w:tc>
        <w:tc>
          <w:tcPr>
            <w:tcW w:w="2977"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北京润链科技有限公司</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北京润链</w:t>
            </w:r>
          </w:p>
        </w:tc>
        <w:tc>
          <w:tcPr>
            <w:tcW w:w="1558" w:type="dxa"/>
            <w:tcBorders>
              <w:top w:val="single" w:sz="8" w:space="0" w:color="000000"/>
              <w:left w:val="single" w:sz="6" w:space="0" w:color="000000"/>
              <w:bottom w:val="single" w:sz="8" w:space="0" w:color="000000"/>
              <w:right w:val="single" w:sz="6" w:space="0" w:color="000000"/>
            </w:tcBorders>
          </w:tcPr>
          <w:p>
            <w:pPr>
              <w:pStyle w:val="TableParagraph"/>
              <w:spacing w:line="283"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1-4</w:t>
            </w:r>
            <w:r>
              <w:rPr>
                <w:rFonts w:ascii="宋体" w:hAnsi="宋体" w:cs="宋体" w:eastAsia="宋体" w:hint="default"/>
                <w:sz w:val="21"/>
                <w:szCs w:val="21"/>
              </w:rPr>
              <w:t>月</w:t>
            </w:r>
          </w:p>
        </w:tc>
        <w:tc>
          <w:tcPr>
            <w:tcW w:w="2127" w:type="dxa"/>
            <w:tcBorders>
              <w:top w:val="single" w:sz="8" w:space="0" w:color="000000"/>
              <w:left w:val="single" w:sz="6" w:space="0" w:color="000000"/>
              <w:bottom w:val="single" w:sz="8" w:space="0" w:color="000000"/>
              <w:right w:val="nil" w:sz="6" w:space="0" w:color="auto"/>
            </w:tcBorders>
          </w:tcPr>
          <w:p>
            <w:pPr>
              <w:pStyle w:val="TableParagraph"/>
              <w:spacing w:line="267" w:lineRule="exact"/>
              <w:ind w:right="3"/>
              <w:jc w:val="center"/>
              <w:rPr>
                <w:rFonts w:ascii="宋体" w:hAnsi="宋体" w:cs="宋体" w:eastAsia="宋体" w:hint="default"/>
                <w:sz w:val="21"/>
                <w:szCs w:val="21"/>
              </w:rPr>
            </w:pPr>
            <w:r>
              <w:rPr>
                <w:rFonts w:ascii="宋体" w:hAnsi="宋体" w:cs="宋体" w:eastAsia="宋体" w:hint="default"/>
                <w:sz w:val="21"/>
                <w:szCs w:val="21"/>
              </w:rPr>
              <w:t>出售股权</w:t>
            </w:r>
          </w:p>
        </w:tc>
      </w:tr>
      <w:tr>
        <w:trPr>
          <w:trHeight w:val="348" w:hRule="exact"/>
        </w:trPr>
        <w:tc>
          <w:tcPr>
            <w:tcW w:w="8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4" w:right="0"/>
              <w:jc w:val="center"/>
              <w:rPr>
                <w:rFonts w:ascii="Times New Roman" w:hAnsi="Times New Roman" w:cs="Times New Roman" w:eastAsia="Times New Roman" w:hint="default"/>
                <w:sz w:val="21"/>
                <w:szCs w:val="21"/>
              </w:rPr>
            </w:pPr>
            <w:r>
              <w:rPr>
                <w:rFonts w:ascii="Times New Roman"/>
                <w:w w:val="100"/>
                <w:sz w:val="21"/>
              </w:rPr>
              <w:t>3</w:t>
            </w:r>
          </w:p>
        </w:tc>
        <w:tc>
          <w:tcPr>
            <w:tcW w:w="2977"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润和云（上海）科技有限公司</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润和润云</w:t>
            </w:r>
          </w:p>
        </w:tc>
        <w:tc>
          <w:tcPr>
            <w:tcW w:w="1558"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1-5</w:t>
            </w:r>
            <w:r>
              <w:rPr>
                <w:rFonts w:ascii="宋体" w:hAnsi="宋体" w:cs="宋体" w:eastAsia="宋体" w:hint="default"/>
                <w:sz w:val="21"/>
                <w:szCs w:val="21"/>
              </w:rPr>
              <w:t>月</w:t>
            </w:r>
          </w:p>
        </w:tc>
        <w:tc>
          <w:tcPr>
            <w:tcW w:w="2127"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注销</w:t>
            </w:r>
          </w:p>
        </w:tc>
      </w:tr>
      <w:tr>
        <w:trPr>
          <w:trHeight w:val="348" w:hRule="exact"/>
        </w:trPr>
        <w:tc>
          <w:tcPr>
            <w:tcW w:w="8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w w:val="100"/>
                <w:sz w:val="21"/>
              </w:rPr>
              <w:t>4</w:t>
            </w:r>
          </w:p>
        </w:tc>
        <w:tc>
          <w:tcPr>
            <w:tcW w:w="2977"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新维数联（北京）科技有限公司</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新维数联</w:t>
            </w:r>
          </w:p>
        </w:tc>
        <w:tc>
          <w:tcPr>
            <w:tcW w:w="1558" w:type="dxa"/>
            <w:tcBorders>
              <w:top w:val="single" w:sz="8" w:space="0" w:color="000000"/>
              <w:left w:val="single" w:sz="6" w:space="0" w:color="000000"/>
              <w:bottom w:val="single" w:sz="8" w:space="0" w:color="000000"/>
              <w:right w:val="single" w:sz="6" w:space="0" w:color="000000"/>
            </w:tcBorders>
          </w:tcPr>
          <w:p>
            <w:pPr/>
          </w:p>
        </w:tc>
        <w:tc>
          <w:tcPr>
            <w:tcW w:w="2127" w:type="dxa"/>
            <w:tcBorders>
              <w:top w:val="single" w:sz="8" w:space="0" w:color="000000"/>
              <w:left w:val="single" w:sz="6" w:space="0" w:color="000000"/>
              <w:bottom w:val="single" w:sz="8" w:space="0" w:color="000000"/>
              <w:right w:val="nil" w:sz="6" w:space="0" w:color="auto"/>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pacing w:val="-2"/>
                <w:sz w:val="21"/>
                <w:szCs w:val="21"/>
              </w:rPr>
              <w:t>解除股东会表决权委托</w:t>
            </w:r>
          </w:p>
        </w:tc>
      </w:tr>
    </w:tbl>
    <w:p>
      <w:pPr>
        <w:pStyle w:val="BodyText"/>
        <w:spacing w:line="240" w:lineRule="auto" w:before="8"/>
        <w:ind w:left="657" w:right="0"/>
        <w:jc w:val="left"/>
      </w:pPr>
      <w:r>
        <w:rPr/>
        <w:t>本期新增及减少子公司的具体情况详见本附注八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after="0" w:line="2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367" w:lineRule="exact"/>
        <w:ind w:right="0"/>
        <w:jc w:val="both"/>
        <w:rPr>
          <w:b w:val="0"/>
          <w:bCs w:val="0"/>
        </w:rPr>
      </w:pPr>
      <w:r>
        <w:rPr/>
        <w:t>四、财务报表的编制基础</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09" w:lineRule="auto"/>
        <w:ind w:right="1128" w:firstLine="504"/>
        <w:jc w:val="both"/>
      </w:pPr>
      <w:r>
        <w:rPr>
          <w:spacing w:val="-1"/>
        </w:rPr>
        <w:t>本公司以持续经营为基础，根据实际发生的交易和事项，按照企业会计准则及其应用指南和准则解释的规定进行确认</w:t>
      </w:r>
      <w:r>
        <w:rPr/>
        <w:t> </w:t>
      </w:r>
      <w:r>
        <w:rPr>
          <w:spacing w:val="-2"/>
        </w:rPr>
        <w:t>和计量，在此基础上编制财务报表。此外，本公司还按照中国证监会《公开发行证券的公司信息披露编报规则第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w:t>
      </w:r>
      <w:r>
        <w:rPr>
          <w:spacing w:val="-61"/>
        </w:rPr>
        <w:t> </w:t>
      </w:r>
      <w:r>
        <w:rPr/>
        <w:t>务报告的一般规定》（</w:t>
      </w:r>
      <w:r>
        <w:rPr>
          <w:rFonts w:ascii="Times New Roman" w:hAnsi="Times New Roman" w:cs="Times New Roman" w:eastAsia="Times New Roman" w:hint="default"/>
        </w:rPr>
        <w:t>2014</w:t>
      </w:r>
      <w:r>
        <w:rPr/>
        <w:t>年修订）披露有关财务信息。</w:t>
      </w:r>
    </w:p>
    <w:p>
      <w:pPr>
        <w:spacing w:line="240" w:lineRule="auto" w:before="8"/>
        <w:rPr>
          <w:rFonts w:ascii="宋体" w:hAnsi="宋体" w:cs="宋体" w:eastAsia="宋体" w:hint="default"/>
          <w:sz w:val="16"/>
          <w:szCs w:val="16"/>
        </w:rPr>
      </w:pPr>
    </w:p>
    <w:p>
      <w:pPr>
        <w:pStyle w:val="Heading3"/>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121" w:firstLine="504"/>
        <w:jc w:val="left"/>
      </w:pPr>
      <w:r>
        <w:rPr>
          <w:spacing w:val="-1"/>
        </w:rPr>
        <w:t>本公司对自报告期末起</w:t>
      </w:r>
      <w:r>
        <w:rPr>
          <w:rFonts w:ascii="Times New Roman" w:hAnsi="Times New Roman" w:cs="Times New Roman" w:eastAsia="Times New Roman" w:hint="default"/>
          <w:spacing w:val="-1"/>
        </w:rPr>
        <w:t>12</w:t>
      </w:r>
      <w:r>
        <w:rPr>
          <w:spacing w:val="-1"/>
        </w:rPr>
        <w:t>个月的持续经营能力进行了评估，未发现影响本公司持续经营能力的事项，本公司以持续经</w:t>
      </w:r>
      <w:r>
        <w:rPr/>
        <w:t> 营为基础编制财务报表是合理的。</w:t>
      </w:r>
    </w:p>
    <w:p>
      <w:pPr>
        <w:spacing w:line="240" w:lineRule="auto" w:before="0"/>
        <w:rPr>
          <w:rFonts w:ascii="宋体" w:hAnsi="宋体" w:cs="宋体" w:eastAsia="宋体" w:hint="default"/>
          <w:sz w:val="16"/>
          <w:szCs w:val="16"/>
        </w:rPr>
      </w:pPr>
    </w:p>
    <w:p>
      <w:pPr>
        <w:pStyle w:val="Heading2"/>
        <w:spacing w:line="240" w:lineRule="auto"/>
        <w:ind w:right="0"/>
        <w:jc w:val="both"/>
        <w:rPr>
          <w:b w:val="0"/>
          <w:bCs w:val="0"/>
        </w:rPr>
      </w:pPr>
      <w:r>
        <w:rPr/>
        <w:t>五、重要会计政策及会计估计</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60" w:lineRule="auto"/>
        <w:ind w:left="657" w:right="1249" w:hanging="504"/>
        <w:jc w:val="left"/>
      </w:pPr>
      <w:r>
        <w:rPr/>
        <w:t>具体会计政策和会计估计提示： 本公司下列重要会计政策、会计估计根据企业会计准则制定。未提及的业务按企业会计准则中相关会计政策执行。</w:t>
      </w:r>
    </w:p>
    <w:p>
      <w:pPr>
        <w:spacing w:line="240" w:lineRule="auto" w:before="3"/>
        <w:rPr>
          <w:rFonts w:ascii="宋体" w:hAnsi="宋体" w:cs="宋体" w:eastAsia="宋体" w:hint="default"/>
          <w:sz w:val="15"/>
          <w:szCs w:val="15"/>
        </w:rPr>
      </w:pPr>
    </w:p>
    <w:p>
      <w:pPr>
        <w:pStyle w:val="Heading3"/>
        <w:spacing w:line="240" w:lineRule="auto"/>
        <w:ind w:right="0"/>
        <w:jc w:val="both"/>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120" w:firstLine="504"/>
        <w:jc w:val="left"/>
      </w:pPr>
      <w:r>
        <w:rPr>
          <w:spacing w:val="-1"/>
        </w:rPr>
        <w:t>本公司所编制的财务报表符合企业会计准则的要求，真实、完整地反映了公司的财务状况、经营成果、所有者权益变</w:t>
      </w:r>
      <w:r>
        <w:rPr/>
        <w:t> 动和现金流量等有关信息。</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657" w:right="0"/>
        <w:jc w:val="left"/>
      </w:pPr>
      <w:r>
        <w:rPr/>
        <w:t>本公司会计年度自公历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657" w:right="0"/>
        <w:jc w:val="left"/>
      </w:pPr>
      <w:r>
        <w:rPr/>
        <w:t>本公司正常营业周期为一年。</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657" w:right="0"/>
        <w:jc w:val="left"/>
      </w:pPr>
      <w:r>
        <w:rPr/>
        <w:t>本公司的记账本位币为人民币，境外子公司按经营所处的主要经济环境中的货币为记账本位币。</w:t>
      </w:r>
    </w:p>
    <w:p>
      <w:pPr>
        <w:spacing w:line="240" w:lineRule="auto" w:before="2"/>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657" w:right="1120"/>
        <w:jc w:val="left"/>
      </w:pPr>
      <w:r>
        <w:rPr/>
        <w:t>（</w:t>
      </w:r>
      <w:r>
        <w:rPr>
          <w:rFonts w:ascii="Times New Roman" w:hAnsi="Times New Roman" w:cs="Times New Roman" w:eastAsia="Times New Roman" w:hint="default"/>
        </w:rPr>
        <w:t>1</w:t>
      </w:r>
      <w:r>
        <w:rPr/>
        <w:t>）同一控制下的企业合并 </w:t>
      </w:r>
      <w:r>
        <w:rPr>
          <w:spacing w:val="-1"/>
        </w:rPr>
        <w:t>本公司在企业合并中取得的资产和负债，在合并日按取得被合并方在最终控制方合并财务报表中的账面价值计量。其</w:t>
      </w:r>
    </w:p>
    <w:p>
      <w:pPr>
        <w:pStyle w:val="BodyText"/>
        <w:spacing w:line="316" w:lineRule="auto" w:before="31"/>
        <w:ind w:right="1129"/>
        <w:jc w:val="both"/>
      </w:pPr>
      <w:r>
        <w:rPr>
          <w:spacing w:val="-2"/>
        </w:rPr>
        <w:t>中，对于被合并方与本公司在企业合并前采用的会计政策不同的，基于重要性原则统一会计政策，即按照本公司的会计政策</w:t>
      </w:r>
      <w:r>
        <w:rPr>
          <w:spacing w:val="-63"/>
        </w:rPr>
        <w:t> </w:t>
      </w:r>
      <w:r>
        <w:rPr>
          <w:spacing w:val="-63"/>
        </w:rPr>
      </w:r>
      <w:r>
        <w:rPr>
          <w:spacing w:val="-2"/>
        </w:rPr>
        <w:t>对被合并方资产、负债的账面价值进行调整。本公司在企业合并中取得的净资产账面价值与所支付对价的账面价值之间存在</w:t>
      </w:r>
      <w:r>
        <w:rPr>
          <w:spacing w:val="-64"/>
        </w:rPr>
        <w:t> </w:t>
      </w:r>
      <w:r>
        <w:rPr>
          <w:spacing w:val="-64"/>
        </w:rPr>
      </w:r>
      <w:r>
        <w:rPr>
          <w:spacing w:val="-2"/>
        </w:rPr>
        <w:t>差额的，首先调整资本公积（资本溢价或股本溢价），资本公积（资本溢价或股本溢价）的余额不足冲减的，依次冲减盈余</w:t>
      </w:r>
      <w:r>
        <w:rPr>
          <w:spacing w:val="-73"/>
        </w:rPr>
        <w:t> </w:t>
      </w:r>
      <w:r>
        <w:rPr>
          <w:spacing w:val="-73"/>
        </w:rPr>
      </w:r>
      <w:r>
        <w:rPr/>
        <w:t>公积和未分配利润。</w:t>
      </w:r>
    </w:p>
    <w:p>
      <w:pPr>
        <w:pStyle w:val="BodyText"/>
        <w:spacing w:line="240" w:lineRule="auto" w:before="18"/>
        <w:ind w:left="657" w:right="0"/>
        <w:jc w:val="left"/>
      </w:pPr>
      <w:r>
        <w:rPr/>
        <w:t>通过分步交易实现同一控制下企业合并的会计处理方法见</w:t>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w:t>
      </w:r>
      <w:r>
        <w:rPr/>
        <w:t>。</w:t>
      </w:r>
    </w:p>
    <w:p>
      <w:pPr>
        <w:pStyle w:val="BodyText"/>
        <w:spacing w:line="240" w:lineRule="auto" w:before="63"/>
        <w:ind w:left="657" w:right="0"/>
        <w:jc w:val="left"/>
      </w:pPr>
      <w:r>
        <w:rPr/>
        <w:t>（</w:t>
      </w:r>
      <w:r>
        <w:rPr>
          <w:rFonts w:ascii="Times New Roman" w:hAnsi="Times New Roman" w:cs="Times New Roman" w:eastAsia="Times New Roman" w:hint="default"/>
        </w:rPr>
        <w:t>2</w:t>
      </w:r>
      <w:r>
        <w:rPr/>
        <w:t>）非同一控制下的企业合并</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28" w:firstLine="504"/>
        <w:jc w:val="both"/>
      </w:pPr>
      <w:r>
        <w:rPr>
          <w:spacing w:val="-1"/>
        </w:rPr>
        <w:t>本公司在企业合并中取得的被购买方各项可辨认资产和负债，在购买日按其公允价值计量。其中，对于被购买方与本</w:t>
      </w:r>
      <w:r>
        <w:rPr/>
        <w:t> </w:t>
      </w:r>
      <w:r>
        <w:rPr>
          <w:spacing w:val="-2"/>
        </w:rPr>
        <w:t>公司在企业合并前采用的会计政策不同的，基于重要性原则统一会计政策，即按照本公司的会计政策对被购买方资产、负债</w:t>
      </w:r>
      <w:r>
        <w:rPr>
          <w:spacing w:val="-63"/>
        </w:rPr>
        <w:t> </w:t>
      </w:r>
      <w:r>
        <w:rPr>
          <w:spacing w:val="-63"/>
        </w:rPr>
      </w:r>
      <w:r>
        <w:rPr>
          <w:spacing w:val="-2"/>
        </w:rPr>
        <w:t>的账面价值进行调整。本公司在购买日的合并成本大于企业合并中取得的被购买方可辨认资产、负债公允价值的差额，确认</w:t>
      </w:r>
      <w:r>
        <w:rPr>
          <w:spacing w:val="-65"/>
        </w:rPr>
        <w:t> </w:t>
      </w:r>
      <w:r>
        <w:rPr>
          <w:spacing w:val="-65"/>
        </w:rPr>
      </w:r>
      <w:r>
        <w:rPr>
          <w:spacing w:val="-2"/>
        </w:rPr>
        <w:t>为商誉；如果合并成本小于企业合并中取得的被购买方可辨认资产、负债公允价值的差额，首先对合并成本以及在企业合并</w:t>
      </w:r>
      <w:r>
        <w:rPr>
          <w:spacing w:val="-63"/>
        </w:rPr>
        <w:t> </w:t>
      </w:r>
      <w:r>
        <w:rPr>
          <w:spacing w:val="-63"/>
        </w:rPr>
      </w:r>
      <w:r>
        <w:rPr>
          <w:spacing w:val="-2"/>
        </w:rPr>
        <w:t>中取得的被购买方可辨认资产、负债的公允价值进行复核，经复核后合并成本仍小于取得的被购买方可辨认资产、负债公允</w:t>
      </w:r>
      <w:r>
        <w:rPr>
          <w:spacing w:val="-65"/>
        </w:rPr>
        <w:t> </w:t>
      </w:r>
      <w:r>
        <w:rPr>
          <w:spacing w:val="-65"/>
        </w:rPr>
      </w:r>
      <w:r>
        <w:rPr/>
        <w:t>价值的，其差额确认为合并当期损益。</w:t>
      </w:r>
    </w:p>
    <w:p>
      <w:pPr>
        <w:pStyle w:val="BodyText"/>
        <w:spacing w:line="240" w:lineRule="auto" w:before="19"/>
        <w:ind w:left="657" w:right="0"/>
        <w:jc w:val="left"/>
      </w:pPr>
      <w:r>
        <w:rPr/>
        <w:t>通过分步交易实现非同一控制下企业合并的会计处理方法见</w:t>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1"/>
          <w:szCs w:val="21"/>
        </w:rPr>
      </w:pPr>
    </w:p>
    <w:p>
      <w:pPr>
        <w:pStyle w:val="Heading3"/>
        <w:spacing w:line="240" w:lineRule="auto"/>
        <w:ind w:left="139" w:right="8121"/>
        <w:jc w:val="center"/>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657" w:right="0"/>
        <w:jc w:val="left"/>
      </w:pPr>
      <w:r>
        <w:rPr/>
        <w:t>（</w:t>
      </w:r>
      <w:r>
        <w:rPr>
          <w:rFonts w:ascii="Times New Roman" w:hAnsi="Times New Roman" w:cs="Times New Roman" w:eastAsia="Times New Roman" w:hint="default"/>
        </w:rPr>
        <w:t>1</w:t>
      </w:r>
      <w:r>
        <w:rPr/>
        <w:t>）合并范围的确定</w:t>
      </w:r>
    </w:p>
    <w:p>
      <w:pPr>
        <w:pStyle w:val="BodyText"/>
        <w:spacing w:line="300" w:lineRule="auto" w:before="63"/>
        <w:ind w:right="1130" w:firstLine="504"/>
        <w:jc w:val="left"/>
      </w:pPr>
      <w:r>
        <w:rPr/>
        <w:t>合并财务报表的合并范围以控制为基础予以确定</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不仅包括根据表决权（或类似表决权）本身或者结合其他安排确定 的子公司，也包括基于一项或多项合同安排决定的结构化主体。</w:t>
      </w:r>
    </w:p>
    <w:p>
      <w:pPr>
        <w:pStyle w:val="BodyText"/>
        <w:spacing w:line="316" w:lineRule="auto" w:before="31"/>
        <w:ind w:right="1130" w:firstLine="504"/>
        <w:jc w:val="both"/>
      </w:pPr>
      <w:r>
        <w:rPr>
          <w:spacing w:val="-1"/>
        </w:rPr>
        <w:t>控制是指本公司拥有对被投资方的权力，通过参与被投资方的相关活动而享有可变回报，并且有能力运用对被投资方</w:t>
      </w:r>
      <w:r>
        <w:rPr/>
        <w:t> </w:t>
      </w:r>
      <w:r>
        <w:rPr>
          <w:spacing w:val="-2"/>
        </w:rPr>
        <w:t>的权力影响其回报金额。子公司是指被本公司控制的主体（含企业、被投资单位中可分割的部分，以及企业所控制的结构化</w:t>
      </w:r>
      <w:r>
        <w:rPr>
          <w:spacing w:val="-63"/>
        </w:rPr>
        <w:t> </w:t>
      </w:r>
      <w:r>
        <w:rPr>
          <w:spacing w:val="-63"/>
        </w:rPr>
      </w:r>
      <w:r>
        <w:rPr>
          <w:spacing w:val="-2"/>
        </w:rPr>
        <w:t>主体等），结构化主体是指在确定其控制方时没有将表决权或类似权利作为决定性因素而设计的主体（注：有时也称为特殊</w:t>
      </w:r>
      <w:r>
        <w:rPr>
          <w:spacing w:val="-66"/>
        </w:rPr>
        <w:t> </w:t>
      </w:r>
      <w:r>
        <w:rPr>
          <w:spacing w:val="-66"/>
        </w:rPr>
      </w:r>
      <w:r>
        <w:rPr/>
        <w:t>目的主体）。</w:t>
      </w:r>
    </w:p>
    <w:p>
      <w:pPr>
        <w:pStyle w:val="BodyText"/>
        <w:spacing w:line="300" w:lineRule="auto" w:before="19"/>
        <w:ind w:left="657" w:right="3589"/>
        <w:jc w:val="left"/>
      </w:pPr>
      <w:r>
        <w:rPr/>
        <w:t>（</w:t>
      </w:r>
      <w:r>
        <w:rPr>
          <w:rFonts w:ascii="Times New Roman" w:hAnsi="Times New Roman" w:cs="Times New Roman" w:eastAsia="Times New Roman" w:hint="default"/>
        </w:rPr>
        <w:t>2</w:t>
      </w:r>
      <w:r>
        <w:rPr/>
        <w:t>）合并财务报表的编制方法 本公司以自身和子公司的财务报表为基础，根据其他有关资料，编制合并财务报表。</w:t>
      </w:r>
    </w:p>
    <w:p>
      <w:pPr>
        <w:pStyle w:val="BodyText"/>
        <w:spacing w:line="316" w:lineRule="auto" w:before="31"/>
        <w:ind w:right="1120" w:firstLine="504"/>
        <w:jc w:val="left"/>
      </w:pPr>
      <w:r>
        <w:rPr>
          <w:spacing w:val="-1"/>
        </w:rPr>
        <w:t>本公司编制合并财务报表，将整个企业集团视为一个会计主体，依据相关企业会计准则的确认、计量和列报要求，按</w:t>
      </w:r>
      <w:r>
        <w:rPr/>
        <w:t> 照统一的会计政策和会计期间，反映企业集团整体财务状况、经营成果和现金流量。</w:t>
      </w:r>
    </w:p>
    <w:p>
      <w:pPr>
        <w:pStyle w:val="BodyText"/>
        <w:spacing w:line="240" w:lineRule="auto" w:before="19"/>
        <w:ind w:left="657" w:right="0"/>
        <w:jc w:val="left"/>
      </w:pPr>
      <w:r>
        <w:rPr/>
        <w:t>①合并母公司与子公司的资产、负债、所有者权益、收入、费用和现金流等项目。</w:t>
      </w:r>
    </w:p>
    <w:p>
      <w:pPr>
        <w:pStyle w:val="BodyText"/>
        <w:spacing w:line="240" w:lineRule="auto" w:before="76"/>
        <w:ind w:left="657" w:right="0"/>
        <w:jc w:val="left"/>
      </w:pPr>
      <w:r>
        <w:rPr/>
        <w:t>②抵销母公司对子公司的长期股权投资与母公司在子公司所有者权益中所享有的份额。</w:t>
      </w:r>
    </w:p>
    <w:p>
      <w:pPr>
        <w:pStyle w:val="BodyText"/>
        <w:spacing w:line="316" w:lineRule="auto" w:before="77"/>
        <w:ind w:right="1120" w:firstLine="504"/>
        <w:jc w:val="left"/>
      </w:pPr>
      <w:r>
        <w:rPr>
          <w:spacing w:val="-1"/>
        </w:rPr>
        <w:t>③抵销母公司与子公司、子公司相互之间发生的内部交易的影响。内部交易表明相关资产发生减值损失的，应当全额</w:t>
      </w:r>
      <w:r>
        <w:rPr/>
        <w:t> 确认该部分损失。</w:t>
      </w:r>
    </w:p>
    <w:p>
      <w:pPr>
        <w:pStyle w:val="BodyText"/>
        <w:spacing w:line="240" w:lineRule="auto" w:before="19"/>
        <w:ind w:left="657" w:right="0"/>
        <w:jc w:val="left"/>
      </w:pPr>
      <w:r>
        <w:rPr/>
        <w:t>④站在企业集团角度对特殊交易事项予以调整。</w:t>
      </w:r>
    </w:p>
    <w:p>
      <w:pPr>
        <w:pStyle w:val="BodyText"/>
        <w:spacing w:line="240" w:lineRule="auto" w:before="76"/>
        <w:ind w:left="657" w:right="0"/>
        <w:jc w:val="left"/>
      </w:pPr>
      <w:r>
        <w:rPr/>
        <w:t>（</w:t>
      </w:r>
      <w:r>
        <w:rPr>
          <w:rFonts w:ascii="Times New Roman" w:hAnsi="Times New Roman" w:cs="Times New Roman" w:eastAsia="Times New Roman" w:hint="default"/>
        </w:rPr>
        <w:t>3</w:t>
      </w:r>
      <w:r>
        <w:rPr/>
        <w:t>）报告期内增减子公司的处理</w:t>
      </w:r>
    </w:p>
    <w:p>
      <w:pPr>
        <w:pStyle w:val="BodyText"/>
        <w:spacing w:line="240" w:lineRule="auto" w:before="63"/>
        <w:ind w:left="657" w:right="0"/>
        <w:jc w:val="left"/>
      </w:pPr>
      <w:r>
        <w:rPr/>
        <w:t>①增加子公司或业务</w:t>
      </w:r>
    </w:p>
    <w:p>
      <w:pPr>
        <w:pStyle w:val="BodyText"/>
        <w:spacing w:line="240" w:lineRule="auto" w:before="76"/>
        <w:ind w:left="659" w:right="0"/>
        <w:jc w:val="left"/>
      </w:pPr>
      <w:r>
        <w:rPr>
          <w:rFonts w:ascii="Times New Roman" w:hAnsi="Times New Roman" w:cs="Times New Roman" w:eastAsia="Times New Roman" w:hint="default"/>
        </w:rPr>
        <w:t>A.</w:t>
      </w:r>
      <w:r>
        <w:rPr/>
        <w:t>同一控制下企业合并增加的子公司或业务</w:t>
      </w:r>
    </w:p>
    <w:p>
      <w:pPr>
        <w:pStyle w:val="BodyText"/>
        <w:spacing w:line="300" w:lineRule="auto" w:before="63"/>
        <w:ind w:right="1169" w:firstLine="504"/>
        <w:jc w:val="left"/>
      </w:pPr>
      <w:r>
        <w:rPr/>
        <w:t>（</w:t>
      </w:r>
      <w:r>
        <w:rPr>
          <w:rFonts w:ascii="Times New Roman" w:hAnsi="Times New Roman" w:cs="Times New Roman" w:eastAsia="Times New Roman" w:hint="default"/>
        </w:rPr>
        <w:t>a</w:t>
      </w:r>
      <w:r>
        <w:rPr/>
        <w:t>）编制合并资产负债表时，调整合并资产负债表的期初数，同时对比较报表的相关项目进行调整，视同合并后的 报告主体自最终控制方开始控制时点起一直存在。</w:t>
      </w:r>
    </w:p>
    <w:p>
      <w:pPr>
        <w:pStyle w:val="BodyText"/>
        <w:spacing w:line="300" w:lineRule="auto" w:before="31"/>
        <w:ind w:right="1159" w:firstLine="504"/>
        <w:jc w:val="left"/>
      </w:pPr>
      <w:r>
        <w:rPr/>
        <w:t>（</w:t>
      </w:r>
      <w:r>
        <w:rPr>
          <w:rFonts w:ascii="Times New Roman" w:hAnsi="Times New Roman" w:cs="Times New Roman" w:eastAsia="Times New Roman" w:hint="default"/>
        </w:rPr>
        <w:t>b</w:t>
      </w:r>
      <w:r>
        <w:rPr/>
        <w:t>）编制合并利润表时，将该子公司以及业务合并当期期初至报告期末的收入、费用、利润纳入合并利润表，同时 对比较报表的相关项目进行调整，视同合并后的报告主体自最终控制方开始控制时点起一直存在。</w:t>
      </w:r>
    </w:p>
    <w:p>
      <w:pPr>
        <w:pStyle w:val="BodyText"/>
        <w:spacing w:line="300" w:lineRule="auto" w:before="31"/>
        <w:ind w:right="1169" w:firstLine="504"/>
        <w:jc w:val="left"/>
      </w:pPr>
      <w:r>
        <w:rPr/>
        <w:t>（</w:t>
      </w:r>
      <w:r>
        <w:rPr>
          <w:rFonts w:ascii="Times New Roman" w:hAnsi="Times New Roman" w:cs="Times New Roman" w:eastAsia="Times New Roman" w:hint="default"/>
        </w:rPr>
        <w:t>c</w:t>
      </w:r>
      <w:r>
        <w:rPr/>
        <w:t>）编制合并现金流量表时，将该子公司以及业务合并当期期初至报告期末的现金流量纳入合并现金流量表，同时 对比较报表的相关项目进行调整，视同合并后的报告主体自最终控制方开始控制时点起一直存在。</w:t>
      </w:r>
    </w:p>
    <w:p>
      <w:pPr>
        <w:pStyle w:val="BodyText"/>
        <w:spacing w:line="240" w:lineRule="auto" w:before="31"/>
        <w:ind w:left="657" w:right="0"/>
        <w:jc w:val="left"/>
      </w:pPr>
      <w:r>
        <w:rPr>
          <w:rFonts w:ascii="Times New Roman" w:hAnsi="Times New Roman" w:cs="Times New Roman" w:eastAsia="Times New Roman" w:hint="default"/>
        </w:rPr>
        <w:t>B.</w:t>
      </w:r>
      <w:r>
        <w:rPr/>
        <w:t>非同一控制下企业合并增加的子公司或业务</w:t>
      </w:r>
    </w:p>
    <w:p>
      <w:pPr>
        <w:pStyle w:val="BodyText"/>
        <w:spacing w:line="240" w:lineRule="auto" w:before="60"/>
        <w:ind w:left="657" w:right="0"/>
        <w:jc w:val="left"/>
      </w:pPr>
      <w:r>
        <w:rPr/>
        <w:t>（</w:t>
      </w:r>
      <w:r>
        <w:rPr>
          <w:rFonts w:ascii="Times New Roman" w:hAnsi="Times New Roman" w:cs="Times New Roman" w:eastAsia="Times New Roman" w:hint="default"/>
        </w:rPr>
        <w:t>a</w:t>
      </w:r>
      <w:r>
        <w:rPr/>
        <w:t>）编制合并资产负债表时，不调整合并资产负债表的期初数。</w:t>
      </w:r>
    </w:p>
    <w:p>
      <w:pPr>
        <w:pStyle w:val="BodyText"/>
        <w:spacing w:line="240" w:lineRule="auto" w:before="63"/>
        <w:ind w:left="657" w:right="0"/>
        <w:jc w:val="left"/>
      </w:pPr>
      <w:r>
        <w:rPr/>
        <w:t>（</w:t>
      </w:r>
      <w:r>
        <w:rPr>
          <w:rFonts w:ascii="Times New Roman" w:hAnsi="Times New Roman" w:cs="Times New Roman" w:eastAsia="Times New Roman" w:hint="default"/>
        </w:rPr>
        <w:t>b</w:t>
      </w:r>
      <w:r>
        <w:rPr/>
        <w:t>）编制合并利润表时，将该子公司以及业务购买日至报告期末的收入、费用、利润纳入合并利润表。</w:t>
      </w:r>
    </w:p>
    <w:p>
      <w:pPr>
        <w:pStyle w:val="BodyText"/>
        <w:spacing w:line="240" w:lineRule="auto" w:before="63"/>
        <w:ind w:left="657" w:right="0"/>
        <w:jc w:val="left"/>
      </w:pPr>
      <w:r>
        <w:rPr/>
        <w:t>（</w:t>
      </w:r>
      <w:r>
        <w:rPr>
          <w:rFonts w:ascii="Times New Roman" w:hAnsi="Times New Roman" w:cs="Times New Roman" w:eastAsia="Times New Roman" w:hint="default"/>
        </w:rPr>
        <w:t>c</w:t>
      </w:r>
      <w:r>
        <w:rPr/>
        <w:t>）编制合并现金流量表时，将该子公司购买日至报告期末的现金流量纳入合并现金流量表。</w:t>
      </w:r>
    </w:p>
    <w:p>
      <w:pPr>
        <w:pStyle w:val="BodyText"/>
        <w:spacing w:line="240" w:lineRule="auto" w:before="63"/>
        <w:ind w:left="657" w:right="0"/>
        <w:jc w:val="left"/>
      </w:pPr>
      <w:r>
        <w:rPr/>
        <w:t>②处置子公司或业务</w:t>
      </w:r>
    </w:p>
    <w:p>
      <w:pPr>
        <w:pStyle w:val="BodyText"/>
        <w:spacing w:line="300" w:lineRule="auto" w:before="76"/>
        <w:ind w:left="657" w:right="2704" w:firstLine="2"/>
        <w:jc w:val="left"/>
      </w:pPr>
      <w:r>
        <w:rPr>
          <w:rFonts w:ascii="Times New Roman" w:hAnsi="Times New Roman" w:cs="Times New Roman" w:eastAsia="Times New Roman" w:hint="default"/>
        </w:rPr>
        <w:t>A.</w:t>
      </w:r>
      <w:r>
        <w:rPr/>
        <w:t>编制合并资产负债表时，不调整合并资产负债表的期初数。 </w:t>
      </w:r>
      <w:r>
        <w:rPr>
          <w:rFonts w:ascii="Times New Roman" w:hAnsi="Times New Roman" w:cs="Times New Roman" w:eastAsia="Times New Roman" w:hint="default"/>
        </w:rPr>
        <w:t>B.</w:t>
      </w:r>
      <w:r>
        <w:rPr/>
        <w:t>编制合并利润表时，将该子公司以及业务期初至处置日的收入、费用、利润纳入合并利润表。 </w:t>
      </w:r>
      <w:r>
        <w:rPr>
          <w:rFonts w:ascii="Times New Roman" w:hAnsi="Times New Roman" w:cs="Times New Roman" w:eastAsia="Times New Roman" w:hint="default"/>
        </w:rPr>
        <w:t>C.</w:t>
      </w:r>
      <w:r>
        <w:rPr/>
        <w:t>编制合并现金流量表时将该子公司以及业务期初至处置日的现金流量纳入合并现金流量表。</w:t>
      </w:r>
    </w:p>
    <w:p>
      <w:pPr>
        <w:pStyle w:val="BodyText"/>
        <w:spacing w:line="240" w:lineRule="auto" w:before="13"/>
        <w:ind w:left="657" w:right="0"/>
        <w:jc w:val="left"/>
      </w:pPr>
      <w:r>
        <w:rPr/>
        <w:t>（</w:t>
      </w:r>
      <w:r>
        <w:rPr>
          <w:rFonts w:ascii="Times New Roman" w:hAnsi="Times New Roman" w:cs="Times New Roman" w:eastAsia="Times New Roman" w:hint="default"/>
        </w:rPr>
        <w:t>4</w:t>
      </w:r>
      <w:r>
        <w:rPr/>
        <w:t>）合并抵销中的特殊考虑</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1" w:firstLine="504"/>
        <w:jc w:val="both"/>
      </w:pPr>
      <w:r>
        <w:rPr>
          <w:spacing w:val="-1"/>
        </w:rPr>
        <w:t>①子公司持有本公司的长期股权投资，应当视为本公司的库存股，作为所有者权益的减项，在合并资产负债表中所有</w:t>
      </w:r>
      <w:r>
        <w:rPr/>
        <w:t> 者权益项目下以</w:t>
      </w:r>
      <w:r>
        <w:rPr>
          <w:rFonts w:ascii="Times New Roman" w:hAnsi="Times New Roman" w:cs="Times New Roman" w:eastAsia="Times New Roman" w:hint="default"/>
        </w:rPr>
        <w:t>“</w:t>
      </w:r>
      <w:r>
        <w:rPr/>
        <w:t>减：库存股</w:t>
      </w:r>
      <w:r>
        <w:rPr>
          <w:rFonts w:ascii="Times New Roman" w:hAnsi="Times New Roman" w:cs="Times New Roman" w:eastAsia="Times New Roman" w:hint="default"/>
        </w:rPr>
        <w:t>”</w:t>
      </w:r>
      <w:r>
        <w:rPr/>
        <w:t>项目列示。</w:t>
      </w:r>
    </w:p>
    <w:p>
      <w:pPr>
        <w:pStyle w:val="BodyText"/>
        <w:spacing w:line="316" w:lineRule="auto"/>
        <w:ind w:right="1132" w:firstLine="504"/>
        <w:jc w:val="both"/>
      </w:pPr>
      <w:r>
        <w:rPr>
          <w:spacing w:val="-1"/>
        </w:rPr>
        <w:t>子公司相互之间持有的长期股权投资，比照本公司对子公司的股权投资的抵销方法，将长期股权投资与其对应的子公</w:t>
      </w:r>
      <w:r>
        <w:rPr/>
        <w:t> 司所有者权益中所享有的份额相互抵销。</w:t>
      </w:r>
    </w:p>
    <w:p>
      <w:pPr>
        <w:pStyle w:val="BodyText"/>
        <w:spacing w:line="300" w:lineRule="auto" w:before="19"/>
        <w:ind w:right="1043" w:firstLine="504"/>
        <w:jc w:val="both"/>
      </w:pPr>
      <w:r>
        <w:rPr>
          <w:spacing w:val="-2"/>
        </w:rPr>
        <w:t>②</w:t>
      </w:r>
      <w:r>
        <w:rPr>
          <w:rFonts w:ascii="Times New Roman" w:hAnsi="Times New Roman" w:cs="Times New Roman" w:eastAsia="Times New Roman" w:hint="default"/>
          <w:spacing w:val="-2"/>
        </w:rPr>
        <w:t>“</w:t>
      </w:r>
      <w:r>
        <w:rPr>
          <w:spacing w:val="-2"/>
        </w:rPr>
        <w:t>专项储备</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一般风险准备</w:t>
      </w:r>
      <w:r>
        <w:rPr>
          <w:rFonts w:ascii="Times New Roman" w:hAnsi="Times New Roman" w:cs="Times New Roman" w:eastAsia="Times New Roman" w:hint="default"/>
          <w:spacing w:val="-2"/>
        </w:rPr>
        <w:t>”</w:t>
      </w:r>
      <w:r>
        <w:rPr>
          <w:spacing w:val="-2"/>
        </w:rPr>
        <w:t>项目由于既不属于实收资本（或股本）、资本公积，也与留存收益、未分配利润不同，</w:t>
      </w:r>
      <w:r>
        <w:rPr/>
        <w:t> 在长期股权投资与子公司所有者权益相互抵销后，按归属于母公司所有者的份额予以恢复。</w:t>
      </w:r>
    </w:p>
    <w:p>
      <w:pPr>
        <w:pStyle w:val="BodyText"/>
        <w:spacing w:line="316" w:lineRule="auto" w:before="31"/>
        <w:ind w:right="1130" w:firstLine="504"/>
        <w:jc w:val="both"/>
      </w:pPr>
      <w:r>
        <w:rPr>
          <w:spacing w:val="-1"/>
        </w:rPr>
        <w:t>③因抵销未实现内部销售损益导致合并资产负债表中资产、负债的账面价值与其在所属纳税主体的计税基础之间产生</w:t>
      </w:r>
      <w:r>
        <w:rPr/>
        <w:t> </w:t>
      </w:r>
      <w:r>
        <w:rPr>
          <w:spacing w:val="-2"/>
        </w:rPr>
        <w:t>暂时性差异的，在合并资产负债表中确认递延所得税资产或递延所得税负债，同时调整合并利润表中的所得税费用，但与直</w:t>
      </w:r>
      <w:r>
        <w:rPr>
          <w:spacing w:val="-63"/>
        </w:rPr>
        <w:t> </w:t>
      </w:r>
      <w:r>
        <w:rPr>
          <w:spacing w:val="-63"/>
        </w:rPr>
      </w:r>
      <w:r>
        <w:rPr/>
        <w:t>接计入所有者权益的交易或事项及企业合并相关的递延所得税除外。</w:t>
      </w:r>
    </w:p>
    <w:p>
      <w:pPr>
        <w:pStyle w:val="BodyText"/>
        <w:spacing w:line="300" w:lineRule="auto" w:before="19"/>
        <w:ind w:right="0" w:firstLine="504"/>
        <w:jc w:val="left"/>
      </w:pPr>
      <w:r>
        <w:rPr>
          <w:spacing w:val="-1"/>
        </w:rPr>
        <w:t>④本公司向子公司出售资产所发生的未实现内部交易损益，应当全额抵销</w:t>
      </w:r>
      <w:r>
        <w:rPr>
          <w:rFonts w:ascii="Times New Roman" w:hAnsi="Times New Roman" w:cs="Times New Roman" w:eastAsia="Times New Roman" w:hint="default"/>
          <w:spacing w:val="-1"/>
        </w:rPr>
        <w:t>“</w:t>
      </w:r>
      <w:r>
        <w:rPr>
          <w:spacing w:val="-1"/>
        </w:rPr>
        <w:t>归属于母公司所有者的净利润</w:t>
      </w:r>
      <w:r>
        <w:rPr>
          <w:rFonts w:ascii="Times New Roman" w:hAnsi="Times New Roman" w:cs="Times New Roman" w:eastAsia="Times New Roman" w:hint="default"/>
          <w:spacing w:val="-1"/>
        </w:rPr>
        <w:t>”</w:t>
      </w:r>
      <w:r>
        <w:rPr>
          <w:spacing w:val="-1"/>
        </w:rPr>
        <w:t>。子公司向</w:t>
      </w:r>
      <w:r>
        <w:rPr/>
        <w:t> 本公司出售资产所发生的未实现内部交易损益，应当按照本公司对该子公司的分配比例在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和</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之间分配抵销。子公司之间出售资产所发生的未实现内部交易损益，应当按照本公司对出售方子公司的分</w:t>
      </w:r>
      <w:r>
        <w:rPr>
          <w:spacing w:val="-45"/>
        </w:rPr>
        <w:t> </w:t>
      </w:r>
      <w:r>
        <w:rPr>
          <w:spacing w:val="-45"/>
        </w:rPr>
      </w:r>
      <w:r>
        <w:rPr/>
        <w:t>配比例在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之间分配抵销。</w:t>
      </w:r>
    </w:p>
    <w:p>
      <w:pPr>
        <w:pStyle w:val="BodyText"/>
        <w:spacing w:line="316" w:lineRule="auto" w:before="13"/>
        <w:ind w:right="1133" w:firstLine="504"/>
        <w:jc w:val="both"/>
      </w:pPr>
      <w:r>
        <w:rPr>
          <w:spacing w:val="-1"/>
        </w:rPr>
        <w:t>⑤子公司少数股东分担的当期亏损超过了少数股东在该子公司期初所有者权益中所享有的份额的，其余额仍应当冲减</w:t>
      </w:r>
      <w:r>
        <w:rPr/>
        <w:t> 少数股东权益。</w:t>
      </w:r>
    </w:p>
    <w:p>
      <w:pPr>
        <w:pStyle w:val="BodyText"/>
        <w:spacing w:line="240" w:lineRule="auto" w:before="19"/>
        <w:ind w:left="657" w:right="0"/>
        <w:jc w:val="left"/>
      </w:pPr>
      <w:r>
        <w:rPr/>
        <w:t>（</w:t>
      </w:r>
      <w:r>
        <w:rPr>
          <w:rFonts w:ascii="Times New Roman" w:hAnsi="Times New Roman" w:cs="Times New Roman" w:eastAsia="Times New Roman" w:hint="default"/>
        </w:rPr>
        <w:t>5</w:t>
      </w:r>
      <w:r>
        <w:rPr/>
        <w:t>）特殊交易的会计处理</w:t>
      </w:r>
    </w:p>
    <w:p>
      <w:pPr>
        <w:pStyle w:val="BodyText"/>
        <w:spacing w:line="316" w:lineRule="auto" w:before="63"/>
        <w:ind w:left="657" w:right="1120"/>
        <w:jc w:val="left"/>
      </w:pPr>
      <w:r>
        <w:rPr/>
        <w:t>①购买少数股东股权 </w:t>
      </w:r>
      <w:r>
        <w:rPr>
          <w:spacing w:val="-1"/>
        </w:rPr>
        <w:t>本公司购买子公司少数股东拥有的子公司股权，在个别财务报表中，购买少数股权新取得的长期股权投资的投资成本</w:t>
      </w:r>
    </w:p>
    <w:p>
      <w:pPr>
        <w:pStyle w:val="BodyText"/>
        <w:spacing w:line="316" w:lineRule="auto" w:before="19"/>
        <w:ind w:right="1132"/>
        <w:jc w:val="both"/>
      </w:pPr>
      <w:r>
        <w:rPr>
          <w:spacing w:val="-2"/>
        </w:rPr>
        <w:t>按照所支付对价的公允价值计量。在合并财务报表中，因购买少数股权新取得的长期股权投资与按照新增持股比例计算应享</w:t>
      </w:r>
      <w:r>
        <w:rPr>
          <w:spacing w:val="-64"/>
        </w:rPr>
        <w:t> </w:t>
      </w:r>
      <w:r>
        <w:rPr>
          <w:spacing w:val="-64"/>
        </w:rPr>
      </w:r>
      <w:r>
        <w:rPr>
          <w:spacing w:val="-2"/>
        </w:rPr>
        <w:t>有子公司自购买日或合并日开始持续计算的净资产份额之间的差额，应当调整资本公积（资本溢价或股本溢价），资本公积</w:t>
      </w:r>
      <w:r>
        <w:rPr>
          <w:spacing w:val="-66"/>
        </w:rPr>
        <w:t> </w:t>
      </w:r>
      <w:r>
        <w:rPr>
          <w:spacing w:val="-66"/>
        </w:rPr>
      </w:r>
      <w:r>
        <w:rPr/>
        <w:t>不足冲减的，依次冲减盈余公积和未分配利润。</w:t>
      </w:r>
    </w:p>
    <w:p>
      <w:pPr>
        <w:pStyle w:val="BodyText"/>
        <w:spacing w:line="240" w:lineRule="auto" w:before="19"/>
        <w:ind w:left="657" w:right="0"/>
        <w:jc w:val="left"/>
      </w:pPr>
      <w:r>
        <w:rPr/>
        <w:t>②通过多次交易分步取得子公司控制权的</w:t>
      </w:r>
    </w:p>
    <w:p>
      <w:pPr>
        <w:pStyle w:val="BodyText"/>
        <w:spacing w:line="300" w:lineRule="auto" w:before="76"/>
        <w:ind w:left="657" w:right="1120" w:firstLine="2"/>
        <w:jc w:val="left"/>
      </w:pPr>
      <w:r>
        <w:rPr>
          <w:rFonts w:ascii="Times New Roman" w:hAnsi="Times New Roman" w:cs="Times New Roman" w:eastAsia="Times New Roman" w:hint="default"/>
        </w:rPr>
        <w:t>A.</w:t>
      </w:r>
      <w:r>
        <w:rPr/>
        <w:t>通过多次交易分步实现同一控制下企业合并 </w:t>
      </w:r>
      <w:r>
        <w:rPr>
          <w:spacing w:val="-1"/>
        </w:rPr>
        <w:t>在合并日，本公司在个别财务报表中，根据合并后应享有的子公司净资产在最终控制方合并财务报表中的账面价值的</w:t>
      </w:r>
    </w:p>
    <w:p>
      <w:pPr>
        <w:pStyle w:val="BodyText"/>
        <w:spacing w:line="316" w:lineRule="auto" w:before="31"/>
        <w:ind w:right="0"/>
        <w:jc w:val="left"/>
      </w:pPr>
      <w:r>
        <w:rPr>
          <w:spacing w:val="-2"/>
        </w:rPr>
        <w:t>份额，确定长期股权投资的初始投资成本；初始投资成本与达到合并前的长期股权投资账面价值加上合并日取得进一步股份</w:t>
      </w:r>
      <w:r>
        <w:rPr>
          <w:spacing w:val="-64"/>
        </w:rPr>
        <w:t> </w:t>
      </w:r>
      <w:r>
        <w:rPr>
          <w:spacing w:val="-64"/>
        </w:rPr>
      </w:r>
      <w:r>
        <w:rPr>
          <w:spacing w:val="-4"/>
        </w:rPr>
        <w:t>新支付对价的账面价值之和的差额，调整资本公积（资本溢价或股本溢价），资本公积（资本溢价或股本溢价）不足冲减的，</w:t>
      </w:r>
      <w:r>
        <w:rPr>
          <w:spacing w:val="-44"/>
        </w:rPr>
        <w:t> </w:t>
      </w:r>
      <w:r>
        <w:rPr>
          <w:spacing w:val="-44"/>
        </w:rPr>
      </w:r>
      <w:r>
        <w:rPr/>
        <w:t>依次冲减盈余公积和未分配利润。</w:t>
      </w:r>
    </w:p>
    <w:p>
      <w:pPr>
        <w:pStyle w:val="BodyText"/>
        <w:spacing w:line="316" w:lineRule="auto" w:before="19"/>
        <w:ind w:right="1131" w:firstLine="504"/>
        <w:jc w:val="both"/>
      </w:pPr>
      <w:r>
        <w:rPr>
          <w:spacing w:val="-1"/>
        </w:rPr>
        <w:t>在合并财务报表中，合并方在合并中取得的被合并方的资产、负债，除因会计政策不同而进行的调整以外，按合并日</w:t>
      </w:r>
      <w:r>
        <w:rPr/>
        <w:t> </w:t>
      </w:r>
      <w:r>
        <w:rPr>
          <w:spacing w:val="-2"/>
        </w:rPr>
        <w:t>在最终控制方合并财务报表中的账面价值计量；合并前持有投资的账面价值加上合并日新支付对价的账面价值之和，与合并</w:t>
      </w:r>
      <w:r>
        <w:rPr>
          <w:spacing w:val="-64"/>
        </w:rPr>
        <w:t> </w:t>
      </w:r>
      <w:r>
        <w:rPr>
          <w:spacing w:val="-64"/>
        </w:rPr>
      </w:r>
      <w:r>
        <w:rPr/>
        <w:t>中取得的净资产账面价值的差额，调整资本公积（股本溢价</w:t>
      </w:r>
      <w:r>
        <w:rPr>
          <w:rFonts w:ascii="Times New Roman" w:hAnsi="Times New Roman" w:cs="Times New Roman" w:eastAsia="Times New Roman" w:hint="default"/>
        </w:rPr>
        <w:t>/</w:t>
      </w:r>
      <w:r>
        <w:rPr/>
        <w:t>资本溢价），资本公积不足冲减的，调整留存收益。</w:t>
      </w:r>
    </w:p>
    <w:p>
      <w:pPr>
        <w:pStyle w:val="BodyText"/>
        <w:spacing w:line="316" w:lineRule="auto"/>
        <w:ind w:right="1132" w:firstLine="504"/>
        <w:jc w:val="both"/>
      </w:pPr>
      <w:r>
        <w:rPr>
          <w:spacing w:val="-1"/>
        </w:rPr>
        <w:t>合并方在取得被合并方控制权之前持有的股权投资且按权益法核算的，在取得原股权之日与合并方和被合并方同处于</w:t>
      </w:r>
      <w:r>
        <w:rPr/>
        <w:t> </w:t>
      </w:r>
      <w:r>
        <w:rPr>
          <w:spacing w:val="-2"/>
        </w:rPr>
        <w:t>同一方最终控制之日孰晚日起至合并日之间已确认有关损益、其他综合收益以及其他所有者权益变动，应分别冲减比较报表</w:t>
      </w:r>
      <w:r>
        <w:rPr>
          <w:spacing w:val="-64"/>
        </w:rPr>
        <w:t> </w:t>
      </w:r>
      <w:r>
        <w:rPr>
          <w:spacing w:val="-64"/>
        </w:rPr>
      </w:r>
      <w:r>
        <w:rPr/>
        <w:t>期间的期初留存收益。</w:t>
      </w:r>
    </w:p>
    <w:p>
      <w:pPr>
        <w:pStyle w:val="BodyText"/>
        <w:spacing w:line="300" w:lineRule="auto" w:before="19"/>
        <w:ind w:left="657" w:right="1120"/>
        <w:jc w:val="left"/>
      </w:pPr>
      <w:r>
        <w:rPr>
          <w:rFonts w:ascii="Times New Roman" w:hAnsi="Times New Roman" w:cs="Times New Roman" w:eastAsia="Times New Roman" w:hint="default"/>
        </w:rPr>
        <w:t>B.</w:t>
      </w:r>
      <w:r>
        <w:rPr/>
        <w:t>通过多次交易分步实现非同一控制下企业合并 </w:t>
      </w:r>
      <w:r>
        <w:rPr>
          <w:spacing w:val="-1"/>
        </w:rPr>
        <w:t>在合并日，在个别财务报表中，按照原持有的长期股权投资的账面价值加上合并日新增投资成本之和，作为合并日长</w:t>
      </w:r>
    </w:p>
    <w:p>
      <w:pPr>
        <w:pStyle w:val="BodyText"/>
        <w:spacing w:line="316" w:lineRule="auto" w:before="31"/>
        <w:ind w:left="657" w:right="1120" w:hanging="504"/>
        <w:jc w:val="left"/>
      </w:pPr>
      <w:r>
        <w:rPr/>
        <w:t>期股权投资的初始投资成本。 </w:t>
      </w:r>
      <w:r>
        <w:rPr>
          <w:spacing w:val="-1"/>
        </w:rPr>
        <w:t>在合并财务报表中，对于购买日之前持有的被购买方的股权，按照该股权在购买日的公允价值进行重新计量，公允价</w:t>
      </w:r>
    </w:p>
    <w:p>
      <w:pPr>
        <w:pStyle w:val="BodyText"/>
        <w:spacing w:line="316" w:lineRule="auto" w:before="19"/>
        <w:ind w:right="1132"/>
        <w:jc w:val="both"/>
      </w:pPr>
      <w:r>
        <w:rPr>
          <w:spacing w:val="-2"/>
        </w:rPr>
        <w:t>值与其账面价值的差额计入当期投资收益；购买日之前持有的被购买方的股权涉及权益法核算下的其他综合收益等的，与其</w:t>
      </w:r>
      <w:r>
        <w:rPr>
          <w:spacing w:val="-64"/>
        </w:rPr>
        <w:t> </w:t>
      </w:r>
      <w:r>
        <w:rPr>
          <w:spacing w:val="-64"/>
        </w:rPr>
      </w:r>
      <w:r>
        <w:rPr>
          <w:spacing w:val="-2"/>
        </w:rPr>
        <w:t>相关的其他综合收益等转为购买日所属当期收益，但由于被合并方重新计量设定受益计划净资产或净负债变动而产生的其他</w:t>
      </w:r>
      <w:r>
        <w:rPr>
          <w:spacing w:val="-64"/>
        </w:rPr>
        <w:t> </w:t>
      </w:r>
      <w:r>
        <w:rPr>
          <w:spacing w:val="-64"/>
        </w:rPr>
      </w:r>
      <w:r>
        <w:rPr>
          <w:spacing w:val="-2"/>
        </w:rPr>
        <w:t>综合收益除外。本公司在附注中披露其在购买日之前持有的被购买方的股权在购买日的公允价值、按照公允价值重新计量产</w:t>
      </w:r>
      <w:r>
        <w:rPr>
          <w:spacing w:val="-64"/>
        </w:rPr>
        <w:t> </w:t>
      </w:r>
      <w:r>
        <w:rPr>
          <w:spacing w:val="-64"/>
        </w:rPr>
      </w:r>
      <w:r>
        <w:rPr/>
        <w:t>生的相关利得或损失的金额。</w:t>
      </w:r>
    </w:p>
    <w:p>
      <w:pPr>
        <w:pStyle w:val="BodyText"/>
        <w:spacing w:line="316" w:lineRule="auto" w:before="19"/>
        <w:ind w:left="657" w:right="1120"/>
        <w:jc w:val="left"/>
      </w:pPr>
      <w:r>
        <w:rPr/>
        <w:t>③本公司处置对子公司长期股权投资但未丧失控制权 </w:t>
      </w:r>
      <w:r>
        <w:rPr>
          <w:spacing w:val="-1"/>
        </w:rPr>
        <w:t>母公司在不丧失控制权的情况下部分处置对子公司的长期股权投资，在合并财务报表中，处置价款与处置长期股权投</w:t>
      </w:r>
    </w:p>
    <w:p>
      <w:pPr>
        <w:pStyle w:val="BodyText"/>
        <w:spacing w:line="240" w:lineRule="auto" w:before="18"/>
        <w:ind w:right="0"/>
        <w:jc w:val="both"/>
      </w:pPr>
      <w:r>
        <w:rPr/>
        <w:t>资相对应享有子公司自购买日或合并日开始持续计算的净资产份额之间的差额，调整资本公积（资本溢价或股本溢价），资</w:t>
      </w:r>
    </w:p>
    <w:p>
      <w:pPr>
        <w:spacing w:after="0" w:line="240"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本公积不足冲减的，调整留存收益。</w:t>
      </w:r>
    </w:p>
    <w:p>
      <w:pPr>
        <w:pStyle w:val="BodyText"/>
        <w:spacing w:line="240" w:lineRule="auto" w:before="76"/>
        <w:ind w:left="657" w:right="0"/>
        <w:jc w:val="left"/>
      </w:pPr>
      <w:r>
        <w:rPr/>
        <w:t>④本公司处置对子公司长期股权投资且丧失控制权</w:t>
      </w:r>
    </w:p>
    <w:p>
      <w:pPr>
        <w:pStyle w:val="BodyText"/>
        <w:spacing w:line="300" w:lineRule="auto" w:before="76"/>
        <w:ind w:left="657" w:right="1120" w:firstLine="2"/>
        <w:jc w:val="left"/>
      </w:pPr>
      <w:r>
        <w:rPr>
          <w:rFonts w:ascii="Times New Roman" w:hAnsi="Times New Roman" w:cs="Times New Roman" w:eastAsia="Times New Roman" w:hint="default"/>
        </w:rPr>
        <w:t>A.</w:t>
      </w:r>
      <w:r>
        <w:rPr/>
        <w:t>一次交易处置 </w:t>
      </w:r>
      <w:r>
        <w:rPr>
          <w:spacing w:val="-1"/>
        </w:rPr>
        <w:t>本公司因处置部分股权投资等原因丧失了对被投资方的控制权的，在编制合并财务报表时，对于剩余股权，按照其在</w:t>
      </w:r>
    </w:p>
    <w:p>
      <w:pPr>
        <w:pStyle w:val="BodyText"/>
        <w:spacing w:line="316" w:lineRule="auto" w:before="31"/>
        <w:ind w:right="0"/>
        <w:jc w:val="left"/>
      </w:pPr>
      <w:r>
        <w:rPr>
          <w:spacing w:val="-2"/>
        </w:rPr>
        <w:t>丧失控制权日的公允价值进行重新计量。处置股权取得的对价与剩余股权公允价值之和，减去按原持股比例计算应享有原有</w:t>
      </w:r>
      <w:r>
        <w:rPr>
          <w:spacing w:val="-64"/>
        </w:rPr>
        <w:t> </w:t>
      </w:r>
      <w:r>
        <w:rPr>
          <w:spacing w:val="-64"/>
        </w:rPr>
      </w:r>
      <w:r>
        <w:rPr/>
        <w:t>子公司自购买日或合并日开始持续计算的净资产的份额之间的差额，计入丧失控制权当期的投资收益。</w:t>
      </w:r>
    </w:p>
    <w:p>
      <w:pPr>
        <w:pStyle w:val="BodyText"/>
        <w:spacing w:line="316" w:lineRule="auto" w:before="19"/>
        <w:ind w:right="1120" w:firstLine="504"/>
        <w:jc w:val="left"/>
      </w:pPr>
      <w:r>
        <w:rPr>
          <w:spacing w:val="-1"/>
        </w:rPr>
        <w:t>与原子公司的股权投资相关的其他综合收益、其他所有者权益变动，在丧失控制权时转入当期损益，由于被投资方重</w:t>
      </w:r>
      <w:r>
        <w:rPr/>
        <w:t> 新计量设定受益计划净负债或净资产变动而产生的其他综合收益除外。</w:t>
      </w:r>
    </w:p>
    <w:p>
      <w:pPr>
        <w:pStyle w:val="BodyText"/>
        <w:spacing w:line="300" w:lineRule="auto" w:before="19"/>
        <w:ind w:left="657" w:right="5049"/>
        <w:jc w:val="left"/>
      </w:pPr>
      <w:r>
        <w:rPr>
          <w:rFonts w:ascii="Times New Roman" w:hAnsi="Times New Roman" w:cs="Times New Roman" w:eastAsia="Times New Roman" w:hint="default"/>
        </w:rPr>
        <w:t>B.</w:t>
      </w:r>
      <w:r>
        <w:rPr/>
        <w:t>多次交易分步处置 在合并财务报表中，应首先判断分步交易是否属于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w:t>
      </w:r>
    </w:p>
    <w:p>
      <w:pPr>
        <w:pStyle w:val="BodyText"/>
        <w:spacing w:line="309" w:lineRule="auto" w:before="13"/>
        <w:ind w:right="1132" w:firstLine="504"/>
        <w:jc w:val="both"/>
      </w:pPr>
      <w:r>
        <w:rPr>
          <w:spacing w:val="-1"/>
        </w:rPr>
        <w:t>如果分步交易不属于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的，在个别财务报表中，对丧失子公司控制权之前的各项交易，结转每一次处置股</w:t>
      </w:r>
      <w:r>
        <w:rPr/>
        <w:t> </w:t>
      </w:r>
      <w:r>
        <w:rPr>
          <w:spacing w:val="-2"/>
        </w:rPr>
        <w:t>权相对应的长期股权投资的账面价值，所得价款与处置长期股权投资账面价值之间的差额计入当期投资收益；在合并财务报</w:t>
      </w:r>
      <w:r>
        <w:rPr>
          <w:spacing w:val="-64"/>
        </w:rPr>
        <w:t> </w:t>
      </w:r>
      <w:r>
        <w:rPr>
          <w:spacing w:val="-64"/>
        </w:rPr>
      </w:r>
      <w:r>
        <w:rPr/>
        <w:t>表中，应按照</w:t>
      </w:r>
      <w:r>
        <w:rPr>
          <w:rFonts w:ascii="Times New Roman" w:hAnsi="Times New Roman" w:cs="Times New Roman" w:eastAsia="Times New Roman" w:hint="default"/>
        </w:rPr>
        <w:t>“</w:t>
      </w:r>
      <w:r>
        <w:rPr/>
        <w:t>母公司处置对子公司长期股权投资但未丧失控制权</w:t>
      </w:r>
      <w:r>
        <w:rPr>
          <w:rFonts w:ascii="Times New Roman" w:hAnsi="Times New Roman" w:cs="Times New Roman" w:eastAsia="Times New Roman" w:hint="default"/>
        </w:rPr>
        <w:t>”</w:t>
      </w:r>
      <w:r>
        <w:rPr/>
        <w:t>的有关规定处理。</w:t>
      </w:r>
    </w:p>
    <w:p>
      <w:pPr>
        <w:pStyle w:val="BodyText"/>
        <w:spacing w:line="314" w:lineRule="auto" w:before="5"/>
        <w:ind w:right="1131" w:firstLine="504"/>
        <w:jc w:val="both"/>
      </w:pPr>
      <w:r>
        <w:rPr>
          <w:spacing w:val="-1"/>
        </w:rPr>
        <w:t>如果分步交易属于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的，应当将各项交易作为一项处置子公司并丧失控制权的交易进行会计处理；在个别</w:t>
      </w:r>
      <w:r>
        <w:rPr/>
        <w:t> </w:t>
      </w:r>
      <w:r>
        <w:rPr>
          <w:spacing w:val="-2"/>
        </w:rPr>
        <w:t>财务报表中，在丧失控制权之前的每一次处置价款与所处置的股权对应的长期股权投资账面价值之间的差额，先确认为其他</w:t>
      </w:r>
      <w:r>
        <w:rPr>
          <w:spacing w:val="-64"/>
        </w:rPr>
        <w:t> </w:t>
      </w:r>
      <w:r>
        <w:rPr>
          <w:spacing w:val="-64"/>
        </w:rPr>
      </w:r>
      <w:r>
        <w:rPr>
          <w:spacing w:val="-2"/>
        </w:rPr>
        <w:t>综合收益，到丧失控制权时再一并转入丧失控制权的当期损益；在合并财务报表中，对于丧失控制权之前的每一次交易，处</w:t>
      </w:r>
      <w:r>
        <w:rPr>
          <w:spacing w:val="-66"/>
        </w:rPr>
        <w:t> </w:t>
      </w:r>
      <w:r>
        <w:rPr>
          <w:spacing w:val="-66"/>
        </w:rPr>
      </w:r>
      <w:r>
        <w:rPr>
          <w:spacing w:val="-2"/>
        </w:rPr>
        <w:t>置价款与处置投资对应的享有该子公司净资产份额的差额应当确认为其他综合收益，在丧失控制权时一并转入丧失控制权当</w:t>
      </w:r>
      <w:r>
        <w:rPr>
          <w:spacing w:val="-64"/>
        </w:rPr>
        <w:t> </w:t>
      </w:r>
      <w:r>
        <w:rPr>
          <w:spacing w:val="-64"/>
        </w:rPr>
      </w:r>
      <w:r>
        <w:rPr/>
        <w:t>期的损益。</w:t>
      </w:r>
    </w:p>
    <w:p>
      <w:pPr>
        <w:pStyle w:val="BodyText"/>
        <w:spacing w:line="240" w:lineRule="auto" w:before="20"/>
        <w:ind w:left="657" w:right="0"/>
        <w:jc w:val="left"/>
      </w:pPr>
      <w:r>
        <w:rPr/>
        <w:t>各项交易的条款、条件以及经济影响符合下列一种或多种情况的，通常将多次交易作为</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进行会计处理：</w:t>
      </w:r>
    </w:p>
    <w:p>
      <w:pPr>
        <w:pStyle w:val="BodyText"/>
        <w:spacing w:line="240" w:lineRule="auto" w:before="63"/>
        <w:ind w:left="657" w:right="0"/>
        <w:jc w:val="left"/>
      </w:pPr>
      <w:r>
        <w:rPr/>
        <w:t>（</w:t>
      </w:r>
      <w:r>
        <w:rPr>
          <w:rFonts w:ascii="Times New Roman" w:hAnsi="Times New Roman" w:cs="Times New Roman" w:eastAsia="Times New Roman" w:hint="default"/>
        </w:rPr>
        <w:t>a</w:t>
      </w:r>
      <w:r>
        <w:rPr/>
        <w:t>）这些交易是同时或者在考虑了彼此影响的情况下订立的。</w:t>
      </w:r>
    </w:p>
    <w:p>
      <w:pPr>
        <w:pStyle w:val="BodyText"/>
        <w:spacing w:line="240" w:lineRule="auto" w:before="63"/>
        <w:ind w:left="657" w:right="0"/>
        <w:jc w:val="left"/>
      </w:pPr>
      <w:r>
        <w:rPr/>
        <w:t>（</w:t>
      </w:r>
      <w:r>
        <w:rPr>
          <w:rFonts w:ascii="Times New Roman" w:hAnsi="Times New Roman" w:cs="Times New Roman" w:eastAsia="Times New Roman" w:hint="default"/>
        </w:rPr>
        <w:t>b</w:t>
      </w:r>
      <w:r>
        <w:rPr/>
        <w:t>）这些交易整体才能达成一项完整的商业结果。</w:t>
      </w:r>
    </w:p>
    <w:p>
      <w:pPr>
        <w:pStyle w:val="BodyText"/>
        <w:spacing w:line="240" w:lineRule="auto" w:before="63"/>
        <w:ind w:left="657" w:right="0"/>
        <w:jc w:val="left"/>
      </w:pPr>
      <w:r>
        <w:rPr/>
        <w:t>（</w:t>
      </w:r>
      <w:r>
        <w:rPr>
          <w:rFonts w:ascii="Times New Roman" w:hAnsi="Times New Roman" w:cs="Times New Roman" w:eastAsia="Times New Roman" w:hint="default"/>
        </w:rPr>
        <w:t>c</w:t>
      </w:r>
      <w:r>
        <w:rPr/>
        <w:t>）一项交易的发生取决于其他至少一项交易的发生。</w:t>
      </w:r>
    </w:p>
    <w:p>
      <w:pPr>
        <w:pStyle w:val="BodyText"/>
        <w:spacing w:line="240" w:lineRule="auto" w:before="63"/>
        <w:ind w:left="657" w:right="0"/>
        <w:jc w:val="left"/>
      </w:pPr>
      <w:r>
        <w:rPr/>
        <w:t>（</w:t>
      </w:r>
      <w:r>
        <w:rPr>
          <w:rFonts w:ascii="Times New Roman" w:hAnsi="Times New Roman" w:cs="Times New Roman" w:eastAsia="Times New Roman" w:hint="default"/>
        </w:rPr>
        <w:t>d</w:t>
      </w:r>
      <w:r>
        <w:rPr/>
        <w:t>）一项交易单独考虑时是不经济的，但是和其他交易一并考虑时是经济的。</w:t>
      </w:r>
    </w:p>
    <w:p>
      <w:pPr>
        <w:pStyle w:val="BodyText"/>
        <w:spacing w:line="316" w:lineRule="auto" w:before="63"/>
        <w:ind w:left="657" w:right="1120"/>
        <w:jc w:val="left"/>
      </w:pPr>
      <w:r>
        <w:rPr/>
        <w:t>⑤因子公司的少数股东增资而稀释母公司拥有的股权比例 </w:t>
      </w:r>
      <w:r>
        <w:rPr>
          <w:spacing w:val="-1"/>
        </w:rPr>
        <w:t>子公司的其他股东（少数股东）对子公司进行增资，由此稀释了母公司对子公司的股权比例。在合并财务报表中，按</w:t>
      </w:r>
    </w:p>
    <w:p>
      <w:pPr>
        <w:pStyle w:val="BodyText"/>
        <w:spacing w:line="316" w:lineRule="auto" w:before="19"/>
        <w:ind w:right="0"/>
        <w:jc w:val="left"/>
      </w:pPr>
      <w:r>
        <w:rPr>
          <w:spacing w:val="-2"/>
        </w:rPr>
        <w:t>照增资前的母公司股权比例计算其在增资前子公司账面净资产中的份额，该份额与增资后按照母公司持股比例计算的在增资</w:t>
      </w:r>
      <w:r>
        <w:rPr>
          <w:spacing w:val="-63"/>
        </w:rPr>
        <w:t> </w:t>
      </w:r>
      <w:r>
        <w:rPr>
          <w:spacing w:val="-63"/>
        </w:rPr>
      </w:r>
      <w:r>
        <w:rPr>
          <w:spacing w:val="-4"/>
        </w:rPr>
        <w:t>后子公司账面净资产份额之间的差额调整资本公积（资本溢价或股本溢价），资本公积（资本溢价或股本溢价）不足冲减的，</w:t>
      </w:r>
      <w:r>
        <w:rPr>
          <w:spacing w:val="-43"/>
        </w:rPr>
        <w:t> </w:t>
      </w:r>
      <w:r>
        <w:rPr>
          <w:spacing w:val="-43"/>
        </w:rPr>
      </w:r>
      <w:r>
        <w:rPr/>
        <w:t>调整留存收益。</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657" w:right="0"/>
        <w:jc w:val="left"/>
      </w:pPr>
      <w:r>
        <w:rPr/>
        <w:t>合营安排，是指一项由两个或两个以上的参与方共同控制的安排。本公司合营安排分为共同经营和合营企业。</w:t>
      </w:r>
    </w:p>
    <w:p>
      <w:pPr>
        <w:pStyle w:val="BodyText"/>
        <w:spacing w:line="300" w:lineRule="auto" w:before="76"/>
        <w:ind w:left="657" w:right="4129"/>
        <w:jc w:val="left"/>
      </w:pPr>
      <w:r>
        <w:rPr/>
        <w:t>（</w:t>
      </w:r>
      <w:r>
        <w:rPr>
          <w:rFonts w:ascii="Times New Roman" w:hAnsi="Times New Roman" w:cs="Times New Roman" w:eastAsia="Times New Roman" w:hint="default"/>
        </w:rPr>
        <w:t>1</w:t>
      </w:r>
      <w:r>
        <w:rPr/>
        <w:t>）共同经营 共同经营是指本公司享有该安排相关资产且承担该安排相关负债的合营安排。</w:t>
      </w:r>
    </w:p>
    <w:p>
      <w:pPr>
        <w:pStyle w:val="BodyText"/>
        <w:spacing w:line="240" w:lineRule="auto" w:before="32"/>
        <w:ind w:left="657" w:right="0"/>
        <w:jc w:val="left"/>
      </w:pPr>
      <w:r>
        <w:rPr/>
        <w:t>本公司确认其与共同经营中利益份额相关的下列项目，并按照相关企业会计准则的规定进行会计处理：</w:t>
      </w:r>
    </w:p>
    <w:p>
      <w:pPr>
        <w:pStyle w:val="BodyText"/>
        <w:spacing w:line="240" w:lineRule="auto" w:before="76"/>
        <w:ind w:left="657" w:right="0"/>
        <w:jc w:val="left"/>
      </w:pPr>
      <w:r>
        <w:rPr/>
        <w:t>①确认单独所持有的资产，以及按其份额确认共同持有的资产；</w:t>
      </w:r>
    </w:p>
    <w:p>
      <w:pPr>
        <w:pStyle w:val="BodyText"/>
        <w:spacing w:line="240" w:lineRule="auto" w:before="74"/>
        <w:ind w:left="657" w:right="0"/>
        <w:jc w:val="left"/>
      </w:pPr>
      <w:r>
        <w:rPr/>
        <w:t>②确认单独所承担的负债，以及按其份额确认共同承担的负债；</w:t>
      </w:r>
    </w:p>
    <w:p>
      <w:pPr>
        <w:pStyle w:val="BodyText"/>
        <w:spacing w:line="240" w:lineRule="auto" w:before="76"/>
        <w:ind w:left="657" w:right="0"/>
        <w:jc w:val="left"/>
      </w:pPr>
      <w:r>
        <w:rPr/>
        <w:t>③确认出售其享有的共同经营产出份额所产生的收入；</w:t>
      </w:r>
    </w:p>
    <w:p>
      <w:pPr>
        <w:pStyle w:val="BodyText"/>
        <w:spacing w:line="240" w:lineRule="auto" w:before="76"/>
        <w:ind w:left="657" w:right="0"/>
        <w:jc w:val="left"/>
      </w:pPr>
      <w:r>
        <w:rPr/>
        <w:t>④按其份额确认共同经营因出售产出所产生的收入；</w:t>
      </w:r>
    </w:p>
    <w:p>
      <w:pPr>
        <w:pStyle w:val="BodyText"/>
        <w:spacing w:line="240" w:lineRule="auto" w:before="76"/>
        <w:ind w:left="657" w:right="0"/>
        <w:jc w:val="left"/>
      </w:pPr>
      <w:r>
        <w:rPr/>
        <w:t>⑤确认单独所发生的费用，以及按其份额确认共同经营发生的费用。</w:t>
      </w:r>
    </w:p>
    <w:p>
      <w:pPr>
        <w:pStyle w:val="BodyText"/>
        <w:spacing w:line="300" w:lineRule="auto" w:before="76"/>
        <w:ind w:left="657" w:right="5209"/>
        <w:jc w:val="left"/>
      </w:pPr>
      <w:r>
        <w:rPr/>
        <w:t>（</w:t>
      </w:r>
      <w:r>
        <w:rPr>
          <w:rFonts w:ascii="Times New Roman" w:hAnsi="Times New Roman" w:cs="Times New Roman" w:eastAsia="Times New Roman" w:hint="default"/>
        </w:rPr>
        <w:t>2</w:t>
      </w:r>
      <w:r>
        <w:rPr/>
        <w:t>）合营企业 合营企业是指本公司仅对该安排的净资产享有权利的合营安排。</w:t>
      </w:r>
    </w:p>
    <w:p>
      <w:pPr>
        <w:pStyle w:val="BodyText"/>
        <w:spacing w:line="240" w:lineRule="auto" w:before="31"/>
        <w:ind w:left="657" w:right="0"/>
        <w:jc w:val="left"/>
      </w:pPr>
      <w:r>
        <w:rPr/>
        <w:t>本公司按照长期股权投资有关权益法核算的规定对合营企业的投资进行会计处理。</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0" w:firstLine="504"/>
        <w:jc w:val="left"/>
      </w:pPr>
      <w:r>
        <w:rPr>
          <w:spacing w:val="-3"/>
        </w:rPr>
        <w:t>现金指企业库存现金及可以随时用于支付的存款。现金等价物指持有的期限短（一般是指从购买日起三个月内到期）、</w:t>
      </w:r>
      <w:r>
        <w:rPr/>
        <w:t> 流动性强、易于转换为已知金额现金、价值变动风险很小的投资。</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00" w:lineRule="auto"/>
        <w:ind w:left="657" w:right="1120"/>
        <w:jc w:val="left"/>
      </w:pPr>
      <w:r>
        <w:rPr/>
        <w:t>（</w:t>
      </w:r>
      <w:r>
        <w:rPr>
          <w:rFonts w:ascii="Times New Roman" w:hAnsi="Times New Roman" w:cs="Times New Roman" w:eastAsia="Times New Roman" w:hint="default"/>
        </w:rPr>
        <w:t>1</w:t>
      </w:r>
      <w:r>
        <w:rPr/>
        <w:t>）外币交易时折算汇率的确定方法 </w:t>
      </w:r>
      <w:r>
        <w:rPr>
          <w:spacing w:val="-1"/>
        </w:rPr>
        <w:t>本公司外币交易初始确认时采用交易发生日的即期汇率或采用按照系统合理的方法确定的、与交易发生日即期汇率近</w:t>
      </w:r>
    </w:p>
    <w:p>
      <w:pPr>
        <w:pStyle w:val="BodyText"/>
        <w:spacing w:line="240" w:lineRule="auto" w:before="31"/>
        <w:ind w:right="0"/>
        <w:jc w:val="both"/>
      </w:pPr>
      <w:r>
        <w:rPr/>
        <w:t>似的汇率（以下简称即期汇率的近似汇率）折算为记账本位币。</w:t>
      </w:r>
    </w:p>
    <w:p>
      <w:pPr>
        <w:pStyle w:val="BodyText"/>
        <w:spacing w:line="300" w:lineRule="auto" w:before="76"/>
        <w:ind w:left="657" w:right="1120"/>
        <w:jc w:val="left"/>
      </w:pPr>
      <w:r>
        <w:rPr/>
        <w:t>（</w:t>
      </w:r>
      <w:r>
        <w:rPr>
          <w:rFonts w:ascii="Times New Roman" w:hAnsi="Times New Roman" w:cs="Times New Roman" w:eastAsia="Times New Roman" w:hint="default"/>
        </w:rPr>
        <w:t>2</w:t>
      </w:r>
      <w:r>
        <w:rPr/>
        <w:t>）资产负债表日外币货币性项目的折算方法 </w:t>
      </w:r>
      <w:r>
        <w:rPr>
          <w:spacing w:val="-1"/>
        </w:rPr>
        <w:t>在资产负债表日，对于外币货币性项目，采用资产负债表日的即期汇率折算。因资产负债表日即期汇率与初始确认时</w:t>
      </w:r>
    </w:p>
    <w:p>
      <w:pPr>
        <w:pStyle w:val="BodyText"/>
        <w:spacing w:line="316" w:lineRule="auto" w:before="32"/>
        <w:ind w:right="1130"/>
        <w:jc w:val="both"/>
      </w:pPr>
      <w:r>
        <w:rPr>
          <w:spacing w:val="-2"/>
        </w:rPr>
        <w:t>或前一资产负债表日即期汇率不同而产生的汇兑差额，计入当期损益。对以历史成本计量的外币非货币性项目，仍采用交易</w:t>
      </w:r>
      <w:r>
        <w:rPr>
          <w:spacing w:val="-63"/>
        </w:rPr>
        <w:t> </w:t>
      </w:r>
      <w:r>
        <w:rPr>
          <w:spacing w:val="-63"/>
        </w:rPr>
      </w:r>
      <w:r>
        <w:rPr>
          <w:spacing w:val="-2"/>
        </w:rPr>
        <w:t>发生日的即期汇率折算；对以公允价值计量的外币非货币性项目，采用公允价值确定日的即期汇率折算，折算后的记账本位</w:t>
      </w:r>
      <w:r>
        <w:rPr>
          <w:spacing w:val="-63"/>
        </w:rPr>
        <w:t> </w:t>
      </w:r>
      <w:r>
        <w:rPr>
          <w:spacing w:val="-63"/>
        </w:rPr>
      </w:r>
      <w:r>
        <w:rPr/>
        <w:t>币金额与原记账本位币金额的差额，计入当期损益。</w:t>
      </w:r>
    </w:p>
    <w:p>
      <w:pPr>
        <w:pStyle w:val="BodyText"/>
        <w:spacing w:line="300" w:lineRule="auto" w:before="19"/>
        <w:ind w:left="657" w:right="1249"/>
        <w:jc w:val="left"/>
      </w:pPr>
      <w:r>
        <w:rPr/>
        <w:t>（</w:t>
      </w:r>
      <w:r>
        <w:rPr>
          <w:rFonts w:ascii="Times New Roman" w:hAnsi="Times New Roman" w:cs="Times New Roman" w:eastAsia="Times New Roman" w:hint="default"/>
        </w:rPr>
        <w:t>3</w:t>
      </w:r>
      <w:r>
        <w:rPr/>
        <w:t>）外币报表折算方法 对企业境外经营财务报表进行折算前先调整境外经营的会计期间和会计政策，使之与企业会计期间和会计政策相一</w:t>
      </w:r>
    </w:p>
    <w:p>
      <w:pPr>
        <w:pStyle w:val="BodyText"/>
        <w:spacing w:line="316" w:lineRule="auto" w:before="31"/>
        <w:ind w:right="1131"/>
        <w:jc w:val="both"/>
      </w:pPr>
      <w:r>
        <w:rPr>
          <w:spacing w:val="-2"/>
        </w:rPr>
        <w:t>致，再根据调整后会计政策及会计期间编制相应货币（记账本位币以外的货币）的财务报表，再按照以下方法对境外经营财</w:t>
      </w:r>
      <w:r>
        <w:rPr>
          <w:spacing w:val="-65"/>
        </w:rPr>
        <w:t> </w:t>
      </w:r>
      <w:r>
        <w:rPr>
          <w:spacing w:val="-65"/>
        </w:rPr>
      </w:r>
      <w:r>
        <w:rPr/>
        <w:t>务报表进行折算：</w:t>
      </w:r>
    </w:p>
    <w:p>
      <w:pPr>
        <w:pStyle w:val="BodyText"/>
        <w:spacing w:line="300" w:lineRule="auto" w:before="19"/>
        <w:ind w:right="0" w:firstLine="504"/>
        <w:jc w:val="left"/>
      </w:pPr>
      <w:r>
        <w:rPr>
          <w:spacing w:val="-1"/>
        </w:rPr>
        <w:t>①资产负债表中的资产和负债项目，采用资产负债表日的即期汇率折算，所有者权益项目除</w:t>
      </w:r>
      <w:r>
        <w:rPr>
          <w:rFonts w:ascii="Times New Roman" w:hAnsi="Times New Roman" w:cs="Times New Roman" w:eastAsia="Times New Roman" w:hint="default"/>
          <w:spacing w:val="-1"/>
        </w:rPr>
        <w:t>“</w:t>
      </w:r>
      <w:r>
        <w:rPr>
          <w:spacing w:val="-1"/>
        </w:rPr>
        <w:t>未分配利润</w:t>
      </w:r>
      <w:r>
        <w:rPr>
          <w:rFonts w:ascii="Times New Roman" w:hAnsi="Times New Roman" w:cs="Times New Roman" w:eastAsia="Times New Roman" w:hint="default"/>
          <w:spacing w:val="-1"/>
        </w:rPr>
        <w:t>”</w:t>
      </w:r>
      <w:r>
        <w:rPr>
          <w:spacing w:val="-1"/>
        </w:rPr>
        <w:t>项目外，其</w:t>
      </w:r>
      <w:r>
        <w:rPr/>
        <w:t> 他项目采用发生时的即期汇率折算。</w:t>
      </w:r>
    </w:p>
    <w:p>
      <w:pPr>
        <w:pStyle w:val="BodyText"/>
        <w:spacing w:line="240" w:lineRule="auto" w:before="31"/>
        <w:ind w:left="657" w:right="0"/>
        <w:jc w:val="left"/>
      </w:pPr>
      <w:r>
        <w:rPr/>
        <w:t>②利润表中的收入和费用项目，采用交易发生日的即期汇率或即期汇率的近似汇率折算。</w:t>
      </w:r>
    </w:p>
    <w:p>
      <w:pPr>
        <w:pStyle w:val="BodyText"/>
        <w:spacing w:line="319" w:lineRule="auto" w:before="76"/>
        <w:ind w:right="1120" w:firstLine="504"/>
        <w:jc w:val="left"/>
      </w:pPr>
      <w:r>
        <w:rPr>
          <w:spacing w:val="-1"/>
        </w:rPr>
        <w:t>③外币现金流量以及境外子公司的现金流量，采用现金流量发生日的即期汇率或即期汇率的近似汇率折算。汇率变动</w:t>
      </w:r>
      <w:r>
        <w:rPr/>
        <w:t> 对现金的影响额应当作为调节项目，在现金流量表中单独列报。</w:t>
      </w:r>
    </w:p>
    <w:p>
      <w:pPr>
        <w:pStyle w:val="BodyText"/>
        <w:spacing w:line="300" w:lineRule="auto" w:before="17"/>
        <w:ind w:right="1169" w:firstLine="504"/>
        <w:jc w:val="left"/>
      </w:pPr>
      <w:r>
        <w:rPr/>
        <w:t>④产生的外币财务报表折算差额，在编制合并财务报表时，在合并资产负债表中所有者权益项目下单独列示</w:t>
      </w:r>
      <w:r>
        <w:rPr>
          <w:rFonts w:ascii="Times New Roman" w:hAnsi="Times New Roman" w:cs="Times New Roman" w:eastAsia="Times New Roman" w:hint="default"/>
        </w:rPr>
        <w:t>“</w:t>
      </w:r>
      <w:r>
        <w:rPr/>
        <w:t>其他综 合收益</w:t>
      </w:r>
      <w:r>
        <w:rPr>
          <w:rFonts w:ascii="Times New Roman" w:hAnsi="Times New Roman" w:cs="Times New Roman" w:eastAsia="Times New Roman" w:hint="default"/>
        </w:rPr>
        <w:t>”</w:t>
      </w:r>
      <w:r>
        <w:rPr/>
        <w:t>。</w:t>
      </w:r>
    </w:p>
    <w:p>
      <w:pPr>
        <w:pStyle w:val="BodyText"/>
        <w:spacing w:line="316" w:lineRule="auto" w:before="13"/>
        <w:ind w:right="1069" w:firstLine="504"/>
        <w:jc w:val="left"/>
      </w:pPr>
      <w:r>
        <w:rPr/>
        <w:t>处置境外经营并丧失控制权时，将资产负债表中所有者权益项目下列示的、与该境外经营相关的外币报表折算差额， 全部或按处置该境外经营的比例转入处置当期损益。</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657" w:right="3769"/>
        <w:jc w:val="left"/>
      </w:pP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w:t>
      </w:r>
      <w:r>
        <w:rPr>
          <w:spacing w:val="-87"/>
        </w:rPr>
        <w:t> </w:t>
      </w:r>
      <w:r>
        <w:rPr/>
        <w:t>金融工具，是指形成一方的金融资产并形成其他方的金融负债或权益工具的合同。</w:t>
      </w:r>
    </w:p>
    <w:p>
      <w:pPr>
        <w:pStyle w:val="BodyText"/>
        <w:spacing w:line="309" w:lineRule="auto" w:before="31"/>
        <w:ind w:left="657" w:right="4489"/>
        <w:jc w:val="left"/>
      </w:pPr>
      <w:r>
        <w:rPr/>
        <w:t>（</w:t>
      </w:r>
      <w:r>
        <w:rPr>
          <w:rFonts w:ascii="Times New Roman" w:hAnsi="Times New Roman" w:cs="Times New Roman" w:eastAsia="Times New Roman" w:hint="default"/>
        </w:rPr>
        <w:t>1</w:t>
      </w:r>
      <w:r>
        <w:rPr/>
        <w:t>）金融工具的确认和终止确认 当本公司成为金融工具合同的一方时，确认相关的金融资产或金融负债。 金融资产满足下列条件之一的，终止确认：</w:t>
      </w:r>
    </w:p>
    <w:p>
      <w:pPr>
        <w:pStyle w:val="BodyText"/>
        <w:spacing w:line="240" w:lineRule="auto" w:before="24"/>
        <w:ind w:left="657" w:right="0"/>
        <w:jc w:val="left"/>
      </w:pPr>
      <w:r>
        <w:rPr/>
        <w:t>①收取该金融资产现金流量的合同权利终止；</w:t>
      </w:r>
    </w:p>
    <w:p>
      <w:pPr>
        <w:pStyle w:val="BodyText"/>
        <w:spacing w:line="316" w:lineRule="auto" w:before="76"/>
        <w:ind w:left="657" w:right="1120"/>
        <w:jc w:val="left"/>
      </w:pPr>
      <w:r>
        <w:rPr/>
        <w:t>②该金融资产已转移，且符合下述金融资产转移的终止确认条件。 </w:t>
      </w:r>
      <w:r>
        <w:rPr>
          <w:spacing w:val="-1"/>
        </w:rPr>
        <w:t>金融负债（或其一部分）的现时义务已经解除的，终止确认该金融负债（或该部分金融负债）。本公司（借入方）与</w:t>
      </w:r>
    </w:p>
    <w:p>
      <w:pPr>
        <w:pStyle w:val="BodyText"/>
        <w:spacing w:line="316" w:lineRule="auto" w:before="19"/>
        <w:ind w:right="1129"/>
        <w:jc w:val="both"/>
      </w:pPr>
      <w:r>
        <w:rPr>
          <w:spacing w:val="-2"/>
        </w:rPr>
        <w:t>借出方之间签订协议，以承担新金融负债方式替换原金融负债，且新金融负债与原金融负债的合同条款实质上不同的，终止</w:t>
      </w:r>
      <w:r>
        <w:rPr>
          <w:spacing w:val="-63"/>
        </w:rPr>
        <w:t> </w:t>
      </w:r>
      <w:r>
        <w:rPr>
          <w:spacing w:val="-63"/>
        </w:rPr>
      </w:r>
      <w:r>
        <w:rPr>
          <w:spacing w:val="-2"/>
        </w:rPr>
        <w:t>确认原金融负债，并同时确认新金融负债。本公司对原金融负债（或其一部分）的合同条款作出实质性修改的，应当终止原</w:t>
      </w:r>
      <w:r>
        <w:rPr>
          <w:spacing w:val="-67"/>
        </w:rPr>
        <w:t> </w:t>
      </w:r>
      <w:r>
        <w:rPr>
          <w:spacing w:val="-67"/>
        </w:rPr>
      </w:r>
      <w:r>
        <w:rPr/>
        <w:t>金融负债，同时按照修改后的条款确认一项新的金融负债。</w:t>
      </w:r>
    </w:p>
    <w:p>
      <w:pPr>
        <w:pStyle w:val="BodyText"/>
        <w:spacing w:line="316" w:lineRule="auto" w:before="19"/>
        <w:ind w:right="1120" w:firstLine="504"/>
        <w:jc w:val="left"/>
      </w:pPr>
      <w:r>
        <w:rPr>
          <w:spacing w:val="-1"/>
        </w:rPr>
        <w:t>以常规方式买卖金融资产，按交易日进行会计确认和终止确认。常规方式买卖金融资产，是指按照合同条款规定，在</w:t>
      </w:r>
      <w:r>
        <w:rPr/>
        <w:t> 法规或市场惯例所确定的时间安排来交付金融资产。交易日，是指本公司承诺买入或卖出金融资产的日期。</w:t>
      </w:r>
    </w:p>
    <w:p>
      <w:pPr>
        <w:pStyle w:val="BodyText"/>
        <w:spacing w:line="240" w:lineRule="auto" w:before="19"/>
        <w:ind w:left="657" w:right="0"/>
        <w:jc w:val="left"/>
      </w:pPr>
      <w:r>
        <w:rPr/>
        <w:t>（</w:t>
      </w:r>
      <w:r>
        <w:rPr>
          <w:rFonts w:ascii="Times New Roman" w:hAnsi="Times New Roman" w:cs="Times New Roman" w:eastAsia="Times New Roman" w:hint="default"/>
        </w:rPr>
        <w:t>2</w:t>
      </w:r>
      <w:r>
        <w:rPr/>
        <w:t>）金融资产的分类与计量</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0" w:firstLine="504"/>
        <w:jc w:val="both"/>
      </w:pPr>
      <w:r>
        <w:rPr>
          <w:spacing w:val="-1"/>
        </w:rPr>
        <w:t>本公司在初始确认时根据管理金融资产的业务模式和金融资产的合同现金流量特征，将金融资产分类为：以摊余成本</w:t>
      </w:r>
      <w:r>
        <w:rPr/>
        <w:t> </w:t>
      </w:r>
      <w:r>
        <w:rPr>
          <w:spacing w:val="-2"/>
        </w:rPr>
        <w:t>计量的金融资产、以公允价值计量且其变动计入当期损益的金融资产、以公允价值计量且其变动计入其他综合收益的金融资</w:t>
      </w:r>
      <w:r>
        <w:rPr>
          <w:spacing w:val="-64"/>
        </w:rPr>
        <w:t> </w:t>
      </w:r>
      <w:r>
        <w:rPr>
          <w:spacing w:val="-64"/>
        </w:rPr>
      </w:r>
      <w:r>
        <w:rPr>
          <w:spacing w:val="-2"/>
        </w:rPr>
        <w:t>产。除非本公司改变管理金融资产的业务模式，在此情形下，所有受影响的相关金融资产在业务模式发生变更后的首个报告</w:t>
      </w:r>
      <w:r>
        <w:rPr>
          <w:spacing w:val="-63"/>
        </w:rPr>
        <w:t> </w:t>
      </w:r>
      <w:r>
        <w:rPr>
          <w:spacing w:val="-63"/>
        </w:rPr>
      </w:r>
      <w:r>
        <w:rPr/>
        <w:t>期间的第一天进行重分类，否则金融资产在初始确认后不得进行重分类。</w:t>
      </w:r>
    </w:p>
    <w:p>
      <w:pPr>
        <w:pStyle w:val="BodyText"/>
        <w:spacing w:line="316" w:lineRule="auto" w:before="19"/>
        <w:ind w:right="1129" w:firstLine="504"/>
        <w:jc w:val="both"/>
      </w:pPr>
      <w:r>
        <w:rPr>
          <w:spacing w:val="-1"/>
        </w:rPr>
        <w:t>金融资产在初始确认时以公允价值计量。对于以公允价值计量且其变动计入当期损益的金融资产，相关交易费用直接</w:t>
      </w:r>
      <w:r>
        <w:rPr/>
        <w:t> </w:t>
      </w:r>
      <w:r>
        <w:rPr>
          <w:spacing w:val="-2"/>
        </w:rPr>
        <w:t>计入当期损益，其他类别的金融资产相关交易费用计入其初始确认金额。因销售商品或提供劳务而产生的、未包含或不考虑</w:t>
      </w:r>
      <w:r>
        <w:rPr>
          <w:spacing w:val="-63"/>
        </w:rPr>
        <w:t> </w:t>
      </w:r>
      <w:r>
        <w:rPr>
          <w:spacing w:val="-63"/>
        </w:rPr>
      </w:r>
      <w:r>
        <w:rPr/>
        <w:t>重大融资成分的应收票据及应收账款，本公司则按照收入准则定义的交易价格进行初始计量。</w:t>
      </w:r>
    </w:p>
    <w:p>
      <w:pPr>
        <w:pStyle w:val="BodyText"/>
        <w:spacing w:line="240" w:lineRule="auto" w:before="19"/>
        <w:ind w:left="657" w:right="0"/>
        <w:jc w:val="left"/>
      </w:pPr>
      <w:r>
        <w:rPr/>
        <w:t>金融资产的后续计量取决于其分类：</w:t>
      </w:r>
    </w:p>
    <w:p>
      <w:pPr>
        <w:pStyle w:val="BodyText"/>
        <w:spacing w:line="316" w:lineRule="auto" w:before="76"/>
        <w:ind w:left="657" w:right="1120"/>
        <w:jc w:val="left"/>
      </w:pPr>
      <w:r>
        <w:rPr/>
        <w:t>①以摊余成本计量的金融资产 </w:t>
      </w:r>
      <w:r>
        <w:rPr>
          <w:spacing w:val="-1"/>
        </w:rPr>
        <w:t>金融资产同时符合下列条件的，分类为以摊余成本计量的金融资产：本公司管理该金融资产的业务模式是以收取合同</w:t>
      </w:r>
    </w:p>
    <w:p>
      <w:pPr>
        <w:pStyle w:val="BodyText"/>
        <w:spacing w:line="319" w:lineRule="auto" w:before="19"/>
        <w:ind w:right="1130"/>
        <w:jc w:val="both"/>
      </w:pPr>
      <w:r>
        <w:rPr>
          <w:spacing w:val="-2"/>
        </w:rPr>
        <w:t>现金流量为目标；该金融资产的合同条款规定，在特定日期产生的现金流量，仅为对本金和以未偿付本金金额为基础的利息</w:t>
      </w:r>
      <w:r>
        <w:rPr>
          <w:spacing w:val="-63"/>
        </w:rPr>
        <w:t> </w:t>
      </w:r>
      <w:r>
        <w:rPr>
          <w:spacing w:val="-63"/>
        </w:rPr>
      </w:r>
      <w:r>
        <w:rPr>
          <w:spacing w:val="-2"/>
        </w:rPr>
        <w:t>的支付。对于此类金融资产，采用实际利率法，按照摊余成本进行后续计量，其终止确认、按实际利率法摊销或减值产生的</w:t>
      </w:r>
      <w:r>
        <w:rPr>
          <w:spacing w:val="-67"/>
        </w:rPr>
        <w:t> </w:t>
      </w:r>
      <w:r>
        <w:rPr>
          <w:spacing w:val="-67"/>
        </w:rPr>
      </w:r>
      <w:r>
        <w:rPr/>
        <w:t>利得或损失，均计入当期损益。</w:t>
      </w:r>
    </w:p>
    <w:p>
      <w:pPr>
        <w:pStyle w:val="BodyText"/>
        <w:spacing w:line="316" w:lineRule="auto" w:before="17"/>
        <w:ind w:left="657" w:right="1120"/>
        <w:jc w:val="left"/>
      </w:pPr>
      <w:r>
        <w:rPr/>
        <w:t>②以公允价值计量且其变动计入其他综合收益的金融资产 </w:t>
      </w:r>
      <w:r>
        <w:rPr>
          <w:spacing w:val="-1"/>
        </w:rPr>
        <w:t>金融资产同时符合下列条件的，分类为以公允价值计量且其变动计入其他综合收益的金融资产：本公司管理该金融资</w:t>
      </w:r>
    </w:p>
    <w:p>
      <w:pPr>
        <w:pStyle w:val="BodyText"/>
        <w:spacing w:line="316" w:lineRule="auto" w:before="19"/>
        <w:ind w:right="0"/>
        <w:jc w:val="left"/>
      </w:pPr>
      <w:r>
        <w:rPr>
          <w:spacing w:val="-2"/>
        </w:rPr>
        <w:t>产的业务模式是既以收取合同现金流量为目标又以出售金融资产为目标；该金融资产的合同条款规定，在特定日期产生的现</w:t>
      </w:r>
      <w:r>
        <w:rPr>
          <w:spacing w:val="-64"/>
        </w:rPr>
        <w:t> </w:t>
      </w:r>
      <w:r>
        <w:rPr>
          <w:spacing w:val="-64"/>
        </w:rPr>
      </w:r>
      <w:r>
        <w:rPr>
          <w:spacing w:val="-2"/>
        </w:rPr>
        <w:t>金流量，仅为对本金和以未偿付本金金额为基础的利息的支付。对于此类金融资产，采用公允价值进行后续计量。除减值损</w:t>
      </w:r>
      <w:r>
        <w:rPr>
          <w:spacing w:val="-64"/>
        </w:rPr>
        <w:t> </w:t>
      </w:r>
      <w:r>
        <w:rPr>
          <w:spacing w:val="-64"/>
        </w:rPr>
      </w:r>
      <w:r>
        <w:rPr>
          <w:spacing w:val="-4"/>
        </w:rPr>
        <w:t>失或利得及汇兑损益确认为当期损益外，此类金融资产的公允价值变动作为其他综合收益确认，直到该金融资产终止确认时，</w:t>
      </w:r>
      <w:r>
        <w:rPr>
          <w:spacing w:val="-45"/>
        </w:rPr>
        <w:t> </w:t>
      </w:r>
      <w:r>
        <w:rPr>
          <w:spacing w:val="-45"/>
        </w:rPr>
      </w:r>
      <w:r>
        <w:rPr/>
        <w:t>其累计利得或损失转入当期损益。但是采用实际利率法计算的该金融资产的相关利息收入计入当期损益。</w:t>
      </w:r>
    </w:p>
    <w:p>
      <w:pPr>
        <w:pStyle w:val="BodyText"/>
        <w:spacing w:line="316" w:lineRule="auto" w:before="19"/>
        <w:ind w:right="1084" w:firstLine="504"/>
        <w:jc w:val="both"/>
      </w:pPr>
      <w:r>
        <w:rPr/>
        <w:t>本公司不可撤销地选择将部分非交易性权益工具投资指定为以公允价值计量且其变动计入其他综合收益的金融资产， </w:t>
      </w:r>
      <w:r>
        <w:rPr>
          <w:spacing w:val="-2"/>
        </w:rPr>
        <w:t>仅将相关股利收入计入当期损益，公允价值变动作为其他综合收益确认，直到该金融资产终止确认时，其累计利得或损失转</w:t>
      </w:r>
      <w:r>
        <w:rPr>
          <w:spacing w:val="-63"/>
        </w:rPr>
        <w:t> </w:t>
      </w:r>
      <w:r>
        <w:rPr>
          <w:spacing w:val="-63"/>
        </w:rPr>
      </w:r>
      <w:r>
        <w:rPr/>
        <w:t>入留存收益。</w:t>
      </w:r>
    </w:p>
    <w:p>
      <w:pPr>
        <w:pStyle w:val="BodyText"/>
        <w:spacing w:line="319" w:lineRule="auto" w:before="19"/>
        <w:ind w:left="657" w:right="1120"/>
        <w:jc w:val="left"/>
      </w:pPr>
      <w:r>
        <w:rPr/>
        <w:t>③以公允价值计量且其变动计入当期损益的金融资产 </w:t>
      </w:r>
      <w:r>
        <w:rPr>
          <w:spacing w:val="-1"/>
        </w:rPr>
        <w:t>上述以摊余成本计量的金融资产和以公允价值计量且其变动计入其他综合收益的金融资产之外的金融资产，分类为以</w:t>
      </w:r>
    </w:p>
    <w:p>
      <w:pPr>
        <w:pStyle w:val="BodyText"/>
        <w:spacing w:line="316" w:lineRule="auto" w:before="17"/>
        <w:ind w:right="1130"/>
        <w:jc w:val="both"/>
      </w:pPr>
      <w:r>
        <w:rPr>
          <w:spacing w:val="-2"/>
        </w:rPr>
        <w:t>公允价值计量且其变动计入当期损益的金融资产。对于此类金融资产，采用公允价值进行后续计量，所有公允价值变动计入</w:t>
      </w:r>
      <w:r>
        <w:rPr>
          <w:spacing w:val="-63"/>
        </w:rPr>
        <w:t> </w:t>
      </w:r>
      <w:r>
        <w:rPr>
          <w:spacing w:val="-63"/>
        </w:rPr>
      </w:r>
      <w:r>
        <w:rPr/>
        <w:t>当期损益。</w:t>
      </w:r>
    </w:p>
    <w:p>
      <w:pPr>
        <w:pStyle w:val="BodyText"/>
        <w:spacing w:line="300" w:lineRule="auto" w:before="19"/>
        <w:ind w:left="657" w:right="1120"/>
        <w:jc w:val="left"/>
      </w:pPr>
      <w:r>
        <w:rPr/>
        <w:t>（</w:t>
      </w:r>
      <w:r>
        <w:rPr>
          <w:rFonts w:ascii="Times New Roman" w:hAnsi="Times New Roman" w:cs="Times New Roman" w:eastAsia="Times New Roman" w:hint="default"/>
        </w:rPr>
        <w:t>3</w:t>
      </w:r>
      <w:r>
        <w:rPr/>
        <w:t>）金融负债的分类与计量 </w:t>
      </w:r>
      <w:r>
        <w:rPr>
          <w:spacing w:val="-1"/>
        </w:rPr>
        <w:t>本公司将金融负债分类为以公允价值计量且其变动计入当期损益的金融负债、低于市场利率贷款的贷款承诺及财务担</w:t>
      </w:r>
    </w:p>
    <w:p>
      <w:pPr>
        <w:pStyle w:val="BodyText"/>
        <w:spacing w:line="316" w:lineRule="auto" w:before="31"/>
        <w:ind w:left="657" w:right="7333" w:hanging="504"/>
        <w:jc w:val="left"/>
      </w:pPr>
      <w:r>
        <w:rPr/>
        <w:t>保合同负债及以摊余成本计量的金融负债。 金融负债的后续计量取决于其分类：</w:t>
      </w:r>
    </w:p>
    <w:p>
      <w:pPr>
        <w:pStyle w:val="BodyText"/>
        <w:spacing w:line="316" w:lineRule="auto" w:before="19"/>
        <w:ind w:left="657" w:right="1120"/>
        <w:jc w:val="left"/>
      </w:pPr>
      <w:r>
        <w:rPr/>
        <w:t>①以公允价值计量且其变动计入当期损益的金融负债</w:t>
      </w:r>
      <w:r>
        <w:rPr>
          <w:spacing w:val="-87"/>
        </w:rPr>
        <w:t> </w:t>
      </w:r>
      <w:r>
        <w:rPr>
          <w:spacing w:val="-87"/>
        </w:rPr>
      </w:r>
      <w:r>
        <w:rPr>
          <w:spacing w:val="-1"/>
        </w:rPr>
        <w:t>该类金融负债包括交易性金融负债（含属于金融负债的衍生工具）和指定为以公允价值计量且其变动计入当期损益的</w:t>
      </w:r>
    </w:p>
    <w:p>
      <w:pPr>
        <w:pStyle w:val="BodyText"/>
        <w:spacing w:line="319" w:lineRule="auto" w:before="19"/>
        <w:ind w:right="1132"/>
        <w:jc w:val="both"/>
      </w:pPr>
      <w:r>
        <w:rPr>
          <w:spacing w:val="-2"/>
        </w:rPr>
        <w:t>金融负债。初始确认后，对于该类金融负债以公允价值进行后续计量，除与套期会计有关外，产生的利得或损失（包括利息</w:t>
      </w:r>
      <w:r>
        <w:rPr>
          <w:spacing w:val="-67"/>
        </w:rPr>
        <w:t> </w:t>
      </w:r>
      <w:r>
        <w:rPr>
          <w:spacing w:val="-67"/>
        </w:rPr>
      </w:r>
      <w:r>
        <w:rPr>
          <w:spacing w:val="-2"/>
        </w:rPr>
        <w:t>费用）计入当期损益。但本公司对指定为以公允价值计量且其变动计入当期损益的金融负债，由其自身信用风险变动引起的</w:t>
      </w:r>
      <w:r>
        <w:rPr>
          <w:spacing w:val="-66"/>
        </w:rPr>
        <w:t> </w:t>
      </w:r>
      <w:r>
        <w:rPr>
          <w:spacing w:val="-66"/>
        </w:rPr>
      </w:r>
      <w:r>
        <w:rPr>
          <w:spacing w:val="-2"/>
        </w:rPr>
        <w:t>该金融负债公允价值的变动金额计入其他综合收益，当该金融负债终止确认时，之前计入其他综合收益的累计利得和损失应</w:t>
      </w:r>
      <w:r>
        <w:rPr>
          <w:spacing w:val="-64"/>
        </w:rPr>
        <w:t> </w:t>
      </w:r>
      <w:r>
        <w:rPr>
          <w:spacing w:val="-64"/>
        </w:rPr>
      </w:r>
      <w:r>
        <w:rPr/>
        <w:t>当从其他综合收益中转出，计入留存收益。</w:t>
      </w:r>
    </w:p>
    <w:p>
      <w:pPr>
        <w:pStyle w:val="BodyText"/>
        <w:spacing w:line="316" w:lineRule="auto" w:before="17"/>
        <w:ind w:left="657" w:right="1120"/>
        <w:jc w:val="left"/>
      </w:pPr>
      <w:r>
        <w:rPr/>
        <w:t>②贷款承诺及财务担保合同负债 </w:t>
      </w:r>
      <w:r>
        <w:rPr>
          <w:spacing w:val="-1"/>
        </w:rPr>
        <w:t>贷款承诺是本公司向客户提供的一项在承诺期间内以既定的合同条款向客户发放贷款的承诺。贷款承诺按照预期信用</w:t>
      </w:r>
    </w:p>
    <w:p>
      <w:pPr>
        <w:pStyle w:val="BodyText"/>
        <w:spacing w:line="316" w:lineRule="auto" w:before="19"/>
        <w:ind w:left="657" w:right="1120" w:hanging="504"/>
        <w:jc w:val="left"/>
      </w:pPr>
      <w:r>
        <w:rPr/>
        <w:t>损失模型计提减值损失。 </w:t>
      </w:r>
      <w:r>
        <w:rPr>
          <w:spacing w:val="-1"/>
        </w:rPr>
        <w:t>财务担保合同指，当特定债务人到期不能按照最初或修改后的债务工具条款偿付债务时，要求本公司向蒙受损失的合</w:t>
      </w:r>
    </w:p>
    <w:p>
      <w:pPr>
        <w:pStyle w:val="BodyText"/>
        <w:spacing w:line="316" w:lineRule="auto" w:before="19"/>
        <w:ind w:right="1132"/>
        <w:jc w:val="both"/>
      </w:pPr>
      <w:r>
        <w:rPr>
          <w:spacing w:val="-2"/>
        </w:rPr>
        <w:t>同持有人赔付特定金额的合同。财务担保合同负债以按照依据金融工具的减值原则所确定的损失准备金额以及初始确认金额</w:t>
      </w:r>
      <w:r>
        <w:rPr>
          <w:spacing w:val="-64"/>
        </w:rPr>
        <w:t> </w:t>
      </w:r>
      <w:r>
        <w:rPr>
          <w:spacing w:val="-64"/>
        </w:rPr>
      </w:r>
      <w:r>
        <w:rPr/>
        <w:t>扣除按收入确认原则确定的累计摊销额后的余额孰高进行后续计量。</w:t>
      </w:r>
    </w:p>
    <w:p>
      <w:pPr>
        <w:pStyle w:val="BodyText"/>
        <w:spacing w:line="316" w:lineRule="auto" w:before="19"/>
        <w:ind w:left="657" w:right="5209"/>
        <w:jc w:val="left"/>
      </w:pPr>
      <w:r>
        <w:rPr/>
        <w:t>③以摊余成本计量的金融负债 初始确认后，对其他金融负债采用实际利率法以摊余成本计量。</w:t>
      </w:r>
    </w:p>
    <w:p>
      <w:pPr>
        <w:spacing w:after="0" w:line="316"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657" w:right="0"/>
        <w:jc w:val="left"/>
      </w:pPr>
      <w:r>
        <w:rPr/>
        <w:t>除特殊情况外，金融负债与权益工具按照下列原则进行区分：</w:t>
      </w:r>
    </w:p>
    <w:p>
      <w:pPr>
        <w:pStyle w:val="BodyText"/>
        <w:spacing w:line="316" w:lineRule="auto" w:before="76"/>
        <w:ind w:right="1117" w:firstLine="504"/>
        <w:jc w:val="left"/>
      </w:pPr>
      <w:r>
        <w:rPr/>
        <w:t>①如果本公司不能无条件地避免以交付现金或其他金融资产来履行一项合同义务，则该合同义务符合金融负债的定 </w:t>
      </w:r>
      <w:r>
        <w:rPr>
          <w:spacing w:val="-2"/>
        </w:rPr>
        <w:t>义。有些金融工具虽然没有明确地包含交付现金或其他金融资产义务的条款和条件，但有可能通过其他条款和条件间接地形</w:t>
      </w:r>
      <w:r>
        <w:rPr>
          <w:spacing w:val="-64"/>
        </w:rPr>
        <w:t> </w:t>
      </w:r>
      <w:r>
        <w:rPr>
          <w:spacing w:val="-64"/>
        </w:rPr>
      </w:r>
      <w:r>
        <w:rPr/>
        <w:t>成合同义务。</w:t>
      </w:r>
    </w:p>
    <w:p>
      <w:pPr>
        <w:pStyle w:val="BodyText"/>
        <w:spacing w:line="316" w:lineRule="auto" w:before="19"/>
        <w:ind w:right="1132" w:firstLine="504"/>
        <w:jc w:val="both"/>
      </w:pPr>
      <w:r>
        <w:rPr>
          <w:spacing w:val="-1"/>
        </w:rPr>
        <w:t>②如果一项金融工具须用或可用本公司自身权益工具进行结算，需要考虑用于结算该工具的本公司自身权益工具，是</w:t>
      </w:r>
      <w:r>
        <w:rPr/>
        <w:t> </w:t>
      </w:r>
      <w:r>
        <w:rPr>
          <w:spacing w:val="-2"/>
        </w:rPr>
        <w:t>作为现金或其他金融资产的替代品，还是为了使该工具持有方享有在发行方扣除所有负债后的资产中的剩余权益。如果是前</w:t>
      </w:r>
      <w:r>
        <w:rPr>
          <w:spacing w:val="-64"/>
        </w:rPr>
        <w:t> </w:t>
      </w:r>
      <w:r>
        <w:rPr>
          <w:spacing w:val="-64"/>
        </w:rPr>
      </w:r>
      <w:r>
        <w:rPr>
          <w:spacing w:val="-2"/>
        </w:rPr>
        <w:t>者，该工具是发行方的金融负债；如果是后者，该工具是发行方的权益工具。在某些情况下，一项金融工具合同规定本公司</w:t>
      </w:r>
      <w:r>
        <w:rPr>
          <w:spacing w:val="-67"/>
        </w:rPr>
        <w:t> </w:t>
      </w:r>
      <w:r>
        <w:rPr>
          <w:spacing w:val="-67"/>
        </w:rPr>
      </w:r>
      <w:r>
        <w:rPr>
          <w:spacing w:val="-2"/>
        </w:rPr>
        <w:t>须用或可用自身权益工具结算该金融工具，其中合同权利或合同义务的金额等于可获取或需交付的自身权益工具的数量乘以</w:t>
      </w:r>
      <w:r>
        <w:rPr>
          <w:spacing w:val="-64"/>
        </w:rPr>
        <w:t> </w:t>
      </w:r>
      <w:r>
        <w:rPr>
          <w:spacing w:val="-64"/>
        </w:rPr>
      </w:r>
      <w:r>
        <w:rPr>
          <w:spacing w:val="-2"/>
        </w:rPr>
        <w:t>其结算时的公允价值，则无论该合同权利或合同义务的金额是固定的，还是完全或部分地基于除本公司自身权益工具的市场</w:t>
      </w:r>
      <w:r>
        <w:rPr>
          <w:spacing w:val="-64"/>
        </w:rPr>
        <w:t> </w:t>
      </w:r>
      <w:r>
        <w:rPr>
          <w:spacing w:val="-64"/>
        </w:rPr>
      </w:r>
      <w:r>
        <w:rPr/>
        <w:t>价格以外变量（例如利率、某种商品的价格或某项金融工具的价格）的变动而变动，该合同分类为金融负债。</w:t>
      </w:r>
    </w:p>
    <w:p>
      <w:pPr>
        <w:pStyle w:val="BodyText"/>
        <w:spacing w:line="300" w:lineRule="auto" w:before="19"/>
        <w:ind w:left="657" w:right="1120"/>
        <w:jc w:val="left"/>
      </w:pPr>
      <w:r>
        <w:rPr/>
        <w:t>（</w:t>
      </w:r>
      <w:r>
        <w:rPr>
          <w:rFonts w:ascii="Times New Roman" w:hAnsi="Times New Roman" w:cs="Times New Roman" w:eastAsia="Times New Roman" w:hint="default"/>
        </w:rPr>
        <w:t>4</w:t>
      </w:r>
      <w:r>
        <w:rPr/>
        <w:t>）衍生金融工具及嵌入衍生工具 </w:t>
      </w:r>
      <w:r>
        <w:rPr>
          <w:spacing w:val="-1"/>
        </w:rPr>
        <w:t>衍生金融工具初始以衍生交易合同签订当日的公允价值进行计量，并以其公允价值进行后续计量。公允价值为正数的</w:t>
      </w:r>
    </w:p>
    <w:p>
      <w:pPr>
        <w:pStyle w:val="BodyText"/>
        <w:spacing w:line="316" w:lineRule="auto" w:before="31"/>
        <w:ind w:left="657" w:right="1120" w:hanging="504"/>
        <w:jc w:val="left"/>
      </w:pPr>
      <w:r>
        <w:rPr/>
        <w:t>衍生金融工具确认为一项资产，公允价值为负数的确认为一项负债。 </w:t>
      </w:r>
      <w:r>
        <w:rPr>
          <w:spacing w:val="-1"/>
        </w:rPr>
        <w:t>除现金流量套期中属于套期有效的部分计入其他综合收益并于被套期项目影响损益时转出计入当期损益之外，衍生工</w:t>
      </w:r>
    </w:p>
    <w:p>
      <w:pPr>
        <w:pStyle w:val="BodyText"/>
        <w:spacing w:line="316" w:lineRule="auto" w:before="19"/>
        <w:ind w:left="657" w:right="1120" w:hanging="504"/>
        <w:jc w:val="left"/>
      </w:pPr>
      <w:r>
        <w:rPr/>
        <w:t>具公允价值变动而产生的利得或损失，直接计入当期损益。 </w:t>
      </w:r>
      <w:r>
        <w:rPr>
          <w:spacing w:val="-1"/>
        </w:rPr>
        <w:t>对包含嵌入衍生工具的混合工具，如主合同为金融资产的，混合工具作为一个整体适用金融资产分类的相关规定。如</w:t>
      </w:r>
    </w:p>
    <w:p>
      <w:pPr>
        <w:pStyle w:val="BodyText"/>
        <w:spacing w:line="316" w:lineRule="auto" w:before="19"/>
        <w:ind w:right="1130"/>
        <w:jc w:val="both"/>
      </w:pPr>
      <w:r>
        <w:rPr>
          <w:spacing w:val="-2"/>
        </w:rPr>
        <w:t>主合同并非金融资产，且该混合工具不是以公允价值计量且其变动计入当期损益进行会计处理，嵌入衍生工具与该主合同在</w:t>
      </w:r>
      <w:r>
        <w:rPr>
          <w:spacing w:val="-64"/>
        </w:rPr>
        <w:t> </w:t>
      </w:r>
      <w:r>
        <w:rPr>
          <w:spacing w:val="-64"/>
        </w:rPr>
      </w:r>
      <w:r>
        <w:rPr>
          <w:spacing w:val="-2"/>
        </w:rPr>
        <w:t>经济特征及风险方面不存在紧密关系，且与嵌入衍生工具条件相同、单独存在的工具符合衍生工具定义的，嵌入衍生工具从</w:t>
      </w:r>
      <w:r>
        <w:rPr>
          <w:spacing w:val="-63"/>
        </w:rPr>
        <w:t> </w:t>
      </w:r>
      <w:r>
        <w:rPr>
          <w:spacing w:val="-63"/>
        </w:rPr>
      </w:r>
      <w:r>
        <w:rPr>
          <w:spacing w:val="-2"/>
        </w:rPr>
        <w:t>混合工具中分拆，作为单独的衍生金融工具处理。如果该嵌入衍生工具在取得日或后续资产负债表日的公允价值无法单独计</w:t>
      </w:r>
      <w:r>
        <w:rPr>
          <w:spacing w:val="-64"/>
        </w:rPr>
        <w:t> </w:t>
      </w:r>
      <w:r>
        <w:rPr>
          <w:spacing w:val="-64"/>
        </w:rPr>
      </w:r>
      <w:r>
        <w:rPr/>
        <w:t>量，则将混合工具整体指定为以公允价值计量且其变动计入当期损益的金融资产或金融负债。</w:t>
      </w:r>
    </w:p>
    <w:p>
      <w:pPr>
        <w:pStyle w:val="BodyText"/>
        <w:spacing w:line="300" w:lineRule="auto" w:before="19"/>
        <w:ind w:left="657" w:right="1120"/>
        <w:jc w:val="left"/>
      </w:pPr>
      <w:r>
        <w:rPr/>
        <w:t>（</w:t>
      </w:r>
      <w:r>
        <w:rPr>
          <w:rFonts w:ascii="Times New Roman" w:hAnsi="Times New Roman" w:cs="Times New Roman" w:eastAsia="Times New Roman" w:hint="default"/>
        </w:rPr>
        <w:t>5</w:t>
      </w:r>
      <w:r>
        <w:rPr/>
        <w:t>）金融工具减值 </w:t>
      </w:r>
      <w:r>
        <w:rPr>
          <w:spacing w:val="-1"/>
        </w:rPr>
        <w:t>本公司对于以摊余成本计量的金融资产、以公允价值计量且其变动计入其他综合收益的债权投资、合同资产、租赁应</w:t>
      </w:r>
    </w:p>
    <w:p>
      <w:pPr>
        <w:pStyle w:val="BodyText"/>
        <w:spacing w:line="240" w:lineRule="auto" w:before="31"/>
        <w:ind w:right="0"/>
        <w:jc w:val="both"/>
      </w:pPr>
      <w:r>
        <w:rPr/>
        <w:t>收款、贷款承诺及财务担保合同等，以预期信用损失为基础确认损失准备。</w:t>
      </w:r>
    </w:p>
    <w:p>
      <w:pPr>
        <w:pStyle w:val="BodyText"/>
        <w:spacing w:line="316" w:lineRule="auto" w:before="77"/>
        <w:ind w:left="657" w:right="1120"/>
        <w:jc w:val="left"/>
      </w:pPr>
      <w:r>
        <w:rPr/>
        <w:t>①预期信用损失的计量 </w:t>
      </w:r>
      <w:r>
        <w:rPr>
          <w:spacing w:val="-1"/>
        </w:rPr>
        <w:t>预期信用损失，是指以发生违约的风险为权重的金融工具信用损失的加权平均值。信用损失，是指本公司按照原实际</w:t>
      </w:r>
    </w:p>
    <w:p>
      <w:pPr>
        <w:pStyle w:val="BodyText"/>
        <w:spacing w:line="316" w:lineRule="auto" w:before="19"/>
        <w:ind w:right="1130"/>
        <w:jc w:val="both"/>
      </w:pPr>
      <w:r>
        <w:rPr>
          <w:spacing w:val="-2"/>
        </w:rPr>
        <w:t>利率折现的、根据合同应收的所有合同现金流量与预期收取的所有现金流量之间的差额，即全部现金短缺的现值。其中，对</w:t>
      </w:r>
      <w:r>
        <w:rPr>
          <w:spacing w:val="-64"/>
        </w:rPr>
        <w:t> </w:t>
      </w:r>
      <w:r>
        <w:rPr>
          <w:spacing w:val="-64"/>
        </w:rPr>
      </w:r>
      <w:r>
        <w:rPr/>
        <w:t>于本公司购买或源生的已发生信用减值的金融资产，应按照该金融资产经信用调整的实际利率折现。</w:t>
      </w:r>
    </w:p>
    <w:p>
      <w:pPr>
        <w:pStyle w:val="BodyText"/>
        <w:spacing w:line="316" w:lineRule="auto" w:before="19"/>
        <w:ind w:left="657" w:right="1123"/>
        <w:jc w:val="left"/>
      </w:pPr>
      <w:r>
        <w:rPr/>
        <w:t>整个存续期预期信用损失，是指因金融工具整个预计存续期内所有可能发生的违约事件而导致的预期信用损失。</w:t>
      </w:r>
      <w:r>
        <w:rPr>
          <w:spacing w:val="-87"/>
        </w:rPr>
        <w:t> </w:t>
      </w:r>
      <w:r>
        <w:rPr>
          <w:spacing w:val="-87"/>
        </w:rPr>
      </w:r>
      <w:r>
        <w:rPr>
          <w:spacing w:val="-1"/>
        </w:rPr>
        <w:t>未来</w:t>
      </w:r>
      <w:r>
        <w:rPr>
          <w:rFonts w:ascii="Times New Roman" w:hAnsi="Times New Roman" w:cs="Times New Roman" w:eastAsia="Times New Roman" w:hint="default"/>
          <w:spacing w:val="-1"/>
        </w:rPr>
        <w:t>12</w:t>
      </w:r>
      <w:r>
        <w:rPr>
          <w:spacing w:val="-1"/>
        </w:rPr>
        <w:t>个月内预期信用损失，是指因资产负债表日后</w:t>
      </w:r>
      <w:r>
        <w:rPr>
          <w:rFonts w:ascii="Times New Roman" w:hAnsi="Times New Roman" w:cs="Times New Roman" w:eastAsia="Times New Roman" w:hint="default"/>
          <w:spacing w:val="-1"/>
        </w:rPr>
        <w:t>12</w:t>
      </w:r>
      <w:r>
        <w:rPr>
          <w:spacing w:val="-1"/>
        </w:rPr>
        <w:t>个月内（若金融工具的预计存续期少于</w:t>
      </w:r>
      <w:r>
        <w:rPr>
          <w:rFonts w:ascii="Times New Roman" w:hAnsi="Times New Roman" w:cs="Times New Roman" w:eastAsia="Times New Roman" w:hint="default"/>
          <w:spacing w:val="-1"/>
        </w:rPr>
        <w:t>12</w:t>
      </w:r>
      <w:r>
        <w:rPr>
          <w:spacing w:val="-1"/>
        </w:rPr>
        <w:t>个月，则为预计存续</w:t>
      </w:r>
    </w:p>
    <w:p>
      <w:pPr>
        <w:pStyle w:val="BodyText"/>
        <w:spacing w:line="316" w:lineRule="auto"/>
        <w:ind w:left="657" w:right="1120" w:hanging="504"/>
        <w:jc w:val="left"/>
      </w:pPr>
      <w:r>
        <w:rPr/>
        <w:t>期）可能发生的金融工具违约事件而导致的预期信用损失，是整个存续期预期信用损失的一部分。 </w:t>
      </w:r>
      <w:r>
        <w:rPr>
          <w:spacing w:val="-1"/>
        </w:rPr>
        <w:t>于每个资产负债表日，本公司对于处于不同阶段的金融工具的预期信用损失分别进行计量。金融工具自初始确认后信</w:t>
      </w:r>
    </w:p>
    <w:p>
      <w:pPr>
        <w:pStyle w:val="BodyText"/>
        <w:spacing w:line="309" w:lineRule="auto" w:before="19"/>
        <w:ind w:right="1129"/>
        <w:jc w:val="both"/>
      </w:pPr>
      <w:r>
        <w:rPr>
          <w:spacing w:val="-2"/>
        </w:rPr>
        <w:t>用风险未显著增加的，处于第一阶段，本公司按照未来</w:t>
      </w:r>
      <w:r>
        <w:rPr>
          <w:rFonts w:ascii="Times New Roman" w:hAnsi="Times New Roman" w:cs="Times New Roman" w:eastAsia="Times New Roman" w:hint="default"/>
          <w:spacing w:val="-2"/>
        </w:rPr>
        <w:t>12</w:t>
      </w:r>
      <w:r>
        <w:rPr>
          <w:spacing w:val="-2"/>
        </w:rPr>
        <w:t>个月内的预期信用损失计量损失准备；金融工具自初始确认后信用</w:t>
      </w:r>
      <w:r>
        <w:rPr>
          <w:spacing w:val="-61"/>
        </w:rPr>
        <w:t> </w:t>
      </w:r>
      <w:r>
        <w:rPr>
          <w:spacing w:val="-61"/>
        </w:rPr>
      </w:r>
      <w:r>
        <w:rPr>
          <w:spacing w:val="-2"/>
        </w:rPr>
        <w:t>风险已显著增加但尚未发生信用减值的，处于第二阶段，本公司按照该工具整个存续期的预期信用损失计量损失准备；金融</w:t>
      </w:r>
      <w:r>
        <w:rPr>
          <w:spacing w:val="-66"/>
        </w:rPr>
        <w:t> </w:t>
      </w:r>
      <w:r>
        <w:rPr>
          <w:spacing w:val="-66"/>
        </w:rPr>
      </w:r>
      <w:r>
        <w:rPr/>
        <w:t>工具自初始确认后已经发生信用减值的，处于第三阶段，本公司按照该工具整个存续期的预期信用损失计量损失准备。</w:t>
      </w:r>
    </w:p>
    <w:p>
      <w:pPr>
        <w:pStyle w:val="BodyText"/>
        <w:spacing w:line="300" w:lineRule="auto" w:before="25"/>
        <w:ind w:right="1121" w:firstLine="504"/>
        <w:jc w:val="left"/>
      </w:pPr>
      <w:r>
        <w:rPr>
          <w:spacing w:val="-1"/>
        </w:rPr>
        <w:t>对于在资产负债表日具有较低信用风险的金融工具，本公司假设其信用风险自初始确认后并未显著增加，按照未来</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1"/>
        </w:rPr>
        <w:t> </w:t>
      </w:r>
      <w:r>
        <w:rPr/>
        <w:t>个月内的预期信用损失计量损失准备。</w:t>
      </w:r>
    </w:p>
    <w:p>
      <w:pPr>
        <w:pStyle w:val="BodyText"/>
        <w:spacing w:line="316" w:lineRule="auto" w:before="31"/>
        <w:ind w:right="1033" w:firstLine="504"/>
        <w:jc w:val="left"/>
      </w:pPr>
      <w:r>
        <w:rPr/>
        <w:t>本公司对于处于第一阶段和第二阶段、以及较低信用风险的金融工具，按照其未扣除减值准备的账面余额和实际利率 计算利息收入。对于处于第三阶段的金融工具，按照其账面余额减已计提减值准备后的摊余成本和实际利率计算利息收入。</w:t>
      </w:r>
    </w:p>
    <w:p>
      <w:pPr>
        <w:pStyle w:val="BodyText"/>
        <w:spacing w:line="316" w:lineRule="auto" w:before="19"/>
        <w:ind w:right="1120" w:firstLine="504"/>
        <w:jc w:val="left"/>
      </w:pPr>
      <w:r>
        <w:rPr>
          <w:spacing w:val="-1"/>
        </w:rPr>
        <w:t>对于应收票据、应收账款及应收融资款，无论是否存在重大融资成分，本公司均按照整个存续期的预期信用损失计量</w:t>
      </w:r>
      <w:r>
        <w:rPr/>
        <w:t> 损失准备。</w:t>
      </w:r>
    </w:p>
    <w:p>
      <w:pPr>
        <w:pStyle w:val="BodyText"/>
        <w:spacing w:line="300" w:lineRule="auto" w:before="19"/>
        <w:ind w:left="657" w:right="1120" w:firstLine="2"/>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6"/>
        </w:rPr>
        <w:t> </w:t>
      </w:r>
      <w:r>
        <w:rPr/>
        <w:t>应收款项 </w:t>
      </w:r>
      <w:r>
        <w:rPr>
          <w:spacing w:val="-1"/>
        </w:rPr>
        <w:t>对于存在客观证据表明存在减值，以及其他适用于单项评估的应收票据、应收账款、其他应收款、应收款项融资及长</w:t>
      </w:r>
    </w:p>
    <w:p>
      <w:pPr>
        <w:pStyle w:val="BodyText"/>
        <w:spacing w:line="316" w:lineRule="auto" w:before="31"/>
        <w:ind w:right="1051"/>
        <w:jc w:val="both"/>
      </w:pPr>
      <w:r>
        <w:rPr/>
        <w:t>期应收款等单独进行减值测试，确认预期信用损失，计提单项减值准备。对于不存在减值客观证据的应收票据、应收账款、 </w:t>
      </w:r>
      <w:r>
        <w:rPr>
          <w:spacing w:val="-2"/>
        </w:rPr>
        <w:t>其他应收款、应收款项融资及长期应收款或当单项金融资产无法以合理成本评估预期信用损失的信息时，本公司依据信用风</w:t>
      </w:r>
    </w:p>
    <w:p>
      <w:pPr>
        <w:spacing w:after="0" w:line="316"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0"/>
        <w:jc w:val="left"/>
      </w:pPr>
      <w:r>
        <w:rPr>
          <w:spacing w:val="-2"/>
        </w:rPr>
        <w:t>险特征将应收票据、应收账款、其他应收款、应收款项融资及长期应收款等划分为若干组合，在组合基础上计算预期信用损</w:t>
      </w:r>
      <w:r>
        <w:rPr>
          <w:spacing w:val="-64"/>
        </w:rPr>
        <w:t> </w:t>
      </w:r>
      <w:r>
        <w:rPr>
          <w:spacing w:val="-64"/>
        </w:rPr>
      </w:r>
      <w:r>
        <w:rPr/>
        <w:t>失，确定组合的依据如下：</w:t>
      </w:r>
    </w:p>
    <w:p>
      <w:pPr>
        <w:pStyle w:val="BodyText"/>
        <w:spacing w:line="300" w:lineRule="auto" w:before="19"/>
        <w:ind w:left="657" w:right="7469"/>
        <w:jc w:val="left"/>
      </w:pPr>
      <w:r>
        <w:rPr>
          <w:rFonts w:ascii="Times New Roman" w:hAnsi="Times New Roman" w:cs="Times New Roman" w:eastAsia="Times New Roman" w:hint="default"/>
        </w:rPr>
        <w:t>a</w:t>
      </w:r>
      <w:r>
        <w:rPr/>
        <w:t>、应收票据确定组合的依据如下： 应收票据组合</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银行承兑汇票 应收票据组合</w:t>
      </w:r>
      <w:r>
        <w:rPr>
          <w:rFonts w:ascii="Times New Roman" w:hAnsi="Times New Roman" w:cs="Times New Roman" w:eastAsia="Times New Roman" w:hint="default"/>
        </w:rPr>
        <w:t>2  </w:t>
      </w:r>
      <w:r>
        <w:rPr>
          <w:rFonts w:ascii="Times New Roman" w:hAnsi="Times New Roman" w:cs="Times New Roman" w:eastAsia="Times New Roman" w:hint="default"/>
          <w:spacing w:val="9"/>
        </w:rPr>
        <w:t> </w:t>
      </w:r>
      <w:r>
        <w:rPr/>
        <w:t>商业承兑汇票</w:t>
      </w:r>
    </w:p>
    <w:p>
      <w:pPr>
        <w:pStyle w:val="BodyText"/>
        <w:spacing w:line="316" w:lineRule="auto" w:before="13"/>
        <w:ind w:right="1120" w:firstLine="504"/>
        <w:jc w:val="left"/>
      </w:pPr>
      <w:r>
        <w:rPr>
          <w:spacing w:val="-1"/>
        </w:rPr>
        <w:t>对于划分为组合的应收票据，本公司参考历史信用损失经验，结合当前状况以及对未来经济状况的预测，通过违约风</w:t>
      </w:r>
      <w:r>
        <w:rPr/>
        <w:t> 险敞口和整个存续期预期信用损失率，计算预期信用损失。</w:t>
      </w:r>
    </w:p>
    <w:p>
      <w:pPr>
        <w:pStyle w:val="BodyText"/>
        <w:spacing w:line="300" w:lineRule="auto" w:before="19"/>
        <w:ind w:left="657" w:right="6473"/>
        <w:jc w:val="left"/>
      </w:pPr>
      <w:r>
        <w:rPr>
          <w:rFonts w:ascii="Times New Roman" w:hAnsi="Times New Roman" w:cs="Times New Roman" w:eastAsia="Times New Roman" w:hint="default"/>
        </w:rPr>
        <w:t>b</w:t>
      </w:r>
      <w:r>
        <w:rPr/>
        <w:t>、应收账款确定组合的依据如下： 应收账款组合</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应收合并范围内关联方客户 应收账款组合</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应收联创智融资产组客户 应收账款组合</w:t>
      </w:r>
      <w:r>
        <w:rPr>
          <w:rFonts w:ascii="Times New Roman" w:hAnsi="Times New Roman" w:cs="Times New Roman" w:eastAsia="Times New Roman" w:hint="default"/>
        </w:rPr>
        <w:t>3  </w:t>
      </w:r>
      <w:r>
        <w:rPr>
          <w:rFonts w:ascii="Times New Roman" w:hAnsi="Times New Roman" w:cs="Times New Roman" w:eastAsia="Times New Roman" w:hint="default"/>
          <w:spacing w:val="9"/>
        </w:rPr>
        <w:t> </w:t>
      </w:r>
      <w:r>
        <w:rPr/>
        <w:t>应收其他客户</w:t>
      </w:r>
    </w:p>
    <w:p>
      <w:pPr>
        <w:pStyle w:val="BodyText"/>
        <w:spacing w:line="316" w:lineRule="auto" w:before="13"/>
        <w:ind w:right="1120" w:firstLine="504"/>
        <w:jc w:val="left"/>
      </w:pPr>
      <w:r>
        <w:rPr>
          <w:spacing w:val="-1"/>
        </w:rPr>
        <w:t>对于划分为组合的应收账款，本公司参考历史信用损失经验，结合当前状况以及对未来经济状况的预测，编制应收账</w:t>
      </w:r>
      <w:r>
        <w:rPr/>
        <w:t> 款账龄与整个存续期预期信用损失率对照表，计算预期信用损失。</w:t>
      </w:r>
    </w:p>
    <w:p>
      <w:pPr>
        <w:pStyle w:val="BodyText"/>
        <w:spacing w:line="300" w:lineRule="auto" w:before="19"/>
        <w:ind w:left="657" w:right="6473"/>
        <w:jc w:val="left"/>
      </w:pPr>
      <w:r>
        <w:rPr>
          <w:rFonts w:ascii="Times New Roman" w:hAnsi="Times New Roman" w:cs="Times New Roman" w:eastAsia="Times New Roman" w:hint="default"/>
        </w:rPr>
        <w:t>c</w:t>
      </w:r>
      <w:r>
        <w:rPr/>
        <w:t>、其他应收款确定组合的依据如下： 其他应收款组合</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应收合并范围内关联方款项 其他应收款组合</w:t>
      </w:r>
      <w:r>
        <w:rPr>
          <w:rFonts w:ascii="Times New Roman" w:hAnsi="Times New Roman" w:cs="Times New Roman" w:eastAsia="Times New Roman" w:hint="default"/>
        </w:rPr>
        <w:t>2  </w:t>
      </w:r>
      <w:r>
        <w:rPr>
          <w:rFonts w:ascii="Times New Roman" w:hAnsi="Times New Roman" w:cs="Times New Roman" w:eastAsia="Times New Roman" w:hint="default"/>
          <w:spacing w:val="9"/>
        </w:rPr>
        <w:t> </w:t>
      </w:r>
      <w:r>
        <w:rPr/>
        <w:t>应收其他客户</w:t>
      </w:r>
    </w:p>
    <w:p>
      <w:pPr>
        <w:pStyle w:val="BodyText"/>
        <w:spacing w:line="316" w:lineRule="auto" w:before="13"/>
        <w:ind w:right="1120" w:firstLine="504"/>
        <w:jc w:val="left"/>
      </w:pPr>
      <w:r>
        <w:rPr>
          <w:spacing w:val="-1"/>
        </w:rPr>
        <w:t>对于划分为组合的其他应收款，本公司参考历史信用损失经验，结合当前状况以及对未来经济状况的预测，通过违约</w:t>
      </w:r>
      <w:r>
        <w:rPr/>
        <w:t> 风险敞口和未来</w:t>
      </w:r>
      <w:r>
        <w:rPr>
          <w:rFonts w:ascii="Times New Roman" w:hAnsi="Times New Roman" w:cs="Times New Roman" w:eastAsia="Times New Roman" w:hint="default"/>
        </w:rPr>
        <w:t>12</w:t>
      </w:r>
      <w:r>
        <w:rPr/>
        <w:t>个月内或整个存续期预期信用损失率，计算预期信用损失。</w:t>
      </w:r>
    </w:p>
    <w:p>
      <w:pPr>
        <w:pStyle w:val="BodyText"/>
        <w:spacing w:line="300" w:lineRule="auto"/>
        <w:ind w:left="657" w:right="7099"/>
        <w:jc w:val="left"/>
      </w:pPr>
      <w:r>
        <w:rPr>
          <w:rFonts w:ascii="Times New Roman" w:hAnsi="Times New Roman" w:cs="Times New Roman" w:eastAsia="Times New Roman" w:hint="default"/>
        </w:rPr>
        <w:t>d</w:t>
      </w:r>
      <w:r>
        <w:rPr/>
        <w:t>、应收款项融资确定组合的依据如下： 应收款项融资组合</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银行承兑汇票 应收款项融资组合</w:t>
      </w:r>
      <w:r>
        <w:rPr>
          <w:rFonts w:ascii="Times New Roman" w:hAnsi="Times New Roman" w:cs="Times New Roman" w:eastAsia="Times New Roman" w:hint="default"/>
        </w:rPr>
        <w:t>2  </w:t>
      </w:r>
      <w:r>
        <w:rPr>
          <w:rFonts w:ascii="Times New Roman" w:hAnsi="Times New Roman" w:cs="Times New Roman" w:eastAsia="Times New Roman" w:hint="default"/>
          <w:spacing w:val="9"/>
        </w:rPr>
        <w:t> </w:t>
      </w:r>
      <w:r>
        <w:rPr/>
        <w:t>商业承兑汇票</w:t>
      </w:r>
    </w:p>
    <w:p>
      <w:pPr>
        <w:pStyle w:val="BodyText"/>
        <w:spacing w:line="316" w:lineRule="auto" w:before="13"/>
        <w:ind w:right="1120" w:firstLine="504"/>
        <w:jc w:val="left"/>
      </w:pPr>
      <w:r>
        <w:rPr>
          <w:spacing w:val="-1"/>
        </w:rPr>
        <w:t>对于划分为组合的应收款项融资，本公司参考历史信用损失经验，结合当前状况以及对未来经济状况的预测，通过违</w:t>
      </w:r>
      <w:r>
        <w:rPr/>
        <w:t> 约风险敞口和整个存续期预期信用损失率，计算预期信用损失。</w:t>
      </w:r>
    </w:p>
    <w:p>
      <w:pPr>
        <w:pStyle w:val="BodyText"/>
        <w:spacing w:line="300" w:lineRule="auto" w:before="19"/>
        <w:ind w:left="657" w:right="112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8"/>
        </w:rPr>
        <w:t> </w:t>
      </w:r>
      <w:r>
        <w:rPr/>
        <w:t>债权投资、其他债权投资 </w:t>
      </w:r>
      <w:r>
        <w:rPr>
          <w:spacing w:val="-1"/>
        </w:rPr>
        <w:t>对于债权投资和其他债权投资，本公司按照投资的性质，根据交易对手和风险敞口的各种类型，通过违约风险敞口和</w:t>
      </w:r>
    </w:p>
    <w:p>
      <w:pPr>
        <w:pStyle w:val="BodyText"/>
        <w:spacing w:line="240" w:lineRule="auto" w:before="31"/>
        <w:ind w:right="0"/>
        <w:jc w:val="left"/>
      </w:pPr>
      <w:r>
        <w:rPr/>
        <w:t>未来</w:t>
      </w:r>
      <w:r>
        <w:rPr>
          <w:rFonts w:ascii="Times New Roman" w:hAnsi="Times New Roman" w:cs="Times New Roman" w:eastAsia="Times New Roman" w:hint="default"/>
        </w:rPr>
        <w:t>12</w:t>
      </w:r>
      <w:r>
        <w:rPr/>
        <w:t>个月内或整个存续期预期信用损失率，计算预期信用损失。</w:t>
      </w:r>
    </w:p>
    <w:p>
      <w:pPr>
        <w:pStyle w:val="BodyText"/>
        <w:spacing w:line="316" w:lineRule="auto" w:before="63"/>
        <w:ind w:left="657" w:right="1120"/>
        <w:jc w:val="left"/>
      </w:pPr>
      <w:r>
        <w:rPr/>
        <w:t>②具有较低的信用风险 </w:t>
      </w:r>
      <w:r>
        <w:rPr>
          <w:spacing w:val="-1"/>
        </w:rPr>
        <w:t>如果金融工具的违约风险较低，借款人在短期内履行其合同现金流量义务的能力很强，并且即便较长时期内经济形势</w:t>
      </w:r>
    </w:p>
    <w:p>
      <w:pPr>
        <w:pStyle w:val="BodyText"/>
        <w:spacing w:line="240" w:lineRule="auto" w:before="19"/>
        <w:ind w:right="0"/>
        <w:jc w:val="left"/>
      </w:pPr>
      <w:r>
        <w:rPr/>
        <w:t>和经营环境存在不利变化但未必一定降低借款人履行其合同现金流量义务的能力，该金融工具被视为具有较低的信用风险。</w:t>
      </w:r>
    </w:p>
    <w:p>
      <w:pPr>
        <w:pStyle w:val="BodyText"/>
        <w:spacing w:line="316" w:lineRule="auto" w:before="76"/>
        <w:ind w:left="657" w:right="1249"/>
        <w:jc w:val="left"/>
      </w:pPr>
      <w:r>
        <w:rPr/>
        <w:t>③信用风险显著增加 本公司通过比较金融工具在资产负债表日所确定的预计存续期内的违约概率与在初始确认时所确定的预计存续期内</w:t>
      </w:r>
    </w:p>
    <w:p>
      <w:pPr>
        <w:pStyle w:val="BodyText"/>
        <w:spacing w:line="316" w:lineRule="auto" w:before="19"/>
        <w:ind w:right="1117"/>
        <w:jc w:val="left"/>
      </w:pPr>
      <w:r>
        <w:rPr>
          <w:spacing w:val="-2"/>
        </w:rPr>
        <w:t>的违约概率，以确定金融工具预计存续期内发生违约概率的相对变化，以评估金融工具的信用风险自初始确认后是否已显著</w:t>
      </w:r>
      <w:r>
        <w:rPr>
          <w:spacing w:val="-64"/>
        </w:rPr>
        <w:t> </w:t>
      </w:r>
      <w:r>
        <w:rPr>
          <w:spacing w:val="-64"/>
        </w:rPr>
      </w:r>
      <w:r>
        <w:rPr/>
        <w:t>增加。</w:t>
      </w:r>
    </w:p>
    <w:p>
      <w:pPr>
        <w:pStyle w:val="BodyText"/>
        <w:spacing w:line="319" w:lineRule="auto" w:before="19"/>
        <w:ind w:right="1120" w:firstLine="504"/>
        <w:jc w:val="left"/>
      </w:pPr>
      <w:r>
        <w:rPr>
          <w:spacing w:val="-1"/>
        </w:rPr>
        <w:t>在确定信用风险自初始确认后是否显著增加时，本公司考虑无须付出不必要的额外成本或努力即可获得的合理且有依</w:t>
      </w:r>
      <w:r>
        <w:rPr/>
        <w:t> 据的信息，包括前瞻性信息。本公司考虑的信息包括：</w:t>
      </w:r>
    </w:p>
    <w:p>
      <w:pPr>
        <w:pStyle w:val="BodyText"/>
        <w:spacing w:line="240" w:lineRule="auto" w:before="17"/>
        <w:ind w:left="659" w:right="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6"/>
        </w:rPr>
        <w:t> </w:t>
      </w:r>
      <w:r>
        <w:rPr/>
        <w:t>信用风险变化所导致的内部价格指标是否发生显著变化；</w:t>
      </w:r>
    </w:p>
    <w:p>
      <w:pPr>
        <w:pStyle w:val="BodyText"/>
        <w:spacing w:line="240" w:lineRule="auto" w:before="63"/>
        <w:ind w:left="657" w:right="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7"/>
        </w:rPr>
        <w:t> </w:t>
      </w:r>
      <w:r>
        <w:rPr/>
        <w:t>预期将导致债务人履行其偿债义务的能力是否发生显著变化的业务、财务或经济状况的不利变化；</w:t>
      </w:r>
    </w:p>
    <w:p>
      <w:pPr>
        <w:pStyle w:val="BodyText"/>
        <w:spacing w:line="240" w:lineRule="auto" w:before="63"/>
        <w:ind w:left="657" w:right="0"/>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27"/>
        </w:rPr>
        <w:t> </w:t>
      </w:r>
      <w:r>
        <w:rPr/>
        <w:t>债务人经营成果实际或预期是否发生显著变化；债务人所处的监管、经济或技术环境是否发生显著不利变化；</w:t>
      </w:r>
    </w:p>
    <w:p>
      <w:pPr>
        <w:pStyle w:val="BodyText"/>
        <w:spacing w:line="300" w:lineRule="auto" w:before="63"/>
        <w:ind w:right="1181" w:firstLine="504"/>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28"/>
        </w:rPr>
        <w:t> </w:t>
      </w:r>
      <w:r>
        <w:rPr/>
        <w:t>作为债务抵押的担保物价值或第三方提供的担保或信用增级质量是否发生显著变化。这些变化预期将降低债务人 按合同规定期限还款的经济动机或者影响违约概率；</w:t>
      </w:r>
    </w:p>
    <w:p>
      <w:pPr>
        <w:pStyle w:val="BodyText"/>
        <w:spacing w:line="240" w:lineRule="auto" w:before="31"/>
        <w:ind w:left="657" w:right="0"/>
        <w:jc w:val="left"/>
      </w:pPr>
      <w:r>
        <w:rPr>
          <w:rFonts w:ascii="Times New Roman" w:hAnsi="Times New Roman" w:cs="Times New Roman" w:eastAsia="Times New Roman" w:hint="default"/>
        </w:rPr>
        <w:t>E.</w:t>
      </w:r>
      <w:r>
        <w:rPr>
          <w:rFonts w:ascii="Times New Roman" w:hAnsi="Times New Roman" w:cs="Times New Roman" w:eastAsia="Times New Roman" w:hint="default"/>
          <w:spacing w:val="27"/>
        </w:rPr>
        <w:t> </w:t>
      </w:r>
      <w:r>
        <w:rPr/>
        <w:t>预期将降低债务人按合同约定期限还款的经济动机是否发生显著变化；</w:t>
      </w:r>
    </w:p>
    <w:p>
      <w:pPr>
        <w:pStyle w:val="BodyText"/>
        <w:spacing w:line="300" w:lineRule="auto" w:before="63"/>
        <w:ind w:right="1032" w:firstLine="504"/>
        <w:jc w:val="left"/>
      </w:pPr>
      <w:r>
        <w:rPr>
          <w:rFonts w:ascii="Times New Roman" w:hAnsi="Times New Roman" w:cs="Times New Roman" w:eastAsia="Times New Roman" w:hint="default"/>
        </w:rPr>
        <w:t>F.</w:t>
      </w:r>
      <w:r>
        <w:rPr>
          <w:rFonts w:ascii="Times New Roman" w:hAnsi="Times New Roman" w:cs="Times New Roman" w:eastAsia="Times New Roman" w:hint="default"/>
          <w:spacing w:val="27"/>
        </w:rPr>
        <w:t> </w:t>
      </w:r>
      <w:r>
        <w:rPr/>
        <w:t>借款合同的预期变更，包括预计违反合同的行为是否可能导致的合同义务的免除或修订、给予免息期、利率跳升、 要求追加抵押品或担保或者对金融工具的合同框架做出其他变更；</w:t>
      </w:r>
    </w:p>
    <w:p>
      <w:pPr>
        <w:pStyle w:val="BodyText"/>
        <w:spacing w:line="240" w:lineRule="auto" w:before="31"/>
        <w:ind w:left="659" w:right="0"/>
        <w:jc w:val="left"/>
      </w:pPr>
      <w:r>
        <w:rPr>
          <w:rFonts w:ascii="Times New Roman" w:hAnsi="Times New Roman" w:cs="Times New Roman" w:eastAsia="Times New Roman" w:hint="default"/>
        </w:rPr>
        <w:t>G.</w:t>
      </w:r>
      <w:r>
        <w:rPr>
          <w:rFonts w:ascii="Times New Roman" w:hAnsi="Times New Roman" w:cs="Times New Roman" w:eastAsia="Times New Roman" w:hint="default"/>
          <w:spacing w:val="26"/>
        </w:rPr>
        <w:t> </w:t>
      </w:r>
      <w:r>
        <w:rPr/>
        <w:t>债务人预期表现和还款行为是否发生显著变化；</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left="657" w:right="1120"/>
        <w:jc w:val="left"/>
      </w:pPr>
      <w:r>
        <w:rPr>
          <w:rFonts w:ascii="Times New Roman" w:hAnsi="Times New Roman" w:cs="Times New Roman" w:eastAsia="Times New Roman" w:hint="default"/>
        </w:rPr>
        <w:t>H.</w:t>
      </w:r>
      <w:r>
        <w:rPr>
          <w:rFonts w:ascii="Times New Roman" w:hAnsi="Times New Roman" w:cs="Times New Roman" w:eastAsia="Times New Roman" w:hint="default"/>
          <w:spacing w:val="27"/>
        </w:rPr>
        <w:t> </w:t>
      </w:r>
      <w:r>
        <w:rPr/>
        <w:t>合同付款是否发生逾期超过（含）</w:t>
      </w:r>
      <w:r>
        <w:rPr>
          <w:rFonts w:ascii="Times New Roman" w:hAnsi="Times New Roman" w:cs="Times New Roman" w:eastAsia="Times New Roman" w:hint="default"/>
        </w:rPr>
        <w:t>30</w:t>
      </w:r>
      <w:r>
        <w:rPr/>
        <w:t>日。</w:t>
      </w:r>
      <w:r>
        <w:rPr>
          <w:spacing w:val="-87"/>
        </w:rPr>
        <w:t> </w:t>
      </w:r>
      <w:r>
        <w:rPr>
          <w:spacing w:val="-1"/>
        </w:rPr>
        <w:t>根据金融工具的性质，本公司以单项金融工具或金融工具组合为基础评估信用风险是否显著增加。以金融工具组合为</w:t>
      </w:r>
    </w:p>
    <w:p>
      <w:pPr>
        <w:pStyle w:val="BodyText"/>
        <w:spacing w:line="316" w:lineRule="auto" w:before="31"/>
        <w:ind w:left="657" w:right="1121" w:hanging="504"/>
        <w:jc w:val="left"/>
      </w:pPr>
      <w:r>
        <w:rPr/>
        <w:t>基础进行评估时，本公司可基于共同信用风险特征对金融工具进行分类，例如逾期信息和信用风险评级。 </w:t>
      </w:r>
      <w:r>
        <w:rPr>
          <w:spacing w:val="-1"/>
        </w:rPr>
        <w:t>通常情况下，如果逾期超过</w:t>
      </w:r>
      <w:r>
        <w:rPr>
          <w:rFonts w:ascii="Times New Roman" w:hAnsi="Times New Roman" w:cs="Times New Roman" w:eastAsia="Times New Roman" w:hint="default"/>
          <w:spacing w:val="-1"/>
        </w:rPr>
        <w:t>30</w:t>
      </w:r>
      <w:r>
        <w:rPr>
          <w:spacing w:val="-1"/>
        </w:rPr>
        <w:t>日，本公司确定金融工具的信用风险已经显著增加。除非本公司无需付出过多成本或努</w:t>
      </w:r>
    </w:p>
    <w:p>
      <w:pPr>
        <w:pStyle w:val="BodyText"/>
        <w:spacing w:line="248" w:lineRule="exact"/>
        <w:ind w:right="0"/>
        <w:jc w:val="left"/>
      </w:pPr>
      <w:r>
        <w:rPr/>
        <w:t>力即可获得合理且有依据的信息，证明虽然超过合同约定的付款期限</w:t>
      </w:r>
      <w:r>
        <w:rPr>
          <w:rFonts w:ascii="Times New Roman" w:hAnsi="Times New Roman" w:cs="Times New Roman" w:eastAsia="Times New Roman" w:hint="default"/>
        </w:rPr>
        <w:t>30</w:t>
      </w:r>
      <w:r>
        <w:rPr/>
        <w:t>天，但信用风险自初始确认以来并未显著增加。</w:t>
      </w:r>
    </w:p>
    <w:p>
      <w:pPr>
        <w:pStyle w:val="BodyText"/>
        <w:spacing w:line="316" w:lineRule="auto" w:before="63"/>
        <w:ind w:left="657" w:right="1249"/>
        <w:jc w:val="left"/>
      </w:pPr>
      <w:r>
        <w:rPr/>
        <w:t>④已发生信用减值的金融资产 本公司在资产负债表日评估以摊余成本计量的金融资产和以公允价值计量且其变动计入其他综合收益的债权投资是</w:t>
      </w:r>
    </w:p>
    <w:p>
      <w:pPr>
        <w:pStyle w:val="BodyText"/>
        <w:spacing w:line="316" w:lineRule="auto" w:before="19"/>
        <w:ind w:right="1132"/>
        <w:jc w:val="both"/>
      </w:pPr>
      <w:r>
        <w:rPr>
          <w:spacing w:val="-2"/>
        </w:rPr>
        <w:t>否已发生信用减值。当对金融资产预期未来现金流量具有不利影响的一项或多项事件发生时，该金融资产成为已发生信用减</w:t>
      </w:r>
      <w:r>
        <w:rPr>
          <w:spacing w:val="-64"/>
        </w:rPr>
        <w:t> </w:t>
      </w:r>
      <w:r>
        <w:rPr>
          <w:spacing w:val="-64"/>
        </w:rPr>
      </w:r>
      <w:r>
        <w:rPr/>
        <w:t>值的金融资产。金融资产已发生信用减值的证据包括下列可观察信息：</w:t>
      </w:r>
    </w:p>
    <w:p>
      <w:pPr>
        <w:pStyle w:val="BodyText"/>
        <w:spacing w:line="319" w:lineRule="auto" w:before="19"/>
        <w:ind w:right="1130" w:firstLine="504"/>
        <w:jc w:val="both"/>
      </w:pPr>
      <w:r>
        <w:rPr>
          <w:spacing w:val="-1"/>
        </w:rPr>
        <w:t>发行方或债务人发生重大财务困难；债务人违反合同，如偿付利息或本金违约或逾期等；债权人出于与债务人财务困</w:t>
      </w:r>
      <w:r>
        <w:rPr/>
        <w:t> </w:t>
      </w:r>
      <w:r>
        <w:rPr>
          <w:spacing w:val="-2"/>
        </w:rPr>
        <w:t>难有关的经济或合同考虑，给予债务人在任何其他情况下都不会做出的让步；债务人很可能破产或进行其他财务重组；发行</w:t>
      </w:r>
      <w:r>
        <w:rPr>
          <w:spacing w:val="-63"/>
        </w:rPr>
        <w:t> </w:t>
      </w:r>
      <w:r>
        <w:rPr>
          <w:spacing w:val="-63"/>
        </w:rPr>
      </w:r>
      <w:r>
        <w:rPr>
          <w:spacing w:val="-2"/>
        </w:rPr>
        <w:t>方或债务人财务困难导致该金融资产的活跃市场消失；以大幅折扣购买或源生一项金融资产，该折扣反映了发生信用损失的</w:t>
      </w:r>
      <w:r>
        <w:rPr>
          <w:spacing w:val="-64"/>
        </w:rPr>
        <w:t> </w:t>
      </w:r>
      <w:r>
        <w:rPr>
          <w:spacing w:val="-64"/>
        </w:rPr>
      </w:r>
      <w:r>
        <w:rPr/>
        <w:t>事实。</w:t>
      </w:r>
    </w:p>
    <w:p>
      <w:pPr>
        <w:pStyle w:val="BodyText"/>
        <w:spacing w:line="316" w:lineRule="auto" w:before="17"/>
        <w:ind w:left="657" w:right="1120"/>
        <w:jc w:val="left"/>
      </w:pPr>
      <w:r>
        <w:rPr/>
        <w:t>⑤预期信用损失准备的列报 </w:t>
      </w:r>
      <w:r>
        <w:rPr>
          <w:spacing w:val="-1"/>
        </w:rPr>
        <w:t>为反映金融工具的信用风险自初始确认后的变化，本公司在每个资产负债表日重新计量预期信用损失，由此形成的损</w:t>
      </w:r>
    </w:p>
    <w:p>
      <w:pPr>
        <w:pStyle w:val="BodyText"/>
        <w:spacing w:line="316" w:lineRule="auto" w:before="19"/>
        <w:ind w:right="1129"/>
        <w:jc w:val="both"/>
      </w:pPr>
      <w:r>
        <w:rPr>
          <w:spacing w:val="-2"/>
        </w:rPr>
        <w:t>失准备的增加或转回金额，应当作为减值损失或利得计入当期损益。对于以摊余成本计量的金融资产，损失准备抵减该金融</w:t>
      </w:r>
      <w:r>
        <w:rPr>
          <w:spacing w:val="-62"/>
        </w:rPr>
        <w:t> </w:t>
      </w:r>
      <w:r>
        <w:rPr>
          <w:spacing w:val="-62"/>
        </w:rPr>
      </w:r>
      <w:r>
        <w:rPr>
          <w:spacing w:val="-2"/>
        </w:rPr>
        <w:t>资产在资产负债表中列示的账面价值；对于以公允价值计量且其变动计入其他综合收益的债权投资，本公司在其他综合收益</w:t>
      </w:r>
      <w:r>
        <w:rPr>
          <w:spacing w:val="-64"/>
        </w:rPr>
        <w:t> </w:t>
      </w:r>
      <w:r>
        <w:rPr>
          <w:spacing w:val="-64"/>
        </w:rPr>
      </w:r>
      <w:r>
        <w:rPr/>
        <w:t>中确认其损失准备，不抵减该金融资产的账面价值。</w:t>
      </w:r>
    </w:p>
    <w:p>
      <w:pPr>
        <w:pStyle w:val="BodyText"/>
        <w:spacing w:line="316" w:lineRule="auto" w:before="19"/>
        <w:ind w:left="657" w:right="1120"/>
        <w:jc w:val="left"/>
      </w:pPr>
      <w:r>
        <w:rPr/>
        <w:t>⑥核销 </w:t>
      </w:r>
      <w:r>
        <w:rPr>
          <w:spacing w:val="-1"/>
        </w:rPr>
        <w:t>如果本公司不再合理预期金融资产合同现金流量能够全部或部分收回，则直接减记该金融资产的账面余额。这种减记</w:t>
      </w:r>
    </w:p>
    <w:p>
      <w:pPr>
        <w:pStyle w:val="BodyText"/>
        <w:spacing w:line="316" w:lineRule="auto" w:before="19"/>
        <w:ind w:right="1132"/>
        <w:jc w:val="both"/>
      </w:pPr>
      <w:r>
        <w:rPr>
          <w:spacing w:val="-2"/>
        </w:rPr>
        <w:t>构成相关金融资产的终止确认。这种情况通常发生在本公司确定债务人没有资产或收入来源可产生足够的现金流量以偿还将</w:t>
      </w:r>
      <w:r>
        <w:rPr>
          <w:spacing w:val="-64"/>
        </w:rPr>
        <w:t> </w:t>
      </w:r>
      <w:r>
        <w:rPr>
          <w:spacing w:val="-64"/>
        </w:rPr>
      </w:r>
      <w:r>
        <w:rPr/>
        <w:t>被减记的金额。</w:t>
      </w:r>
    </w:p>
    <w:p>
      <w:pPr>
        <w:pStyle w:val="BodyText"/>
        <w:spacing w:line="240" w:lineRule="auto" w:before="19"/>
        <w:ind w:left="657" w:right="0"/>
        <w:jc w:val="left"/>
      </w:pPr>
      <w:r>
        <w:rPr/>
        <w:t>已减记的金融资产以后又收回的，作为减值损失的转回计入收回当期的损益。</w:t>
      </w:r>
    </w:p>
    <w:p>
      <w:pPr>
        <w:pStyle w:val="BodyText"/>
        <w:spacing w:line="300" w:lineRule="auto" w:before="77"/>
        <w:ind w:left="657" w:right="7549"/>
        <w:jc w:val="left"/>
      </w:pPr>
      <w:r>
        <w:rPr/>
        <w:t>（</w:t>
      </w:r>
      <w:r>
        <w:rPr>
          <w:rFonts w:ascii="Times New Roman" w:hAnsi="Times New Roman" w:cs="Times New Roman" w:eastAsia="Times New Roman" w:hint="default"/>
        </w:rPr>
        <w:t>6</w:t>
      </w:r>
      <w:r>
        <w:rPr/>
        <w:t>）金融资产转移 金融资产转移是指下列两种情形：</w:t>
      </w:r>
    </w:p>
    <w:p>
      <w:pPr>
        <w:pStyle w:val="BodyText"/>
        <w:spacing w:line="300" w:lineRule="auto" w:before="31"/>
        <w:ind w:left="657" w:right="0" w:firstLine="2"/>
        <w:jc w:val="left"/>
      </w:pPr>
      <w:r>
        <w:rPr>
          <w:rFonts w:ascii="Times New Roman" w:hAnsi="Times New Roman" w:cs="Times New Roman" w:eastAsia="Times New Roman" w:hint="default"/>
        </w:rPr>
        <w:t>A.</w:t>
      </w:r>
      <w:r>
        <w:rPr/>
        <w:t>将收取金融资产现金流量的合同权利转移给另一方； </w:t>
      </w:r>
      <w:r>
        <w:rPr>
          <w:rFonts w:ascii="Times New Roman" w:hAnsi="Times New Roman" w:cs="Times New Roman" w:eastAsia="Times New Roman" w:hint="default"/>
          <w:spacing w:val="-1"/>
        </w:rPr>
        <w:t>B.</w:t>
      </w:r>
      <w:r>
        <w:rPr>
          <w:spacing w:val="-1"/>
        </w:rPr>
        <w:t>将金融资产整体或部分转移给另一方，但保留收取金融资产现金流量的合同权利，并承担将收取的现金流量支付给</w:t>
      </w:r>
    </w:p>
    <w:p>
      <w:pPr>
        <w:pStyle w:val="BodyText"/>
        <w:spacing w:line="240" w:lineRule="auto" w:before="13"/>
        <w:ind w:right="0"/>
        <w:jc w:val="left"/>
      </w:pPr>
      <w:r>
        <w:rPr/>
        <w:t>一个或多个收款方的合同义务。</w:t>
      </w:r>
    </w:p>
    <w:p>
      <w:pPr>
        <w:pStyle w:val="BodyText"/>
        <w:spacing w:line="316" w:lineRule="auto" w:before="76"/>
        <w:ind w:left="657" w:right="1120"/>
        <w:jc w:val="left"/>
      </w:pPr>
      <w:r>
        <w:rPr/>
        <w:t>①终止确认所转移的金融资产 </w:t>
      </w:r>
      <w:r>
        <w:rPr>
          <w:spacing w:val="-1"/>
        </w:rPr>
        <w:t>已将金融资产所有权上几乎所有的风险和报酬转移给转入方的，或既没有转移也没有保留金融资产所有权上几乎所有</w:t>
      </w:r>
    </w:p>
    <w:p>
      <w:pPr>
        <w:pStyle w:val="BodyText"/>
        <w:spacing w:line="316" w:lineRule="auto" w:before="19"/>
        <w:ind w:left="657" w:right="1120" w:hanging="504"/>
        <w:jc w:val="left"/>
      </w:pPr>
      <w:r>
        <w:rPr/>
        <w:t>的风险和报酬的，但放弃了对该金融资产控制的，终止确认该金融资产。 </w:t>
      </w:r>
      <w:r>
        <w:rPr>
          <w:spacing w:val="-1"/>
        </w:rPr>
        <w:t>在判断是否已放弃对所转移金融资产的控制时，根据转入方出售该金融资产的实际能力。转入方能够单方面将转移的</w:t>
      </w:r>
    </w:p>
    <w:p>
      <w:pPr>
        <w:pStyle w:val="BodyText"/>
        <w:spacing w:line="319" w:lineRule="auto" w:before="19"/>
        <w:ind w:left="657" w:right="1573" w:hanging="504"/>
        <w:jc w:val="left"/>
      </w:pPr>
      <w:r>
        <w:rPr/>
        <w:t>金融资产整体出售给不相关的第三方，且没有额外条件对此项出售加以限制的，则公司已放弃对该金融资产的控制。 本公司在判断金融资产转移是否满足金融资产终止确认条件时，注重金融资产转移的实质。 金融资产整体转移满足终止确认条件的，将下列两项金额的差额计入当期损益： </w:t>
      </w:r>
      <w:r>
        <w:rPr>
          <w:rFonts w:ascii="Times New Roman" w:hAnsi="Times New Roman" w:cs="Times New Roman" w:eastAsia="Times New Roman" w:hint="default"/>
        </w:rPr>
        <w:t>A.</w:t>
      </w:r>
      <w:r>
        <w:rPr/>
        <w:t>所转移金融资产的账面价值；</w:t>
      </w:r>
    </w:p>
    <w:p>
      <w:pPr>
        <w:pStyle w:val="BodyText"/>
        <w:spacing w:line="300" w:lineRule="auto"/>
        <w:ind w:right="1132" w:firstLine="504"/>
        <w:jc w:val="both"/>
      </w:pPr>
      <w:r>
        <w:rPr>
          <w:rFonts w:ascii="Times New Roman" w:hAnsi="Times New Roman" w:cs="Times New Roman" w:eastAsia="Times New Roman" w:hint="default"/>
          <w:spacing w:val="-1"/>
        </w:rPr>
        <w:t>B.</w:t>
      </w:r>
      <w:r>
        <w:rPr>
          <w:spacing w:val="-1"/>
        </w:rPr>
        <w:t>因转移而收到的对价，与原直接计入其他综合收益的公允价值变动累计额中对于终止确认部分的金额（涉及转移的</w:t>
      </w:r>
      <w:r>
        <w:rPr/>
        <w:t> 金融资产为根据《企业会计准则第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金融工具确认和计量》第十八条分类为以公允价值计量且其变动计入其他综合收益 的金融资产的情形）之和。</w:t>
      </w:r>
    </w:p>
    <w:p>
      <w:pPr>
        <w:pStyle w:val="BodyText"/>
        <w:spacing w:line="316" w:lineRule="auto" w:before="31"/>
        <w:ind w:right="1130" w:firstLine="504"/>
        <w:jc w:val="both"/>
      </w:pPr>
      <w:r>
        <w:rPr>
          <w:spacing w:val="-1"/>
        </w:rPr>
        <w:t>金融资产部分转移满足终止确认条件的，将所转移金融资产整体的账面价值，在终止确认部分和未终止确认部分（在</w:t>
      </w:r>
      <w:r>
        <w:rPr/>
        <w:t> </w:t>
      </w:r>
      <w:r>
        <w:rPr>
          <w:spacing w:val="-2"/>
        </w:rPr>
        <w:t>此种情况下，所保留的服务资产视同继续确认金融资产的一部分）之间，按照转移日各自的相对公允价值进行分摊，并将下</w:t>
      </w:r>
      <w:r>
        <w:rPr>
          <w:spacing w:val="-64"/>
        </w:rPr>
        <w:t> </w:t>
      </w:r>
      <w:r>
        <w:rPr>
          <w:spacing w:val="-64"/>
        </w:rPr>
      </w:r>
      <w:r>
        <w:rPr/>
        <w:t>列两项金额的差额计入当期损益：</w:t>
      </w:r>
    </w:p>
    <w:p>
      <w:pPr>
        <w:pStyle w:val="BodyText"/>
        <w:spacing w:line="300" w:lineRule="auto" w:before="19"/>
        <w:ind w:left="657" w:right="0" w:firstLine="2"/>
        <w:jc w:val="left"/>
      </w:pPr>
      <w:r>
        <w:rPr>
          <w:rFonts w:ascii="Times New Roman" w:hAnsi="Times New Roman" w:cs="Times New Roman" w:eastAsia="Times New Roman" w:hint="default"/>
        </w:rPr>
        <w:t>A.</w:t>
      </w:r>
      <w:r>
        <w:rPr/>
        <w:t>终止确认部分在终止确认日的账面价值； </w:t>
      </w:r>
      <w:r>
        <w:rPr>
          <w:rFonts w:ascii="Times New Roman" w:hAnsi="Times New Roman" w:cs="Times New Roman" w:eastAsia="Times New Roman" w:hint="default"/>
          <w:spacing w:val="-1"/>
        </w:rPr>
        <w:t>B.</w:t>
      </w:r>
      <w:r>
        <w:rPr>
          <w:spacing w:val="-1"/>
        </w:rPr>
        <w:t>终止确认部分的对价，与原计入其他综合收益的公允价值变动累计额中对应终止确认部分的金额（涉及转移的金融</w:t>
      </w:r>
    </w:p>
    <w:p>
      <w:pPr>
        <w:spacing w:after="0" w:line="30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53"/>
        <w:jc w:val="left"/>
      </w:pPr>
      <w:r>
        <w:rPr/>
        <w:t>资产为根据《企业会计准则第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金融工具确认和计量》第十八条分类为以公允价值计量且其变动计入其他综合收益的金 融资产的情形）之和。</w:t>
      </w:r>
    </w:p>
    <w:p>
      <w:pPr>
        <w:pStyle w:val="BodyText"/>
        <w:spacing w:line="316" w:lineRule="auto" w:before="31"/>
        <w:ind w:left="657" w:right="1120"/>
        <w:jc w:val="left"/>
      </w:pPr>
      <w:r>
        <w:rPr/>
        <w:t>②继续涉入所转移的金融资产 </w:t>
      </w:r>
      <w:r>
        <w:rPr>
          <w:spacing w:val="-1"/>
        </w:rPr>
        <w:t>既没有转移也没有保留金融资产所有权上几乎所有的风险和报酬的，且未放弃对该金融资产控制的，应当按照其继续</w:t>
      </w:r>
    </w:p>
    <w:p>
      <w:pPr>
        <w:pStyle w:val="BodyText"/>
        <w:spacing w:line="316" w:lineRule="auto" w:before="19"/>
        <w:ind w:left="657" w:right="2689" w:hanging="504"/>
        <w:jc w:val="left"/>
      </w:pPr>
      <w:r>
        <w:rPr/>
        <w:t>涉入所转移金融资产的程度确认有关金融资产，并相应确认有关负债。 继续涉入所转移金融资产的程度，是指企业承担的被转移金融资产价值变动风险或报酬的程度。</w:t>
      </w:r>
    </w:p>
    <w:p>
      <w:pPr>
        <w:pStyle w:val="BodyText"/>
        <w:spacing w:line="316" w:lineRule="auto" w:before="19"/>
        <w:ind w:left="657" w:right="1120"/>
        <w:jc w:val="left"/>
      </w:pPr>
      <w:r>
        <w:rPr/>
        <w:t>③继续确认所转移的金融资产 </w:t>
      </w:r>
      <w:r>
        <w:rPr>
          <w:spacing w:val="-1"/>
        </w:rPr>
        <w:t>仍保留与所转移金融资产所有权上几乎所有的风险和报酬的，应当继续确认所转移金融资产整体，并将收到的对价确</w:t>
      </w:r>
    </w:p>
    <w:p>
      <w:pPr>
        <w:pStyle w:val="BodyText"/>
        <w:spacing w:line="240" w:lineRule="auto" w:before="19"/>
        <w:ind w:right="0"/>
        <w:jc w:val="left"/>
      </w:pPr>
      <w:r>
        <w:rPr/>
        <w:t>认为一项金融负债。</w:t>
      </w:r>
    </w:p>
    <w:p>
      <w:pPr>
        <w:pStyle w:val="BodyText"/>
        <w:spacing w:line="316" w:lineRule="auto" w:before="76"/>
        <w:ind w:right="1130" w:firstLine="504"/>
        <w:jc w:val="both"/>
      </w:pPr>
      <w:r>
        <w:rPr>
          <w:spacing w:val="-1"/>
        </w:rPr>
        <w:t>该金融资产与确认的相关金融负债不得相互抵销。在随后的会计期间，企业应当继续确认该金融资产产生的收入（或</w:t>
      </w:r>
      <w:r>
        <w:rPr/>
        <w:t> 利得）和该金融负债产生的费用（或损失）。</w:t>
      </w:r>
    </w:p>
    <w:p>
      <w:pPr>
        <w:pStyle w:val="BodyText"/>
        <w:spacing w:line="300" w:lineRule="auto" w:before="19"/>
        <w:ind w:left="657" w:right="1120"/>
        <w:jc w:val="left"/>
      </w:pPr>
      <w:r>
        <w:rPr/>
        <w:t>（</w:t>
      </w:r>
      <w:r>
        <w:rPr>
          <w:rFonts w:ascii="Times New Roman" w:hAnsi="Times New Roman" w:cs="Times New Roman" w:eastAsia="Times New Roman" w:hint="default"/>
        </w:rPr>
        <w:t>7</w:t>
      </w:r>
      <w:r>
        <w:rPr/>
        <w:t>）金融资产和金融负债的抵销 </w:t>
      </w:r>
      <w:r>
        <w:rPr>
          <w:spacing w:val="-1"/>
        </w:rPr>
        <w:t>金融资产和金融负债应当在资产负债表内分别列示，不得相互抵销。但同时满足下列条件的，以相互抵销后的净额在</w:t>
      </w:r>
    </w:p>
    <w:p>
      <w:pPr>
        <w:pStyle w:val="BodyText"/>
        <w:spacing w:line="240" w:lineRule="auto" w:before="31"/>
        <w:ind w:right="0"/>
        <w:jc w:val="left"/>
      </w:pPr>
      <w:r>
        <w:rPr/>
        <w:t>资产负债表内列示：</w:t>
      </w:r>
    </w:p>
    <w:p>
      <w:pPr>
        <w:pStyle w:val="BodyText"/>
        <w:spacing w:line="316" w:lineRule="auto" w:before="76"/>
        <w:ind w:left="657" w:right="2869"/>
        <w:jc w:val="left"/>
      </w:pPr>
      <w:r>
        <w:rPr/>
        <w:t>本公司具有抵销已确认金额的法定权利，且该种法定权利是当前可执行的； 本公司计划以净额结算，或同时变现该金融资产和清偿该金融负债。 不满足终止确认条件的金融资产转移，转出方不得将已转移的金融资产和相关负债进行抵销。</w:t>
      </w:r>
    </w:p>
    <w:p>
      <w:pPr>
        <w:pStyle w:val="BodyText"/>
        <w:spacing w:line="309" w:lineRule="auto" w:before="19"/>
        <w:ind w:left="657" w:right="1120"/>
        <w:jc w:val="left"/>
      </w:pPr>
      <w:r>
        <w:rPr/>
        <w:t>（</w:t>
      </w:r>
      <w:r>
        <w:rPr>
          <w:rFonts w:ascii="Times New Roman" w:hAnsi="Times New Roman" w:cs="Times New Roman" w:eastAsia="Times New Roman" w:hint="default"/>
        </w:rPr>
        <w:t>8</w:t>
      </w:r>
      <w:r>
        <w:rPr/>
        <w:t>）金融工具公允价值的确定方法 公允价值是指市场参与者在计量日发生的有序交易中，出售一项资产所能收到或者转移一项负债所需支付的价格。</w:t>
      </w:r>
      <w:r>
        <w:rPr>
          <w:spacing w:val="-86"/>
        </w:rPr>
        <w:t> </w:t>
      </w:r>
      <w:r>
        <w:rPr>
          <w:spacing w:val="-86"/>
        </w:rPr>
      </w:r>
      <w:r>
        <w:rPr>
          <w:spacing w:val="-1"/>
        </w:rPr>
        <w:t>本公司以主要市场的价格计量相关资产或负债的公允价值，不存在主要市场的，本公司以最有利市场的价格计量相关</w:t>
      </w:r>
    </w:p>
    <w:p>
      <w:pPr>
        <w:pStyle w:val="BodyText"/>
        <w:spacing w:line="316" w:lineRule="auto" w:before="24"/>
        <w:ind w:left="657" w:right="1120" w:hanging="504"/>
        <w:jc w:val="left"/>
      </w:pPr>
      <w:r>
        <w:rPr/>
        <w:t>资产或负债的公允价值。本公司采用市场参与者在对该资产或负债定价时为实现其经济利益最大化所使用的假设。 </w:t>
      </w:r>
      <w:r>
        <w:rPr>
          <w:spacing w:val="-1"/>
        </w:rPr>
        <w:t>主要市场，是指相关资产或负债交易量最大和交易活跃程度最高的市场；最有利市场，是指在考虑交易费用和运输费</w:t>
      </w:r>
    </w:p>
    <w:p>
      <w:pPr>
        <w:pStyle w:val="BodyText"/>
        <w:spacing w:line="319" w:lineRule="auto" w:before="19"/>
        <w:ind w:left="657" w:right="1069" w:hanging="504"/>
        <w:jc w:val="left"/>
      </w:pPr>
      <w:r>
        <w:rPr/>
        <w:t>用后，能够以最高金额出售相关资产或者以最低金额转移相关负债的市场。 存在活跃市场的金融资产或金融负债，本公司采用活跃市场中的报价确定其公允价值。金融工具不存在活跃市场的，</w:t>
      </w:r>
    </w:p>
    <w:p>
      <w:pPr>
        <w:pStyle w:val="BodyText"/>
        <w:spacing w:line="316" w:lineRule="auto" w:before="17"/>
        <w:ind w:left="657" w:right="1120" w:hanging="504"/>
        <w:jc w:val="left"/>
      </w:pPr>
      <w:r>
        <w:rPr/>
        <w:t>本公司采用估值技术确定其公允价值。 </w:t>
      </w:r>
      <w:r>
        <w:rPr>
          <w:spacing w:val="-1"/>
        </w:rPr>
        <w:t>以公允价值计量非金融资产的，考虑市场参与者将该资产用于最佳用途产生经济利益的能力，或者将该资产出售给能</w:t>
      </w:r>
    </w:p>
    <w:p>
      <w:pPr>
        <w:pStyle w:val="BodyText"/>
        <w:spacing w:line="240" w:lineRule="auto" w:before="19"/>
        <w:ind w:right="0"/>
        <w:jc w:val="left"/>
      </w:pPr>
      <w:r>
        <w:rPr/>
        <w:t>够用于最佳用途的其他市场参与者产生经济利益的能力。</w:t>
      </w:r>
    </w:p>
    <w:p>
      <w:pPr>
        <w:pStyle w:val="BodyText"/>
        <w:spacing w:line="316" w:lineRule="auto" w:before="76"/>
        <w:ind w:left="657" w:right="1069"/>
        <w:jc w:val="left"/>
      </w:pPr>
      <w:r>
        <w:rPr/>
        <w:t>①估值技术 本公司采用在当期情况下适用并且有足够可利用数据和其他信息支持的估值技术，使用的估值技术主要包括市场法、</w:t>
      </w:r>
    </w:p>
    <w:p>
      <w:pPr>
        <w:pStyle w:val="BodyText"/>
        <w:spacing w:line="316" w:lineRule="auto" w:before="19"/>
        <w:ind w:right="1033"/>
        <w:jc w:val="left"/>
      </w:pPr>
      <w:r>
        <w:rPr/>
        <w:t>收益法和成本法。本公司使用与其中一种或多种估值技术相一致的方法计量公允价值，使用多种估值技术计量公允价值的， 考虑各估值结果的合理性，选取在当期情况下最能代表公允价值的金额作为公允价值。</w:t>
      </w:r>
    </w:p>
    <w:p>
      <w:pPr>
        <w:pStyle w:val="BodyText"/>
        <w:spacing w:line="319" w:lineRule="auto" w:before="19"/>
        <w:ind w:right="1131" w:firstLine="504"/>
        <w:jc w:val="both"/>
      </w:pPr>
      <w:r>
        <w:rPr>
          <w:spacing w:val="-1"/>
        </w:rPr>
        <w:t>本公司在估值技术的应用中，优先使用相关可观察输入值，只有在相关可观察输入值无法取得或取得不切实可行的情</w:t>
      </w:r>
      <w:r>
        <w:rPr/>
        <w:t> </w:t>
      </w:r>
      <w:r>
        <w:rPr>
          <w:spacing w:val="-2"/>
        </w:rPr>
        <w:t>况下，才使用不可观察输入值。可观察输入值，是指能够从市场数据中取得的输入值。该输入值反映了市场参与者在对相关</w:t>
      </w:r>
      <w:r>
        <w:rPr>
          <w:spacing w:val="-64"/>
        </w:rPr>
        <w:t> </w:t>
      </w:r>
      <w:r>
        <w:rPr>
          <w:spacing w:val="-64"/>
        </w:rPr>
      </w:r>
      <w:r>
        <w:rPr>
          <w:spacing w:val="-2"/>
        </w:rPr>
        <w:t>资产或负债定价时所使用的假设。不可观察输入值，是指不能从市场数据中取得的输入值。该输入值根据可获得的市场参与</w:t>
      </w:r>
      <w:r>
        <w:rPr>
          <w:spacing w:val="-66"/>
        </w:rPr>
        <w:t> </w:t>
      </w:r>
      <w:r>
        <w:rPr>
          <w:spacing w:val="-66"/>
        </w:rPr>
      </w:r>
      <w:r>
        <w:rPr/>
        <w:t>者在对相关资产或负债定价时所使用假设的最佳信息取得。</w:t>
      </w:r>
    </w:p>
    <w:p>
      <w:pPr>
        <w:pStyle w:val="BodyText"/>
        <w:spacing w:line="316" w:lineRule="auto" w:before="17"/>
        <w:ind w:left="657" w:right="1120"/>
        <w:jc w:val="left"/>
      </w:pPr>
      <w:r>
        <w:rPr/>
        <w:t>②公允价值层次 </w:t>
      </w:r>
      <w:r>
        <w:rPr>
          <w:spacing w:val="-1"/>
        </w:rPr>
        <w:t>本公司将公允价值计量所使用的输入值划分为三个层次，并首先使用第一层次输入值，其次使用第二层次输入值，最</w:t>
      </w:r>
    </w:p>
    <w:p>
      <w:pPr>
        <w:pStyle w:val="BodyText"/>
        <w:spacing w:line="316" w:lineRule="auto" w:before="19"/>
        <w:ind w:right="1132"/>
        <w:jc w:val="both"/>
      </w:pPr>
      <w:r>
        <w:rPr>
          <w:spacing w:val="-2"/>
        </w:rPr>
        <w:t>后使用第三层次输入值。第一层次输入值是在计量日能够取得的相同资产或负债在活跃市场上未经调整的报价。第二层次输</w:t>
      </w:r>
      <w:r>
        <w:rPr>
          <w:spacing w:val="-64"/>
        </w:rPr>
        <w:t> </w:t>
      </w:r>
      <w:r>
        <w:rPr>
          <w:spacing w:val="-64"/>
        </w:rPr>
      </w:r>
      <w:r>
        <w:rPr>
          <w:spacing w:val="-2"/>
        </w:rPr>
        <w:t>入值是除第一层次输入值外相关资产或负债直接或间接可观察的输入值。第三层次输入值是相关资产或负债的不可观察输入</w:t>
      </w:r>
      <w:r>
        <w:rPr>
          <w:spacing w:val="-64"/>
        </w:rPr>
        <w:t> </w:t>
      </w:r>
      <w:r>
        <w:rPr>
          <w:spacing w:val="-64"/>
        </w:rPr>
      </w:r>
      <w:r>
        <w:rPr/>
        <w:t>值。</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11</w:t>
      </w:r>
      <w:r>
        <w:rPr/>
        <w:t>、应收票据</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657" w:right="0"/>
        <w:jc w:val="left"/>
      </w:pPr>
      <w:r>
        <w:rPr/>
        <w:t>详见附注五、</w:t>
      </w:r>
      <w:r>
        <w:rPr>
          <w:rFonts w:ascii="Times New Roman" w:hAnsi="Times New Roman" w:cs="Times New Roman" w:eastAsia="Times New Roman" w:hint="default"/>
        </w:rPr>
        <w:t>10</w:t>
      </w:r>
      <w:r>
        <w:rPr/>
        <w:t>、金融工具</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12</w:t>
      </w:r>
      <w:r>
        <w:rPr/>
        <w:t>、应收账款</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657" w:right="0"/>
        <w:jc w:val="left"/>
      </w:pPr>
      <w:r>
        <w:rPr/>
        <w:t>详见附注五、</w:t>
      </w:r>
      <w:r>
        <w:rPr>
          <w:rFonts w:ascii="Times New Roman" w:hAnsi="Times New Roman" w:cs="Times New Roman" w:eastAsia="Times New Roman" w:hint="default"/>
        </w:rPr>
        <w:t>10</w:t>
      </w:r>
      <w:r>
        <w:rPr/>
        <w:t>、金融工具</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13</w:t>
      </w:r>
      <w:r>
        <w:rPr/>
        <w:t>、应收款项融资</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657" w:right="0"/>
        <w:jc w:val="left"/>
      </w:pPr>
      <w:r>
        <w:rPr/>
        <w:t>详见附注五、</w:t>
      </w:r>
      <w:r>
        <w:rPr>
          <w:rFonts w:ascii="Times New Roman" w:hAnsi="Times New Roman" w:cs="Times New Roman" w:eastAsia="Times New Roman" w:hint="default"/>
        </w:rPr>
        <w:t>10</w:t>
      </w:r>
      <w:r>
        <w:rPr/>
        <w:t>、金融工具</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14</w:t>
      </w:r>
      <w:r>
        <w:rPr/>
        <w:t>、其他应收款</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left="657" w:right="6433" w:hanging="504"/>
        <w:jc w:val="left"/>
      </w:pPr>
      <w:r>
        <w:rPr/>
        <w:t>其他应收款的预期信用损失的确定方法及会计处理方法 详见附注五、</w:t>
      </w:r>
      <w:r>
        <w:rPr>
          <w:rFonts w:ascii="Times New Roman" w:hAnsi="Times New Roman" w:cs="Times New Roman" w:eastAsia="Times New Roman" w:hint="default"/>
        </w:rPr>
        <w:t>10</w:t>
      </w:r>
      <w:r>
        <w:rPr/>
        <w:t>、金融工具</w:t>
      </w:r>
    </w:p>
    <w:p>
      <w:pPr>
        <w:spacing w:line="240" w:lineRule="auto" w:before="8"/>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15</w:t>
      </w:r>
      <w:r>
        <w:rPr/>
        <w:t>、存货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657" w:right="1120"/>
        <w:jc w:val="left"/>
      </w:pPr>
      <w:r>
        <w:rPr/>
        <w:t>（</w:t>
      </w:r>
      <w:r>
        <w:rPr>
          <w:rFonts w:ascii="Times New Roman" w:hAnsi="Times New Roman" w:cs="Times New Roman" w:eastAsia="Times New Roman" w:hint="default"/>
        </w:rPr>
        <w:t>1</w:t>
      </w:r>
      <w:r>
        <w:rPr/>
        <w:t>）存货的分类 </w:t>
      </w:r>
      <w:r>
        <w:rPr>
          <w:spacing w:val="-1"/>
        </w:rPr>
        <w:t>存货是指本公司在日常活动中持有以备出售的产成品或商品、处在生产过程中的在产品、在生产过程或提供劳务过程</w:t>
      </w:r>
    </w:p>
    <w:p>
      <w:pPr>
        <w:pStyle w:val="BodyText"/>
        <w:spacing w:line="316" w:lineRule="auto" w:before="31"/>
        <w:ind w:right="0"/>
        <w:jc w:val="left"/>
      </w:pPr>
      <w:r>
        <w:rPr>
          <w:spacing w:val="-2"/>
        </w:rPr>
        <w:t>中耗用的材料和物料、处在开发过程中的软件产品、外购的以备出售的软件产品等，包括原材料、周转材料、库存商品、发</w:t>
      </w:r>
      <w:r>
        <w:rPr>
          <w:spacing w:val="-70"/>
        </w:rPr>
        <w:t> </w:t>
      </w:r>
      <w:r>
        <w:rPr>
          <w:spacing w:val="-70"/>
        </w:rPr>
      </w:r>
      <w:r>
        <w:rPr/>
        <w:t>出商品、工程施工等。</w:t>
      </w:r>
    </w:p>
    <w:p>
      <w:pPr>
        <w:pStyle w:val="BodyText"/>
        <w:spacing w:line="300" w:lineRule="auto" w:before="19"/>
        <w:ind w:left="657" w:right="7009"/>
        <w:jc w:val="left"/>
      </w:pPr>
      <w:r>
        <w:rPr/>
        <w:t>（</w:t>
      </w:r>
      <w:r>
        <w:rPr>
          <w:rFonts w:ascii="Times New Roman" w:hAnsi="Times New Roman" w:cs="Times New Roman" w:eastAsia="Times New Roman" w:hint="default"/>
        </w:rPr>
        <w:t>2</w:t>
      </w:r>
      <w:r>
        <w:rPr/>
        <w:t>）发出存货的计价方法 本公司存货发出时采用加权平均法计价。</w:t>
      </w:r>
    </w:p>
    <w:p>
      <w:pPr>
        <w:pStyle w:val="BodyText"/>
        <w:spacing w:line="300" w:lineRule="auto" w:before="31"/>
        <w:ind w:left="657" w:right="1120"/>
        <w:jc w:val="left"/>
      </w:pPr>
      <w:r>
        <w:rPr/>
        <w:t>（</w:t>
      </w:r>
      <w:r>
        <w:rPr>
          <w:rFonts w:ascii="Times New Roman" w:hAnsi="Times New Roman" w:cs="Times New Roman" w:eastAsia="Times New Roman" w:hint="default"/>
        </w:rPr>
        <w:t>3</w:t>
      </w:r>
      <w:r>
        <w:rPr/>
        <w:t>）工程施工核算方法 </w:t>
      </w:r>
      <w:r>
        <w:rPr>
          <w:spacing w:val="-1"/>
        </w:rPr>
        <w:t>工程施工按累计已发生的成本和累计已确认的毛利（亏损）减已办理结算的价款金额计价。工程施工成本以实际成本</w:t>
      </w:r>
    </w:p>
    <w:p>
      <w:pPr>
        <w:pStyle w:val="BodyText"/>
        <w:spacing w:line="240" w:lineRule="auto" w:before="32"/>
        <w:ind w:right="0"/>
        <w:jc w:val="left"/>
      </w:pPr>
      <w:r>
        <w:rPr/>
        <w:t>核算，包括已安装产品及耗用的材料成本、劳务费及其他费用。</w:t>
      </w:r>
    </w:p>
    <w:p>
      <w:pPr>
        <w:pStyle w:val="BodyText"/>
        <w:spacing w:line="300" w:lineRule="auto" w:before="76"/>
        <w:ind w:left="657" w:right="3589"/>
        <w:jc w:val="left"/>
      </w:pPr>
      <w:r>
        <w:rPr/>
        <w:t>（</w:t>
      </w:r>
      <w:r>
        <w:rPr>
          <w:rFonts w:ascii="Times New Roman" w:hAnsi="Times New Roman" w:cs="Times New Roman" w:eastAsia="Times New Roman" w:hint="default"/>
        </w:rPr>
        <w:t>4</w:t>
      </w:r>
      <w:r>
        <w:rPr/>
        <w:t>）存货的盘存制度 本公司存货采用永续盘存制，每年至少盘点一次，盘盈及盘亏金额计入当年度损益。</w:t>
      </w:r>
    </w:p>
    <w:p>
      <w:pPr>
        <w:pStyle w:val="BodyText"/>
        <w:spacing w:line="309" w:lineRule="auto" w:before="31"/>
        <w:ind w:left="657" w:right="1120"/>
        <w:jc w:val="left"/>
      </w:pPr>
      <w:r>
        <w:rPr/>
        <w:t>（</w:t>
      </w:r>
      <w:r>
        <w:rPr>
          <w:rFonts w:ascii="Times New Roman" w:hAnsi="Times New Roman" w:cs="Times New Roman" w:eastAsia="Times New Roman" w:hint="default"/>
        </w:rPr>
        <w:t>5</w:t>
      </w:r>
      <w:r>
        <w:rPr/>
        <w:t>）存货跌价准备的计提方法 资产负债表日按成本与可变现净值孰低计量，存货成本高于其可变现净值的，计提存货跌价准备，计入当期损益。 </w:t>
      </w:r>
      <w:r>
        <w:rPr>
          <w:spacing w:val="-1"/>
        </w:rPr>
        <w:t>在确定存货的可变现净值时，以取得的可靠证据为基础，并且考虑持有存货的目的、资产负债表日后事项的影响等因</w:t>
      </w:r>
    </w:p>
    <w:p>
      <w:pPr>
        <w:pStyle w:val="BodyText"/>
        <w:spacing w:line="240" w:lineRule="auto" w:before="24"/>
        <w:ind w:right="0"/>
        <w:jc w:val="left"/>
      </w:pPr>
      <w:r>
        <w:rPr/>
        <w:t>素。</w:t>
      </w:r>
    </w:p>
    <w:p>
      <w:pPr>
        <w:pStyle w:val="BodyText"/>
        <w:spacing w:line="240" w:lineRule="auto" w:before="76"/>
        <w:ind w:left="657" w:right="0"/>
        <w:jc w:val="left"/>
      </w:pPr>
      <w:r>
        <w:rPr/>
        <w:t>①产成品、商品和用于出售的材料等直接用于出售的存货，在正常生产经营过程中，以该存货的估计售价减去估计的</w:t>
      </w:r>
    </w:p>
    <w:p>
      <w:pPr>
        <w:pStyle w:val="BodyText"/>
        <w:spacing w:line="316" w:lineRule="auto" w:before="76"/>
        <w:ind w:right="1130"/>
        <w:jc w:val="both"/>
      </w:pPr>
      <w:r>
        <w:rPr>
          <w:spacing w:val="-2"/>
        </w:rPr>
        <w:t>销售费用和相关税费后的金额确定其可变现净值。为执行销售合同或者劳务合同而持有的存货，以合同价格作为其可变现净</w:t>
      </w:r>
      <w:r>
        <w:rPr>
          <w:spacing w:val="-64"/>
        </w:rPr>
        <w:t> </w:t>
      </w:r>
      <w:r>
        <w:rPr>
          <w:spacing w:val="-64"/>
        </w:rPr>
      </w:r>
      <w:r>
        <w:rPr>
          <w:spacing w:val="-2"/>
        </w:rPr>
        <w:t>值的计量基础；如果持有存货的数量多于销售合同订购数量，超出部分的存货可变现净值以一般销售价格为计量基础。用于</w:t>
      </w:r>
      <w:r>
        <w:rPr>
          <w:spacing w:val="-63"/>
        </w:rPr>
        <w:t> </w:t>
      </w:r>
      <w:r>
        <w:rPr>
          <w:spacing w:val="-63"/>
        </w:rPr>
      </w:r>
      <w:r>
        <w:rPr/>
        <w:t>出售的材料等，以市场价格作为其可变现净值的计量基础。</w:t>
      </w:r>
    </w:p>
    <w:p>
      <w:pPr>
        <w:pStyle w:val="BodyText"/>
        <w:spacing w:line="316" w:lineRule="auto" w:before="19"/>
        <w:ind w:right="1043" w:firstLine="504"/>
        <w:jc w:val="both"/>
      </w:pPr>
      <w:r>
        <w:rPr/>
        <w:t>②需要经过加工的材料存货，在正常生产经营过程中，以所生产的产成品的估计售价减去至完工时估计将要发生的成 </w:t>
      </w:r>
      <w:r>
        <w:rPr>
          <w:spacing w:val="-2"/>
        </w:rPr>
        <w:t>本、估计的销售费用和相关税费后的金额确定其可变现净值。如果用其生产的产成品的可变现净值高于成本，则该材料按成</w:t>
      </w:r>
      <w:r>
        <w:rPr>
          <w:spacing w:val="-63"/>
        </w:rPr>
        <w:t> </w:t>
      </w:r>
      <w:r>
        <w:rPr>
          <w:spacing w:val="-63"/>
        </w:rPr>
      </w:r>
      <w:r>
        <w:rPr>
          <w:spacing w:val="-4"/>
        </w:rPr>
        <w:t>本计量；如果材料价格的下降表明产成品的可变现净值低于成本，则该材料按可变现净值计量，按其差额计提存货跌价准备。</w:t>
      </w:r>
    </w:p>
    <w:p>
      <w:pPr>
        <w:pStyle w:val="BodyText"/>
        <w:spacing w:line="316" w:lineRule="auto" w:before="19"/>
        <w:ind w:right="1133" w:firstLine="504"/>
        <w:jc w:val="both"/>
      </w:pPr>
      <w:r>
        <w:rPr>
          <w:spacing w:val="-1"/>
        </w:rPr>
        <w:t>③工程施工成本，对预计工程总成本超过预计总收入（扣除相关税费）的工程项目，按照预计工程总成本超过预计总</w:t>
      </w:r>
      <w:r>
        <w:rPr/>
        <w:t> 收入（扣除相关税费）的部分，计提存货跌价准备。</w:t>
      </w:r>
    </w:p>
    <w:p>
      <w:pPr>
        <w:pStyle w:val="BodyText"/>
        <w:spacing w:line="240" w:lineRule="auto" w:before="19"/>
        <w:ind w:left="657" w:right="0"/>
        <w:jc w:val="left"/>
      </w:pPr>
      <w:r>
        <w:rPr/>
        <w:t>④存货跌价准备一般按单个存货项目计提；对于数量繁多、单价较低的存货，按存货类别计提。</w:t>
      </w:r>
    </w:p>
    <w:p>
      <w:pPr>
        <w:pStyle w:val="BodyText"/>
        <w:spacing w:line="316" w:lineRule="auto" w:before="76"/>
        <w:ind w:right="1132" w:firstLine="504"/>
        <w:jc w:val="both"/>
      </w:pPr>
      <w:r>
        <w:rPr>
          <w:spacing w:val="-1"/>
        </w:rPr>
        <w:t>⑤资产负债表日如果以前减记存货价值的影响因素已经消失，则减记的金额予以恢复，并在原已计提的存货跌价准备</w:t>
      </w:r>
      <w:r>
        <w:rPr/>
        <w:t> 的金额内转回，转回的金额计入当期损益。</w:t>
      </w:r>
    </w:p>
    <w:p>
      <w:pPr>
        <w:spacing w:after="0" w:line="316"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16</w:t>
      </w:r>
      <w:r>
        <w:rPr/>
        <w:t>、合同资产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17</w:t>
      </w:r>
      <w:r>
        <w:rPr/>
        <w:t>、合同成本</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18</w:t>
      </w:r>
      <w:r>
        <w:rPr/>
        <w:t>、持有待售资产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657" w:right="4489"/>
        <w:jc w:val="left"/>
      </w:pPr>
      <w:r>
        <w:rPr/>
        <w:t>（</w:t>
      </w:r>
      <w:r>
        <w:rPr>
          <w:rFonts w:ascii="Times New Roman" w:hAnsi="Times New Roman" w:cs="Times New Roman" w:eastAsia="Times New Roman" w:hint="default"/>
        </w:rPr>
        <w:t>1</w:t>
      </w:r>
      <w:r>
        <w:rPr/>
        <w:t>）持有待售的非流动资产或处置组的分类 本公司将同时满足下列条件的非流动资产或处置组划分为持有待售类别：</w:t>
      </w:r>
    </w:p>
    <w:p>
      <w:pPr>
        <w:pStyle w:val="BodyText"/>
        <w:spacing w:line="240" w:lineRule="auto" w:before="31"/>
        <w:ind w:left="657" w:right="0"/>
        <w:jc w:val="left"/>
      </w:pPr>
      <w:r>
        <w:rPr/>
        <w:t>①根据类似交易中出售此类资产或处置组的惯例，在当前状况下即可立即出售；</w:t>
      </w:r>
    </w:p>
    <w:p>
      <w:pPr>
        <w:pStyle w:val="BodyText"/>
        <w:spacing w:line="316" w:lineRule="auto" w:before="76"/>
        <w:ind w:right="1120" w:firstLine="504"/>
        <w:jc w:val="left"/>
      </w:pPr>
      <w:r>
        <w:rPr>
          <w:spacing w:val="-1"/>
        </w:rPr>
        <w:t>②出售极可能发生，即本公司已经就一项出售计划作出决议且获得确定的购买承诺，预计出售将在一年内完成。有关</w:t>
      </w:r>
      <w:r>
        <w:rPr/>
        <w:t> 规定要求本公司相关权力机构或者监管部门批准后方可出售的，已经获得批准。</w:t>
      </w:r>
    </w:p>
    <w:p>
      <w:pPr>
        <w:pStyle w:val="BodyText"/>
        <w:spacing w:line="300" w:lineRule="auto" w:before="19"/>
        <w:ind w:right="0" w:firstLine="504"/>
        <w:jc w:val="left"/>
      </w:pPr>
      <w:r>
        <w:rPr>
          <w:spacing w:val="-1"/>
        </w:rPr>
        <w:t>本公司专为转售而取得的非流动资产或处置组，在取得日满足</w:t>
      </w:r>
      <w:r>
        <w:rPr>
          <w:rFonts w:ascii="Times New Roman" w:hAnsi="Times New Roman" w:cs="Times New Roman" w:eastAsia="Times New Roman" w:hint="default"/>
          <w:spacing w:val="-1"/>
        </w:rPr>
        <w:t>“</w:t>
      </w:r>
      <w:r>
        <w:rPr>
          <w:spacing w:val="-1"/>
        </w:rPr>
        <w:t>预计出售将在一年内完成</w:t>
      </w:r>
      <w:r>
        <w:rPr>
          <w:rFonts w:ascii="Times New Roman" w:hAnsi="Times New Roman" w:cs="Times New Roman" w:eastAsia="Times New Roman" w:hint="default"/>
          <w:spacing w:val="-1"/>
        </w:rPr>
        <w:t>”</w:t>
      </w:r>
      <w:r>
        <w:rPr>
          <w:spacing w:val="-1"/>
        </w:rPr>
        <w:t>的规定条件，且短期（通常</w:t>
      </w:r>
      <w:r>
        <w:rPr/>
        <w:t> 为</w:t>
      </w:r>
      <w:r>
        <w:rPr>
          <w:rFonts w:ascii="Times New Roman" w:hAnsi="Times New Roman" w:cs="Times New Roman" w:eastAsia="Times New Roman" w:hint="default"/>
        </w:rPr>
        <w:t>3</w:t>
      </w:r>
      <w:r>
        <w:rPr/>
        <w:t>个月）内很可能满足持有待售类别的其他划分条件的，本公司在取得日将其划分为持有待售类别。</w:t>
      </w:r>
    </w:p>
    <w:p>
      <w:pPr>
        <w:pStyle w:val="BodyText"/>
        <w:spacing w:line="316" w:lineRule="auto" w:before="13"/>
        <w:ind w:right="1033" w:firstLine="504"/>
        <w:jc w:val="left"/>
      </w:pPr>
      <w:r>
        <w:rPr/>
        <w:t>本公司因出售对子公司的投资等原因导致其丧失对子公司控制权的，无论出售后本公司是否保留部分权益性投资，在 拟出售的对子公司投资满足持有待售类别划分条件时，在母公司个别财务报表中将对子公司投资整体划分为持有待售类别， 在合并财务报表中将子公司所有资产和负债划分为持有待售类别。</w:t>
      </w:r>
    </w:p>
    <w:p>
      <w:pPr>
        <w:pStyle w:val="BodyText"/>
        <w:spacing w:line="300" w:lineRule="auto" w:before="19"/>
        <w:ind w:left="657" w:right="1120"/>
        <w:jc w:val="left"/>
      </w:pPr>
      <w:r>
        <w:rPr/>
        <w:t>（</w:t>
      </w:r>
      <w:r>
        <w:rPr>
          <w:rFonts w:ascii="Times New Roman" w:hAnsi="Times New Roman" w:cs="Times New Roman" w:eastAsia="Times New Roman" w:hint="default"/>
        </w:rPr>
        <w:t>2</w:t>
      </w:r>
      <w:r>
        <w:rPr/>
        <w:t>）持有待售的非流动资产或处置组的计量 </w:t>
      </w:r>
      <w:r>
        <w:rPr>
          <w:spacing w:val="-1"/>
        </w:rPr>
        <w:t>采用公允价值模式进行后续计量的投资性房地产、采用公允价值减去出售费用后的净额计量的生物资产、职工薪酬形</w:t>
      </w:r>
    </w:p>
    <w:p>
      <w:pPr>
        <w:pStyle w:val="BodyText"/>
        <w:spacing w:line="316" w:lineRule="auto" w:before="31"/>
        <w:ind w:right="0"/>
        <w:jc w:val="left"/>
      </w:pPr>
      <w:r>
        <w:rPr>
          <w:spacing w:val="-2"/>
        </w:rPr>
        <w:t>成的资产、递延所得税资产、由金融工具相关会计准则规范的金融资产及由保险合同相关会计准则规范的保险合同所产生的</w:t>
      </w:r>
      <w:r>
        <w:rPr>
          <w:spacing w:val="-64"/>
        </w:rPr>
        <w:t> </w:t>
      </w:r>
      <w:r>
        <w:rPr>
          <w:spacing w:val="-64"/>
        </w:rPr>
      </w:r>
      <w:r>
        <w:rPr/>
        <w:t>权利的计量分别适用于其他相关会计准则。</w:t>
      </w:r>
    </w:p>
    <w:p>
      <w:pPr>
        <w:pStyle w:val="BodyText"/>
        <w:spacing w:line="316" w:lineRule="auto" w:before="19"/>
        <w:ind w:right="1130" w:firstLine="504"/>
        <w:jc w:val="both"/>
      </w:pPr>
      <w:r>
        <w:rPr>
          <w:spacing w:val="-1"/>
        </w:rPr>
        <w:t>初始计量或在资产负债表日重新计量持有待售的非流动资产或处置组时，其账面价值高于公允价值减去出售费用后的</w:t>
      </w:r>
      <w:r>
        <w:rPr/>
        <w:t> </w:t>
      </w:r>
      <w:r>
        <w:rPr>
          <w:spacing w:val="-2"/>
        </w:rPr>
        <w:t>净额的，将账面价值减记至公允价值减去出售费用后的净额，减记的金额确认为资产减值损失，计入当期损益，同时计提持</w:t>
      </w:r>
      <w:r>
        <w:rPr>
          <w:spacing w:val="-64"/>
        </w:rPr>
        <w:t> </w:t>
      </w:r>
      <w:r>
        <w:rPr>
          <w:spacing w:val="-64"/>
        </w:rPr>
      </w:r>
      <w:r>
        <w:rPr/>
        <w:t>有待售资产减值准备。</w:t>
      </w:r>
    </w:p>
    <w:p>
      <w:pPr>
        <w:pStyle w:val="BodyText"/>
        <w:spacing w:line="316" w:lineRule="auto" w:before="19"/>
        <w:ind w:right="1249" w:firstLine="504"/>
        <w:jc w:val="left"/>
      </w:pPr>
      <w:r>
        <w:rPr/>
        <w:t>非流动资产或处置组因不再满足持有待售类别的划分条件而不再继续划分为持有待售类别或非流动资产从持有待售 的处置组中移除时，按照以下两者孰低计量：</w:t>
      </w:r>
    </w:p>
    <w:p>
      <w:pPr>
        <w:pStyle w:val="BodyText"/>
        <w:spacing w:line="316" w:lineRule="auto" w:before="19"/>
        <w:ind w:right="1120" w:firstLine="504"/>
        <w:jc w:val="left"/>
      </w:pPr>
      <w:r>
        <w:rPr>
          <w:spacing w:val="-1"/>
        </w:rPr>
        <w:t>①划分为持有待售类别前的账面价值，按照假定不划分为持有待售类别情况下本应确认的折旧、摊销或减值等进行调</w:t>
      </w:r>
      <w:r>
        <w:rPr/>
        <w:t> 整后的金额；</w:t>
      </w:r>
    </w:p>
    <w:p>
      <w:pPr>
        <w:pStyle w:val="BodyText"/>
        <w:spacing w:line="240" w:lineRule="auto" w:before="19"/>
        <w:ind w:left="657" w:right="0"/>
        <w:jc w:val="left"/>
      </w:pPr>
      <w:r>
        <w:rPr/>
        <w:t>②可收回金额。</w:t>
      </w:r>
    </w:p>
    <w:p>
      <w:pPr>
        <w:pStyle w:val="BodyText"/>
        <w:spacing w:line="300" w:lineRule="auto" w:before="76"/>
        <w:ind w:left="657" w:right="1120"/>
        <w:jc w:val="left"/>
      </w:pPr>
      <w:r>
        <w:rPr/>
        <w:t>（</w:t>
      </w:r>
      <w:r>
        <w:rPr>
          <w:rFonts w:ascii="Times New Roman" w:hAnsi="Times New Roman" w:cs="Times New Roman" w:eastAsia="Times New Roman" w:hint="default"/>
        </w:rPr>
        <w:t>3</w:t>
      </w:r>
      <w:r>
        <w:rPr/>
        <w:t>）列报 </w:t>
      </w:r>
      <w:r>
        <w:rPr>
          <w:spacing w:val="-1"/>
        </w:rPr>
        <w:t>本公司在资产负债表中区别于其他资产单独列示持有待售的非流动资产或持有待售的处置组中的资产，区别于其他负</w:t>
      </w:r>
    </w:p>
    <w:p>
      <w:pPr>
        <w:pStyle w:val="BodyText"/>
        <w:spacing w:line="316" w:lineRule="auto" w:before="31"/>
        <w:ind w:right="0"/>
        <w:jc w:val="left"/>
      </w:pPr>
      <w:r>
        <w:rPr>
          <w:spacing w:val="-2"/>
        </w:rPr>
        <w:t>债单独列示持有待售的处置组中的负债。持有待售的非流动资产或持有待售的处置组中的资产与持有待售的处置组中的负债</w:t>
      </w:r>
      <w:r>
        <w:rPr>
          <w:spacing w:val="-64"/>
        </w:rPr>
        <w:t> </w:t>
      </w:r>
      <w:r>
        <w:rPr>
          <w:spacing w:val="-64"/>
        </w:rPr>
      </w:r>
      <w:r>
        <w:rPr/>
        <w:t>不予相互抵销，分别作为流动资产和流动负债列示。</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19</w:t>
      </w:r>
      <w:r>
        <w:rPr/>
        <w:t>、债权投资</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20</w:t>
      </w:r>
      <w:r>
        <w:rPr/>
        <w:t>、其他债权投资</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21</w:t>
      </w:r>
      <w:r>
        <w:rPr/>
        <w:t>、长期应收款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22</w:t>
      </w:r>
      <w:r>
        <w:rPr/>
        <w:t>、长期股权投资</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120" w:firstLine="504"/>
        <w:jc w:val="left"/>
      </w:pPr>
      <w:r>
        <w:rPr>
          <w:spacing w:val="-1"/>
        </w:rPr>
        <w:t>本公司长期股权投资包括对被投资单位实施控制、重大影响的权益性投资，以及对合营企业的权益性投资。本公司能</w:t>
      </w:r>
      <w:r>
        <w:rPr/>
        <w:t> 够对被投资单位施加重大影响的，为本公司的联营企业。</w:t>
      </w:r>
    </w:p>
    <w:p>
      <w:pPr>
        <w:pStyle w:val="BodyText"/>
        <w:spacing w:line="300" w:lineRule="auto" w:before="18"/>
        <w:ind w:left="657" w:right="1120"/>
        <w:jc w:val="left"/>
      </w:pPr>
      <w:r>
        <w:rPr/>
        <w:t>（</w:t>
      </w:r>
      <w:r>
        <w:rPr>
          <w:rFonts w:ascii="Times New Roman" w:hAnsi="Times New Roman" w:cs="Times New Roman" w:eastAsia="Times New Roman" w:hint="default"/>
        </w:rPr>
        <w:t>1</w:t>
      </w:r>
      <w:r>
        <w:rPr/>
        <w:t>）确定对被投资单位具有共同控制、重大影响的依据 </w:t>
      </w:r>
      <w:r>
        <w:rPr>
          <w:spacing w:val="-1"/>
        </w:rPr>
        <w:t>共同控制，是指按照相关约定对某项安排所共有的控制，并且该安排的相关活动必须经过分享控制权的参与方一致同</w:t>
      </w:r>
    </w:p>
    <w:p>
      <w:pPr>
        <w:spacing w:after="0" w:line="30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0"/>
        <w:jc w:val="both"/>
      </w:pPr>
      <w:r>
        <w:rPr>
          <w:spacing w:val="-2"/>
        </w:rPr>
        <w:t>意后才能决策。在判断是否存在共同控制时，首先判断所有参与方或参与方组合是否集体控制该安排，如果所有参与方或一</w:t>
      </w:r>
      <w:r>
        <w:rPr>
          <w:spacing w:val="-63"/>
        </w:rPr>
        <w:t> </w:t>
      </w:r>
      <w:r>
        <w:rPr>
          <w:spacing w:val="-63"/>
        </w:rPr>
      </w:r>
      <w:r>
        <w:rPr>
          <w:spacing w:val="-2"/>
        </w:rPr>
        <w:t>组参与方必须一致行动才能决定某项安排的相关活动，则认为所有参与方或一组参与方集体控制该安排。其次再判断该安排</w:t>
      </w:r>
      <w:r>
        <w:rPr>
          <w:spacing w:val="-64"/>
        </w:rPr>
        <w:t> </w:t>
      </w:r>
      <w:r>
        <w:rPr>
          <w:spacing w:val="-64"/>
        </w:rPr>
      </w:r>
      <w:r>
        <w:rPr>
          <w:spacing w:val="-2"/>
        </w:rPr>
        <w:t>相关活动的决策是否必须经过这些集体控制该安排的参与方一致同意。如果存在两个或两个以上的参与方组合能够集体控制</w:t>
      </w:r>
      <w:r>
        <w:rPr>
          <w:spacing w:val="-64"/>
        </w:rPr>
        <w:t> </w:t>
      </w:r>
      <w:r>
        <w:rPr>
          <w:spacing w:val="-64"/>
        </w:rPr>
      </w:r>
      <w:r>
        <w:rPr/>
        <w:t>某项安排的，不构成共同控制。判断是否存在共同控制时，不考虑享有的保护性权利。</w:t>
      </w:r>
    </w:p>
    <w:p>
      <w:pPr>
        <w:pStyle w:val="BodyText"/>
        <w:spacing w:line="316" w:lineRule="auto" w:before="19"/>
        <w:ind w:right="1132" w:firstLine="504"/>
        <w:jc w:val="both"/>
      </w:pPr>
      <w:r>
        <w:rPr>
          <w:spacing w:val="-1"/>
        </w:rPr>
        <w:t>重大影响，是指投资方对被投资单位的财务和经营政策有参与决策的权力，但并不能够控制或者与其他方一起共同控</w:t>
      </w:r>
      <w:r>
        <w:rPr/>
        <w:t> </w:t>
      </w:r>
      <w:r>
        <w:rPr>
          <w:spacing w:val="-2"/>
        </w:rPr>
        <w:t>制这些政策的制定。在确定能否对被投资单位施加重大影响时，考虑投资方直接或间接持有被投资单位的表决权股份以及投</w:t>
      </w:r>
      <w:r>
        <w:rPr>
          <w:spacing w:val="-64"/>
        </w:rPr>
        <w:t> </w:t>
      </w:r>
      <w:r>
        <w:rPr>
          <w:spacing w:val="-64"/>
        </w:rPr>
      </w:r>
      <w:r>
        <w:rPr>
          <w:spacing w:val="-2"/>
        </w:rPr>
        <w:t>资方及其他方持有的当期可执行潜在表决权在假定转换为对被投资方单位的股权后产生的影响，包括被投资单位发行的当期</w:t>
      </w:r>
      <w:r>
        <w:rPr>
          <w:spacing w:val="-64"/>
        </w:rPr>
        <w:t> </w:t>
      </w:r>
      <w:r>
        <w:rPr>
          <w:spacing w:val="-64"/>
        </w:rPr>
      </w:r>
      <w:r>
        <w:rPr/>
        <w:t>可转换的认股权证、股份期权及可转换公司债券等的影响。</w:t>
      </w:r>
    </w:p>
    <w:p>
      <w:pPr>
        <w:pStyle w:val="BodyText"/>
        <w:spacing w:line="300" w:lineRule="auto" w:before="19"/>
        <w:ind w:right="1159" w:firstLine="504"/>
        <w:jc w:val="left"/>
      </w:pPr>
      <w:r>
        <w:rPr/>
        <w:t>当本公司直接或通过子公司间接拥有被投资单位</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）以上但低于</w:t>
      </w:r>
      <w:r>
        <w:rPr>
          <w:rFonts w:ascii="Times New Roman" w:hAnsi="Times New Roman" w:cs="Times New Roman" w:eastAsia="Times New Roman" w:hint="default"/>
        </w:rPr>
        <w:t>50%</w:t>
      </w:r>
      <w:r>
        <w:rPr/>
        <w:t>的表决权股份时，一般认为对被投资 单位具有重大影响，除非有明确证据表明该种情况下不能参与被投资单位的生产经营决策，不形成重大影响。</w:t>
      </w:r>
    </w:p>
    <w:p>
      <w:pPr>
        <w:pStyle w:val="BodyText"/>
        <w:spacing w:line="240" w:lineRule="auto" w:before="31"/>
        <w:ind w:left="657" w:right="0"/>
        <w:jc w:val="left"/>
      </w:pPr>
      <w:r>
        <w:rPr/>
        <w:t>（</w:t>
      </w:r>
      <w:r>
        <w:rPr>
          <w:rFonts w:ascii="Times New Roman" w:hAnsi="Times New Roman" w:cs="Times New Roman" w:eastAsia="Times New Roman" w:hint="default"/>
        </w:rPr>
        <w:t>2</w:t>
      </w:r>
      <w:r>
        <w:rPr/>
        <w:t>）初始投资成本确定</w:t>
      </w:r>
    </w:p>
    <w:p>
      <w:pPr>
        <w:pStyle w:val="BodyText"/>
        <w:spacing w:line="240" w:lineRule="auto" w:before="63"/>
        <w:ind w:left="657" w:right="0"/>
        <w:jc w:val="left"/>
      </w:pPr>
      <w:r>
        <w:rPr/>
        <w:t>①企业合并形成的长期股权投资，按照下列规定确定其投资成本：</w:t>
      </w:r>
    </w:p>
    <w:p>
      <w:pPr>
        <w:pStyle w:val="BodyText"/>
        <w:spacing w:line="312" w:lineRule="auto" w:before="76"/>
        <w:ind w:right="1117" w:firstLine="506"/>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6"/>
        </w:rPr>
        <w:t> </w:t>
      </w:r>
      <w:r>
        <w:rPr/>
        <w:t>同一控制下的企业合并，合并方以支付现金、转让非现金资产或承担债务方式作为合并对价的，在合并日按照被 </w:t>
      </w:r>
      <w:r>
        <w:rPr>
          <w:spacing w:val="-2"/>
        </w:rPr>
        <w:t>合并方所有者权益在最终控制方合并财务报表中的账面价值的份额作为长期股权投资的初始投资成本。长期股权投资初始投</w:t>
      </w:r>
      <w:r>
        <w:rPr>
          <w:spacing w:val="-64"/>
        </w:rPr>
        <w:t> </w:t>
      </w:r>
      <w:r>
        <w:rPr>
          <w:spacing w:val="-64"/>
        </w:rPr>
      </w:r>
      <w:r>
        <w:rPr>
          <w:spacing w:val="-2"/>
        </w:rPr>
        <w:t>资成本与支付的现金、转让的非现金资产以及所承担债务账面价值之间的差额，调整资本公积；资本公积不足冲减的，调整</w:t>
      </w:r>
      <w:r>
        <w:rPr>
          <w:spacing w:val="-64"/>
        </w:rPr>
        <w:t> </w:t>
      </w:r>
      <w:r>
        <w:rPr>
          <w:spacing w:val="-64"/>
        </w:rPr>
      </w:r>
      <w:r>
        <w:rPr/>
        <w:t>留存收益；</w:t>
      </w:r>
    </w:p>
    <w:p>
      <w:pPr>
        <w:pStyle w:val="BodyText"/>
        <w:spacing w:line="309" w:lineRule="auto" w:before="22"/>
        <w:ind w:right="0" w:firstLine="504"/>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7"/>
        </w:rPr>
        <w:t> </w:t>
      </w:r>
      <w:r>
        <w:rPr/>
        <w:t>同一控制下的企业合并，合并方以发行权益性证券作为合并对价的，在合并日按照被合并方所有者权益在最终控 </w:t>
      </w:r>
      <w:r>
        <w:rPr>
          <w:spacing w:val="-2"/>
        </w:rPr>
        <w:t>制方合并财务报表中的账面价值的份额作为长期股权投资的初始投资成本。按照发行股份的面值总额作为股本，长期股权投</w:t>
      </w:r>
      <w:r>
        <w:rPr>
          <w:spacing w:val="-64"/>
        </w:rPr>
        <w:t> </w:t>
      </w:r>
      <w:r>
        <w:rPr>
          <w:spacing w:val="-64"/>
        </w:rPr>
      </w:r>
      <w:r>
        <w:rPr/>
        <w:t>资初始投资成本与所发行股份面值总额之间的差额，调整资本公积；资本公积不足冲减的，调整留存收益；</w:t>
      </w:r>
    </w:p>
    <w:p>
      <w:pPr>
        <w:pStyle w:val="BodyText"/>
        <w:spacing w:line="309" w:lineRule="auto" w:before="24"/>
        <w:ind w:right="0" w:firstLine="504"/>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27"/>
        </w:rPr>
        <w:t> </w:t>
      </w:r>
      <w:r>
        <w:rPr/>
        <w:t>非同一控制下的企业合并，以购买日为取得对被购买方的控制权而付出的资产、发生或承担的负债以及发行的权 </w:t>
      </w:r>
      <w:r>
        <w:rPr>
          <w:spacing w:val="-2"/>
        </w:rPr>
        <w:t>益性证券的公允价值确定为合并成本作为长期股权投资的初始投资成本。合并方为企业合并发生的审计、法律服务、评估咨</w:t>
      </w:r>
      <w:r>
        <w:rPr>
          <w:spacing w:val="-66"/>
        </w:rPr>
        <w:t> </w:t>
      </w:r>
      <w:r>
        <w:rPr>
          <w:spacing w:val="-66"/>
        </w:rPr>
      </w:r>
      <w:r>
        <w:rPr/>
        <w:t>询等中介费用以及其他相关管理费用，于发生时计入当期损益。</w:t>
      </w:r>
    </w:p>
    <w:p>
      <w:pPr>
        <w:pStyle w:val="BodyText"/>
        <w:spacing w:line="240" w:lineRule="auto" w:before="24"/>
        <w:ind w:left="657" w:right="0"/>
        <w:jc w:val="left"/>
      </w:pPr>
      <w:r>
        <w:rPr/>
        <w:t>②除企业合并形成的长期股权投资以外，其他方式取得的长期股权投资，按照下列规定确定其投资成本：</w:t>
      </w:r>
    </w:p>
    <w:p>
      <w:pPr>
        <w:pStyle w:val="BodyText"/>
        <w:spacing w:line="300" w:lineRule="auto" w:before="77"/>
        <w:ind w:right="1181" w:firstLine="506"/>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6"/>
        </w:rPr>
        <w:t> </w:t>
      </w:r>
      <w:r>
        <w:rPr/>
        <w:t>以支付现金取得的长期股权投资，按照实际支付的购买价款作为投资成本。初始投资成本包括与取得长期股权投 资直接相关的费用、税金及其他必要支出；</w:t>
      </w:r>
    </w:p>
    <w:p>
      <w:pPr>
        <w:pStyle w:val="BodyText"/>
        <w:spacing w:line="240" w:lineRule="auto" w:before="31"/>
        <w:ind w:left="657" w:right="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7"/>
        </w:rPr>
        <w:t> </w:t>
      </w:r>
      <w:r>
        <w:rPr/>
        <w:t>以发行权益性证券取得的长期股权投资，按照发行权益性证券的公允价值作为初始投资成本；</w:t>
      </w:r>
    </w:p>
    <w:p>
      <w:pPr>
        <w:pStyle w:val="BodyText"/>
        <w:spacing w:line="309" w:lineRule="auto" w:before="63"/>
        <w:ind w:right="0" w:firstLine="504"/>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27"/>
        </w:rPr>
        <w:t> </w:t>
      </w:r>
      <w:r>
        <w:rPr/>
        <w:t>通过非货币性资产交换取得的长期股权投资，如果该项交换具有商业实质且换入资产或换出资产的公允价值能可 </w:t>
      </w:r>
      <w:r>
        <w:rPr>
          <w:spacing w:val="-4"/>
        </w:rPr>
        <w:t>靠计量，则以换出资产的公允价值和相关税费作为初始投资成本，换出资产的公允价值与账面价值之间的差额计入当期损益；</w:t>
      </w:r>
      <w:r>
        <w:rPr>
          <w:spacing w:val="-44"/>
        </w:rPr>
        <w:t> </w:t>
      </w:r>
      <w:r>
        <w:rPr>
          <w:spacing w:val="-44"/>
        </w:rPr>
      </w:r>
      <w:r>
        <w:rPr/>
        <w:t>若非货币资产交换不同时具备上述两个条件，则按换出资产的账面价值和相关税费作为初始投资成本。</w:t>
      </w:r>
    </w:p>
    <w:p>
      <w:pPr>
        <w:pStyle w:val="BodyText"/>
        <w:spacing w:line="300" w:lineRule="auto" w:before="24"/>
        <w:ind w:right="1181" w:firstLine="504"/>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28"/>
        </w:rPr>
        <w:t> </w:t>
      </w:r>
      <w:r>
        <w:rPr/>
        <w:t>通过债务重组取得的长期股权投资，以所放弃债权的公允价值和可直接归属于该资产的税金等其他成本确定其入 账价值，并将所放弃债权的公允价值与账面价值之间的差额，计入当期损益。</w:t>
      </w:r>
    </w:p>
    <w:p>
      <w:pPr>
        <w:pStyle w:val="BodyText"/>
        <w:spacing w:line="300" w:lineRule="auto" w:before="31"/>
        <w:ind w:left="657" w:right="1120"/>
        <w:jc w:val="left"/>
      </w:pPr>
      <w:r>
        <w:rPr/>
        <w:t>（</w:t>
      </w:r>
      <w:r>
        <w:rPr>
          <w:rFonts w:ascii="Times New Roman" w:hAnsi="Times New Roman" w:cs="Times New Roman" w:eastAsia="Times New Roman" w:hint="default"/>
        </w:rPr>
        <w:t>3</w:t>
      </w:r>
      <w:r>
        <w:rPr/>
        <w:t>）后续计量及损益确认方法 </w:t>
      </w:r>
      <w:r>
        <w:rPr>
          <w:spacing w:val="-1"/>
        </w:rPr>
        <w:t>本公司能够对被投资单位实施控制的长期股权投资采用成本法核算；对联营企业和合营企业的长期股权投资采用权益</w:t>
      </w:r>
    </w:p>
    <w:p>
      <w:pPr>
        <w:pStyle w:val="BodyText"/>
        <w:spacing w:line="240" w:lineRule="auto" w:before="31"/>
        <w:ind w:right="0"/>
        <w:jc w:val="both"/>
      </w:pPr>
      <w:r>
        <w:rPr/>
        <w:t>法核算。</w:t>
      </w:r>
    </w:p>
    <w:p>
      <w:pPr>
        <w:pStyle w:val="BodyText"/>
        <w:spacing w:line="316" w:lineRule="auto" w:before="77"/>
        <w:ind w:left="657" w:right="1120"/>
        <w:jc w:val="left"/>
      </w:pPr>
      <w:r>
        <w:rPr/>
        <w:t>①成本法 </w:t>
      </w:r>
      <w:r>
        <w:rPr>
          <w:spacing w:val="-1"/>
        </w:rPr>
        <w:t>采用成本法核算的长期股权投资，追加或收回投资时调整长期股权投资的成本；被投资单位宣告分派的现金股利或利</w:t>
      </w:r>
    </w:p>
    <w:p>
      <w:pPr>
        <w:pStyle w:val="BodyText"/>
        <w:spacing w:line="240" w:lineRule="auto" w:before="19"/>
        <w:ind w:right="0"/>
        <w:jc w:val="both"/>
      </w:pPr>
      <w:r>
        <w:rPr/>
        <w:t>润，确认为当期投资收益。</w:t>
      </w:r>
    </w:p>
    <w:p>
      <w:pPr>
        <w:pStyle w:val="BodyText"/>
        <w:spacing w:line="316" w:lineRule="auto" w:before="76"/>
        <w:ind w:left="657" w:right="6109"/>
        <w:jc w:val="left"/>
      </w:pPr>
      <w:r>
        <w:rPr/>
        <w:t>②权益法 按照权益法核算的长期股权投资，一般会计处理为：</w:t>
      </w:r>
    </w:p>
    <w:p>
      <w:pPr>
        <w:pStyle w:val="BodyText"/>
        <w:spacing w:line="316" w:lineRule="auto" w:before="19"/>
        <w:ind w:right="1131" w:firstLine="504"/>
        <w:jc w:val="both"/>
      </w:pPr>
      <w:r>
        <w:rPr>
          <w:spacing w:val="-1"/>
        </w:rPr>
        <w:t>本公司长期股权投资的投资成本大于投资时应享有被投资单位可辨认净资产公允价值份额的，不调整长期股权投资的</w:t>
      </w:r>
      <w:r>
        <w:rPr/>
        <w:t> </w:t>
      </w:r>
      <w:r>
        <w:rPr>
          <w:spacing w:val="-2"/>
        </w:rPr>
        <w:t>初始投资成本；长期股权投资的初始投资成本小于投资时应享有被投资单位可辨认净资产公允价值份额的，其差额计入当期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316" w:lineRule="auto" w:before="19"/>
        <w:ind w:right="1069" w:firstLine="504"/>
        <w:jc w:val="left"/>
      </w:pPr>
      <w:r>
        <w:rPr/>
        <w:t>本公司按照应享有或应分担的被投资单位实现的净损益和其他综合收益的份额，分别确认投资收益和其他综合收益， </w:t>
      </w:r>
      <w:r>
        <w:rPr>
          <w:spacing w:val="-2"/>
        </w:rPr>
        <w:t>同时调整长期股权投资的账面价值；本公司按照被投资单位宣告分派的利润或现金股利计算应享有的部分，相应减少长期股</w:t>
      </w:r>
    </w:p>
    <w:p>
      <w:pPr>
        <w:spacing w:after="0" w:line="316"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28"/>
        <w:jc w:val="both"/>
      </w:pPr>
      <w:r>
        <w:rPr>
          <w:spacing w:val="-2"/>
        </w:rPr>
        <w:t>权投资的账面价值；被投资单位除净损益、其他综合收益和利润分配以外所有者权益的其他变动，调整长期股权投资的账面</w:t>
      </w:r>
      <w:r>
        <w:rPr>
          <w:spacing w:val="-62"/>
        </w:rPr>
        <w:t> </w:t>
      </w:r>
      <w:r>
        <w:rPr>
          <w:spacing w:val="-62"/>
        </w:rPr>
      </w:r>
      <w:r>
        <w:rPr>
          <w:spacing w:val="-2"/>
        </w:rPr>
        <w:t>价值并计入所有者权益。在确认应享有被投资单位净损益的份额时，以取得投资时被投资单位可辨认净资产的公允价值为基</w:t>
      </w:r>
      <w:r>
        <w:rPr>
          <w:spacing w:val="-64"/>
        </w:rPr>
        <w:t> </w:t>
      </w:r>
      <w:r>
        <w:rPr>
          <w:spacing w:val="-64"/>
        </w:rPr>
      </w:r>
      <w:r>
        <w:rPr>
          <w:spacing w:val="-2"/>
        </w:rPr>
        <w:t>础，对被投资单位的净利润进行调整后确认。被投资单位采用的会计政策及会计期间与本公司不一致的，应按照本公司的会</w:t>
      </w:r>
      <w:r>
        <w:rPr>
          <w:spacing w:val="-63"/>
        </w:rPr>
        <w:t> </w:t>
      </w:r>
      <w:r>
        <w:rPr>
          <w:spacing w:val="-63"/>
        </w:rPr>
      </w:r>
      <w:r>
        <w:rPr>
          <w:spacing w:val="-2"/>
        </w:rPr>
        <w:t>计政策及会计期间对被投资单位的财务报表进行调整，并据以确认投资收益和其他综合收益等。本公司与联营企业及合营企</w:t>
      </w:r>
      <w:r>
        <w:rPr>
          <w:spacing w:val="-64"/>
        </w:rPr>
        <w:t> </w:t>
      </w:r>
      <w:r>
        <w:rPr>
          <w:spacing w:val="-64"/>
        </w:rPr>
      </w:r>
      <w:r>
        <w:rPr>
          <w:spacing w:val="-2"/>
        </w:rPr>
        <w:t>业之间发生的未实现内部交易损益按照享有的比例计算归属于本公司的部分予以抵销，在此基础上确认投资损益。本公司与</w:t>
      </w:r>
      <w:r>
        <w:rPr>
          <w:spacing w:val="-64"/>
        </w:rPr>
        <w:t> </w:t>
      </w:r>
      <w:r>
        <w:rPr>
          <w:spacing w:val="-64"/>
        </w:rPr>
      </w:r>
      <w:r>
        <w:rPr/>
        <w:t>被投资单位发生的未实现内部交易损失属于资产减值损失的，应全额确认。</w:t>
      </w:r>
    </w:p>
    <w:p>
      <w:pPr>
        <w:pStyle w:val="BodyText"/>
        <w:spacing w:line="316" w:lineRule="auto" w:before="19"/>
        <w:ind w:right="1130" w:firstLine="504"/>
        <w:jc w:val="both"/>
      </w:pPr>
      <w:r>
        <w:rPr>
          <w:spacing w:val="-1"/>
        </w:rPr>
        <w:t>因追加投资等原因能够对被投资单位施加重大影响或实施共同控制但不构成控制的，按照原持有的股权投资的公允价</w:t>
      </w:r>
      <w:r>
        <w:rPr/>
        <w:t> </w:t>
      </w:r>
      <w:r>
        <w:rPr>
          <w:spacing w:val="-2"/>
        </w:rPr>
        <w:t>值加上新增投资成本之和，作为改按权益法核算的初始投资成本。原持有的股权投资分类为可供出售金融资产的，其公允价</w:t>
      </w:r>
      <w:r>
        <w:rPr>
          <w:spacing w:val="-63"/>
        </w:rPr>
        <w:t> </w:t>
      </w:r>
      <w:r>
        <w:rPr>
          <w:spacing w:val="-63"/>
        </w:rPr>
      </w:r>
      <w:r>
        <w:rPr/>
        <w:t>值与账面价值之间的差额，以及原计入其他综合收益的累计公允价值变动应当转入改按权益法核算的当期损益。</w:t>
      </w:r>
    </w:p>
    <w:p>
      <w:pPr>
        <w:pStyle w:val="BodyText"/>
        <w:spacing w:line="319" w:lineRule="auto" w:before="19"/>
        <w:ind w:right="1131" w:firstLine="504"/>
        <w:jc w:val="both"/>
      </w:pPr>
      <w:r>
        <w:rPr>
          <w:spacing w:val="-1"/>
        </w:rPr>
        <w:t>因处置部分股权投资等原因丧失了对被投资单位的共同控制或重大影响的，处置后的剩余股权改按公允价值计量，其</w:t>
      </w:r>
      <w:r>
        <w:rPr/>
        <w:t> </w:t>
      </w:r>
      <w:r>
        <w:rPr>
          <w:spacing w:val="-2"/>
        </w:rPr>
        <w:t>在丧失共同控制或重大影响之日的公允价值与账面价值之间的差额计入当期损益。原股权投资因采用权益法核算而确认的其</w:t>
      </w:r>
      <w:r>
        <w:rPr>
          <w:spacing w:val="-64"/>
        </w:rPr>
        <w:t> </w:t>
      </w:r>
      <w:r>
        <w:rPr>
          <w:spacing w:val="-64"/>
        </w:rPr>
      </w:r>
      <w:r>
        <w:rPr/>
        <w:t>他综合收益，在终止采用权益法核算时采用与被投资单位直接处置相关资产或负债相同的基础进行会计处理。</w:t>
      </w:r>
    </w:p>
    <w:p>
      <w:pPr>
        <w:pStyle w:val="BodyText"/>
        <w:spacing w:line="307" w:lineRule="auto" w:before="17"/>
        <w:ind w:left="657" w:right="1120"/>
        <w:jc w:val="left"/>
      </w:pPr>
      <w:r>
        <w:rPr/>
        <w:t>（</w:t>
      </w:r>
      <w:r>
        <w:rPr>
          <w:rFonts w:ascii="Times New Roman" w:hAnsi="Times New Roman" w:cs="Times New Roman" w:eastAsia="Times New Roman" w:hint="default"/>
        </w:rPr>
        <w:t>4</w:t>
      </w:r>
      <w:r>
        <w:rPr/>
        <w:t>）持有待售的权益性投资 对联营企业或合营企业的权益性投资全部或部分分类为持有待售资产的，相关会计处理见附注五、</w:t>
      </w:r>
      <w:r>
        <w:rPr>
          <w:rFonts w:ascii="Times New Roman" w:hAnsi="Times New Roman" w:cs="Times New Roman" w:eastAsia="Times New Roman" w:hint="default"/>
        </w:rPr>
        <w:t>18</w:t>
      </w:r>
      <w:r>
        <w:rPr/>
        <w:t>。</w:t>
      </w:r>
      <w:r>
        <w:rPr>
          <w:spacing w:val="-85"/>
        </w:rPr>
        <w:t> </w:t>
      </w:r>
      <w:r>
        <w:rPr/>
        <w:t>对于未划分为持有待售资产的剩余权益性投资，采用权益法进行会计处理。</w:t>
      </w:r>
      <w:r>
        <w:rPr/>
        <w:t> </w:t>
      </w:r>
      <w:r>
        <w:rPr>
          <w:spacing w:val="-1"/>
        </w:rPr>
        <w:t>已划分为持有待售的对联营企业或合营企业的权益性投资，不再符合持有待售资产分类条件的，从被分类为持有待售</w:t>
      </w:r>
    </w:p>
    <w:p>
      <w:pPr>
        <w:pStyle w:val="BodyText"/>
        <w:spacing w:line="240" w:lineRule="auto" w:before="26"/>
        <w:ind w:right="0"/>
        <w:jc w:val="left"/>
      </w:pPr>
      <w:r>
        <w:rPr/>
        <w:t>资产之日起采用权益法进行追溯调整。分类为持有待售期间的财务报表做相应调整。</w:t>
      </w:r>
    </w:p>
    <w:p>
      <w:pPr>
        <w:pStyle w:val="BodyText"/>
        <w:spacing w:line="300" w:lineRule="auto" w:before="76"/>
        <w:ind w:left="657" w:right="4129"/>
        <w:jc w:val="left"/>
      </w:pPr>
      <w:r>
        <w:rPr/>
        <w:t>（</w:t>
      </w:r>
      <w:r>
        <w:rPr>
          <w:rFonts w:ascii="Times New Roman" w:hAnsi="Times New Roman" w:cs="Times New Roman" w:eastAsia="Times New Roman" w:hint="default"/>
        </w:rPr>
        <w:t>5</w:t>
      </w:r>
      <w:r>
        <w:rPr/>
        <w:t>）减值测试方法及减值准备计提方法 对子公司、联营企业及合营企业的投资，计提资产减值的方法见附注五、</w:t>
      </w:r>
      <w:r>
        <w:rPr>
          <w:rFonts w:ascii="Times New Roman" w:hAnsi="Times New Roman" w:cs="Times New Roman" w:eastAsia="Times New Roman" w:hint="default"/>
        </w:rPr>
        <w:t>31</w:t>
      </w:r>
      <w:r>
        <w:rPr/>
        <w:t>。</w:t>
      </w: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23</w:t>
      </w:r>
      <w:r>
        <w:rPr/>
        <w:t>、投资性房地产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8953"/>
        <w:jc w:val="left"/>
      </w:pPr>
      <w:r>
        <w:rPr/>
        <w:t>投资性房地产计量模式 成本法计量 折旧或摊销方法</w:t>
      </w:r>
    </w:p>
    <w:p>
      <w:pPr>
        <w:pStyle w:val="BodyText"/>
        <w:spacing w:line="300" w:lineRule="auto" w:before="29"/>
        <w:ind w:left="657" w:right="3769"/>
        <w:jc w:val="left"/>
      </w:pPr>
      <w:r>
        <w:rPr/>
        <w:t>（</w:t>
      </w:r>
      <w:r>
        <w:rPr>
          <w:rFonts w:ascii="Times New Roman" w:hAnsi="Times New Roman" w:cs="Times New Roman" w:eastAsia="Times New Roman" w:hint="default"/>
        </w:rPr>
        <w:t>1</w:t>
      </w:r>
      <w:r>
        <w:rPr/>
        <w:t>）投资性房地产的分类 投资性房产是指为赚取租金或资本增值，或两者兼有而持有的房地产。主要包括：</w:t>
      </w:r>
    </w:p>
    <w:p>
      <w:pPr>
        <w:pStyle w:val="BodyText"/>
        <w:spacing w:line="240" w:lineRule="auto" w:before="31"/>
        <w:ind w:left="657" w:right="0"/>
        <w:jc w:val="left"/>
      </w:pPr>
      <w:r>
        <w:rPr/>
        <w:t>①已出租的土地使用权。</w:t>
      </w:r>
    </w:p>
    <w:p>
      <w:pPr>
        <w:pStyle w:val="BodyText"/>
        <w:spacing w:line="240" w:lineRule="auto" w:before="76"/>
        <w:ind w:left="657" w:right="0"/>
        <w:jc w:val="left"/>
      </w:pPr>
      <w:r>
        <w:rPr/>
        <w:t>②持有并准备增值后转让的土地使用权。</w:t>
      </w:r>
    </w:p>
    <w:p>
      <w:pPr>
        <w:pStyle w:val="BodyText"/>
        <w:spacing w:line="240" w:lineRule="auto" w:before="76"/>
        <w:ind w:left="657" w:right="0"/>
        <w:jc w:val="left"/>
      </w:pPr>
      <w:r>
        <w:rPr/>
        <w:t>③已出租的建筑物。</w:t>
      </w:r>
    </w:p>
    <w:p>
      <w:pPr>
        <w:pStyle w:val="BodyText"/>
        <w:spacing w:line="300" w:lineRule="auto" w:before="76"/>
        <w:ind w:left="657" w:right="1120"/>
        <w:jc w:val="left"/>
      </w:pPr>
      <w:r>
        <w:rPr/>
        <w:t>（</w:t>
      </w:r>
      <w:r>
        <w:rPr>
          <w:rFonts w:ascii="Times New Roman" w:hAnsi="Times New Roman" w:cs="Times New Roman" w:eastAsia="Times New Roman" w:hint="default"/>
        </w:rPr>
        <w:t>2</w:t>
      </w:r>
      <w:r>
        <w:rPr/>
        <w:t>）投资性房地产的计量模式 本公司采用成本模式对投资性房地产进行后续计量，计提资产减值方法见附注五、</w:t>
      </w:r>
      <w:r>
        <w:rPr>
          <w:rFonts w:ascii="Times New Roman" w:hAnsi="Times New Roman" w:cs="Times New Roman" w:eastAsia="Times New Roman" w:hint="default"/>
        </w:rPr>
        <w:t>31</w:t>
      </w:r>
      <w:r>
        <w:rPr/>
        <w:t>。</w:t>
      </w:r>
      <w:r>
        <w:rPr>
          <w:spacing w:val="-85"/>
        </w:rPr>
        <w:t> </w:t>
      </w:r>
      <w:r>
        <w:rPr>
          <w:spacing w:val="-1"/>
        </w:rPr>
        <w:t>本公司对投资性房地产成本减累计减值及净残值后按直线法计算折旧或摊销，投资性房地产的类别、估计的经济使用</w:t>
      </w:r>
    </w:p>
    <w:p>
      <w:pPr>
        <w:pStyle w:val="BodyText"/>
        <w:spacing w:line="240" w:lineRule="auto" w:before="32"/>
        <w:ind w:right="0"/>
        <w:jc w:val="left"/>
      </w:pPr>
      <w:r>
        <w:rPr/>
        <w:t>年限和预计的净残值率分别确定折旧年限和年折旧率如下：</w:t>
      </w: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629"/>
        <w:gridCol w:w="1800"/>
        <w:gridCol w:w="2077"/>
        <w:gridCol w:w="2352"/>
      </w:tblGrid>
      <w:tr>
        <w:trPr>
          <w:trHeight w:val="348" w:hRule="exact"/>
        </w:trPr>
        <w:tc>
          <w:tcPr>
            <w:tcW w:w="2629"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00"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158"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077" w:type="dxa"/>
            <w:tcBorders>
              <w:top w:val="single" w:sz="6" w:space="0" w:color="000000"/>
              <w:left w:val="single" w:sz="6" w:space="0" w:color="000000"/>
              <w:bottom w:val="single" w:sz="8" w:space="0" w:color="000000"/>
              <w:right w:val="single" w:sz="6" w:space="0" w:color="000000"/>
            </w:tcBorders>
          </w:tcPr>
          <w:p>
            <w:pPr>
              <w:pStyle w:val="TableParagraph"/>
              <w:spacing w:line="288" w:lineRule="exact"/>
              <w:ind w:left="420"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352" w:type="dxa"/>
            <w:tcBorders>
              <w:top w:val="single" w:sz="6" w:space="0" w:color="000000"/>
              <w:left w:val="single" w:sz="6" w:space="0" w:color="000000"/>
              <w:bottom w:val="single" w:sz="8" w:space="0" w:color="000000"/>
              <w:right w:val="nil" w:sz="6" w:space="0" w:color="auto"/>
            </w:tcBorders>
          </w:tcPr>
          <w:p>
            <w:pPr>
              <w:pStyle w:val="TableParagraph"/>
              <w:spacing w:line="288" w:lineRule="exact"/>
              <w:ind w:left="453"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48" w:hRule="exact"/>
        </w:trPr>
        <w:tc>
          <w:tcPr>
            <w:tcW w:w="262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00"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108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20-50</w:t>
            </w:r>
            <w:r>
              <w:rPr>
                <w:rFonts w:ascii="宋体" w:hAnsi="宋体" w:cs="宋体" w:eastAsia="宋体" w:hint="default"/>
                <w:sz w:val="21"/>
                <w:szCs w:val="21"/>
              </w:rPr>
              <w:t>年</w:t>
            </w:r>
          </w:p>
        </w:tc>
        <w:tc>
          <w:tcPr>
            <w:tcW w:w="20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w w:val="100"/>
                <w:sz w:val="21"/>
              </w:rPr>
              <w:t>5</w:t>
            </w:r>
          </w:p>
        </w:tc>
        <w:tc>
          <w:tcPr>
            <w:tcW w:w="235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3"/>
              <w:jc w:val="right"/>
              <w:rPr>
                <w:rFonts w:ascii="Times New Roman" w:hAnsi="Times New Roman" w:cs="Times New Roman" w:eastAsia="Times New Roman" w:hint="default"/>
                <w:sz w:val="21"/>
                <w:szCs w:val="21"/>
              </w:rPr>
            </w:pPr>
            <w:r>
              <w:rPr>
                <w:rFonts w:ascii="Times New Roman"/>
                <w:spacing w:val="-1"/>
                <w:sz w:val="21"/>
              </w:rPr>
              <w:t>1.90-4.75</w:t>
            </w:r>
          </w:p>
        </w:tc>
      </w:tr>
      <w:tr>
        <w:trPr>
          <w:trHeight w:val="348" w:hRule="exact"/>
        </w:trPr>
        <w:tc>
          <w:tcPr>
            <w:tcW w:w="2629"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00" w:type="dxa"/>
            <w:tcBorders>
              <w:top w:val="single" w:sz="8" w:space="0" w:color="000000"/>
              <w:left w:val="single" w:sz="6" w:space="0" w:color="000000"/>
              <w:bottom w:val="single" w:sz="8" w:space="0" w:color="000000"/>
              <w:right w:val="single" w:sz="6" w:space="0" w:color="000000"/>
            </w:tcBorders>
          </w:tcPr>
          <w:p>
            <w:pPr>
              <w:pStyle w:val="TableParagraph"/>
              <w:spacing w:line="283" w:lineRule="exact"/>
              <w:ind w:left="8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年</w:t>
            </w:r>
          </w:p>
        </w:tc>
        <w:tc>
          <w:tcPr>
            <w:tcW w:w="20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35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2.00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335" w:lineRule="exact"/>
        <w:ind w:right="0"/>
        <w:jc w:val="left"/>
        <w:rPr>
          <w:b w:val="0"/>
          <w:bCs w:val="0"/>
        </w:rPr>
      </w:pPr>
      <w:r>
        <w:rPr>
          <w:rFonts w:ascii="Times New Roman" w:hAnsi="Times New Roman" w:cs="Times New Roman" w:eastAsia="Times New Roman" w:hint="default"/>
        </w:rPr>
        <w:t>24</w:t>
      </w:r>
      <w:r>
        <w:rPr/>
        <w:t>、固定资产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786" w:right="0"/>
        <w:jc w:val="left"/>
      </w:pPr>
      <w:r>
        <w:rPr/>
        <w:t>固定资产是指为生产商品、提供劳务、出租或经营管理而持有的使用寿命超过一年的单位价值较高的有形资产。固</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28"/>
        <w:jc w:val="both"/>
      </w:pPr>
      <w:r>
        <w:rPr>
          <w:spacing w:val="-2"/>
        </w:rPr>
        <w:t>定资产在同时满足下列条件时，按取得时的实际成本予以确认：①与该固定资产有关的经济利益很可能流入企业。②该固定</w:t>
      </w:r>
      <w:r>
        <w:rPr>
          <w:spacing w:val="-61"/>
        </w:rPr>
        <w:t> </w:t>
      </w:r>
      <w:r>
        <w:rPr>
          <w:spacing w:val="-61"/>
        </w:rPr>
      </w:r>
      <w:r>
        <w:rPr>
          <w:spacing w:val="-2"/>
        </w:rPr>
        <w:t>资产的成本能够可靠地计量。固定资产发生的后续支出，符合固定资产确认条件的计入固定资产成本；不符合固定资产确认</w:t>
      </w:r>
      <w:r>
        <w:rPr>
          <w:spacing w:val="-63"/>
        </w:rPr>
        <w:t> </w:t>
      </w:r>
      <w:r>
        <w:rPr>
          <w:spacing w:val="-63"/>
        </w:rPr>
      </w:r>
      <w:r>
        <w:rPr/>
        <w:t>条件的在发生时计入当期损益。</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1.90%-4.75%</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131" w:firstLine="633"/>
        <w:jc w:val="both"/>
      </w:pPr>
      <w:r>
        <w:rPr/>
        <w:t>本公司在租入的固定资产实质上转移了与资产有关的全部风险和报酬时确认该项固定资产的租赁为融资租赁。融资 </w:t>
      </w:r>
      <w:r>
        <w:rPr>
          <w:spacing w:val="-2"/>
        </w:rPr>
        <w:t>租赁取得的固定资产的成本，按租赁开始日租赁资产公允价值与最低租赁付款额现值两者中较低者确定。融资租入的固定资</w:t>
      </w:r>
      <w:r>
        <w:rPr>
          <w:spacing w:val="-64"/>
        </w:rPr>
        <w:t> </w:t>
      </w:r>
      <w:r>
        <w:rPr>
          <w:spacing w:val="-64"/>
        </w:rPr>
      </w:r>
      <w:r>
        <w:rPr>
          <w:spacing w:val="-2"/>
        </w:rPr>
        <w:t>产采用与自有固定资产相一致的折旧政策计提租赁资产折旧。能够合理确定租赁期届满时将会取得租赁资产所有权的，在租</w:t>
      </w:r>
      <w:r>
        <w:rPr>
          <w:spacing w:val="-64"/>
        </w:rPr>
        <w:t> </w:t>
      </w:r>
      <w:r>
        <w:rPr>
          <w:spacing w:val="-64"/>
        </w:rPr>
      </w:r>
      <w:r>
        <w:rPr>
          <w:spacing w:val="-2"/>
        </w:rPr>
        <w:t>赁资产使用年限内计提折旧；无法合理确定租赁期届满时能够取得租赁资产所有权的，在租赁期与租赁资产使用寿命两者中</w:t>
      </w:r>
      <w:r>
        <w:rPr>
          <w:spacing w:val="-64"/>
        </w:rPr>
        <w:t> </w:t>
      </w:r>
      <w:r>
        <w:rPr>
          <w:spacing w:val="-64"/>
        </w:rPr>
      </w:r>
      <w:r>
        <w:rPr/>
        <w:t>较短的期间内计提折旧。</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25</w:t>
      </w:r>
      <w:r>
        <w:rPr/>
        <w:t>、在建工程</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657" w:right="0"/>
        <w:jc w:val="left"/>
      </w:pPr>
      <w:r>
        <w:rPr/>
        <w:t>（</w:t>
      </w:r>
      <w:r>
        <w:rPr>
          <w:rFonts w:ascii="Times New Roman" w:hAnsi="Times New Roman" w:cs="Times New Roman" w:eastAsia="Times New Roman" w:hint="default"/>
        </w:rPr>
        <w:t>1</w:t>
      </w:r>
      <w:r>
        <w:rPr/>
        <w:t>）在建工程以立项项目分类核算。</w:t>
      </w:r>
    </w:p>
    <w:p>
      <w:pPr>
        <w:pStyle w:val="BodyText"/>
        <w:spacing w:line="300" w:lineRule="auto" w:before="63"/>
        <w:ind w:left="657" w:right="1069"/>
        <w:jc w:val="left"/>
      </w:pPr>
      <w:r>
        <w:rPr/>
        <w:t>（</w:t>
      </w:r>
      <w:r>
        <w:rPr>
          <w:rFonts w:ascii="Times New Roman" w:hAnsi="Times New Roman" w:cs="Times New Roman" w:eastAsia="Times New Roman" w:hint="default"/>
        </w:rPr>
        <w:t>2</w:t>
      </w:r>
      <w:r>
        <w:rPr/>
        <w:t>）在建工程结转为固定资产的标准和时点 在建工程项目按建造该项资产达到预定可使用状态前所发生的全部支出，作为固定资产的入账价值。包括建筑费用、</w:t>
      </w:r>
    </w:p>
    <w:p>
      <w:pPr>
        <w:pStyle w:val="BodyText"/>
        <w:spacing w:line="316" w:lineRule="auto" w:before="31"/>
        <w:ind w:right="1130"/>
        <w:jc w:val="both"/>
      </w:pPr>
      <w:r>
        <w:rPr>
          <w:spacing w:val="-2"/>
        </w:rPr>
        <w:t>机器设备原价、其他为使在建工程达到预定可使用状态所发生的必要支出以及在资产达到预定可使用状态之前为该项目专门</w:t>
      </w:r>
      <w:r>
        <w:rPr>
          <w:spacing w:val="-64"/>
        </w:rPr>
        <w:t> </w:t>
      </w:r>
      <w:r>
        <w:rPr>
          <w:spacing w:val="-64"/>
        </w:rPr>
      </w:r>
      <w:r>
        <w:rPr>
          <w:spacing w:val="-2"/>
        </w:rPr>
        <w:t>借款所发生的借款费用及占用的一般借款发生的借款费用。本公司在工程安装或建设完成达到预定可使用状态时将在建工程</w:t>
      </w:r>
      <w:r>
        <w:rPr>
          <w:spacing w:val="-63"/>
        </w:rPr>
        <w:t> </w:t>
      </w:r>
      <w:r>
        <w:rPr>
          <w:spacing w:val="-63"/>
        </w:rPr>
      </w:r>
      <w:r>
        <w:rPr>
          <w:spacing w:val="-2"/>
        </w:rPr>
        <w:t>转入固定资产。所建造的已达到预定可使用状态、但尚未办理竣工决算的固定资产，自达到预定可使用状态之日起，根据工</w:t>
      </w:r>
      <w:r>
        <w:rPr>
          <w:spacing w:val="-65"/>
        </w:rPr>
        <w:t> </w:t>
      </w:r>
      <w:r>
        <w:rPr>
          <w:spacing w:val="-65"/>
        </w:rPr>
      </w:r>
      <w:r>
        <w:rPr>
          <w:spacing w:val="-2"/>
        </w:rPr>
        <w:t>程预算、造价或者工程实际成本等，按估计的价值转入固定资产，并按本公司固定资产折旧政策计提固定资产的折旧，待办</w:t>
      </w:r>
      <w:r>
        <w:rPr>
          <w:spacing w:val="-65"/>
        </w:rPr>
        <w:t> </w:t>
      </w:r>
      <w:r>
        <w:rPr>
          <w:spacing w:val="-65"/>
        </w:rPr>
      </w:r>
      <w:r>
        <w:rPr/>
        <w:t>理竣工决算后，再按实际成本调整原来的暂估价值，但不调整原已计提的折旧额。</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26</w:t>
      </w:r>
      <w:r>
        <w:rPr/>
        <w:t>、借款费用</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00" w:lineRule="auto"/>
        <w:ind w:left="657" w:right="1249"/>
        <w:jc w:val="left"/>
      </w:pPr>
      <w:r>
        <w:rPr/>
        <w:t>（</w:t>
      </w:r>
      <w:r>
        <w:rPr>
          <w:rFonts w:ascii="Times New Roman" w:hAnsi="Times New Roman" w:cs="Times New Roman" w:eastAsia="Times New Roman" w:hint="default"/>
        </w:rPr>
        <w:t>1</w:t>
      </w:r>
      <w:r>
        <w:rPr/>
        <w:t>）借款费用资本化的确认原则和资本化期间 本公司发生的可直接归属于符合资本化条件的资产的购建或生产的借款费用在同时满足下列条件时予以资本化计入</w:t>
      </w:r>
    </w:p>
    <w:p>
      <w:pPr>
        <w:pStyle w:val="BodyText"/>
        <w:spacing w:line="240" w:lineRule="auto" w:before="31"/>
        <w:ind w:right="0"/>
        <w:jc w:val="both"/>
      </w:pPr>
      <w:r>
        <w:rPr/>
        <w:t>相关资产成本：</w:t>
      </w:r>
    </w:p>
    <w:p>
      <w:pPr>
        <w:pStyle w:val="BodyText"/>
        <w:spacing w:line="240" w:lineRule="auto" w:before="76"/>
        <w:ind w:left="657" w:right="0"/>
        <w:jc w:val="left"/>
      </w:pPr>
      <w:r>
        <w:rPr/>
        <w:t>①资产支出已经发生；</w:t>
      </w:r>
    </w:p>
    <w:p>
      <w:pPr>
        <w:pStyle w:val="BodyText"/>
        <w:spacing w:line="240" w:lineRule="auto" w:before="76"/>
        <w:ind w:left="657" w:right="0"/>
        <w:jc w:val="left"/>
      </w:pPr>
      <w:r>
        <w:rPr/>
        <w:t>②借款费用已经发生；</w:t>
      </w:r>
    </w:p>
    <w:p>
      <w:pPr>
        <w:pStyle w:val="BodyText"/>
        <w:spacing w:line="316" w:lineRule="auto" w:before="76"/>
        <w:ind w:left="657" w:right="1159"/>
        <w:jc w:val="left"/>
      </w:pPr>
      <w:r>
        <w:rPr/>
        <w:t>③为使资产达到预定可使用状态所必要的购建或者生产活动已经开始。 其他的借款利息、折价或溢价和汇兑差额，计入发生当期的损益。 符合资本化条件的资产在购建或者生产过程中发生非正常中断，且中断时间连续超过</w:t>
      </w:r>
      <w:r>
        <w:rPr>
          <w:rFonts w:ascii="Times New Roman" w:hAnsi="Times New Roman" w:cs="Times New Roman" w:eastAsia="Times New Roman" w:hint="default"/>
        </w:rPr>
        <w:t>3</w:t>
      </w:r>
      <w:r>
        <w:rPr/>
        <w:t>个月的，暂停借款费用的资本</w:t>
      </w:r>
    </w:p>
    <w:p>
      <w:pPr>
        <w:pStyle w:val="BodyText"/>
        <w:spacing w:line="235" w:lineRule="exact"/>
        <w:ind w:right="0"/>
        <w:jc w:val="left"/>
      </w:pPr>
      <w:r>
        <w:rPr/>
        <w:t>化。</w:t>
      </w:r>
    </w:p>
    <w:p>
      <w:pPr>
        <w:pStyle w:val="BodyText"/>
        <w:spacing w:line="240" w:lineRule="auto" w:before="76"/>
        <w:ind w:left="657" w:right="0"/>
        <w:jc w:val="left"/>
      </w:pPr>
      <w:r>
        <w:rPr/>
        <w:t>当购建或者生产符合资本化条件的资产达到预定可使用或者可销售状态时，停止其借款费用的资本化；以后发生的借</w:t>
      </w:r>
    </w:p>
    <w:p>
      <w:pPr>
        <w:pStyle w:val="BodyText"/>
        <w:spacing w:line="240" w:lineRule="auto" w:before="76"/>
        <w:ind w:right="0"/>
        <w:jc w:val="left"/>
      </w:pPr>
      <w:r>
        <w:rPr/>
        <w:t>款费用于发生当期确认为费用。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left="657" w:right="1120"/>
        <w:jc w:val="left"/>
      </w:pPr>
      <w:r>
        <w:rPr/>
        <w:t>（</w:t>
      </w:r>
      <w:r>
        <w:rPr>
          <w:rFonts w:ascii="Times New Roman" w:hAnsi="Times New Roman" w:cs="Times New Roman" w:eastAsia="Times New Roman" w:hint="default"/>
        </w:rPr>
        <w:t>2</w:t>
      </w:r>
      <w:r>
        <w:rPr/>
        <w:t>）借款费用资本化率以及资本化金额的计算方法 </w:t>
      </w:r>
      <w:r>
        <w:rPr>
          <w:spacing w:val="-1"/>
        </w:rPr>
        <w:t>为购建或者生产符合资本化条件的资产而借入专门借款的，以专门借款当期实际发生的利息费用，减去将尚未动用的</w:t>
      </w:r>
    </w:p>
    <w:p>
      <w:pPr>
        <w:pStyle w:val="BodyText"/>
        <w:spacing w:line="316" w:lineRule="auto" w:before="31"/>
        <w:ind w:left="657" w:right="1033" w:hanging="504"/>
        <w:jc w:val="left"/>
      </w:pPr>
      <w:r>
        <w:rPr/>
        <w:t>借款资金存入银行取得的利息收入或者进行暂时性投资取得的投资收益后的金额，确定为专门借款利息费用的资本化金额。 购建或者生产符合资本化条件的资产占用了一般借款的，一般借款应予资本化的利息金额按累计资产支出超过专门借</w:t>
      </w:r>
    </w:p>
    <w:p>
      <w:pPr>
        <w:pStyle w:val="BodyText"/>
        <w:spacing w:line="316" w:lineRule="auto" w:before="19"/>
        <w:ind w:right="0"/>
        <w:jc w:val="left"/>
      </w:pPr>
      <w:r>
        <w:rPr>
          <w:spacing w:val="-2"/>
        </w:rPr>
        <w:t>款部分的资产支出加权平均数乘以所占用一般借款的资本化率，计算确定一般借款应予资本化的利息金额。资本化率根据一</w:t>
      </w:r>
      <w:r>
        <w:rPr>
          <w:spacing w:val="-64"/>
        </w:rPr>
        <w:t> </w:t>
      </w:r>
      <w:r>
        <w:rPr>
          <w:spacing w:val="-64"/>
        </w:rPr>
      </w:r>
      <w:r>
        <w:rPr/>
        <w:t>般借款加权平均利率计算确定。</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27</w:t>
      </w:r>
      <w:r>
        <w:rPr/>
        <w:t>、生物资产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28</w:t>
      </w:r>
      <w:r>
        <w:rPr/>
        <w:t>、油气资产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29</w:t>
      </w:r>
      <w:r>
        <w:rPr/>
        <w:t>、使用权资产</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30</w:t>
      </w:r>
      <w:r>
        <w:rPr/>
        <w:t>、无形资产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657" w:right="8089"/>
        <w:jc w:val="left"/>
      </w:pPr>
      <w:r>
        <w:rPr/>
        <w:t>（</w:t>
      </w:r>
      <w:r>
        <w:rPr>
          <w:rFonts w:ascii="Times New Roman" w:hAnsi="Times New Roman" w:cs="Times New Roman" w:eastAsia="Times New Roman" w:hint="default"/>
        </w:rPr>
        <w:t>1</w:t>
      </w:r>
      <w:r>
        <w:rPr/>
        <w:t>）无形资产的计价方法 按取得时的实际成本入账。</w:t>
      </w:r>
    </w:p>
    <w:p>
      <w:pPr>
        <w:pStyle w:val="BodyText"/>
        <w:spacing w:line="240" w:lineRule="auto" w:before="31"/>
        <w:ind w:left="657" w:right="0"/>
        <w:jc w:val="left"/>
      </w:pPr>
      <w:r>
        <w:rPr/>
        <w:t>（</w:t>
      </w:r>
      <w:r>
        <w:rPr>
          <w:rFonts w:ascii="Times New Roman" w:hAnsi="Times New Roman" w:cs="Times New Roman" w:eastAsia="Times New Roman" w:hint="default"/>
        </w:rPr>
        <w:t>2</w:t>
      </w:r>
      <w:r>
        <w:rPr/>
        <w:t>）无形资产使用寿命及摊销</w:t>
      </w:r>
    </w:p>
    <w:p>
      <w:pPr>
        <w:pStyle w:val="BodyText"/>
        <w:spacing w:line="240" w:lineRule="auto" w:before="63"/>
        <w:ind w:left="657" w:right="0"/>
        <w:jc w:val="left"/>
      </w:pPr>
      <w:r>
        <w:rPr/>
        <w:t>①使用寿命有限的无形资产的使用寿命估计情况：</w:t>
      </w: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518"/>
        <w:gridCol w:w="1560"/>
        <w:gridCol w:w="4780"/>
      </w:tblGrid>
      <w:tr>
        <w:trPr>
          <w:trHeight w:val="348" w:hRule="exact"/>
        </w:trPr>
        <w:tc>
          <w:tcPr>
            <w:tcW w:w="2518" w:type="dxa"/>
            <w:tcBorders>
              <w:top w:val="single" w:sz="6" w:space="0" w:color="000000"/>
              <w:left w:val="single" w:sz="6" w:space="0" w:color="000000"/>
              <w:bottom w:val="single" w:sz="8" w:space="0" w:color="000000"/>
              <w:right w:val="single" w:sz="6" w:space="0" w:color="000000"/>
            </w:tcBorders>
          </w:tcPr>
          <w:p>
            <w:pPr>
              <w:pStyle w:val="TableParagraph"/>
              <w:tabs>
                <w:tab w:pos="553" w:val="left" w:leader="none"/>
              </w:tabs>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60"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预计使用寿命</w:t>
            </w:r>
          </w:p>
        </w:tc>
        <w:tc>
          <w:tcPr>
            <w:tcW w:w="4780" w:type="dxa"/>
            <w:tcBorders>
              <w:top w:val="single" w:sz="6" w:space="0" w:color="000000"/>
              <w:left w:val="single" w:sz="6" w:space="0" w:color="000000"/>
              <w:bottom w:val="single" w:sz="8" w:space="0" w:color="000000"/>
              <w:right w:val="nil" w:sz="6" w:space="0" w:color="auto"/>
            </w:tcBorders>
          </w:tcPr>
          <w:p>
            <w:pPr>
              <w:pStyle w:val="TableParagraph"/>
              <w:tabs>
                <w:tab w:pos="547" w:val="left" w:leader="none"/>
              </w:tabs>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依</w:t>
              <w:tab/>
              <w:t>据</w:t>
            </w:r>
          </w:p>
        </w:tc>
      </w:tr>
      <w:tr>
        <w:trPr>
          <w:trHeight w:val="468" w:hRule="exact"/>
        </w:trPr>
        <w:tc>
          <w:tcPr>
            <w:tcW w:w="2518"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86"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年</w:t>
            </w:r>
          </w:p>
        </w:tc>
        <w:tc>
          <w:tcPr>
            <w:tcW w:w="4780"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法定使用权</w:t>
            </w:r>
          </w:p>
        </w:tc>
      </w:tr>
      <w:tr>
        <w:trPr>
          <w:trHeight w:val="468" w:hRule="exact"/>
        </w:trPr>
        <w:tc>
          <w:tcPr>
            <w:tcW w:w="2518"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计算机软件</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83"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宋体" w:hAnsi="宋体" w:cs="宋体" w:eastAsia="宋体" w:hint="default"/>
                <w:sz w:val="21"/>
                <w:szCs w:val="21"/>
              </w:rPr>
              <w:t>年</w:t>
            </w:r>
          </w:p>
        </w:tc>
        <w:tc>
          <w:tcPr>
            <w:tcW w:w="4780" w:type="dxa"/>
            <w:tcBorders>
              <w:top w:val="single" w:sz="8" w:space="0" w:color="000000"/>
              <w:left w:val="single" w:sz="6" w:space="0" w:color="000000"/>
              <w:bottom w:val="single" w:sz="8" w:space="0" w:color="000000"/>
              <w:right w:val="nil" w:sz="6" w:space="0" w:color="auto"/>
            </w:tcBorders>
          </w:tcPr>
          <w:p>
            <w:pPr>
              <w:pStyle w:val="TableParagraph"/>
              <w:spacing w:line="267" w:lineRule="exact"/>
              <w:ind w:left="2" w:right="0"/>
              <w:jc w:val="left"/>
              <w:rPr>
                <w:rFonts w:ascii="宋体" w:hAnsi="宋体" w:cs="宋体" w:eastAsia="宋体" w:hint="default"/>
                <w:sz w:val="21"/>
                <w:szCs w:val="21"/>
              </w:rPr>
            </w:pPr>
            <w:r>
              <w:rPr>
                <w:rFonts w:ascii="宋体" w:hAnsi="宋体" w:cs="宋体" w:eastAsia="宋体" w:hint="default"/>
                <w:sz w:val="21"/>
                <w:szCs w:val="21"/>
              </w:rPr>
              <w:t>参考能为公司带来经济利益的期限确定使用寿命</w:t>
            </w:r>
          </w:p>
        </w:tc>
      </w:tr>
    </w:tbl>
    <w:p>
      <w:pPr>
        <w:pStyle w:val="BodyText"/>
        <w:spacing w:line="316" w:lineRule="auto" w:before="8"/>
        <w:ind w:right="1120" w:firstLine="504"/>
        <w:jc w:val="left"/>
      </w:pPr>
      <w:r>
        <w:rPr>
          <w:spacing w:val="-1"/>
        </w:rPr>
        <w:t>每年年度终了，公司对使用寿命有限的无形资产的使用寿命及摊销方法进行复核。经复核，本期末无形资产的使用寿</w:t>
      </w:r>
      <w:r>
        <w:rPr/>
        <w:t> 命及摊销方法与以前估计未有不同。</w:t>
      </w:r>
    </w:p>
    <w:p>
      <w:pPr>
        <w:pStyle w:val="BodyText"/>
        <w:spacing w:line="316" w:lineRule="auto" w:before="19"/>
        <w:ind w:right="0" w:firstLine="504"/>
        <w:jc w:val="left"/>
      </w:pPr>
      <w:r>
        <w:rPr>
          <w:spacing w:val="-3"/>
        </w:rPr>
        <w:t>②无法预见无形资产为企业带来经济利益期限的，视为使用寿命不确定的无形资产。对于使用寿命不确定的无形资产，</w:t>
      </w:r>
      <w:r>
        <w:rPr/>
        <w:t> </w:t>
      </w:r>
      <w:r>
        <w:rPr>
          <w:spacing w:val="-2"/>
        </w:rPr>
        <w:t>公司在每年年度终了对使用寿命不确定的无形资产的使用寿命进行复核，如果重新复核后仍为不确定的，于在资产负债表日</w:t>
      </w:r>
      <w:r>
        <w:rPr>
          <w:spacing w:val="-64"/>
        </w:rPr>
        <w:t> </w:t>
      </w:r>
      <w:r>
        <w:rPr>
          <w:spacing w:val="-64"/>
        </w:rPr>
      </w:r>
      <w:r>
        <w:rPr/>
        <w:t>进行减值测试。</w:t>
      </w:r>
    </w:p>
    <w:p>
      <w:pPr>
        <w:pStyle w:val="BodyText"/>
        <w:spacing w:line="316" w:lineRule="auto" w:before="19"/>
        <w:ind w:left="657" w:right="1120"/>
        <w:jc w:val="left"/>
      </w:pPr>
      <w:r>
        <w:rPr/>
        <w:t>③无形资产的摊销 </w:t>
      </w:r>
      <w:r>
        <w:rPr>
          <w:spacing w:val="-1"/>
        </w:rPr>
        <w:t>对于使用寿命有限的无形资产，本公司在取得时判定其使用寿命，在使用寿命内采用直线法系统合理摊销，摊销金额</w:t>
      </w:r>
    </w:p>
    <w:p>
      <w:pPr>
        <w:pStyle w:val="BodyText"/>
        <w:spacing w:line="319" w:lineRule="auto" w:before="19"/>
        <w:ind w:right="1129"/>
        <w:jc w:val="both"/>
      </w:pPr>
      <w:r>
        <w:rPr>
          <w:spacing w:val="-2"/>
        </w:rPr>
        <w:t>按受益项目计入当期损益。具体应摊销金额为其成本扣除预计残值后的金额。已计提减值准备的无形资产，还应扣除已计提</w:t>
      </w:r>
      <w:r>
        <w:rPr>
          <w:spacing w:val="-63"/>
        </w:rPr>
        <w:t> </w:t>
      </w:r>
      <w:r>
        <w:rPr>
          <w:spacing w:val="-63"/>
        </w:rPr>
      </w:r>
      <w:r>
        <w:rPr>
          <w:spacing w:val="-2"/>
        </w:rPr>
        <w:t>的无形资产减值准备累计金额，残值为零。但下列情况除外：有第三方承诺在无形资产使用寿命结束时购买该无形资产或可</w:t>
      </w:r>
      <w:r>
        <w:rPr>
          <w:spacing w:val="-65"/>
        </w:rPr>
        <w:t> </w:t>
      </w:r>
      <w:r>
        <w:rPr>
          <w:spacing w:val="-65"/>
        </w:rPr>
      </w:r>
      <w:r>
        <w:rPr/>
        <w:t>以根据活跃市场得到预计残值信息，并且该市场在无形资产使用寿命结束时很可能存在。</w:t>
      </w:r>
    </w:p>
    <w:p>
      <w:pPr>
        <w:pStyle w:val="BodyText"/>
        <w:spacing w:line="316" w:lineRule="auto" w:before="17"/>
        <w:ind w:right="1120" w:firstLine="504"/>
        <w:jc w:val="left"/>
      </w:pPr>
      <w:r>
        <w:rPr>
          <w:spacing w:val="-1"/>
        </w:rPr>
        <w:t>对使用寿命不确定的无形资产，不予摊销。每年年度终了对使用寿命不确定的无形资产的使用寿命进行复核，如果有</w:t>
      </w:r>
      <w:r>
        <w:rPr/>
        <w:t> 证据表明无形资产的使用寿命是有限的，估计其使用寿命并在预计使用年限内系统合理摊销。</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657" w:right="0"/>
        <w:jc w:val="left"/>
      </w:pPr>
      <w:r>
        <w:rPr>
          <w:rFonts w:ascii="Times New Roman" w:hAnsi="Times New Roman" w:cs="Times New Roman" w:eastAsia="Times New Roman" w:hint="default"/>
        </w:rPr>
        <w:t>1</w:t>
      </w:r>
      <w:r>
        <w:rPr/>
        <w:t>）划分内部研究开发项目的研究阶段和开发阶段具体标准</w:t>
      </w:r>
    </w:p>
    <w:p>
      <w:pPr>
        <w:pStyle w:val="BodyText"/>
        <w:spacing w:line="316" w:lineRule="auto" w:before="63"/>
        <w:ind w:right="1120" w:firstLine="504"/>
        <w:jc w:val="left"/>
      </w:pPr>
      <w:r>
        <w:rPr>
          <w:spacing w:val="-1"/>
        </w:rPr>
        <w:t>①本公司将为进一步开发活动进行的资料及相关方面的准备活动作为研究阶段，无形资产研究阶段的支出在发生时计</w:t>
      </w:r>
      <w:r>
        <w:rPr/>
        <w:t> 入当期损益。</w:t>
      </w:r>
    </w:p>
    <w:p>
      <w:pPr>
        <w:pStyle w:val="BodyText"/>
        <w:spacing w:line="240" w:lineRule="auto" w:before="18"/>
        <w:ind w:left="657" w:right="0"/>
        <w:jc w:val="left"/>
      </w:pPr>
      <w:r>
        <w:rPr/>
        <w:t>②在本公司已完成研究阶段的工作后再进行的开发活动作为开发阶段。</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7" w:lineRule="auto" w:before="44"/>
        <w:ind w:left="657" w:right="5214"/>
        <w:jc w:val="left"/>
      </w:pPr>
      <w:r>
        <w:rPr>
          <w:rFonts w:ascii="Times New Roman" w:hAnsi="Times New Roman" w:cs="Times New Roman" w:eastAsia="Times New Roman" w:hint="default"/>
        </w:rPr>
        <w:t>2</w:t>
      </w:r>
      <w:r>
        <w:rPr/>
        <w:t>）开发阶段支出资本化的具体条件 开发阶段的支出同时满足下列条件时，才能确认为无形资产： </w:t>
      </w:r>
      <w:r>
        <w:rPr>
          <w:rFonts w:ascii="Times New Roman" w:hAnsi="Times New Roman" w:cs="Times New Roman" w:eastAsia="Times New Roman" w:hint="default"/>
        </w:rPr>
        <w:t>A.</w:t>
      </w:r>
      <w:r>
        <w:rPr/>
        <w:t>完成该无形资产以使其能够使用或出售在技术上具有可行性； </w:t>
      </w:r>
      <w:r>
        <w:rPr>
          <w:rFonts w:ascii="Times New Roman" w:hAnsi="Times New Roman" w:cs="Times New Roman" w:eastAsia="Times New Roman" w:hint="default"/>
        </w:rPr>
        <w:t>B.</w:t>
      </w:r>
      <w:r>
        <w:rPr/>
        <w:t>具有完成该无形资产并使用或出售的意图；</w:t>
      </w:r>
    </w:p>
    <w:p>
      <w:pPr>
        <w:pStyle w:val="BodyText"/>
        <w:spacing w:line="300" w:lineRule="auto" w:before="7"/>
        <w:ind w:right="1136" w:firstLine="504"/>
        <w:jc w:val="both"/>
      </w:pPr>
      <w:r>
        <w:rPr>
          <w:rFonts w:ascii="Times New Roman" w:hAnsi="Times New Roman" w:cs="Times New Roman" w:eastAsia="Times New Roman" w:hint="default"/>
          <w:spacing w:val="-1"/>
        </w:rPr>
        <w:t>C.</w:t>
      </w:r>
      <w:r>
        <w:rPr>
          <w:spacing w:val="-1"/>
        </w:rPr>
        <w:t>无形资产产生经济利益的方式，包括能够证明运用该无形资产生产的产品存在市场或无形资产自身存在市场，无形</w:t>
      </w:r>
      <w:r>
        <w:rPr/>
        <w:t> 资产将在内部使用的，能够证明其有用性；</w:t>
      </w:r>
    </w:p>
    <w:p>
      <w:pPr>
        <w:pStyle w:val="BodyText"/>
        <w:spacing w:line="300" w:lineRule="auto" w:before="31"/>
        <w:ind w:left="657" w:right="1794"/>
        <w:jc w:val="left"/>
      </w:pPr>
      <w:r>
        <w:rPr>
          <w:rFonts w:ascii="Times New Roman" w:hAnsi="Times New Roman" w:cs="Times New Roman" w:eastAsia="Times New Roman" w:hint="default"/>
        </w:rPr>
        <w:t>D.</w:t>
      </w:r>
      <w:r>
        <w:rPr/>
        <w:t>有足够的技术、财务资源和其他资源支持，以完成该无形资产的开发，并有能力使用或出售该无形资产； </w:t>
      </w:r>
      <w:r>
        <w:rPr>
          <w:rFonts w:ascii="Times New Roman" w:hAnsi="Times New Roman" w:cs="Times New Roman" w:eastAsia="Times New Roman" w:hint="default"/>
        </w:rPr>
        <w:t>E.</w:t>
      </w:r>
      <w:r>
        <w:rPr/>
        <w:t>归属于该无形资产开发阶段的支出能够可靠地计量。</w:t>
      </w: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31</w:t>
      </w:r>
      <w:r>
        <w:rPr/>
        <w:t>、长期资产减值</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9" w:lineRule="auto"/>
        <w:ind w:right="0" w:firstLine="504"/>
        <w:jc w:val="left"/>
      </w:pPr>
      <w:r>
        <w:rPr>
          <w:spacing w:val="-3"/>
        </w:rPr>
        <w:t>对子公司、联营企业和合营企业的长期股权投资、采用成本模式进行后续计量的投资性房地产、固定资产、在建工程、</w:t>
      </w:r>
      <w:r>
        <w:rPr/>
        <w:t> </w:t>
      </w:r>
      <w:r>
        <w:rPr>
          <w:spacing w:val="-2"/>
        </w:rPr>
        <w:t>采用成本模式计量的无形资产、商誉（存货、按公允价值模式计量的投资性房地产、递延所得税资产、金融资产除外）的资</w:t>
      </w:r>
      <w:r>
        <w:rPr>
          <w:spacing w:val="-67"/>
        </w:rPr>
        <w:t> </w:t>
      </w:r>
      <w:r>
        <w:rPr>
          <w:spacing w:val="-67"/>
        </w:rPr>
      </w:r>
      <w:r>
        <w:rPr/>
        <w:t>产减值，按以下方法确定：</w:t>
      </w:r>
    </w:p>
    <w:p>
      <w:pPr>
        <w:pStyle w:val="BodyText"/>
        <w:spacing w:line="316" w:lineRule="auto" w:before="17"/>
        <w:ind w:right="1130" w:firstLine="504"/>
        <w:jc w:val="both"/>
      </w:pPr>
      <w:r>
        <w:rPr>
          <w:spacing w:val="-1"/>
        </w:rPr>
        <w:t>于资产负债表日判断资产是否存在可能发生减值的迹象，存在减值迹象的，本公司将估计其可收回金额，进行减值测</w:t>
      </w:r>
      <w:r>
        <w:rPr/>
        <w:t> </w:t>
      </w:r>
      <w:r>
        <w:rPr>
          <w:spacing w:val="-2"/>
        </w:rPr>
        <w:t>试。对因企业合并所形成的商誉、使用寿命不确定的无形资产和尚未达到可使用状态的无形资产无论是否存在减值迹象，每</w:t>
      </w:r>
      <w:r>
        <w:rPr>
          <w:spacing w:val="-63"/>
        </w:rPr>
        <w:t> </w:t>
      </w:r>
      <w:r>
        <w:rPr>
          <w:spacing w:val="-63"/>
        </w:rPr>
      </w:r>
      <w:r>
        <w:rPr/>
        <w:t>年都进行减值测试。</w:t>
      </w:r>
    </w:p>
    <w:p>
      <w:pPr>
        <w:pStyle w:val="BodyText"/>
        <w:spacing w:line="316" w:lineRule="auto" w:before="19"/>
        <w:ind w:right="1131" w:firstLine="504"/>
        <w:jc w:val="both"/>
      </w:pPr>
      <w:r>
        <w:rPr>
          <w:spacing w:val="-1"/>
        </w:rPr>
        <w:t>可收回金额根据资产的公允价值减去处置费用后的净额与资产预计未来现金流量的现值两者之间较高者确定。本公司</w:t>
      </w:r>
      <w:r>
        <w:rPr/>
        <w:t> </w:t>
      </w:r>
      <w:r>
        <w:rPr>
          <w:spacing w:val="-2"/>
        </w:rPr>
        <w:t>以单项资产为基础估计其可收回金额；难以对单项资产的可收回金额进行估计的，以该资产所属的资产组为基础确定资产组</w:t>
      </w:r>
      <w:r>
        <w:rPr>
          <w:spacing w:val="-63"/>
        </w:rPr>
        <w:t> </w:t>
      </w:r>
      <w:r>
        <w:rPr>
          <w:spacing w:val="-63"/>
        </w:rPr>
      </w:r>
      <w:r>
        <w:rPr/>
        <w:t>的可收回金额。资产组的认定，以资产组产生的主要现金流入是否独立于其他资产或者资产组的现金流入为依据。</w:t>
      </w:r>
    </w:p>
    <w:p>
      <w:pPr>
        <w:pStyle w:val="BodyText"/>
        <w:spacing w:line="316" w:lineRule="auto" w:before="19"/>
        <w:ind w:right="1042" w:firstLine="504"/>
        <w:jc w:val="both"/>
      </w:pPr>
      <w:r>
        <w:rPr>
          <w:spacing w:val="-3"/>
        </w:rPr>
        <w:t>当资产或资产组的可收回金额低于其账面价值时，本公司将其账面价值减记至可收回金额，减记的金额计入当期损益，</w:t>
      </w:r>
      <w:r>
        <w:rPr/>
        <w:t> 同时计提相应的资产减值准备。</w:t>
      </w:r>
    </w:p>
    <w:p>
      <w:pPr>
        <w:pStyle w:val="BodyText"/>
        <w:spacing w:line="319" w:lineRule="auto" w:before="19"/>
        <w:ind w:right="1084" w:firstLine="504"/>
        <w:jc w:val="both"/>
      </w:pPr>
      <w:r>
        <w:rPr/>
        <w:t>就商誉的减值测试而言，对于因企业合并形成的商誉的账面价值，自购买日起按照合理的方法分摊至相关的资产组； </w:t>
      </w:r>
      <w:r>
        <w:rPr>
          <w:spacing w:val="-2"/>
        </w:rPr>
        <w:t>难以分摊至相关的资产组的，将其分摊至相关的资产组组合。相关的资产组或资产组组合，是能够从企业合并的协同效应中</w:t>
      </w:r>
      <w:r>
        <w:rPr>
          <w:spacing w:val="-63"/>
        </w:rPr>
        <w:t> </w:t>
      </w:r>
      <w:r>
        <w:rPr>
          <w:spacing w:val="-63"/>
        </w:rPr>
      </w:r>
      <w:r>
        <w:rPr/>
        <w:t>受益的资产组或者资产组组合，且不大于本公司确定的报告分部。</w:t>
      </w:r>
    </w:p>
    <w:p>
      <w:pPr>
        <w:pStyle w:val="BodyText"/>
        <w:spacing w:line="316" w:lineRule="auto" w:before="17"/>
        <w:ind w:right="1131" w:firstLine="504"/>
        <w:jc w:val="both"/>
      </w:pPr>
      <w:r>
        <w:rPr>
          <w:spacing w:val="-1"/>
        </w:rPr>
        <w:t>减值测试时，如与商誉相关的资产组或者资产组组合存在减值迹象的，首先对不包含商誉的资产组或者资产组组合进</w:t>
      </w:r>
      <w:r>
        <w:rPr/>
        <w:t> </w:t>
      </w:r>
      <w:r>
        <w:rPr>
          <w:spacing w:val="-2"/>
        </w:rPr>
        <w:t>行减值测试，计算可收回金额，确认相应的减值损失。然后对包含商誉的资产组或者资产组组合进行减值测试，比较其账面</w:t>
      </w:r>
      <w:r>
        <w:rPr>
          <w:spacing w:val="-64"/>
        </w:rPr>
        <w:t> </w:t>
      </w:r>
      <w:r>
        <w:rPr>
          <w:spacing w:val="-64"/>
        </w:rPr>
      </w:r>
      <w:r>
        <w:rPr/>
        <w:t>价值与可收回金额，如可收回金额低于账面价值的，确认商誉的减值损失。</w:t>
      </w:r>
    </w:p>
    <w:p>
      <w:pPr>
        <w:pStyle w:val="BodyText"/>
        <w:spacing w:line="240" w:lineRule="auto" w:before="19"/>
        <w:ind w:left="657" w:right="0"/>
        <w:jc w:val="left"/>
      </w:pPr>
      <w:r>
        <w:rPr/>
        <w:t>资产减值损失一经确认，在以后会计期间不再转回。</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32</w:t>
      </w:r>
      <w:r>
        <w:rPr/>
        <w:t>、长期待摊费用</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left="657" w:right="2509"/>
        <w:jc w:val="left"/>
      </w:pPr>
      <w:r>
        <w:rPr/>
        <w:t>长期待摊费用核算本公司已经发生但应由本期和以后各期负担的分摊期限在一年以上的各项费用。</w:t>
      </w:r>
      <w:r>
        <w:rPr>
          <w:spacing w:val="-87"/>
        </w:rPr>
        <w:t> </w:t>
      </w:r>
      <w:r>
        <w:rPr>
          <w:spacing w:val="-87"/>
        </w:rPr>
      </w:r>
      <w:r>
        <w:rPr/>
        <w:t>本公司长期待摊费用在受益期内平均摊销。</w:t>
      </w:r>
    </w:p>
    <w:p>
      <w:pPr>
        <w:spacing w:line="240" w:lineRule="auto" w:before="10"/>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33</w:t>
      </w:r>
      <w:r>
        <w:rPr/>
        <w:t>、合同负债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34</w:t>
      </w:r>
      <w:r>
        <w:rPr/>
        <w:t>、职工薪酬</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657" w:right="1120"/>
        <w:jc w:val="left"/>
      </w:pPr>
      <w:r>
        <w:rPr/>
        <w:t>①职工基本薪酬（工资、奖金、津贴、补贴） </w:t>
      </w:r>
      <w:r>
        <w:rPr>
          <w:spacing w:val="-1"/>
        </w:rPr>
        <w:t>本公司在职工为其提供服务的会计期间，将实际发生的短期薪酬确认为负债，并计入当期损益，其他会计准则要求或</w:t>
      </w:r>
    </w:p>
    <w:p>
      <w:pPr>
        <w:pStyle w:val="BodyText"/>
        <w:spacing w:line="240" w:lineRule="auto" w:before="18"/>
        <w:ind w:right="0"/>
        <w:jc w:val="left"/>
      </w:pPr>
      <w:r>
        <w:rPr/>
        <w:t>允许计入资产成本的除外。</w:t>
      </w:r>
    </w:p>
    <w:p>
      <w:pPr>
        <w:pStyle w:val="BodyText"/>
        <w:spacing w:line="240" w:lineRule="auto" w:before="76"/>
        <w:ind w:left="657" w:right="0"/>
        <w:jc w:val="left"/>
      </w:pPr>
      <w:r>
        <w:rPr/>
        <w:t>②职工福利费</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2" w:firstLine="504"/>
        <w:jc w:val="both"/>
      </w:pPr>
      <w:r>
        <w:rPr>
          <w:spacing w:val="-1"/>
        </w:rPr>
        <w:t>本公司发生的职工福利费，在实际发生时根据实际发生额计入当期损益或相关资产成本。职工福利费为非货币性福利</w:t>
      </w:r>
      <w:r>
        <w:rPr/>
        <w:t> 的，按照公允价值计量。</w:t>
      </w:r>
    </w:p>
    <w:p>
      <w:pPr>
        <w:pStyle w:val="BodyText"/>
        <w:spacing w:line="316" w:lineRule="auto" w:before="19"/>
        <w:ind w:left="657" w:right="1120"/>
        <w:jc w:val="left"/>
      </w:pPr>
      <w:r>
        <w:rPr/>
        <w:t>③医疗保险费、工伤保险费、生育保险费等社会保险费和住房公积金，以及工会经费和职工教育经费 </w:t>
      </w:r>
      <w:r>
        <w:rPr>
          <w:spacing w:val="-1"/>
        </w:rPr>
        <w:t>本公司为职工缴纳的医疗保险费、工伤保险费、生育保险费等社会保险费和住房公积金，以及按规定提取的工会经费</w:t>
      </w:r>
    </w:p>
    <w:p>
      <w:pPr>
        <w:pStyle w:val="BodyText"/>
        <w:spacing w:line="316" w:lineRule="auto" w:before="19"/>
        <w:ind w:right="0"/>
        <w:jc w:val="left"/>
      </w:pPr>
      <w:r>
        <w:rPr>
          <w:spacing w:val="-2"/>
        </w:rPr>
        <w:t>和职工教育经费，在职工为其提供服务的会计期间，根据规定的计提基础和计提比例计算确定相应的职工薪酬金额，并确认</w:t>
      </w:r>
      <w:r>
        <w:rPr>
          <w:spacing w:val="-63"/>
        </w:rPr>
        <w:t> </w:t>
      </w:r>
      <w:r>
        <w:rPr>
          <w:spacing w:val="-63"/>
        </w:rPr>
      </w:r>
      <w:r>
        <w:rPr/>
        <w:t>相应负债，计入当期损益或相关资产成本。</w:t>
      </w:r>
    </w:p>
    <w:p>
      <w:pPr>
        <w:pStyle w:val="BodyText"/>
        <w:spacing w:line="316" w:lineRule="auto" w:before="19"/>
        <w:ind w:left="657" w:right="1120"/>
        <w:jc w:val="left"/>
      </w:pPr>
      <w:r>
        <w:rPr/>
        <w:t>④短期带薪缺勤 </w:t>
      </w:r>
      <w:r>
        <w:rPr>
          <w:spacing w:val="-1"/>
        </w:rPr>
        <w:t>本公司在职工提供服务从而增加了其未来享有的带薪缺勤权利时，确认与累积带薪缺勤相关的职工薪酬，并以累积未</w:t>
      </w:r>
    </w:p>
    <w:p>
      <w:pPr>
        <w:pStyle w:val="BodyText"/>
        <w:spacing w:line="240" w:lineRule="auto" w:before="19"/>
        <w:ind w:right="0"/>
        <w:jc w:val="left"/>
      </w:pPr>
      <w:r>
        <w:rPr/>
        <w:t>行使权利而增加的预期支付金额计量。本公司在职工实际发生缺勤的会计期间确认与非累积带薪缺勤相关的职工薪酬。</w:t>
      </w:r>
    </w:p>
    <w:p>
      <w:pPr>
        <w:pStyle w:val="BodyText"/>
        <w:spacing w:line="312" w:lineRule="auto" w:before="76"/>
        <w:ind w:left="657" w:right="4669"/>
        <w:jc w:val="left"/>
      </w:pPr>
      <w:r>
        <w:rPr/>
        <w:t>⑤短期利润分享计划 利润分享计划同时满足下列条件的，本公司确认相关的应付职工薪酬： </w:t>
      </w:r>
      <w:r>
        <w:rPr>
          <w:rFonts w:ascii="Times New Roman" w:hAnsi="Times New Roman" w:cs="Times New Roman" w:eastAsia="Times New Roman" w:hint="default"/>
        </w:rPr>
        <w:t>A.</w:t>
      </w:r>
      <w:r>
        <w:rPr/>
        <w:t>企业因过去事项导致现在具有支付职工薪酬的法定义务或推定义务； </w:t>
      </w:r>
      <w:r>
        <w:rPr>
          <w:rFonts w:ascii="Times New Roman" w:hAnsi="Times New Roman" w:cs="Times New Roman" w:eastAsia="Times New Roman" w:hint="default"/>
        </w:rPr>
        <w:t>B.</w:t>
      </w:r>
      <w:r>
        <w:rPr/>
        <w:t>因利润分享计划所产生的应付职工薪酬义务金额能够可靠估计。</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657" w:right="1120"/>
        <w:jc w:val="left"/>
      </w:pPr>
      <w:r>
        <w:rPr/>
        <w:t>①设定提存计划 </w:t>
      </w:r>
      <w:r>
        <w:rPr>
          <w:spacing w:val="-1"/>
        </w:rPr>
        <w:t>本公司在职工为其提供服务的会计期间，将根据设定提存计划计算的应缴存金额确认为负债，并计入当期损益或相关</w:t>
      </w:r>
    </w:p>
    <w:p>
      <w:pPr>
        <w:pStyle w:val="BodyText"/>
        <w:spacing w:line="240" w:lineRule="auto" w:before="19"/>
        <w:ind w:right="0"/>
        <w:jc w:val="left"/>
      </w:pPr>
      <w:r>
        <w:rPr/>
        <w:t>资产成本。</w:t>
      </w:r>
    </w:p>
    <w:p>
      <w:pPr>
        <w:pStyle w:val="BodyText"/>
        <w:spacing w:line="316" w:lineRule="auto" w:before="76"/>
        <w:ind w:right="1132" w:firstLine="504"/>
        <w:jc w:val="both"/>
      </w:pPr>
      <w:r>
        <w:rPr>
          <w:spacing w:val="-1"/>
        </w:rPr>
        <w:t>根据设定提存计划，预期不会在职工提供相关服务的年度报告期结束后十二个月内支付全部应缴存金额的，本公司参</w:t>
      </w:r>
      <w:r>
        <w:rPr/>
        <w:t> </w:t>
      </w:r>
      <w:r>
        <w:rPr>
          <w:spacing w:val="-2"/>
        </w:rPr>
        <w:t>照相应的折现率（根据资产负债表日与设定提存计划义务期限和币种相匹配的国债或活跃市场上的高质量公司债券的市场收</w:t>
      </w:r>
      <w:r>
        <w:rPr>
          <w:spacing w:val="-64"/>
        </w:rPr>
        <w:t> </w:t>
      </w:r>
      <w:r>
        <w:rPr>
          <w:spacing w:val="-64"/>
        </w:rPr>
      </w:r>
      <w:r>
        <w:rPr/>
        <w:t>益率确定），将全部应缴存金额以折现后的金额计量应付职工薪酬。</w:t>
      </w:r>
    </w:p>
    <w:p>
      <w:pPr>
        <w:pStyle w:val="BodyText"/>
        <w:spacing w:line="240" w:lineRule="auto" w:before="19"/>
        <w:ind w:left="657" w:right="0"/>
        <w:jc w:val="left"/>
      </w:pPr>
      <w:r>
        <w:rPr/>
        <w:t>②设定受益计划</w:t>
      </w:r>
    </w:p>
    <w:p>
      <w:pPr>
        <w:pStyle w:val="BodyText"/>
        <w:spacing w:line="300" w:lineRule="auto" w:before="77"/>
        <w:ind w:left="657" w:right="1120" w:firstLine="2"/>
        <w:jc w:val="left"/>
      </w:pPr>
      <w:r>
        <w:rPr>
          <w:rFonts w:ascii="Times New Roman" w:hAnsi="Times New Roman" w:cs="Times New Roman" w:eastAsia="Times New Roman" w:hint="default"/>
        </w:rPr>
        <w:t>A</w:t>
      </w:r>
      <w:r>
        <w:rPr/>
        <w:t>．确定设定受益计划义务的现值和当期服务成本 </w:t>
      </w:r>
      <w:r>
        <w:rPr>
          <w:spacing w:val="-1"/>
        </w:rPr>
        <w:t>根据预期累计福利单位法，采用无偏且相互一致的精算假设对有关人口统计变量和财务变量等做出估计，计量设定受</w:t>
      </w:r>
    </w:p>
    <w:p>
      <w:pPr>
        <w:pStyle w:val="BodyText"/>
        <w:spacing w:line="316" w:lineRule="auto" w:before="31"/>
        <w:ind w:right="1130"/>
        <w:jc w:val="both"/>
      </w:pPr>
      <w:r>
        <w:rPr>
          <w:spacing w:val="-2"/>
        </w:rPr>
        <w:t>益计划所产生的义务，并确定相关义务的归属期间。本公司按照相应的折现率（根据资产负债表日与设定受益计划义务期限</w:t>
      </w:r>
      <w:r>
        <w:rPr>
          <w:spacing w:val="-63"/>
        </w:rPr>
        <w:t> </w:t>
      </w:r>
      <w:r>
        <w:rPr>
          <w:spacing w:val="-63"/>
        </w:rPr>
      </w:r>
      <w:r>
        <w:rPr>
          <w:spacing w:val="-2"/>
        </w:rPr>
        <w:t>和币种相匹配的国债或活跃市场上的高质量公司债券的市场收益率确定）将设定受益计划所产生的义务予以折现，以确定设</w:t>
      </w:r>
      <w:r>
        <w:rPr>
          <w:spacing w:val="-64"/>
        </w:rPr>
        <w:t> </w:t>
      </w:r>
      <w:r>
        <w:rPr>
          <w:spacing w:val="-64"/>
        </w:rPr>
      </w:r>
      <w:r>
        <w:rPr/>
        <w:t>定受益计划义务的现值和当期服务成本。</w:t>
      </w:r>
    </w:p>
    <w:p>
      <w:pPr>
        <w:pStyle w:val="BodyText"/>
        <w:spacing w:line="300" w:lineRule="auto" w:before="19"/>
        <w:ind w:left="657" w:right="1120"/>
        <w:jc w:val="left"/>
      </w:pPr>
      <w:r>
        <w:rPr>
          <w:rFonts w:ascii="Times New Roman" w:hAnsi="Times New Roman" w:cs="Times New Roman" w:eastAsia="Times New Roman" w:hint="default"/>
        </w:rPr>
        <w:t>B.</w:t>
      </w:r>
      <w:r>
        <w:rPr/>
        <w:t>确认设定受益计划净负债或净资产 </w:t>
      </w:r>
      <w:r>
        <w:rPr>
          <w:spacing w:val="-1"/>
        </w:rPr>
        <w:t>设定受益计划存在资产的，本公司将设定受益计划义务现值减去设定受益计划资产公允价值所形成的赤字或盈余确认</w:t>
      </w:r>
    </w:p>
    <w:p>
      <w:pPr>
        <w:pStyle w:val="BodyText"/>
        <w:spacing w:line="312" w:lineRule="auto" w:before="31"/>
        <w:ind w:left="657" w:right="1120" w:hanging="504"/>
        <w:jc w:val="left"/>
      </w:pPr>
      <w:r>
        <w:rPr/>
        <w:t>为一项设定受益计划净负债或净资产。 设定受益计划存在盈余的，本公司以设定受益计划的盈余和资产上限两项的孰低者计量设定受益计划净资产。 </w:t>
      </w:r>
      <w:r>
        <w:rPr>
          <w:rFonts w:ascii="Times New Roman" w:hAnsi="Times New Roman" w:cs="Times New Roman" w:eastAsia="Times New Roman" w:hint="default"/>
        </w:rPr>
        <w:t>C.</w:t>
      </w:r>
      <w:r>
        <w:rPr/>
        <w:t>确定应计入资产成本或当期损益的金额 </w:t>
      </w:r>
      <w:r>
        <w:rPr>
          <w:spacing w:val="-1"/>
        </w:rPr>
        <w:t>服务成本，包括当期服务成本、过去服务成本和结算利得或损失。其中，除了其他会计准则要求或允许计入资产成本</w:t>
      </w:r>
    </w:p>
    <w:p>
      <w:pPr>
        <w:pStyle w:val="BodyText"/>
        <w:spacing w:line="316" w:lineRule="auto" w:before="23"/>
        <w:ind w:left="657" w:right="1120" w:hanging="504"/>
        <w:jc w:val="left"/>
      </w:pPr>
      <w:r>
        <w:rPr/>
        <w:t>的当期服务成本之外，其他服务成本均计入当期损益。 </w:t>
      </w:r>
      <w:r>
        <w:rPr>
          <w:spacing w:val="-1"/>
        </w:rPr>
        <w:t>设定受益计划净负债或净资产的利息净额，包括计划资产的利息收益、设定受益计划义务的利息费用以及资产上限影</w:t>
      </w:r>
    </w:p>
    <w:p>
      <w:pPr>
        <w:pStyle w:val="BodyText"/>
        <w:spacing w:line="240" w:lineRule="auto" w:before="16"/>
        <w:ind w:right="0"/>
        <w:jc w:val="left"/>
      </w:pPr>
      <w:r>
        <w:rPr/>
        <w:t>响的利息，均计入当期损益。</w:t>
      </w:r>
    </w:p>
    <w:p>
      <w:pPr>
        <w:pStyle w:val="BodyText"/>
        <w:spacing w:line="300" w:lineRule="auto" w:before="76"/>
        <w:ind w:left="657" w:right="5389"/>
        <w:jc w:val="left"/>
      </w:pPr>
      <w:r>
        <w:rPr>
          <w:rFonts w:ascii="Times New Roman" w:hAnsi="Times New Roman" w:cs="Times New Roman" w:eastAsia="Times New Roman" w:hint="default"/>
        </w:rPr>
        <w:t>D.</w:t>
      </w:r>
      <w:r>
        <w:rPr/>
        <w:t>确定应计入其他综合收益的金额 重新计量设定受益计划净负债或净资产所产生的变动，包括：</w:t>
      </w:r>
    </w:p>
    <w:p>
      <w:pPr>
        <w:pStyle w:val="BodyText"/>
        <w:spacing w:line="240" w:lineRule="auto" w:before="31"/>
        <w:ind w:left="657" w:right="0"/>
        <w:jc w:val="left"/>
      </w:pPr>
      <w:r>
        <w:rPr/>
        <w:t>（</w:t>
      </w:r>
      <w:r>
        <w:rPr>
          <w:rFonts w:ascii="Times New Roman" w:hAnsi="Times New Roman" w:cs="Times New Roman" w:eastAsia="Times New Roman" w:hint="default"/>
        </w:rPr>
        <w:t>a</w:t>
      </w:r>
      <w:r>
        <w:rPr/>
        <w:t>）精算利得或损失，即由于精算假设和经验调整导致之前所计量的设定受益计划义务现值的增加或减少；</w:t>
      </w:r>
    </w:p>
    <w:p>
      <w:pPr>
        <w:pStyle w:val="BodyText"/>
        <w:spacing w:line="240" w:lineRule="auto" w:before="63"/>
        <w:ind w:left="657" w:right="0"/>
        <w:jc w:val="left"/>
      </w:pPr>
      <w:r>
        <w:rPr/>
        <w:t>（</w:t>
      </w:r>
      <w:r>
        <w:rPr>
          <w:rFonts w:ascii="Times New Roman" w:hAnsi="Times New Roman" w:cs="Times New Roman" w:eastAsia="Times New Roman" w:hint="default"/>
        </w:rPr>
        <w:t>b</w:t>
      </w:r>
      <w:r>
        <w:rPr/>
        <w:t>）计划资产回报，扣除包括在设定受益计划净负债或净资产的利息净额中的金额；</w:t>
      </w:r>
    </w:p>
    <w:p>
      <w:pPr>
        <w:pStyle w:val="BodyText"/>
        <w:spacing w:line="300" w:lineRule="auto" w:before="63"/>
        <w:ind w:left="657" w:right="1129"/>
        <w:jc w:val="left"/>
      </w:pPr>
      <w:r>
        <w:rPr/>
        <w:t>（</w:t>
      </w:r>
      <w:r>
        <w:rPr>
          <w:rFonts w:ascii="Times New Roman" w:hAnsi="Times New Roman" w:cs="Times New Roman" w:eastAsia="Times New Roman" w:hint="default"/>
        </w:rPr>
        <w:t>c</w:t>
      </w:r>
      <w:r>
        <w:rPr/>
        <w:t>）资产上限影响的变动，扣除包括在设定受益计划净负债或净资产的利息净额中的金额。 上述重新计量设定受益计划净负债或净资产所产生的变动直接计入其他综合收益</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并且在后续会计期间不允许转回至</w:t>
      </w:r>
    </w:p>
    <w:p>
      <w:pPr>
        <w:pStyle w:val="BodyText"/>
        <w:spacing w:line="240" w:lineRule="auto" w:before="13"/>
        <w:ind w:right="0"/>
        <w:jc w:val="left"/>
      </w:pPr>
      <w:r>
        <w:rPr/>
        <w:t>损益，但本公司可以在权益范围内转移这些在其他综合收益中确认的金额。</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657" w:right="0"/>
        <w:jc w:val="left"/>
      </w:pPr>
      <w:r>
        <w:rPr/>
        <w:t>本公司向职工提供辞退福利的，在下列两者孰早日确认辞退福利产生的职工薪酬负债，并计入当期损益：</w:t>
      </w:r>
    </w:p>
    <w:p>
      <w:pPr>
        <w:pStyle w:val="BodyText"/>
        <w:spacing w:line="240" w:lineRule="auto" w:before="76"/>
        <w:ind w:left="657" w:right="0"/>
        <w:jc w:val="left"/>
      </w:pPr>
      <w:r>
        <w:rPr/>
        <w:t>①企业不能单方面撤回因解除劳动关系计划或裁减建议所提供的辞退福利时；</w:t>
      </w:r>
    </w:p>
    <w:p>
      <w:pPr>
        <w:pStyle w:val="BodyText"/>
        <w:spacing w:line="316" w:lineRule="auto" w:before="76"/>
        <w:ind w:left="657" w:right="1120"/>
        <w:jc w:val="left"/>
      </w:pPr>
      <w:r>
        <w:rPr/>
        <w:t>②企业确认与涉及支付辞退福利的重组相关的成本或费用时。 </w:t>
      </w:r>
      <w:r>
        <w:rPr>
          <w:spacing w:val="-1"/>
        </w:rPr>
        <w:t>辞退福利预期在年度报告期结束后十二个月内不能完全支付的，参照相应的折现率（根据资产负债表日与设定受益计</w:t>
      </w:r>
    </w:p>
    <w:p>
      <w:pPr>
        <w:pStyle w:val="BodyText"/>
        <w:spacing w:line="316" w:lineRule="auto" w:before="19"/>
        <w:ind w:right="0"/>
        <w:jc w:val="left"/>
      </w:pPr>
      <w:r>
        <w:rPr>
          <w:spacing w:val="-2"/>
        </w:rPr>
        <w:t>划义务期限和币种相匹配的国债或活跃市场上的高质量公司债券的市场收益率确定）将辞退福利金额予以折现，以折现后的</w:t>
      </w:r>
      <w:r>
        <w:rPr>
          <w:spacing w:val="-64"/>
        </w:rPr>
        <w:t> </w:t>
      </w:r>
      <w:r>
        <w:rPr>
          <w:spacing w:val="-64"/>
        </w:rPr>
      </w:r>
      <w:r>
        <w:rPr/>
        <w:t>金额计量应付职工薪酬。</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left="657" w:right="1120"/>
        <w:jc w:val="left"/>
      </w:pPr>
      <w:r>
        <w:rPr/>
        <w:t>①符合设定提存计划条件的 </w:t>
      </w:r>
      <w:r>
        <w:rPr>
          <w:spacing w:val="-1"/>
        </w:rPr>
        <w:t>本公司向职工提供的其他长期职工福利，符合设定提存计划条件的，将全部应缴存金额以折现后的金额计量应付职工</w:t>
      </w:r>
    </w:p>
    <w:p>
      <w:pPr>
        <w:pStyle w:val="BodyText"/>
        <w:spacing w:line="240" w:lineRule="auto" w:before="17"/>
        <w:ind w:right="0"/>
        <w:jc w:val="left"/>
      </w:pPr>
      <w:r>
        <w:rPr/>
        <w:t>薪酬。</w:t>
      </w:r>
    </w:p>
    <w:p>
      <w:pPr>
        <w:pStyle w:val="BodyText"/>
        <w:spacing w:line="316" w:lineRule="auto" w:before="76"/>
        <w:ind w:left="657" w:right="3589"/>
        <w:jc w:val="left"/>
      </w:pPr>
      <w:r>
        <w:rPr/>
        <w:t>②符合设定受益计划条件的 在报告期末，本公司将其他长期职工福利产生的职工薪酬成本确认为下列组成部分： </w:t>
      </w:r>
      <w:r>
        <w:rPr>
          <w:rFonts w:ascii="Times New Roman" w:hAnsi="Times New Roman" w:cs="Times New Roman" w:eastAsia="Times New Roman" w:hint="default"/>
        </w:rPr>
        <w:t>A.</w:t>
      </w:r>
      <w:r>
        <w:rPr/>
        <w:t>服务成本；</w:t>
      </w:r>
    </w:p>
    <w:p>
      <w:pPr>
        <w:pStyle w:val="BodyText"/>
        <w:spacing w:line="300" w:lineRule="auto"/>
        <w:ind w:left="657" w:right="4489"/>
        <w:jc w:val="left"/>
      </w:pPr>
      <w:r>
        <w:rPr>
          <w:rFonts w:ascii="Times New Roman" w:hAnsi="Times New Roman" w:cs="Times New Roman" w:eastAsia="Times New Roman" w:hint="default"/>
        </w:rPr>
        <w:t>B.</w:t>
      </w:r>
      <w:r>
        <w:rPr/>
        <w:t>其他长期职工福利净负债或净资产的利息净额； </w:t>
      </w:r>
      <w:r>
        <w:rPr>
          <w:rFonts w:ascii="Times New Roman" w:hAnsi="Times New Roman" w:cs="Times New Roman" w:eastAsia="Times New Roman" w:hint="default"/>
        </w:rPr>
        <w:t>C.</w:t>
      </w:r>
      <w:r>
        <w:rPr/>
        <w:t>重新计量其他长期职工福利净负债或净资产所产生的变动。 为简化相关会计处理，上述项目的总净额计入当期损益或相关资产成本。</w:t>
      </w: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35</w:t>
      </w:r>
      <w:r>
        <w:rPr/>
        <w:t>、租赁负债</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36</w:t>
      </w:r>
      <w:r>
        <w:rPr/>
        <w:t>、预计负债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00" w:lineRule="auto"/>
        <w:ind w:left="657" w:right="4129"/>
        <w:jc w:val="left"/>
      </w:pPr>
      <w:r>
        <w:rPr/>
        <w:t>（</w:t>
      </w:r>
      <w:r>
        <w:rPr>
          <w:rFonts w:ascii="Times New Roman" w:hAnsi="Times New Roman" w:cs="Times New Roman" w:eastAsia="Times New Roman" w:hint="default"/>
        </w:rPr>
        <w:t>1</w:t>
      </w:r>
      <w:r>
        <w:rPr/>
        <w:t>）预计负债的确认标准 如果与或有事项相关的义务同时符合以下条件，本公司将其确认为预计负债：</w:t>
      </w:r>
    </w:p>
    <w:p>
      <w:pPr>
        <w:pStyle w:val="BodyText"/>
        <w:spacing w:line="240" w:lineRule="auto" w:before="31"/>
        <w:ind w:left="657" w:right="0"/>
        <w:jc w:val="left"/>
      </w:pPr>
      <w:r>
        <w:rPr/>
        <w:t>①该义务是本公司承担的现时义务；</w:t>
      </w:r>
    </w:p>
    <w:p>
      <w:pPr>
        <w:pStyle w:val="BodyText"/>
        <w:spacing w:line="240" w:lineRule="auto" w:before="76"/>
        <w:ind w:left="657" w:right="0"/>
        <w:jc w:val="left"/>
      </w:pPr>
      <w:r>
        <w:rPr/>
        <w:t>②该义务的履行很可能导致经济利益流出本公司；</w:t>
      </w:r>
    </w:p>
    <w:p>
      <w:pPr>
        <w:pStyle w:val="BodyText"/>
        <w:spacing w:line="240" w:lineRule="auto" w:before="76"/>
        <w:ind w:left="657" w:right="0"/>
        <w:jc w:val="left"/>
      </w:pPr>
      <w:r>
        <w:rPr/>
        <w:t>③该义务的金额能够可靠地计量。</w:t>
      </w:r>
    </w:p>
    <w:p>
      <w:pPr>
        <w:pStyle w:val="BodyText"/>
        <w:spacing w:line="300" w:lineRule="auto" w:before="76"/>
        <w:ind w:left="657" w:right="1120"/>
        <w:jc w:val="left"/>
      </w:pPr>
      <w:r>
        <w:rPr/>
        <w:t>（</w:t>
      </w:r>
      <w:r>
        <w:rPr>
          <w:rFonts w:ascii="Times New Roman" w:hAnsi="Times New Roman" w:cs="Times New Roman" w:eastAsia="Times New Roman" w:hint="default"/>
        </w:rPr>
        <w:t>2</w:t>
      </w:r>
      <w:r>
        <w:rPr/>
        <w:t>）预计负债的计量方法 </w:t>
      </w:r>
      <w:r>
        <w:rPr>
          <w:spacing w:val="-1"/>
        </w:rPr>
        <w:t>预计负债按照履行相关现时义务所需支出的最佳估计数进行初始计量，并综合考虑与或事项有关的风险、不确定性和</w:t>
      </w:r>
    </w:p>
    <w:p>
      <w:pPr>
        <w:pStyle w:val="BodyText"/>
        <w:spacing w:line="316" w:lineRule="auto" w:before="31"/>
        <w:ind w:right="0"/>
        <w:jc w:val="left"/>
      </w:pPr>
      <w:r>
        <w:rPr>
          <w:spacing w:val="-2"/>
        </w:rPr>
        <w:t>货币时间价值等因素。每个资产负债表日对预计负债的账面价值进行复核。有确凿证据表明该账面价值不能反映当前最佳估</w:t>
      </w:r>
      <w:r>
        <w:rPr>
          <w:spacing w:val="-64"/>
        </w:rPr>
        <w:t> </w:t>
      </w:r>
      <w:r>
        <w:rPr>
          <w:spacing w:val="-64"/>
        </w:rPr>
      </w:r>
      <w:r>
        <w:rPr/>
        <w:t>计数的，按照当前最佳估计数对该账面价值进行调整。</w:t>
      </w:r>
    </w:p>
    <w:p>
      <w:pPr>
        <w:spacing w:line="240" w:lineRule="auto" w:before="10"/>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37</w:t>
      </w:r>
      <w:r>
        <w:rPr/>
        <w:t>、股份支付</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657" w:right="4669"/>
        <w:jc w:val="left"/>
      </w:pPr>
      <w:r>
        <w:rPr/>
        <w:t>（</w:t>
      </w:r>
      <w:r>
        <w:rPr>
          <w:rFonts w:ascii="Times New Roman" w:hAnsi="Times New Roman" w:cs="Times New Roman" w:eastAsia="Times New Roman" w:hint="default"/>
        </w:rPr>
        <w:t>1</w:t>
      </w:r>
      <w:r>
        <w:rPr/>
        <w:t>）股份支付的种类 本公司股份支付包括以现金结算的股份支付和以权益结算的股份支付。</w:t>
      </w:r>
    </w:p>
    <w:p>
      <w:pPr>
        <w:pStyle w:val="BodyText"/>
        <w:spacing w:line="240" w:lineRule="auto" w:before="31"/>
        <w:ind w:left="657" w:right="0"/>
        <w:jc w:val="left"/>
      </w:pPr>
      <w:r>
        <w:rPr/>
        <w:t>（</w:t>
      </w:r>
      <w:r>
        <w:rPr>
          <w:rFonts w:ascii="Times New Roman" w:hAnsi="Times New Roman" w:cs="Times New Roman" w:eastAsia="Times New Roman" w:hint="default"/>
        </w:rPr>
        <w:t>2</w:t>
      </w:r>
      <w:r>
        <w:rPr/>
        <w:t>）权益工具公允价值的确定方法</w:t>
      </w:r>
    </w:p>
    <w:p>
      <w:pPr>
        <w:pStyle w:val="BodyText"/>
        <w:spacing w:line="316" w:lineRule="auto" w:before="63"/>
        <w:ind w:right="1120" w:firstLine="504"/>
        <w:jc w:val="left"/>
      </w:pPr>
      <w:r>
        <w:rPr>
          <w:spacing w:val="-1"/>
        </w:rPr>
        <w:t>①对于授予职工的股份，其公允价值按公司股份的市场价格计量，同时考虑授予股份所依据的条款和条件（不包括市</w:t>
      </w:r>
      <w:r>
        <w:rPr/>
        <w:t> 场条件之外的可行权条件）进行调整。</w:t>
      </w:r>
    </w:p>
    <w:p>
      <w:pPr>
        <w:pStyle w:val="BodyText"/>
        <w:spacing w:line="316" w:lineRule="auto" w:before="19"/>
        <w:ind w:right="1120" w:firstLine="504"/>
        <w:jc w:val="left"/>
      </w:pPr>
      <w:r>
        <w:rPr>
          <w:spacing w:val="-1"/>
        </w:rPr>
        <w:t>②对于授予职工的股票期权，在许多情况下难以获得其市场价格。如果不存在条款和条件相似的交易期权，公司选择</w:t>
      </w:r>
      <w:r>
        <w:rPr/>
        <w:t> 适用的期权定价模型估计所授予的期权的公允价值。</w:t>
      </w:r>
    </w:p>
    <w:p>
      <w:pPr>
        <w:pStyle w:val="BodyText"/>
        <w:spacing w:line="240" w:lineRule="auto" w:before="19"/>
        <w:ind w:left="657" w:right="0"/>
        <w:jc w:val="left"/>
      </w:pPr>
      <w:r>
        <w:rPr/>
        <w:t>（</w:t>
      </w:r>
      <w:r>
        <w:rPr>
          <w:rFonts w:ascii="Times New Roman" w:hAnsi="Times New Roman" w:cs="Times New Roman" w:eastAsia="Times New Roman" w:hint="default"/>
        </w:rPr>
        <w:t>3</w:t>
      </w:r>
      <w:r>
        <w:rPr/>
        <w:t>）确认可行权权益工具最佳估计的依据</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2" w:firstLine="504"/>
        <w:jc w:val="both"/>
      </w:pPr>
      <w:r>
        <w:rPr>
          <w:spacing w:val="-1"/>
        </w:rPr>
        <w:t>在等待期内每个资产负债表日，公司根据最新取得的可行权职工人数变动等后续信息作出最佳估计，修正预计可行权</w:t>
      </w:r>
      <w:r>
        <w:rPr/>
        <w:t> 的权益工具数量，以作出可行权权益工具的最佳估计。</w:t>
      </w:r>
    </w:p>
    <w:p>
      <w:pPr>
        <w:pStyle w:val="BodyText"/>
        <w:spacing w:line="300" w:lineRule="auto" w:before="19"/>
        <w:ind w:left="657" w:right="7459"/>
        <w:jc w:val="left"/>
      </w:pPr>
      <w:r>
        <w:rPr/>
        <w:t>（</w:t>
      </w:r>
      <w:r>
        <w:rPr>
          <w:rFonts w:ascii="Times New Roman" w:hAnsi="Times New Roman" w:cs="Times New Roman" w:eastAsia="Times New Roman" w:hint="default"/>
        </w:rPr>
        <w:t>4</w:t>
      </w:r>
      <w:r>
        <w:rPr/>
        <w:t>）股份支付计划实施的会计处理 以现金结算的股份支付</w:t>
      </w:r>
    </w:p>
    <w:p>
      <w:pPr>
        <w:pStyle w:val="BodyText"/>
        <w:spacing w:line="316" w:lineRule="auto" w:before="31"/>
        <w:ind w:right="1132" w:firstLine="504"/>
        <w:jc w:val="both"/>
      </w:pPr>
      <w:r>
        <w:rPr>
          <w:spacing w:val="-1"/>
        </w:rPr>
        <w:t>①授予后立即可行权的以现金结算的股份支付，在授予日以本公司承担负债的公允价值计入相关成本或费用，相应增</w:t>
      </w:r>
      <w:r>
        <w:rPr/>
        <w:t> 加负债。并在结算前的每个资产负债表日和结算日对负债的公允价值重新计量，将其变动计入损益。</w:t>
      </w:r>
    </w:p>
    <w:p>
      <w:pPr>
        <w:pStyle w:val="BodyText"/>
        <w:spacing w:line="316" w:lineRule="auto" w:before="19"/>
        <w:ind w:right="1051" w:firstLine="504"/>
        <w:jc w:val="both"/>
      </w:pPr>
      <w:r>
        <w:rPr/>
        <w:t>②完成等待期内的服务或达到规定业绩条件以后才可行权的以现金结算的股份支付，在等待期内的每个资产负债表日 以对可行权情况的最佳估计为基础，按本公司承担负债的公允价值金额，将当期取得的服务计入成本或费用和相应的负债。</w:t>
      </w:r>
    </w:p>
    <w:p>
      <w:pPr>
        <w:pStyle w:val="BodyText"/>
        <w:spacing w:line="240" w:lineRule="auto" w:before="19"/>
        <w:ind w:left="657" w:right="0"/>
        <w:jc w:val="left"/>
      </w:pPr>
      <w:r>
        <w:rPr/>
        <w:t>以权益结算的股份支付</w:t>
      </w:r>
    </w:p>
    <w:p>
      <w:pPr>
        <w:pStyle w:val="BodyText"/>
        <w:spacing w:line="316" w:lineRule="auto" w:before="76"/>
        <w:ind w:right="1249" w:firstLine="504"/>
        <w:jc w:val="left"/>
      </w:pPr>
      <w:r>
        <w:rPr/>
        <w:t>①授予后立即可行权的换取职工服务的以权益结算的股份支付，在授予日以权益工具的公允价值计入相关成本或费 用，相应增加资本公积。</w:t>
      </w:r>
    </w:p>
    <w:p>
      <w:pPr>
        <w:pStyle w:val="BodyText"/>
        <w:spacing w:line="316" w:lineRule="auto" w:before="19"/>
        <w:ind w:right="1130" w:firstLine="504"/>
        <w:jc w:val="both"/>
      </w:pPr>
      <w:r>
        <w:rPr>
          <w:spacing w:val="-1"/>
        </w:rPr>
        <w:t>②完成等待期内的服务或达到规定业绩条件以后才可行权换取职工服务的以权益结算的股份支付，在等待期内的每个</w:t>
      </w:r>
      <w:r>
        <w:rPr/>
        <w:t> </w:t>
      </w:r>
      <w:r>
        <w:rPr>
          <w:spacing w:val="-2"/>
        </w:rPr>
        <w:t>资产负债表日，以对可行权权益工具数量的最佳估计为基础，按权益工具授予日的公允价值，将当期取得的服务计入成本或</w:t>
      </w:r>
      <w:r>
        <w:rPr>
          <w:spacing w:val="-63"/>
        </w:rPr>
        <w:t> </w:t>
      </w:r>
      <w:r>
        <w:rPr>
          <w:spacing w:val="-63"/>
        </w:rPr>
      </w:r>
      <w:r>
        <w:rPr/>
        <w:t>费用和资本公积。</w:t>
      </w:r>
    </w:p>
    <w:p>
      <w:pPr>
        <w:pStyle w:val="BodyText"/>
        <w:spacing w:line="300" w:lineRule="auto" w:before="19"/>
        <w:ind w:left="657" w:right="1120"/>
        <w:jc w:val="left"/>
      </w:pPr>
      <w:r>
        <w:rPr/>
        <w:t>（</w:t>
      </w:r>
      <w:r>
        <w:rPr>
          <w:rFonts w:ascii="Times New Roman" w:hAnsi="Times New Roman" w:cs="Times New Roman" w:eastAsia="Times New Roman" w:hint="default"/>
        </w:rPr>
        <w:t>5</w:t>
      </w:r>
      <w:r>
        <w:rPr/>
        <w:t>）股份支付计划修改的会计处理 </w:t>
      </w:r>
      <w:r>
        <w:rPr>
          <w:spacing w:val="-1"/>
        </w:rPr>
        <w:t>本公司对股份支付计划进行修改时，若修改增加了所授予权益工具的公允价值，按照权益工具公允价值的增加相应地</w:t>
      </w:r>
    </w:p>
    <w:p>
      <w:pPr>
        <w:pStyle w:val="BodyText"/>
        <w:spacing w:line="316" w:lineRule="auto" w:before="31"/>
        <w:ind w:right="0"/>
        <w:jc w:val="left"/>
      </w:pPr>
      <w:r>
        <w:rPr>
          <w:spacing w:val="-4"/>
        </w:rPr>
        <w:t>确认取得服务的增加；若修改增加了所授予权益工具的数量，则将增加的权益工具的公允价值相应地确认为取得服务的增加。</w:t>
      </w:r>
      <w:r>
        <w:rPr>
          <w:spacing w:val="-44"/>
        </w:rPr>
        <w:t> </w:t>
      </w:r>
      <w:r>
        <w:rPr>
          <w:spacing w:val="-44"/>
        </w:rPr>
      </w:r>
      <w:r>
        <w:rPr>
          <w:spacing w:val="-2"/>
        </w:rPr>
        <w:t>权益工具公允价值的增加是指修改前后的权益工具在修改日的公允价值之间的差额。若修改减少了股份支付公允价值总额或</w:t>
      </w:r>
      <w:r>
        <w:rPr>
          <w:spacing w:val="-64"/>
        </w:rPr>
        <w:t> </w:t>
      </w:r>
      <w:r>
        <w:rPr>
          <w:spacing w:val="-64"/>
        </w:rPr>
      </w:r>
      <w:r>
        <w:rPr>
          <w:spacing w:val="-4"/>
        </w:rPr>
        <w:t>采用了其他不利于职工的方式修改股份支付计划的条款和条件，则仍继续对取得的服务进行会计处理，视同该变更从未发生，</w:t>
      </w:r>
      <w:r>
        <w:rPr>
          <w:spacing w:val="-44"/>
        </w:rPr>
        <w:t> </w:t>
      </w:r>
      <w:r>
        <w:rPr>
          <w:spacing w:val="-44"/>
        </w:rPr>
      </w:r>
      <w:r>
        <w:rPr/>
        <w:t>除非本公司取消了部分或全部已授予的权益工具。</w:t>
      </w:r>
    </w:p>
    <w:p>
      <w:pPr>
        <w:pStyle w:val="BodyText"/>
        <w:spacing w:line="300" w:lineRule="auto" w:before="19"/>
        <w:ind w:left="657" w:right="1120"/>
        <w:jc w:val="left"/>
      </w:pPr>
      <w:r>
        <w:rPr/>
        <w:t>（</w:t>
      </w:r>
      <w:r>
        <w:rPr>
          <w:rFonts w:ascii="Times New Roman" w:hAnsi="Times New Roman" w:cs="Times New Roman" w:eastAsia="Times New Roman" w:hint="default"/>
        </w:rPr>
        <w:t>6</w:t>
      </w:r>
      <w:r>
        <w:rPr/>
        <w:t>）股份支付计划终止的会计处理 </w:t>
      </w:r>
      <w:r>
        <w:rPr>
          <w:spacing w:val="-1"/>
        </w:rPr>
        <w:t>如果在等待期内取消了所授予的权益工具或结算了所授予的权益工具（因未满足可行权条件而被取消的除外），本公</w:t>
      </w:r>
    </w:p>
    <w:p>
      <w:pPr>
        <w:pStyle w:val="BodyText"/>
        <w:spacing w:line="240" w:lineRule="auto" w:before="31"/>
        <w:ind w:right="0"/>
        <w:jc w:val="left"/>
      </w:pPr>
      <w:r>
        <w:rPr/>
        <w:t>司：</w:t>
      </w:r>
    </w:p>
    <w:p>
      <w:pPr>
        <w:pStyle w:val="BodyText"/>
        <w:spacing w:line="240" w:lineRule="auto" w:before="77"/>
        <w:ind w:left="657" w:right="0"/>
        <w:jc w:val="left"/>
      </w:pPr>
      <w:r>
        <w:rPr/>
        <w:t>①将取消或结算作为加速可行权处理，立即确认原本应在剩余等待期内确认的金额；</w:t>
      </w:r>
    </w:p>
    <w:p>
      <w:pPr>
        <w:pStyle w:val="BodyText"/>
        <w:spacing w:line="240" w:lineRule="auto" w:before="76"/>
        <w:ind w:left="657" w:right="0"/>
        <w:jc w:val="left"/>
      </w:pPr>
      <w:r>
        <w:rPr/>
        <w:t>②在取消或结算时支付给职工的所有款项均作为权益的回购处理，回购支付的金额高于该权益工具在回购日公允价值</w:t>
      </w:r>
    </w:p>
    <w:p>
      <w:pPr>
        <w:pStyle w:val="BodyText"/>
        <w:spacing w:line="316" w:lineRule="auto" w:before="76"/>
        <w:ind w:left="657" w:right="1120" w:hanging="504"/>
        <w:jc w:val="left"/>
      </w:pPr>
      <w:r>
        <w:rPr/>
        <w:t>的部分，计入当期费用。 </w:t>
      </w:r>
      <w:r>
        <w:rPr>
          <w:spacing w:val="-1"/>
        </w:rPr>
        <w:t>本公司如果回购其职工已可行权的权益工具，冲减企业的所有者权益；回购支付的款项高于该权益工具在回购日公允</w:t>
      </w:r>
    </w:p>
    <w:p>
      <w:pPr>
        <w:pStyle w:val="BodyText"/>
        <w:spacing w:line="240" w:lineRule="auto" w:before="19"/>
        <w:ind w:right="0"/>
        <w:jc w:val="left"/>
      </w:pPr>
      <w:r>
        <w:rPr/>
        <w:t>价值的部分，计入当期损益。</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38</w:t>
      </w:r>
      <w:r>
        <w:rPr/>
        <w:t>、优先股、永续债等其他金融工具</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39</w:t>
      </w:r>
      <w:r>
        <w:rPr/>
        <w:t>、收入</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00" w:lineRule="auto" w:before="104"/>
        <w:ind w:left="657" w:right="1120"/>
        <w:jc w:val="left"/>
      </w:pPr>
      <w:r>
        <w:rPr/>
        <w:t>（</w:t>
      </w:r>
      <w:r>
        <w:rPr>
          <w:rFonts w:ascii="Times New Roman" w:hAnsi="Times New Roman" w:cs="Times New Roman" w:eastAsia="Times New Roman" w:hint="default"/>
        </w:rPr>
        <w:t>1</w:t>
      </w:r>
      <w:r>
        <w:rPr/>
        <w:t>）销售商品收入 </w:t>
      </w:r>
      <w:r>
        <w:rPr>
          <w:spacing w:val="-1"/>
        </w:rPr>
        <w:t>公司已将商品所有权上的主要风险和报酬转移给购买方；公司既没有保留与所有权相联系的继续管理权，也没有对已</w:t>
      </w:r>
    </w:p>
    <w:p>
      <w:pPr>
        <w:pStyle w:val="BodyText"/>
        <w:spacing w:line="316" w:lineRule="auto" w:before="31"/>
        <w:ind w:right="0"/>
        <w:jc w:val="left"/>
      </w:pPr>
      <w:r>
        <w:rPr>
          <w:spacing w:val="-2"/>
        </w:rPr>
        <w:t>售出的商品实施有效控制；收入的金额能够可靠地计量；相关的经济利益很可能流入企业；相关的已发生或将发生的成本能</w:t>
      </w:r>
      <w:r>
        <w:rPr>
          <w:spacing w:val="-63"/>
        </w:rPr>
        <w:t> </w:t>
      </w:r>
      <w:r>
        <w:rPr>
          <w:spacing w:val="-63"/>
        </w:rPr>
      </w:r>
      <w:r>
        <w:rPr/>
        <w:t>够可靠地计量时，确认商品销售收入实现。</w:t>
      </w:r>
    </w:p>
    <w:p>
      <w:pPr>
        <w:pStyle w:val="BodyText"/>
        <w:spacing w:line="300" w:lineRule="auto" w:before="19"/>
        <w:ind w:left="657" w:right="1120"/>
        <w:jc w:val="left"/>
      </w:pPr>
      <w:r>
        <w:rPr/>
        <w:t>（</w:t>
      </w:r>
      <w:r>
        <w:rPr>
          <w:rFonts w:ascii="Times New Roman" w:hAnsi="Times New Roman" w:cs="Times New Roman" w:eastAsia="Times New Roman" w:hint="default"/>
        </w:rPr>
        <w:t>2</w:t>
      </w:r>
      <w:r>
        <w:rPr/>
        <w:t>）提供劳务收入 </w:t>
      </w:r>
      <w:r>
        <w:rPr>
          <w:spacing w:val="-1"/>
        </w:rPr>
        <w:t>在资产负债表日提供劳务交易的结果能够可靠估计的，采用完工百分比法确认提供劳务收入。提供劳务交易的完工进</w:t>
      </w:r>
    </w:p>
    <w:p>
      <w:pPr>
        <w:pStyle w:val="BodyText"/>
        <w:spacing w:line="316" w:lineRule="auto" w:before="31"/>
        <w:ind w:left="657" w:right="1179" w:hanging="504"/>
        <w:jc w:val="left"/>
      </w:pPr>
      <w:r>
        <w:rPr/>
        <w:t>度，依据已完工作的测量确定。 提供劳务交易的结果能够可靠估计是指同时满足：</w:t>
      </w:r>
      <w:r>
        <w:rPr>
          <w:rFonts w:ascii="Times New Roman" w:hAnsi="Times New Roman" w:cs="Times New Roman" w:eastAsia="Times New Roman" w:hint="default"/>
        </w:rPr>
        <w:t>A</w:t>
      </w:r>
      <w:r>
        <w:rPr/>
        <w:t>、收入的金额能够可靠地计量；</w:t>
      </w:r>
      <w:r>
        <w:rPr>
          <w:rFonts w:ascii="Times New Roman" w:hAnsi="Times New Roman" w:cs="Times New Roman" w:eastAsia="Times New Roman" w:hint="default"/>
        </w:rPr>
        <w:t>B</w:t>
      </w:r>
      <w:r>
        <w:rPr/>
        <w:t>、相关的经济利益很可能流入</w:t>
      </w:r>
    </w:p>
    <w:p>
      <w:pPr>
        <w:pStyle w:val="BodyText"/>
        <w:spacing w:line="300" w:lineRule="auto"/>
        <w:ind w:left="657" w:right="1120" w:hanging="504"/>
        <w:jc w:val="left"/>
      </w:pPr>
      <w:r>
        <w:rPr/>
        <w:t>企业；</w:t>
      </w:r>
      <w:r>
        <w:rPr>
          <w:rFonts w:ascii="Times New Roman" w:hAnsi="Times New Roman" w:cs="Times New Roman" w:eastAsia="Times New Roman" w:hint="default"/>
        </w:rPr>
        <w:t>C</w:t>
      </w:r>
      <w:r>
        <w:rPr/>
        <w:t>、交易的完工程度能够可靠地确定；</w:t>
      </w:r>
      <w:r>
        <w:rPr>
          <w:rFonts w:ascii="Times New Roman" w:hAnsi="Times New Roman" w:cs="Times New Roman" w:eastAsia="Times New Roman" w:hint="default"/>
        </w:rPr>
        <w:t>D</w:t>
      </w:r>
      <w:r>
        <w:rPr/>
        <w:t>、交易中已发生和将发生的成本能够可靠地计量。 </w:t>
      </w:r>
      <w:r>
        <w:rPr>
          <w:spacing w:val="-1"/>
        </w:rPr>
        <w:t>本公司按照已收或应收的合同或协议价款确定提供劳务收入总额，但已收或应收的合同或协议价款不公允的除外。资</w:t>
      </w:r>
    </w:p>
    <w:p>
      <w:pPr>
        <w:spacing w:after="0" w:line="30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0"/>
        <w:jc w:val="left"/>
      </w:pPr>
      <w:r>
        <w:rPr>
          <w:spacing w:val="-2"/>
        </w:rPr>
        <w:t>产负债表日按照提供劳务收入总额乘以完工进度扣除以前会计期间累计已确认提供劳务收入后的金额，确认当期提供劳务收</w:t>
      </w:r>
      <w:r>
        <w:rPr>
          <w:spacing w:val="-64"/>
        </w:rPr>
        <w:t> </w:t>
      </w:r>
      <w:r>
        <w:rPr>
          <w:spacing w:val="-64"/>
        </w:rPr>
      </w:r>
      <w:r>
        <w:rPr/>
        <w:t>入；同时，按照提供劳务估计总成本乘以完工进度扣除以前会计期间累计已确认劳务成本后的金额，结转当期劳务成本。</w:t>
      </w:r>
    </w:p>
    <w:p>
      <w:pPr>
        <w:pStyle w:val="BodyText"/>
        <w:spacing w:line="240" w:lineRule="auto" w:before="19"/>
        <w:ind w:left="657" w:right="0"/>
        <w:jc w:val="left"/>
      </w:pPr>
      <w:r>
        <w:rPr/>
        <w:t>在资产负债表日提供劳务交易结果不能够可靠估计的，分别下列情况处理：</w:t>
      </w:r>
    </w:p>
    <w:p>
      <w:pPr>
        <w:pStyle w:val="BodyText"/>
        <w:spacing w:line="316" w:lineRule="auto" w:before="76"/>
        <w:ind w:right="1120" w:firstLine="504"/>
        <w:jc w:val="left"/>
      </w:pPr>
      <w:r>
        <w:rPr>
          <w:spacing w:val="-1"/>
        </w:rPr>
        <w:t>①已经发生的劳务成本预计能够得到补偿的，按照已经发生的劳务成本金额确认提供劳务收入，并按相同金额结转劳</w:t>
      </w:r>
      <w:r>
        <w:rPr/>
        <w:t> 务成本。</w:t>
      </w:r>
    </w:p>
    <w:p>
      <w:pPr>
        <w:pStyle w:val="BodyText"/>
        <w:spacing w:line="240" w:lineRule="auto" w:before="19"/>
        <w:ind w:left="657" w:right="0"/>
        <w:jc w:val="left"/>
      </w:pPr>
      <w:r>
        <w:rPr/>
        <w:t>②已经发生的劳务成本预计不能够得到补偿的，将已经发生的劳务成本计入当期损益，不确认提供劳务收入。</w:t>
      </w:r>
    </w:p>
    <w:p>
      <w:pPr>
        <w:pStyle w:val="BodyText"/>
        <w:spacing w:line="300" w:lineRule="auto" w:before="76"/>
        <w:ind w:left="657" w:right="0"/>
        <w:jc w:val="left"/>
      </w:pPr>
      <w:r>
        <w:rPr/>
        <w:t>（</w:t>
      </w:r>
      <w:r>
        <w:rPr>
          <w:rFonts w:ascii="Times New Roman" w:hAnsi="Times New Roman" w:cs="Times New Roman" w:eastAsia="Times New Roman" w:hint="default"/>
        </w:rPr>
        <w:t>3</w:t>
      </w:r>
      <w:r>
        <w:rPr/>
        <w:t>）让渡资产使用权收入 </w:t>
      </w:r>
      <w:r>
        <w:rPr>
          <w:spacing w:val="-3"/>
        </w:rPr>
        <w:t>与交易相关的经济利益很可能流入企业，收入的金额能够可靠地计量时，分别下列情况确定让渡资产使用权收入金额：</w:t>
      </w:r>
    </w:p>
    <w:p>
      <w:pPr>
        <w:pStyle w:val="BodyText"/>
        <w:spacing w:line="240" w:lineRule="auto" w:before="31"/>
        <w:ind w:left="657" w:right="0"/>
        <w:jc w:val="left"/>
      </w:pPr>
      <w:r>
        <w:rPr/>
        <w:t>①利息收入金额，按照他人使用本企业货币资金的时间和实际利率计算确定。</w:t>
      </w:r>
    </w:p>
    <w:p>
      <w:pPr>
        <w:pStyle w:val="BodyText"/>
        <w:spacing w:line="240" w:lineRule="auto" w:before="76"/>
        <w:ind w:left="657" w:right="0"/>
        <w:jc w:val="left"/>
      </w:pPr>
      <w:r>
        <w:rPr/>
        <w:t>②使用费收入金额，按照有关合同或协议约定的收费时间和方法计算确定。</w:t>
      </w:r>
    </w:p>
    <w:p>
      <w:pPr>
        <w:pStyle w:val="BodyText"/>
        <w:spacing w:line="300" w:lineRule="auto" w:before="76"/>
        <w:ind w:left="657" w:right="1120"/>
        <w:jc w:val="left"/>
      </w:pPr>
      <w:r>
        <w:rPr/>
        <w:t>（</w:t>
      </w:r>
      <w:r>
        <w:rPr>
          <w:rFonts w:ascii="Times New Roman" w:hAnsi="Times New Roman" w:cs="Times New Roman" w:eastAsia="Times New Roman" w:hint="default"/>
        </w:rPr>
        <w:t>4</w:t>
      </w:r>
      <w:r>
        <w:rPr/>
        <w:t>）建造合同收入 </w:t>
      </w:r>
      <w:r>
        <w:rPr>
          <w:spacing w:val="-1"/>
        </w:rPr>
        <w:t>在建造合同的结果能够可靠估计的情况下，于资产负债表日根据完工百分比法确认合同收入和合同费用。完工百分比</w:t>
      </w:r>
    </w:p>
    <w:p>
      <w:pPr>
        <w:pStyle w:val="BodyText"/>
        <w:spacing w:line="316" w:lineRule="auto" w:before="31"/>
        <w:ind w:left="657" w:right="0" w:hanging="504"/>
        <w:jc w:val="left"/>
      </w:pPr>
      <w:r>
        <w:rPr/>
        <w:t>法根据合同完工进度确认收入与费用。合同完工进度按累计实际发生的合同成本占合同预计总成本的比例确定。 </w:t>
      </w:r>
      <w:r>
        <w:rPr>
          <w:spacing w:val="-3"/>
        </w:rPr>
        <w:t>如果建造合同的结果不能可靠地估计，但预计合同成本能够收回时，合同收入根据能够收回的实际合同成本予以确认，</w:t>
      </w:r>
    </w:p>
    <w:p>
      <w:pPr>
        <w:pStyle w:val="BodyText"/>
        <w:spacing w:line="316" w:lineRule="auto" w:before="19"/>
        <w:ind w:left="657" w:right="1033" w:hanging="504"/>
        <w:jc w:val="left"/>
      </w:pPr>
      <w:r>
        <w:rPr/>
        <w:t>合同成本在其发生的当期确认为合同费用；预计合同成本不可能收回时，在发生时立即确认为合同费用，不确认合同收入。 如果预计合同总成本超过合同总收入的，则将预计损失确认为当期费用。</w:t>
      </w:r>
    </w:p>
    <w:p>
      <w:pPr>
        <w:pStyle w:val="BodyText"/>
        <w:spacing w:line="240" w:lineRule="auto" w:before="19"/>
        <w:ind w:left="657" w:right="0"/>
        <w:jc w:val="left"/>
      </w:pPr>
      <w:r>
        <w:rPr/>
        <w:t>（</w:t>
      </w:r>
      <w:r>
        <w:rPr>
          <w:rFonts w:ascii="Times New Roman" w:hAnsi="Times New Roman" w:cs="Times New Roman" w:eastAsia="Times New Roman" w:hint="default"/>
        </w:rPr>
        <w:t>5</w:t>
      </w:r>
      <w:r>
        <w:rPr/>
        <w:t>）本公司收入确认的具体原则</w:t>
      </w:r>
    </w:p>
    <w:p>
      <w:pPr>
        <w:pStyle w:val="BodyText"/>
        <w:spacing w:line="316" w:lineRule="auto" w:before="63"/>
        <w:ind w:left="657" w:right="7369"/>
        <w:jc w:val="left"/>
      </w:pPr>
      <w:r>
        <w:rPr/>
        <w:t>①软件开发业务 本公司软件开发业务分为以下两类：</w:t>
      </w:r>
    </w:p>
    <w:p>
      <w:pPr>
        <w:pStyle w:val="BodyText"/>
        <w:spacing w:line="300" w:lineRule="auto" w:before="19"/>
        <w:ind w:right="1124" w:firstLine="504"/>
        <w:jc w:val="left"/>
      </w:pPr>
      <w:r>
        <w:rPr>
          <w:rFonts w:ascii="Times New Roman" w:hAnsi="Times New Roman" w:cs="Times New Roman" w:eastAsia="Times New Roman" w:hint="default"/>
        </w:rPr>
        <w:t>a.</w:t>
      </w:r>
      <w:r>
        <w:rPr/>
        <w:t>软件外包业务：软件外包业务分为软件定制业务和技术服务业务，其中软件定制业务按照合同约定提交软件开发成 果并经客户验收后确认收入；技术服务业务按照合同约定提供服务并经客户确认后确认收入。</w:t>
      </w:r>
    </w:p>
    <w:p>
      <w:pPr>
        <w:pStyle w:val="BodyText"/>
        <w:spacing w:line="240" w:lineRule="auto" w:before="31"/>
        <w:ind w:left="657" w:right="0"/>
        <w:jc w:val="left"/>
      </w:pPr>
      <w:r>
        <w:rPr>
          <w:rFonts w:ascii="Times New Roman" w:hAnsi="Times New Roman" w:cs="Times New Roman" w:eastAsia="Times New Roman" w:hint="default"/>
        </w:rPr>
        <w:t>b.</w:t>
      </w:r>
      <w:r>
        <w:rPr/>
        <w:t>自主软件产品销售：按照合同约定在产品交付并经客户验收后确认收入。</w:t>
      </w:r>
    </w:p>
    <w:p>
      <w:pPr>
        <w:pStyle w:val="BodyText"/>
        <w:spacing w:line="319" w:lineRule="auto" w:before="63"/>
        <w:ind w:left="657" w:right="1120"/>
        <w:jc w:val="left"/>
      </w:pPr>
      <w:r>
        <w:rPr/>
        <w:t>②外购产品销售业务 </w:t>
      </w:r>
      <w:r>
        <w:rPr>
          <w:spacing w:val="-1"/>
        </w:rPr>
        <w:t>合同约定需要安装的在产品安装完成并经客户验收后确认收入，合同约定不需要安装的以产品交付并经客户验收后确</w:t>
      </w:r>
    </w:p>
    <w:p>
      <w:pPr>
        <w:pStyle w:val="BodyText"/>
        <w:spacing w:line="240" w:lineRule="auto" w:before="17"/>
        <w:ind w:right="0"/>
        <w:jc w:val="left"/>
      </w:pPr>
      <w:r>
        <w:rPr/>
        <w:t>认收入。</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40</w:t>
      </w:r>
      <w:r>
        <w:rPr/>
        <w:t>、政府补助</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657" w:right="6469" w:firstLine="72"/>
        <w:jc w:val="left"/>
      </w:pPr>
      <w:r>
        <w:rPr/>
        <w:t>（</w:t>
      </w:r>
      <w:r>
        <w:rPr>
          <w:rFonts w:ascii="Times New Roman" w:hAnsi="Times New Roman" w:cs="Times New Roman" w:eastAsia="Times New Roman" w:hint="default"/>
        </w:rPr>
        <w:t>1</w:t>
      </w:r>
      <w:r>
        <w:rPr/>
        <w:t>）政府补助的确认 政府补助同时满足下列条件的，才能予以确认：</w:t>
      </w:r>
    </w:p>
    <w:p>
      <w:pPr>
        <w:pStyle w:val="BodyText"/>
        <w:spacing w:line="240" w:lineRule="auto" w:before="31"/>
        <w:ind w:left="657" w:right="0"/>
        <w:jc w:val="left"/>
      </w:pPr>
      <w:r>
        <w:rPr/>
        <w:t>①本公司能够满足政府补助所附条件；</w:t>
      </w:r>
    </w:p>
    <w:p>
      <w:pPr>
        <w:pStyle w:val="BodyText"/>
        <w:spacing w:line="240" w:lineRule="auto" w:before="76"/>
        <w:ind w:left="657" w:right="0"/>
        <w:jc w:val="left"/>
      </w:pPr>
      <w:r>
        <w:rPr/>
        <w:t>②本公司能够收到政府补助。</w:t>
      </w:r>
    </w:p>
    <w:p>
      <w:pPr>
        <w:pStyle w:val="BodyText"/>
        <w:spacing w:line="300" w:lineRule="auto" w:before="76"/>
        <w:ind w:left="657" w:right="1120"/>
        <w:jc w:val="left"/>
      </w:pPr>
      <w:r>
        <w:rPr/>
        <w:t>（</w:t>
      </w:r>
      <w:r>
        <w:rPr>
          <w:rFonts w:ascii="Times New Roman" w:hAnsi="Times New Roman" w:cs="Times New Roman" w:eastAsia="Times New Roman" w:hint="default"/>
        </w:rPr>
        <w:t>2</w:t>
      </w:r>
      <w:r>
        <w:rPr/>
        <w:t>）政府补助的计量 </w:t>
      </w:r>
      <w:r>
        <w:rPr>
          <w:spacing w:val="-1"/>
        </w:rPr>
        <w:t>政府补助为货币性资产的，按照收到或应收的金额计量。政府补助为非货币性资产的，按照公允价值计量；公允价值</w:t>
      </w:r>
    </w:p>
    <w:p>
      <w:pPr>
        <w:pStyle w:val="BodyText"/>
        <w:spacing w:line="240" w:lineRule="auto" w:before="32"/>
        <w:ind w:right="0"/>
        <w:jc w:val="left"/>
      </w:pPr>
      <w:r>
        <w:rPr/>
        <w:t>不能可靠取得的，按照名义金额计量。</w:t>
      </w:r>
    </w:p>
    <w:p>
      <w:pPr>
        <w:pStyle w:val="BodyText"/>
        <w:spacing w:line="240" w:lineRule="auto" w:before="76"/>
        <w:ind w:left="657" w:right="0"/>
        <w:jc w:val="left"/>
      </w:pPr>
      <w:r>
        <w:rPr/>
        <w:t>（</w:t>
      </w:r>
      <w:r>
        <w:rPr>
          <w:rFonts w:ascii="Times New Roman" w:hAnsi="Times New Roman" w:cs="Times New Roman" w:eastAsia="Times New Roman" w:hint="default"/>
        </w:rPr>
        <w:t>3</w:t>
      </w:r>
      <w:r>
        <w:rPr/>
        <w:t>）政府补助的会计处理</w:t>
      </w:r>
    </w:p>
    <w:p>
      <w:pPr>
        <w:pStyle w:val="BodyText"/>
        <w:spacing w:line="316" w:lineRule="auto" w:before="60"/>
        <w:ind w:left="657" w:right="1120"/>
        <w:jc w:val="left"/>
      </w:pPr>
      <w:r>
        <w:rPr/>
        <w:t>①与资产相关的政府补助 </w:t>
      </w:r>
      <w:r>
        <w:rPr>
          <w:spacing w:val="-1"/>
        </w:rPr>
        <w:t>公司取得的、用于购建或以其他方式形成长期资产的政府补助划分为与资产相关的政府补助。与资产相关的政府补助</w:t>
      </w:r>
    </w:p>
    <w:p>
      <w:pPr>
        <w:pStyle w:val="BodyText"/>
        <w:spacing w:line="316" w:lineRule="auto" w:before="19"/>
        <w:ind w:right="1129"/>
        <w:jc w:val="both"/>
      </w:pPr>
      <w:r>
        <w:rPr>
          <w:spacing w:val="-2"/>
        </w:rPr>
        <w:t>确认为递延收益，在相关资产使用期限内按照合理、系统的方法分期计入损益。按照名义金额计量的政府补助，直接计入当</w:t>
      </w:r>
      <w:r>
        <w:rPr>
          <w:spacing w:val="-65"/>
        </w:rPr>
        <w:t> </w:t>
      </w:r>
      <w:r>
        <w:rPr>
          <w:spacing w:val="-65"/>
        </w:rPr>
      </w:r>
      <w:r>
        <w:rPr>
          <w:spacing w:val="-2"/>
        </w:rPr>
        <w:t>期损益。相关资产在使用寿命结束前被出售、转让、报废或发生毁损的，将尚未分配的相关递延收益余额转入资产处置当期</w:t>
      </w:r>
      <w:r>
        <w:rPr>
          <w:spacing w:val="-63"/>
        </w:rPr>
        <w:t> </w:t>
      </w:r>
      <w:r>
        <w:rPr>
          <w:spacing w:val="-63"/>
        </w:rPr>
      </w:r>
      <w:r>
        <w:rPr/>
        <w:t>的损益。</w:t>
      </w:r>
    </w:p>
    <w:p>
      <w:pPr>
        <w:pStyle w:val="BodyText"/>
        <w:spacing w:line="316" w:lineRule="auto" w:before="19"/>
        <w:ind w:left="657" w:right="1120"/>
        <w:jc w:val="left"/>
      </w:pPr>
      <w:r>
        <w:rPr/>
        <w:t>②与收益相关的政府补助 </w:t>
      </w:r>
      <w:r>
        <w:rPr>
          <w:spacing w:val="-1"/>
        </w:rPr>
        <w:t>除与资产相关的政府补助之外的政府补助划分为与收益相关的政府补助。与收益相关的政府补助，分情况按照以下规</w:t>
      </w:r>
    </w:p>
    <w:p>
      <w:pPr>
        <w:pStyle w:val="BodyText"/>
        <w:spacing w:line="240" w:lineRule="auto" w:before="18"/>
        <w:ind w:right="0"/>
        <w:jc w:val="left"/>
      </w:pPr>
      <w:r>
        <w:rPr/>
        <w:t>定进行会计处理：</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20" w:firstLine="504"/>
        <w:jc w:val="left"/>
      </w:pPr>
      <w:r>
        <w:rPr>
          <w:spacing w:val="-1"/>
        </w:rPr>
        <w:t>用于补偿本公司以后期间的相关成本费用或损失的，确认为递延收益，并在确认相关成本费用或损失的期间，计入当</w:t>
      </w:r>
      <w:r>
        <w:rPr/>
        <w:t> 期损益；用于补偿本公司已发生的相关成本费用或损失的，直接计入当期损益。</w:t>
      </w:r>
    </w:p>
    <w:p>
      <w:pPr>
        <w:pStyle w:val="BodyText"/>
        <w:spacing w:line="316" w:lineRule="auto" w:before="19"/>
        <w:ind w:right="1120" w:firstLine="504"/>
        <w:jc w:val="left"/>
      </w:pPr>
      <w:r>
        <w:rPr>
          <w:spacing w:val="-1"/>
        </w:rPr>
        <w:t>对于同时包含与资产相关部分和与收益相关部分的政府补助，区分不同部分分别进行会计处理；难以区分的，整体归</w:t>
      </w:r>
      <w:r>
        <w:rPr/>
        <w:t> 类为与收益相关的政府补助。</w:t>
      </w:r>
    </w:p>
    <w:p>
      <w:pPr>
        <w:pStyle w:val="BodyText"/>
        <w:spacing w:line="316" w:lineRule="auto" w:before="19"/>
        <w:ind w:right="1120" w:firstLine="504"/>
        <w:jc w:val="left"/>
      </w:pPr>
      <w:r>
        <w:rPr>
          <w:spacing w:val="-1"/>
        </w:rPr>
        <w:t>与本公司日常活动相关的政府补助，按照经济业务实质，计入其他收益。与本公司日常活动无关的政府补助，计入营</w:t>
      </w:r>
      <w:r>
        <w:rPr/>
        <w:t> 业外收支。</w:t>
      </w:r>
    </w:p>
    <w:p>
      <w:pPr>
        <w:pStyle w:val="BodyText"/>
        <w:spacing w:line="316" w:lineRule="auto" w:before="19"/>
        <w:ind w:left="657" w:right="1120"/>
        <w:jc w:val="left"/>
      </w:pPr>
      <w:r>
        <w:rPr/>
        <w:t>③政策性优惠贷款贴息 </w:t>
      </w:r>
      <w:r>
        <w:rPr>
          <w:spacing w:val="-1"/>
        </w:rPr>
        <w:t>财政将贴息资金拨付给贷款银行，由贷款银行以政策性优惠利率向本公司提供贷款的，以实际收到的借款金额作为借</w:t>
      </w:r>
    </w:p>
    <w:p>
      <w:pPr>
        <w:pStyle w:val="BodyText"/>
        <w:spacing w:line="316" w:lineRule="auto" w:before="19"/>
        <w:ind w:left="657" w:right="4129" w:hanging="504"/>
        <w:jc w:val="left"/>
      </w:pPr>
      <w:r>
        <w:rPr/>
        <w:t>款的入账价值，按照借款本金和该政策性优惠利率计算相关借款费用。 财政将贴息资金直接拨付给本公司，本公司将对应的贴息冲减相关借款费用。</w:t>
      </w:r>
    </w:p>
    <w:p>
      <w:pPr>
        <w:pStyle w:val="BodyText"/>
        <w:spacing w:line="319" w:lineRule="auto" w:before="19"/>
        <w:ind w:left="657" w:right="0"/>
        <w:jc w:val="left"/>
      </w:pPr>
      <w:r>
        <w:rPr/>
        <w:t>④政府补助退回 </w:t>
      </w:r>
      <w:r>
        <w:rPr>
          <w:spacing w:val="-3"/>
        </w:rPr>
        <w:t>已确认的政府补助需要返还时，初始确认时冲减相关资产账面价值的，调整资产账面价值；存在相关递延收益余额的，</w:t>
      </w:r>
    </w:p>
    <w:p>
      <w:pPr>
        <w:pStyle w:val="BodyText"/>
        <w:spacing w:line="240" w:lineRule="auto" w:before="17"/>
        <w:ind w:right="0"/>
        <w:jc w:val="left"/>
      </w:pPr>
      <w:r>
        <w:rPr/>
        <w:t>冲减相关递延收益账面余额，超出部分计入当期损益；属于其他情况的，直接计入当期损益。</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132" w:firstLine="504"/>
        <w:jc w:val="both"/>
      </w:pPr>
      <w:r>
        <w:rPr>
          <w:spacing w:val="-1"/>
        </w:rPr>
        <w:t>本公司通常根据资产与负债在资产负债表日的账面价值与计税基础之间的暂时性差异，采用资产负债表债务法将应纳</w:t>
      </w:r>
      <w:r>
        <w:rPr/>
        <w:t> </w:t>
      </w:r>
      <w:r>
        <w:rPr>
          <w:spacing w:val="-2"/>
        </w:rPr>
        <w:t>税暂时性差异或可抵扣暂时性差异对所得税的影响额确认和计量递延所得税负债或递延所得税资产。本公司不对递延所得税</w:t>
      </w:r>
      <w:r>
        <w:rPr>
          <w:spacing w:val="-64"/>
        </w:rPr>
        <w:t> </w:t>
      </w:r>
      <w:r>
        <w:rPr>
          <w:spacing w:val="-64"/>
        </w:rPr>
      </w:r>
      <w:r>
        <w:rPr/>
        <w:t>资产和递延所得税负债进行折现。</w:t>
      </w:r>
    </w:p>
    <w:p>
      <w:pPr>
        <w:pStyle w:val="BodyText"/>
        <w:spacing w:line="300" w:lineRule="auto" w:before="19"/>
        <w:ind w:left="657" w:right="1120"/>
        <w:jc w:val="left"/>
      </w:pPr>
      <w:r>
        <w:rPr/>
        <w:t>（</w:t>
      </w:r>
      <w:r>
        <w:rPr>
          <w:rFonts w:ascii="Times New Roman" w:hAnsi="Times New Roman" w:cs="Times New Roman" w:eastAsia="Times New Roman" w:hint="default"/>
        </w:rPr>
        <w:t>1</w:t>
      </w:r>
      <w:r>
        <w:rPr/>
        <w:t>）递延所得税资产的确认 </w:t>
      </w:r>
      <w:r>
        <w:rPr>
          <w:spacing w:val="-1"/>
        </w:rPr>
        <w:t>对于可抵扣暂时性差异、能够结转以后年度的可抵扣亏损和税款抵减，其对所得税的影响额按预计转回期间的所得税</w:t>
      </w:r>
    </w:p>
    <w:p>
      <w:pPr>
        <w:pStyle w:val="BodyText"/>
        <w:spacing w:line="316" w:lineRule="auto" w:before="31"/>
        <w:ind w:right="0"/>
        <w:jc w:val="left"/>
      </w:pPr>
      <w:r>
        <w:rPr>
          <w:spacing w:val="-2"/>
        </w:rPr>
        <w:t>税率计算，并将该影响额确认为递延所得税资产，但是以本公司很可能取得用来抵扣可抵扣暂时性差异、可抵扣亏损和税款</w:t>
      </w:r>
      <w:r>
        <w:rPr>
          <w:spacing w:val="-63"/>
        </w:rPr>
        <w:t> </w:t>
      </w:r>
      <w:r>
        <w:rPr>
          <w:spacing w:val="-63"/>
        </w:rPr>
      </w:r>
      <w:r>
        <w:rPr/>
        <w:t>抵减的未来应纳税所得额为限。</w:t>
      </w:r>
    </w:p>
    <w:p>
      <w:pPr>
        <w:pStyle w:val="BodyText"/>
        <w:spacing w:line="316" w:lineRule="auto" w:before="19"/>
        <w:ind w:right="1249" w:firstLine="504"/>
        <w:jc w:val="left"/>
      </w:pPr>
      <w:r>
        <w:rPr/>
        <w:t>同时具有下列特征的交易或事项中因资产或负债的初始确认所产生的可抵扣暂时性差异对所得税的影响额不确认为 递延所得税资产：</w:t>
      </w:r>
    </w:p>
    <w:p>
      <w:pPr>
        <w:pStyle w:val="BodyText"/>
        <w:spacing w:line="240" w:lineRule="auto" w:before="19"/>
        <w:ind w:left="659" w:right="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6"/>
        </w:rPr>
        <w:t> </w:t>
      </w:r>
      <w:r>
        <w:rPr/>
        <w:t>该项交易不是企业合并；</w:t>
      </w:r>
    </w:p>
    <w:p>
      <w:pPr>
        <w:pStyle w:val="BodyText"/>
        <w:spacing w:line="300" w:lineRule="auto" w:before="63"/>
        <w:ind w:left="657" w:right="112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7"/>
        </w:rPr>
        <w:t> </w:t>
      </w:r>
      <w:r>
        <w:rPr/>
        <w:t>交易发生时既不影响会计利润也不影响应纳税所得额（或可抵扣亏损）。 </w:t>
      </w:r>
      <w:r>
        <w:rPr>
          <w:spacing w:val="-1"/>
        </w:rPr>
        <w:t>本公司对与子公司、联营公司及合营企业投资相关的可抵扣暂时性差异，同时满足下列两项条件的，其对所得税的影</w:t>
      </w:r>
    </w:p>
    <w:p>
      <w:pPr>
        <w:pStyle w:val="BodyText"/>
        <w:spacing w:line="240" w:lineRule="auto" w:before="31"/>
        <w:ind w:right="0"/>
        <w:jc w:val="left"/>
      </w:pPr>
      <w:r>
        <w:rPr/>
        <w:t>响额（才能）确认为递延所得税资产：</w:t>
      </w:r>
    </w:p>
    <w:p>
      <w:pPr>
        <w:pStyle w:val="BodyText"/>
        <w:spacing w:line="240" w:lineRule="auto" w:before="76"/>
        <w:ind w:left="659" w:right="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6"/>
        </w:rPr>
        <w:t> </w:t>
      </w:r>
      <w:r>
        <w:rPr/>
        <w:t>暂时性差异在可预见的未来很可能转回；</w:t>
      </w:r>
    </w:p>
    <w:p>
      <w:pPr>
        <w:pStyle w:val="BodyText"/>
        <w:spacing w:line="300" w:lineRule="auto" w:before="63"/>
        <w:ind w:left="657" w:right="112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7"/>
        </w:rPr>
        <w:t> </w:t>
      </w:r>
      <w:r>
        <w:rPr/>
        <w:t>未来很可能获得用来抵扣可抵扣暂时性差异的应纳税所得额； </w:t>
      </w:r>
      <w:r>
        <w:rPr>
          <w:spacing w:val="-1"/>
        </w:rPr>
        <w:t>资产负债表日，有确凿证据表明未来期间很可能获得足够的应纳税所得额用来抵扣可抵扣暂时性差异的，确认以前期</w:t>
      </w:r>
    </w:p>
    <w:p>
      <w:pPr>
        <w:pStyle w:val="BodyText"/>
        <w:spacing w:line="316" w:lineRule="auto" w:before="31"/>
        <w:ind w:left="657" w:right="1120" w:hanging="504"/>
        <w:jc w:val="left"/>
      </w:pPr>
      <w:r>
        <w:rPr/>
        <w:t>间未确认的递延所得税资产。 </w:t>
      </w:r>
      <w:r>
        <w:rPr>
          <w:spacing w:val="-1"/>
        </w:rPr>
        <w:t>在资产负债表日，本公司对递延所得税资产的账面价值进行复核。如果未来期间很可能无法获得足够的应纳税所得额</w:t>
      </w:r>
    </w:p>
    <w:p>
      <w:pPr>
        <w:pStyle w:val="BodyText"/>
        <w:spacing w:line="316" w:lineRule="auto" w:before="19"/>
        <w:ind w:right="1117"/>
        <w:jc w:val="left"/>
      </w:pPr>
      <w:r>
        <w:rPr>
          <w:spacing w:val="-2"/>
        </w:rPr>
        <w:t>用以抵扣递延所得税资产的利益，减记递延所得税资产的账面价值。在很可能获得足够的应纳税所得额时，减记的金额予以</w:t>
      </w:r>
      <w:r>
        <w:rPr>
          <w:spacing w:val="-63"/>
        </w:rPr>
        <w:t> </w:t>
      </w:r>
      <w:r>
        <w:rPr>
          <w:spacing w:val="-63"/>
        </w:rPr>
      </w:r>
      <w:r>
        <w:rPr/>
        <w:t>转回。</w:t>
      </w:r>
    </w:p>
    <w:p>
      <w:pPr>
        <w:pStyle w:val="BodyText"/>
        <w:spacing w:line="300" w:lineRule="auto" w:before="16"/>
        <w:ind w:left="657" w:right="1120"/>
        <w:jc w:val="left"/>
      </w:pPr>
      <w:r>
        <w:rPr/>
        <w:t>（</w:t>
      </w:r>
      <w:r>
        <w:rPr>
          <w:rFonts w:ascii="Times New Roman" w:hAnsi="Times New Roman" w:cs="Times New Roman" w:eastAsia="Times New Roman" w:hint="default"/>
        </w:rPr>
        <w:t>2</w:t>
      </w:r>
      <w:r>
        <w:rPr/>
        <w:t>）递延所得税负债的确认 </w:t>
      </w:r>
      <w:r>
        <w:rPr>
          <w:spacing w:val="-1"/>
        </w:rPr>
        <w:t>本公司所有应纳税暂时性差异均按预计转回期间的所得税税率计量对所得税的影响，并将该影响额确认为递延所得税</w:t>
      </w:r>
    </w:p>
    <w:p>
      <w:pPr>
        <w:pStyle w:val="BodyText"/>
        <w:spacing w:line="240" w:lineRule="auto" w:before="31"/>
        <w:ind w:right="0"/>
        <w:jc w:val="left"/>
      </w:pPr>
      <w:r>
        <w:rPr/>
        <w:t>负债，但下列情况的除外：</w:t>
      </w:r>
    </w:p>
    <w:p>
      <w:pPr>
        <w:pStyle w:val="BodyText"/>
        <w:spacing w:line="240" w:lineRule="auto" w:before="76"/>
        <w:ind w:left="657" w:right="0"/>
        <w:jc w:val="left"/>
      </w:pPr>
      <w:r>
        <w:rPr/>
        <w:t>①因下列交易或事项中产生的应纳税暂时性差异对所得税的影响不确认为递延所得税负债：</w:t>
      </w:r>
    </w:p>
    <w:p>
      <w:pPr>
        <w:pStyle w:val="BodyText"/>
        <w:spacing w:line="300" w:lineRule="auto" w:before="76"/>
        <w:ind w:left="657" w:right="0" w:firstLine="2"/>
        <w:jc w:val="left"/>
      </w:pPr>
      <w:r>
        <w:rPr>
          <w:rFonts w:ascii="Times New Roman" w:hAnsi="Times New Roman" w:cs="Times New Roman" w:eastAsia="Times New Roman" w:hint="default"/>
        </w:rPr>
        <w:t>A.</w:t>
      </w:r>
      <w:r>
        <w:rPr/>
        <w:t>商誉的初始确认； </w:t>
      </w:r>
      <w:r>
        <w:rPr>
          <w:rFonts w:ascii="Times New Roman" w:hAnsi="Times New Roman" w:cs="Times New Roman" w:eastAsia="Times New Roman" w:hint="default"/>
          <w:spacing w:val="-1"/>
        </w:rPr>
        <w:t>B.</w:t>
      </w:r>
      <w:r>
        <w:rPr>
          <w:spacing w:val="-1"/>
        </w:rPr>
        <w:t>具有以下特征的交易中产生的资产或负债的初始确认：该交易不是企业合并，并且交易发生时既不影响会计利润也</w:t>
      </w:r>
    </w:p>
    <w:p>
      <w:pPr>
        <w:pStyle w:val="BodyText"/>
        <w:spacing w:line="240" w:lineRule="auto" w:before="13"/>
        <w:ind w:right="0"/>
        <w:jc w:val="left"/>
      </w:pPr>
      <w:r>
        <w:rPr/>
        <w:t>不影响应纳税所得额或可抵扣亏损。</w:t>
      </w:r>
    </w:p>
    <w:p>
      <w:pPr>
        <w:pStyle w:val="BodyText"/>
        <w:spacing w:line="240" w:lineRule="auto" w:before="76"/>
        <w:ind w:left="657" w:right="0"/>
        <w:jc w:val="left"/>
      </w:pPr>
      <w:r>
        <w:rPr/>
        <w:t>②本公司对与子公司、合营企业及联营企业投资相关的应纳税暂时性差异，其对所得税的影响额一般确认为递延所得</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9" w:lineRule="auto" w:before="44"/>
        <w:ind w:left="657" w:right="6304" w:hanging="504"/>
        <w:jc w:val="left"/>
      </w:pPr>
      <w:r>
        <w:rPr/>
        <w:t>税负债，但同时满足以下两项条件的除外： </w:t>
      </w:r>
      <w:r>
        <w:rPr>
          <w:rFonts w:ascii="Times New Roman" w:hAnsi="Times New Roman" w:cs="Times New Roman" w:eastAsia="Times New Roman" w:hint="default"/>
        </w:rPr>
        <w:t>A.</w:t>
      </w:r>
      <w:r>
        <w:rPr/>
        <w:t>本公司能够控制暂时性差异转回的时间； </w:t>
      </w:r>
      <w:r>
        <w:rPr>
          <w:rFonts w:ascii="Times New Roman" w:hAnsi="Times New Roman" w:cs="Times New Roman" w:eastAsia="Times New Roman" w:hint="default"/>
        </w:rPr>
        <w:t>B.</w:t>
      </w:r>
      <w:r>
        <w:rPr/>
        <w:t>该暂时性差异在可预见的未来很可能不会转回。</w:t>
      </w:r>
    </w:p>
    <w:p>
      <w:pPr>
        <w:pStyle w:val="BodyText"/>
        <w:spacing w:line="240" w:lineRule="auto" w:before="5"/>
        <w:ind w:left="657" w:right="0"/>
        <w:jc w:val="left"/>
      </w:pPr>
      <w:r>
        <w:rPr/>
        <w:t>（</w:t>
      </w:r>
      <w:r>
        <w:rPr>
          <w:rFonts w:ascii="Times New Roman" w:hAnsi="Times New Roman" w:cs="Times New Roman" w:eastAsia="Times New Roman" w:hint="default"/>
        </w:rPr>
        <w:t>3</w:t>
      </w:r>
      <w:r>
        <w:rPr/>
        <w:t>）特定交易或事项所涉及的递延所得税负债或资产的确认</w:t>
      </w:r>
    </w:p>
    <w:p>
      <w:pPr>
        <w:pStyle w:val="BodyText"/>
        <w:spacing w:line="316" w:lineRule="auto" w:before="63"/>
        <w:ind w:left="657" w:right="1120"/>
        <w:jc w:val="left"/>
      </w:pPr>
      <w:r>
        <w:rPr/>
        <w:t>①与企业合并相关的递延所得税负债或资产 </w:t>
      </w:r>
      <w:r>
        <w:rPr>
          <w:spacing w:val="-1"/>
        </w:rPr>
        <w:t>非同一控制下企业合并产生的应纳税暂时性差异或可抵扣暂时性差异，在确认递延所得税负债或递延所得税资产的同</w:t>
      </w:r>
    </w:p>
    <w:p>
      <w:pPr>
        <w:pStyle w:val="BodyText"/>
        <w:spacing w:line="240" w:lineRule="auto" w:before="19"/>
        <w:ind w:right="0"/>
        <w:jc w:val="both"/>
      </w:pPr>
      <w:r>
        <w:rPr/>
        <w:t>时，相关的递延所得税费用（或收益），通常调整企业合并中所确认的商誉。</w:t>
      </w:r>
    </w:p>
    <w:p>
      <w:pPr>
        <w:pStyle w:val="BodyText"/>
        <w:spacing w:line="316" w:lineRule="auto" w:before="76"/>
        <w:ind w:left="657" w:right="1120"/>
        <w:jc w:val="left"/>
      </w:pPr>
      <w:r>
        <w:rPr/>
        <w:t>②直接计入所有者权益的项目 </w:t>
      </w:r>
      <w:r>
        <w:rPr>
          <w:spacing w:val="-1"/>
        </w:rPr>
        <w:t>与直接计入所有者权益的交易或者事项相关的当期所得税和递延所得税，计入所有者权益。暂时性差异对所得税的影</w:t>
      </w:r>
    </w:p>
    <w:p>
      <w:pPr>
        <w:pStyle w:val="BodyText"/>
        <w:spacing w:line="319" w:lineRule="auto" w:before="19"/>
        <w:ind w:right="1132"/>
        <w:jc w:val="both"/>
      </w:pPr>
      <w:r>
        <w:rPr>
          <w:spacing w:val="-2"/>
        </w:rPr>
        <w:t>响计入所有者权益的交易或事项包括：可供出售金融资产公允价值变动等形成的其他综合收益、会计政策变更采用追溯调整</w:t>
      </w:r>
      <w:r>
        <w:rPr>
          <w:spacing w:val="-64"/>
        </w:rPr>
        <w:t> </w:t>
      </w:r>
      <w:r>
        <w:rPr>
          <w:spacing w:val="-64"/>
        </w:rPr>
      </w:r>
      <w:r>
        <w:rPr>
          <w:spacing w:val="-2"/>
        </w:rPr>
        <w:t>法或对前期（重要）会计差错更正差异追溯重述法调整期初留存收益、同时包含负债成份及权益成份的混合金融工具在初始</w:t>
      </w:r>
      <w:r>
        <w:rPr>
          <w:spacing w:val="-66"/>
        </w:rPr>
        <w:t> </w:t>
      </w:r>
      <w:r>
        <w:rPr>
          <w:spacing w:val="-66"/>
        </w:rPr>
      </w:r>
      <w:r>
        <w:rPr/>
        <w:t>确认时计入所有者权益等。</w:t>
      </w:r>
    </w:p>
    <w:p>
      <w:pPr>
        <w:pStyle w:val="BodyText"/>
        <w:spacing w:line="240" w:lineRule="auto" w:before="17"/>
        <w:ind w:left="657" w:right="0"/>
        <w:jc w:val="left"/>
      </w:pPr>
      <w:r>
        <w:rPr/>
        <w:t>③可弥补亏损和税款抵减</w:t>
      </w:r>
    </w:p>
    <w:p>
      <w:pPr>
        <w:pStyle w:val="BodyText"/>
        <w:spacing w:line="300" w:lineRule="auto" w:before="76"/>
        <w:ind w:left="657" w:right="1120" w:firstLine="2"/>
        <w:jc w:val="left"/>
      </w:pPr>
      <w:r>
        <w:rPr>
          <w:rFonts w:ascii="Times New Roman" w:hAnsi="Times New Roman" w:cs="Times New Roman" w:eastAsia="Times New Roman" w:hint="default"/>
        </w:rPr>
        <w:t>A.</w:t>
      </w:r>
      <w:r>
        <w:rPr/>
        <w:t>本公司自身经营产生的可弥补亏损以及税款抵减 </w:t>
      </w:r>
      <w:r>
        <w:rPr>
          <w:spacing w:val="-1"/>
        </w:rPr>
        <w:t>可抵扣亏损是指按照税法规定计算确定的准予用以后年度的应纳税所得额弥补的亏损。对于按照税法规定可以结转以</w:t>
      </w:r>
    </w:p>
    <w:p>
      <w:pPr>
        <w:pStyle w:val="BodyText"/>
        <w:spacing w:line="316" w:lineRule="auto" w:before="31"/>
        <w:ind w:right="1128"/>
        <w:jc w:val="both"/>
      </w:pPr>
      <w:r>
        <w:rPr>
          <w:spacing w:val="-2"/>
        </w:rPr>
        <w:t>后年度的未弥补亏损（可抵扣亏损）和税款抵减，视同可抵扣暂时性差异处理。在预计可利用可弥补亏损或税款抵减的未来</w:t>
      </w:r>
      <w:r>
        <w:rPr>
          <w:spacing w:val="-64"/>
        </w:rPr>
        <w:t> </w:t>
      </w:r>
      <w:r>
        <w:rPr>
          <w:spacing w:val="-64"/>
        </w:rPr>
      </w:r>
      <w:r>
        <w:rPr>
          <w:spacing w:val="-2"/>
        </w:rPr>
        <w:t>期间内很可能取得足够的应纳税所得额时，以很可能取得的应纳税所得额为限，确认相应的递延所得税资产，同时减少当期</w:t>
      </w:r>
      <w:r>
        <w:rPr>
          <w:spacing w:val="-62"/>
        </w:rPr>
        <w:t> </w:t>
      </w:r>
      <w:r>
        <w:rPr>
          <w:spacing w:val="-62"/>
        </w:rPr>
      </w:r>
      <w:r>
        <w:rPr/>
        <w:t>利润表中的所得税费用。</w:t>
      </w:r>
    </w:p>
    <w:p>
      <w:pPr>
        <w:pStyle w:val="BodyText"/>
        <w:spacing w:line="300" w:lineRule="auto" w:before="19"/>
        <w:ind w:left="657" w:right="0"/>
        <w:jc w:val="left"/>
      </w:pPr>
      <w:r>
        <w:rPr>
          <w:rFonts w:ascii="Times New Roman" w:hAnsi="Times New Roman" w:cs="Times New Roman" w:eastAsia="Times New Roman" w:hint="default"/>
        </w:rPr>
        <w:t>B.</w:t>
      </w:r>
      <w:r>
        <w:rPr/>
        <w:t>因企业合并而形成的可弥补的被合并企业的未弥补亏损 </w:t>
      </w:r>
      <w:r>
        <w:rPr>
          <w:spacing w:val="-3"/>
        </w:rPr>
        <w:t>在企业合并中，本公司取得被购买方的可抵扣暂时性差异，在购买日不符合递延所得税资产确认条件的，不予以确认。</w:t>
      </w:r>
    </w:p>
    <w:p>
      <w:pPr>
        <w:pStyle w:val="BodyText"/>
        <w:spacing w:line="309" w:lineRule="auto" w:before="31"/>
        <w:ind w:right="1132"/>
        <w:jc w:val="both"/>
      </w:pPr>
      <w:r>
        <w:rPr>
          <w:spacing w:val="-2"/>
        </w:rPr>
        <w:t>购买日后</w:t>
      </w:r>
      <w:r>
        <w:rPr>
          <w:rFonts w:ascii="Times New Roman" w:hAnsi="Times New Roman" w:cs="Times New Roman" w:eastAsia="Times New Roman" w:hint="default"/>
          <w:spacing w:val="-2"/>
        </w:rPr>
        <w:t>12</w:t>
      </w:r>
      <w:r>
        <w:rPr>
          <w:spacing w:val="-2"/>
        </w:rPr>
        <w:t>个月内，如取得新的或进一步的信息表明购买日的相关情况已经存在，预期被购买方在购买日可抵扣暂时性差异</w:t>
      </w:r>
      <w:r>
        <w:rPr>
          <w:spacing w:val="-63"/>
        </w:rPr>
        <w:t> </w:t>
      </w:r>
      <w:r>
        <w:rPr>
          <w:spacing w:val="-63"/>
        </w:rPr>
      </w:r>
      <w:r>
        <w:rPr>
          <w:spacing w:val="-2"/>
        </w:rPr>
        <w:t>带来的经济利益能够实现的，确认相关的递延所得税资产，同时减少商誉，商誉不足冲减的，差额部分确认为当期损益；除</w:t>
      </w:r>
      <w:r>
        <w:rPr>
          <w:spacing w:val="-67"/>
        </w:rPr>
        <w:t> </w:t>
      </w:r>
      <w:r>
        <w:rPr>
          <w:spacing w:val="-67"/>
        </w:rPr>
      </w:r>
      <w:r>
        <w:rPr/>
        <w:t>上述情况以外，确认与企业合并相关的递延所得税资产，计入当期损益。</w:t>
      </w:r>
    </w:p>
    <w:p>
      <w:pPr>
        <w:pStyle w:val="BodyText"/>
        <w:spacing w:line="316" w:lineRule="auto" w:before="24"/>
        <w:ind w:left="657" w:right="1120"/>
        <w:jc w:val="left"/>
      </w:pPr>
      <w:r>
        <w:rPr/>
        <w:t>④合并抵销形成的暂时性差异 </w:t>
      </w:r>
      <w:r>
        <w:rPr>
          <w:spacing w:val="-1"/>
        </w:rPr>
        <w:t>本公司在编制合并财务报表时，因抵销未实现内部销售损益导致合并资产负债表中资产、负债的账面价值与其在所属</w:t>
      </w:r>
    </w:p>
    <w:p>
      <w:pPr>
        <w:pStyle w:val="BodyText"/>
        <w:spacing w:line="316" w:lineRule="auto" w:before="19"/>
        <w:ind w:right="1132"/>
        <w:jc w:val="both"/>
      </w:pPr>
      <w:r>
        <w:rPr>
          <w:spacing w:val="-2"/>
        </w:rPr>
        <w:t>纳税主体的计税基础之间产生暂时性差异的，在合并资产负债表中确认递延所得税资产或递延所得税负债，同时调整合并利</w:t>
      </w:r>
      <w:r>
        <w:rPr>
          <w:spacing w:val="-64"/>
        </w:rPr>
        <w:t> </w:t>
      </w:r>
      <w:r>
        <w:rPr>
          <w:spacing w:val="-64"/>
        </w:rPr>
      </w:r>
      <w:r>
        <w:rPr/>
        <w:t>润表中的所得税费用，但与直接计入所有者权益的交易或事项及企业合并相关的递延所得税除外。</w:t>
      </w:r>
    </w:p>
    <w:p>
      <w:pPr>
        <w:pStyle w:val="BodyText"/>
        <w:spacing w:line="316" w:lineRule="auto" w:before="19"/>
        <w:ind w:left="657" w:right="1120"/>
        <w:jc w:val="left"/>
      </w:pPr>
      <w:r>
        <w:rPr/>
        <w:t>⑤以权益结算的股份支付 </w:t>
      </w:r>
      <w:r>
        <w:rPr>
          <w:spacing w:val="-1"/>
        </w:rPr>
        <w:t>如果税法规定与股份支付相关的支出允许税前扣除，在按照会计准则规定确认成本费用的期间内，本公司根据会计期</w:t>
      </w:r>
    </w:p>
    <w:p>
      <w:pPr>
        <w:pStyle w:val="BodyText"/>
        <w:spacing w:line="316" w:lineRule="auto" w:before="19"/>
        <w:ind w:right="1132"/>
        <w:jc w:val="both"/>
      </w:pPr>
      <w:r>
        <w:rPr>
          <w:spacing w:val="-2"/>
        </w:rPr>
        <w:t>末取得信息估计可税前扣除的金额计算确定其计税基础及由此产生的暂时性差异，符合确认条件的情况下确认相关的递延所</w:t>
      </w:r>
      <w:r>
        <w:rPr>
          <w:spacing w:val="-64"/>
        </w:rPr>
        <w:t> </w:t>
      </w:r>
      <w:r>
        <w:rPr>
          <w:spacing w:val="-64"/>
        </w:rPr>
      </w:r>
      <w:r>
        <w:rPr>
          <w:spacing w:val="-2"/>
        </w:rPr>
        <w:t>得税。其中预计未来期间可税前扣除的金额超过按照会计准则规定确认的与股份支付相关的成本费用，超过部分的所得税影</w:t>
      </w:r>
      <w:r>
        <w:rPr>
          <w:spacing w:val="-64"/>
        </w:rPr>
        <w:t> </w:t>
      </w:r>
      <w:r>
        <w:rPr>
          <w:spacing w:val="-64"/>
        </w:rPr>
      </w:r>
      <w:r>
        <w:rPr/>
        <w:t>响应直接计入所有者权益。</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42</w:t>
      </w:r>
      <w:r>
        <w:rPr/>
        <w:t>、租赁</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130" w:firstLine="504"/>
        <w:jc w:val="both"/>
      </w:pPr>
      <w:r>
        <w:rPr>
          <w:spacing w:val="-1"/>
        </w:rPr>
        <w:t>①本公司作为经营租赁承租人时，将经营租赁的租金支出，在租赁期内各个期间按照直线法或根据租赁资产的使用量</w:t>
      </w:r>
      <w:r>
        <w:rPr/>
        <w:t> </w:t>
      </w:r>
      <w:r>
        <w:rPr>
          <w:spacing w:val="-2"/>
        </w:rPr>
        <w:t>计入当期损益。出租人提供免租期的，本公司将租金总额在不扣除免租期的整个租赁期内，按直线法或其他合理的方法进行</w:t>
      </w:r>
      <w:r>
        <w:rPr>
          <w:spacing w:val="-63"/>
        </w:rPr>
        <w:t> </w:t>
      </w:r>
      <w:r>
        <w:rPr>
          <w:spacing w:val="-63"/>
        </w:rPr>
      </w:r>
      <w:r>
        <w:rPr>
          <w:spacing w:val="-2"/>
        </w:rPr>
        <w:t>分摊，免租期内确认租金费用及相应的负债。出租人承担了承租人某些费用的，本公司按该费用从租金费用总额中扣除后的</w:t>
      </w:r>
      <w:r>
        <w:rPr>
          <w:spacing w:val="-63"/>
        </w:rPr>
        <w:t> </w:t>
      </w:r>
      <w:r>
        <w:rPr>
          <w:spacing w:val="-63"/>
        </w:rPr>
      </w:r>
      <w:r>
        <w:rPr/>
        <w:t>租金费用余额在租赁期内进行分摊。</w:t>
      </w:r>
    </w:p>
    <w:p>
      <w:pPr>
        <w:pStyle w:val="BodyText"/>
        <w:spacing w:line="240" w:lineRule="auto" w:before="19"/>
        <w:ind w:left="657" w:right="0"/>
        <w:jc w:val="left"/>
      </w:pPr>
      <w:r>
        <w:rPr/>
        <w:t>初始直接费用，计入当期损益。如协议约定或有租金的在实际发生时计入当期损益。</w:t>
      </w:r>
    </w:p>
    <w:p>
      <w:pPr>
        <w:pStyle w:val="BodyText"/>
        <w:spacing w:line="316" w:lineRule="auto" w:before="76"/>
        <w:ind w:right="1130" w:firstLine="504"/>
        <w:jc w:val="both"/>
      </w:pPr>
      <w:r>
        <w:rPr>
          <w:spacing w:val="-1"/>
        </w:rPr>
        <w:t>②本公司作为经营租赁出租人时，采用直线法将收到的租金在租赁期内确认为收益。出租人提供免租期的，出租人将</w:t>
      </w:r>
      <w:r>
        <w:rPr/>
        <w:t> </w:t>
      </w:r>
      <w:r>
        <w:rPr>
          <w:spacing w:val="-2"/>
        </w:rPr>
        <w:t>租金总额在不扣除免租期的整个租赁期内，按直线法或其他合理的方法进行分配，免租期内出租人也确认租金收入。承担了</w:t>
      </w:r>
    </w:p>
    <w:p>
      <w:pPr>
        <w:spacing w:after="0" w:line="316"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left="657" w:right="1120" w:hanging="504"/>
        <w:jc w:val="left"/>
      </w:pPr>
      <w:r>
        <w:rPr/>
        <w:t>承租人某些费用的，本公司按该费用自租金收入总额中扣除后的租金收入余额在租赁期内进行分配。 </w:t>
      </w:r>
      <w:r>
        <w:rPr>
          <w:spacing w:val="-1"/>
        </w:rPr>
        <w:t>初始直接费用，计入当期损益。金额较大的予以资本化，在整个经营租赁期内按照与确认租金收入相同的基础分期计</w:t>
      </w:r>
    </w:p>
    <w:p>
      <w:pPr>
        <w:pStyle w:val="BodyText"/>
        <w:spacing w:line="240" w:lineRule="auto" w:before="19"/>
        <w:ind w:right="0"/>
        <w:jc w:val="left"/>
      </w:pPr>
      <w:r>
        <w:rPr/>
        <w:t>入当期损益。如协议约定或有租金的在实际发生时计入当期收益。</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130" w:firstLine="504"/>
        <w:jc w:val="both"/>
      </w:pPr>
      <w:r>
        <w:rPr>
          <w:spacing w:val="-1"/>
        </w:rPr>
        <w:t>①本公司作为融资租赁承租人时，在租赁期开始日，将租赁开始日租赁资产公允价值与最低租赁付款额现值两者中较</w:t>
      </w:r>
      <w:r>
        <w:rPr/>
        <w:t> </w:t>
      </w:r>
      <w:r>
        <w:rPr>
          <w:spacing w:val="-2"/>
        </w:rPr>
        <w:t>低者作为租入资产的入账价值，将最低租赁付款额作为长期应付款的入账价值，其差额作为未确认融资费用。在租赁期内各</w:t>
      </w:r>
      <w:r>
        <w:rPr>
          <w:spacing w:val="-63"/>
        </w:rPr>
        <w:t> </w:t>
      </w:r>
      <w:r>
        <w:rPr>
          <w:spacing w:val="-63"/>
        </w:rPr>
      </w:r>
      <w:r>
        <w:rPr/>
        <w:t>个期间采用实际利率法进行分摊，确认为当期融资费用，计入财务费用。</w:t>
      </w:r>
    </w:p>
    <w:p>
      <w:pPr>
        <w:pStyle w:val="BodyText"/>
        <w:spacing w:line="316" w:lineRule="auto" w:before="19"/>
        <w:ind w:left="657" w:right="1120"/>
        <w:jc w:val="left"/>
      </w:pPr>
      <w:r>
        <w:rPr/>
        <w:t>发生的初始直接费用，计入租入资产价值。 </w:t>
      </w:r>
      <w:r>
        <w:rPr>
          <w:spacing w:val="-1"/>
        </w:rPr>
        <w:t>在计提融资租赁资产折旧时，本公司采用与自有应折旧资产相一致的折旧政策，折旧期间以租赁合同而定。如果能够</w:t>
      </w:r>
    </w:p>
    <w:p>
      <w:pPr>
        <w:pStyle w:val="BodyText"/>
        <w:spacing w:line="319" w:lineRule="auto" w:before="19"/>
        <w:ind w:right="0"/>
        <w:jc w:val="left"/>
      </w:pPr>
      <w:r>
        <w:rPr>
          <w:spacing w:val="-2"/>
        </w:rPr>
        <w:t>合理确定租赁期届满时本公司将会取得租赁资产所有权，以租赁期开始日租赁资产的寿命作为折旧期间；如果无法合理确定</w:t>
      </w:r>
      <w:r>
        <w:rPr>
          <w:spacing w:val="-64"/>
        </w:rPr>
        <w:t> </w:t>
      </w:r>
      <w:r>
        <w:rPr>
          <w:spacing w:val="-64"/>
        </w:rPr>
      </w:r>
      <w:r>
        <w:rPr/>
        <w:t>租赁期届满后本公司是否能够取得租赁资产的所有权，以租赁期与租赁资产寿命两者中较短者作为折旧期间。</w:t>
      </w:r>
    </w:p>
    <w:p>
      <w:pPr>
        <w:pStyle w:val="BodyText"/>
        <w:spacing w:line="316" w:lineRule="auto" w:before="17"/>
        <w:ind w:right="1131" w:firstLine="504"/>
        <w:jc w:val="both"/>
      </w:pPr>
      <w:r>
        <w:rPr>
          <w:spacing w:val="-1"/>
        </w:rPr>
        <w:t>②本公司作为融资租赁出租人时，于租赁期开始日将租赁开始日最低租赁应收款额与初始直接费用之和作为应收融资</w:t>
      </w:r>
      <w:r>
        <w:rPr/>
        <w:t> </w:t>
      </w:r>
      <w:r>
        <w:rPr>
          <w:spacing w:val="-2"/>
        </w:rPr>
        <w:t>租赁款的入账价值，计入资产负债表的长期应收款，同时记录未担保余值；将最低租赁应收款额、初始直接费用及未担保余</w:t>
      </w:r>
      <w:r>
        <w:rPr>
          <w:spacing w:val="-66"/>
        </w:rPr>
        <w:t> </w:t>
      </w:r>
      <w:r>
        <w:rPr>
          <w:spacing w:val="-66"/>
        </w:rPr>
      </w:r>
      <w:r>
        <w:rPr/>
        <w:t>值之和与其现值之和的差额作为未实现融资收益，在租赁期内各个期间采用实际利率法确认为租赁收入。</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43</w:t>
      </w:r>
      <w:r>
        <w:rPr/>
        <w:t>、其他重要的会计政策和会计估计</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657" w:right="0"/>
        <w:jc w:val="left"/>
      </w:pPr>
      <w:r>
        <w:rPr/>
        <w:t>（</w:t>
      </w:r>
      <w:r>
        <w:rPr>
          <w:rFonts w:ascii="Times New Roman" w:hAnsi="Times New Roman" w:cs="Times New Roman" w:eastAsia="Times New Roman" w:hint="default"/>
        </w:rPr>
        <w:t>1</w:t>
      </w:r>
      <w:r>
        <w:rPr/>
        <w:t>）终止经营</w:t>
      </w:r>
    </w:p>
    <w:p>
      <w:pPr>
        <w:pStyle w:val="BodyText"/>
        <w:spacing w:line="300" w:lineRule="auto" w:before="63"/>
        <w:ind w:left="657" w:right="1120"/>
        <w:jc w:val="left"/>
      </w:pPr>
      <w:r>
        <w:rPr>
          <w:rFonts w:ascii="Times New Roman" w:hAnsi="Times New Roman" w:cs="Times New Roman" w:eastAsia="Times New Roman" w:hint="default"/>
        </w:rPr>
        <w:t>1</w:t>
      </w:r>
      <w:r>
        <w:rPr/>
        <w:t>）终止经营的认定标准 </w:t>
      </w:r>
      <w:r>
        <w:rPr>
          <w:spacing w:val="-1"/>
        </w:rPr>
        <w:t>终止经营，是指本公司满足下列条件之一的、能够单独区分的组成部分，且该组成部分已经处置或划分为持有待售类</w:t>
      </w:r>
    </w:p>
    <w:p>
      <w:pPr>
        <w:pStyle w:val="BodyText"/>
        <w:spacing w:line="240" w:lineRule="auto" w:before="31"/>
        <w:ind w:right="0"/>
        <w:jc w:val="left"/>
      </w:pPr>
      <w:r>
        <w:rPr/>
        <w:t>别：</w:t>
      </w:r>
    </w:p>
    <w:p>
      <w:pPr>
        <w:pStyle w:val="BodyText"/>
        <w:spacing w:line="240" w:lineRule="auto" w:before="77"/>
        <w:ind w:left="657" w:right="0"/>
        <w:jc w:val="left"/>
      </w:pPr>
      <w:r>
        <w:rPr/>
        <w:t>①该组成部分代表一项独立的主要业务或一个单独的主要经营地区；</w:t>
      </w:r>
    </w:p>
    <w:p>
      <w:pPr>
        <w:pStyle w:val="BodyText"/>
        <w:spacing w:line="240" w:lineRule="auto" w:before="76"/>
        <w:ind w:left="657" w:right="0"/>
        <w:jc w:val="left"/>
      </w:pPr>
      <w:r>
        <w:rPr/>
        <w:t>②该组成部分是拟对一项独立的主要业务或一个单独的主要经营地区进行处置的一项相关联计划的一部分；</w:t>
      </w:r>
    </w:p>
    <w:p>
      <w:pPr>
        <w:pStyle w:val="BodyText"/>
        <w:spacing w:line="240" w:lineRule="auto" w:before="76"/>
        <w:ind w:left="657" w:right="0"/>
        <w:jc w:val="left"/>
      </w:pPr>
      <w:r>
        <w:rPr/>
        <w:t>③该组成部分是专为转售而取得的子公司。</w:t>
      </w:r>
    </w:p>
    <w:p>
      <w:pPr>
        <w:pStyle w:val="BodyText"/>
        <w:spacing w:line="300" w:lineRule="auto" w:before="76"/>
        <w:ind w:left="657" w:right="1120"/>
        <w:jc w:val="left"/>
      </w:pPr>
      <w:r>
        <w:rPr>
          <w:rFonts w:ascii="Times New Roman" w:hAnsi="Times New Roman" w:cs="Times New Roman" w:eastAsia="Times New Roman" w:hint="default"/>
        </w:rPr>
        <w:t>2</w:t>
      </w:r>
      <w:r>
        <w:rPr/>
        <w:t>）终止经营的列示 </w:t>
      </w:r>
      <w:r>
        <w:rPr>
          <w:spacing w:val="-1"/>
        </w:rPr>
        <w:t>本公司在利润表中分别列示持续经营损益和终止经营损益。对于当期列报的终止经营，本公司在当期财务报表中，将</w:t>
      </w:r>
    </w:p>
    <w:p>
      <w:pPr>
        <w:pStyle w:val="BodyText"/>
        <w:spacing w:line="316" w:lineRule="auto" w:before="31"/>
        <w:ind w:right="1213"/>
        <w:jc w:val="left"/>
      </w:pPr>
      <w:r>
        <w:rPr/>
        <w:t>原来作为持续经营损益列报的信息重新作为可比会计期间的终止经营损益列报。终止经营不再满足持有待售类别划分条件 的，本公司在当期财务报表中，将原来作为终止经营损益列报的信息重新作为可比会计期间的持续经营损益列报。</w:t>
      </w:r>
    </w:p>
    <w:p>
      <w:pPr>
        <w:pStyle w:val="BodyText"/>
        <w:spacing w:line="240" w:lineRule="auto" w:before="19"/>
        <w:ind w:left="657" w:right="0"/>
        <w:jc w:val="left"/>
      </w:pPr>
      <w:r>
        <w:rPr/>
        <w:t>（</w:t>
      </w:r>
      <w:r>
        <w:rPr>
          <w:rFonts w:ascii="Times New Roman" w:hAnsi="Times New Roman" w:cs="Times New Roman" w:eastAsia="Times New Roman" w:hint="default"/>
        </w:rPr>
        <w:t>2</w:t>
      </w:r>
      <w:r>
        <w:rPr/>
        <w:t>）回购公司股份</w:t>
      </w:r>
    </w:p>
    <w:p>
      <w:pPr>
        <w:pStyle w:val="BodyText"/>
        <w:spacing w:line="309" w:lineRule="auto" w:before="63"/>
        <w:ind w:right="1135" w:firstLine="504"/>
        <w:jc w:val="both"/>
      </w:pPr>
      <w:r>
        <w:rPr>
          <w:rFonts w:ascii="Times New Roman" w:hAnsi="Times New Roman" w:cs="Times New Roman" w:eastAsia="Times New Roman" w:hint="default"/>
        </w:rPr>
        <w:t>1</w:t>
      </w:r>
      <w:r>
        <w:rPr/>
        <w:t>）本公司按法定程序报经批准采用收购本公司股票方式减资的，按注销股票面值总额减少股本，购回股票支付的价 </w:t>
      </w:r>
      <w:r>
        <w:rPr>
          <w:spacing w:val="-2"/>
        </w:rPr>
        <w:t>款（含交易费用）与股票面值的差额调整所有者权益，超过面值总额的部分，依次冲减资本公积（股本溢价）、盈余公积和</w:t>
      </w:r>
      <w:r>
        <w:rPr>
          <w:spacing w:val="-73"/>
        </w:rPr>
        <w:t> </w:t>
      </w:r>
      <w:r>
        <w:rPr>
          <w:spacing w:val="-73"/>
        </w:rPr>
      </w:r>
      <w:r>
        <w:rPr/>
        <w:t>未分配利润；低于面值总额的，低于面值总额的部分增加资本公积（股本溢价）。</w:t>
      </w:r>
    </w:p>
    <w:p>
      <w:pPr>
        <w:pStyle w:val="BodyText"/>
        <w:spacing w:line="240" w:lineRule="auto" w:before="25"/>
        <w:ind w:left="657" w:right="0"/>
        <w:jc w:val="left"/>
      </w:pPr>
      <w:r>
        <w:rPr>
          <w:rFonts w:ascii="Times New Roman" w:hAnsi="Times New Roman" w:cs="Times New Roman" w:eastAsia="Times New Roman" w:hint="default"/>
        </w:rPr>
        <w:t>2</w:t>
      </w:r>
      <w:r>
        <w:rPr/>
        <w:t>）公司回购的股份在注销或者转让之前，作为库存股管理，回购股份的全部支出转作库存股成本。</w:t>
      </w:r>
    </w:p>
    <w:p>
      <w:pPr>
        <w:pStyle w:val="BodyText"/>
        <w:spacing w:line="300" w:lineRule="auto" w:before="63"/>
        <w:ind w:right="1174" w:firstLine="504"/>
        <w:jc w:val="both"/>
      </w:pPr>
      <w:r>
        <w:rPr>
          <w:rFonts w:ascii="Times New Roman" w:hAnsi="Times New Roman" w:cs="Times New Roman" w:eastAsia="Times New Roman" w:hint="default"/>
        </w:rPr>
        <w:t>3</w:t>
      </w:r>
      <w:r>
        <w:rPr/>
        <w:t>）库存股转让时，转让收入高于库存股成本的部分，增加资本公积（股本溢价）；低于库存股成本的部分，依次冲 减资本公积（股本溢价）、盈余公积、未分配利润。</w:t>
      </w: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44</w:t>
      </w:r>
      <w:r>
        <w:rPr/>
        <w:t>、重要会计政策和会计估计变更</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88"/>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74.410004pt;margin-top:373.48999pt;width:201.2pt;height:316.05pt;mso-position-horizontal-relative:page;mso-position-vertical-relative:page;z-index:-13289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pStyle w:val="BodyText"/>
                    <w:spacing w:line="240" w:lineRule="auto"/>
                    <w:ind w:left="0" w:right="0"/>
                    <w:jc w:val="left"/>
                  </w:pPr>
                  <w:r>
                    <w:rPr/>
                    <w:t>套期会计》</w:t>
                  </w:r>
                </w:p>
              </w:txbxContent>
            </v:textbox>
            <w10:wrap type="none"/>
          </v:shape>
        </w:pict>
      </w:r>
      <w:r>
        <w:rPr/>
        <w:pict>
          <v:group style="position:absolute;margin-left:216.529999pt;margin-top:232.459976pt;width:159.050pt;height:281.45pt;mso-position-horizontal-relative:page;mso-position-vertical-relative:page;z-index:-1328968" coordorigin="4331,4649" coordsize="3181,5629">
            <v:group style="position:absolute;left:4331;top:4649;width:3181;height:2809" coordorigin="4331,4649" coordsize="3181,2809">
              <v:shape style="position:absolute;left:4331;top:4649;width:3181;height:2809" coordorigin="4331,4649" coordsize="3181,2809" path="m4331,7458l7512,7458,7512,4649,4331,4649,4331,7458xe" filled="true" fillcolor="#ffffff" stroked="false">
                <v:path arrowok="t"/>
                <v:fill type="solid"/>
              </v:shape>
            </v:group>
            <v:group style="position:absolute;left:4331;top:7470;width:3181;height:2809" coordorigin="4331,7470" coordsize="3181,2809">
              <v:shape style="position:absolute;left:4331;top:7470;width:3181;height:2809" coordorigin="4331,7470" coordsize="3181,2809" path="m4331,10278l7512,10278,7512,7470,4331,7470,4331,10278xe" filled="true" fillcolor="#ffffff" stroked="false">
                <v:path arrowok="t"/>
                <v:fill type="solid"/>
              </v:shape>
            </v:group>
            <w10:wrap type="none"/>
          </v:group>
        </w:pict>
      </w:r>
      <w:r>
        <w:rPr/>
        <w:pict>
          <v:group style="position:absolute;margin-left:216.529999pt;margin-top:549.070007pt;width:159.050pt;height:140.450pt;mso-position-horizontal-relative:page;mso-position-vertical-relative:page;z-index:-1328944" coordorigin="4331,10981" coordsize="3181,2809">
            <v:shape style="position:absolute;left:4331;top:10981;width:3181;height:2809" coordorigin="4331,10981" coordsize="3181,2809" path="m4331,13790l7512,13790,7512,10981,4331,10981,4331,1379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6018"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日，财政部发布的《关于</w:t>
            </w:r>
          </w:p>
          <w:p>
            <w:pPr>
              <w:pStyle w:val="TableParagraph"/>
              <w:spacing w:line="307" w:lineRule="auto" w:before="63"/>
              <w:ind w:left="24" w:right="-41"/>
              <w:jc w:val="left"/>
              <w:rPr>
                <w:rFonts w:ascii="宋体" w:hAnsi="宋体" w:cs="宋体" w:eastAsia="宋体" w:hint="default"/>
                <w:sz w:val="18"/>
                <w:szCs w:val="18"/>
              </w:rPr>
            </w:pPr>
            <w:r>
              <w:rPr>
                <w:rFonts w:ascii="宋体" w:hAnsi="宋体" w:cs="宋体" w:eastAsia="宋体" w:hint="default"/>
                <w:sz w:val="18"/>
                <w:szCs w:val="18"/>
              </w:rPr>
              <w:t>修订印发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年度一般企业财务报表格 </w:t>
            </w:r>
            <w:r>
              <w:rPr>
                <w:rFonts w:ascii="宋体" w:hAnsi="宋体" w:cs="宋体" w:eastAsia="宋体" w:hint="default"/>
                <w:spacing w:val="-7"/>
                <w:sz w:val="18"/>
                <w:szCs w:val="18"/>
              </w:rPr>
              <w:t>式的通知》（财会</w:t>
            </w:r>
            <w:r>
              <w:rPr>
                <w:rFonts w:ascii="Times New Roman" w:hAnsi="Times New Roman" w:cs="Times New Roman" w:eastAsia="Times New Roman" w:hint="default"/>
                <w:spacing w:val="-7"/>
                <w:sz w:val="18"/>
                <w:szCs w:val="18"/>
              </w:rPr>
              <w:t>[2019]6</w:t>
            </w:r>
            <w:r>
              <w:rPr>
                <w:rFonts w:ascii="Times New Roman" w:hAnsi="Times New Roman" w:cs="Times New Roman" w:eastAsia="Times New Roman" w:hint="default"/>
                <w:sz w:val="18"/>
                <w:szCs w:val="18"/>
              </w:rPr>
              <w:t> </w:t>
            </w:r>
            <w:r>
              <w:rPr>
                <w:rFonts w:ascii="宋体" w:hAnsi="宋体" w:cs="宋体" w:eastAsia="宋体" w:hint="default"/>
                <w:spacing w:val="-14"/>
                <w:sz w:val="18"/>
                <w:szCs w:val="18"/>
              </w:rPr>
              <w:t>号），要求对已</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执行新金融工具准则但未执行新收入准 则和新租赁准则的企业应按如下规定编 制财务报表：资产负债表中将</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 及应收账款</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行项目拆分为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；增加</w:t>
            </w:r>
            <w:r>
              <w:rPr>
                <w:rFonts w:ascii="Times New Roman" w:hAnsi="Times New Roman" w:cs="Times New Roman" w:eastAsia="Times New Roman" w:hint="default"/>
                <w:sz w:val="18"/>
                <w:szCs w:val="18"/>
              </w:rPr>
              <w:t>“</w:t>
            </w:r>
            <w:r>
              <w:rPr>
                <w:rFonts w:ascii="宋体" w:hAnsi="宋体" w:cs="宋体" w:eastAsia="宋体" w:hint="default"/>
                <w:sz w:val="18"/>
                <w:szCs w:val="18"/>
              </w:rPr>
              <w:t>应收款项融资</w:t>
            </w:r>
            <w:r>
              <w:rPr>
                <w:rFonts w:ascii="Times New Roman" w:hAnsi="Times New Roman" w:cs="Times New Roman" w:eastAsia="Times New Roman" w:hint="default"/>
                <w:sz w:val="18"/>
                <w:szCs w:val="18"/>
              </w:rPr>
              <w:t>”</w:t>
            </w:r>
            <w:r>
              <w:rPr>
                <w:rFonts w:ascii="宋体" w:hAnsi="宋体" w:cs="宋体" w:eastAsia="宋体" w:hint="default"/>
                <w:sz w:val="18"/>
                <w:szCs w:val="18"/>
              </w:rPr>
              <w:t>项 目，反映资产负债表日以公允价值计量 且其变动计入其他综合收益的应收票据 </w:t>
            </w:r>
            <w:r>
              <w:rPr>
                <w:rFonts w:ascii="宋体" w:hAnsi="宋体" w:cs="宋体" w:eastAsia="宋体" w:hint="default"/>
                <w:spacing w:val="-5"/>
                <w:w w:val="100"/>
                <w:sz w:val="18"/>
                <w:szCs w:val="18"/>
              </w:rPr>
              <w:t>和应收账款等；将</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应付票据及应付账款</w:t>
            </w:r>
            <w:r>
              <w:rPr>
                <w:rFonts w:ascii="Times New Roman" w:hAnsi="Times New Roman" w:cs="Times New Roman" w:eastAsia="Times New Roman" w:hint="default"/>
                <w:spacing w:val="-5"/>
                <w:w w:val="100"/>
                <w:sz w:val="18"/>
                <w:szCs w:val="18"/>
              </w:rPr>
              <w:t>”</w:t>
            </w:r>
            <w:r>
              <w:rPr>
                <w:rFonts w:ascii="Times New Roman" w:hAnsi="Times New Roman" w:cs="Times New Roman" w:eastAsia="Times New Roman" w:hint="default"/>
                <w:spacing w:val="-38"/>
                <w:w w:val="100"/>
                <w:sz w:val="18"/>
                <w:szCs w:val="18"/>
              </w:rPr>
              <w:t> </w:t>
            </w:r>
            <w:r>
              <w:rPr>
                <w:rFonts w:ascii="宋体" w:hAnsi="宋体" w:cs="宋体" w:eastAsia="宋体" w:hint="default"/>
                <w:sz w:val="18"/>
                <w:szCs w:val="18"/>
              </w:rPr>
              <w:t>行项目拆分为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 利润表中在投资收益项目下增加</w:t>
            </w:r>
            <w:r>
              <w:rPr>
                <w:rFonts w:ascii="Times New Roman" w:hAnsi="Times New Roman" w:cs="Times New Roman" w:eastAsia="Times New Roman" w:hint="default"/>
                <w:sz w:val="18"/>
                <w:szCs w:val="18"/>
              </w:rPr>
              <w:t>“</w:t>
            </w:r>
            <w:r>
              <w:rPr>
                <w:rFonts w:ascii="宋体" w:hAnsi="宋体" w:cs="宋体" w:eastAsia="宋体" w:hint="default"/>
                <w:sz w:val="18"/>
                <w:szCs w:val="18"/>
              </w:rPr>
              <w:t>以摊 余成本计量的金融资产终止确认收益</w:t>
            </w:r>
          </w:p>
          <w:p>
            <w:pPr>
              <w:pStyle w:val="TableParagraph"/>
              <w:spacing w:line="300" w:lineRule="auto" w:before="26"/>
              <w:ind w:left="24" w:right="18"/>
              <w:jc w:val="both"/>
              <w:rPr>
                <w:rFonts w:ascii="宋体" w:hAnsi="宋体" w:cs="宋体" w:eastAsia="宋体" w:hint="default"/>
                <w:sz w:val="18"/>
                <w:szCs w:val="18"/>
              </w:rPr>
            </w:pPr>
            <w:r>
              <w:rPr>
                <w:rFonts w:ascii="宋体" w:hAnsi="宋体" w:cs="宋体" w:eastAsia="宋体" w:hint="default"/>
                <w:spacing w:val="-3"/>
                <w:sz w:val="18"/>
                <w:szCs w:val="18"/>
              </w:rPr>
              <w:t>（损失以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的明细项目。</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pacing w:val="-24"/>
                <w:sz w:val="18"/>
                <w:szCs w:val="18"/>
              </w:rPr>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日，财政部发布了《关于修订 </w:t>
            </w:r>
            <w:r>
              <w:rPr>
                <w:rFonts w:ascii="宋体" w:hAnsi="宋体" w:cs="宋体" w:eastAsia="宋体" w:hint="default"/>
                <w:spacing w:val="-3"/>
                <w:sz w:val="18"/>
                <w:szCs w:val="18"/>
              </w:rPr>
              <w:t>印发《合并财务报表格式（</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pacing w:val="-28"/>
                <w:sz w:val="18"/>
                <w:szCs w:val="18"/>
              </w:rPr>
              <w:t>版）》的</w:t>
            </w:r>
            <w:r>
              <w:rPr>
                <w:rFonts w:ascii="宋体" w:hAnsi="宋体" w:cs="宋体" w:eastAsia="宋体" w:hint="default"/>
                <w:sz w:val="18"/>
                <w:szCs w:val="18"/>
              </w:rPr>
              <w:t> </w:t>
            </w:r>
            <w:r>
              <w:rPr>
                <w:rFonts w:ascii="宋体" w:hAnsi="宋体" w:cs="宋体" w:eastAsia="宋体" w:hint="default"/>
                <w:spacing w:val="-12"/>
                <w:sz w:val="18"/>
                <w:szCs w:val="18"/>
              </w:rPr>
              <w:t>通知》（财会</w:t>
            </w:r>
            <w:r>
              <w:rPr>
                <w:rFonts w:ascii="Times New Roman" w:hAnsi="Times New Roman" w:cs="Times New Roman" w:eastAsia="Times New Roman" w:hint="default"/>
                <w:spacing w:val="-12"/>
                <w:sz w:val="18"/>
                <w:szCs w:val="18"/>
              </w:rPr>
              <w:t>[2019]16</w:t>
            </w:r>
            <w:r>
              <w:rPr>
                <w:rFonts w:ascii="Times New Roman" w:hAnsi="Times New Roman" w:cs="Times New Roman" w:eastAsia="Times New Roman" w:hint="default"/>
                <w:spacing w:val="12"/>
                <w:sz w:val="18"/>
                <w:szCs w:val="18"/>
              </w:rPr>
              <w:t> </w:t>
            </w:r>
            <w:r>
              <w:rPr>
                <w:rFonts w:ascii="宋体" w:hAnsi="宋体" w:cs="宋体" w:eastAsia="宋体" w:hint="default"/>
                <w:spacing w:val="-12"/>
                <w:sz w:val="18"/>
                <w:szCs w:val="18"/>
              </w:rPr>
              <w:t>号），与财会</w:t>
            </w:r>
            <w:r>
              <w:rPr>
                <w:rFonts w:ascii="Times New Roman" w:hAnsi="Times New Roman" w:cs="Times New Roman" w:eastAsia="Times New Roman" w:hint="default"/>
                <w:spacing w:val="-12"/>
                <w:sz w:val="18"/>
                <w:szCs w:val="18"/>
              </w:rPr>
              <w:t>[2019]6</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sz w:val="18"/>
                <w:szCs w:val="18"/>
              </w:rPr>
              <w:t>号配套执行。</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808"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5"/>
                <w:sz w:val="20"/>
                <w:szCs w:val="20"/>
              </w:rPr>
              <w:pict>
                <v:group style="width:159.050pt;height:140.450pt;mso-position-horizontal-relative:char;mso-position-vertical-relative:line" coordorigin="0,0" coordsize="3181,2809">
                  <v:group style="position:absolute;left:0;top:0;width:3181;height:2809" coordorigin="0,0" coordsize="3181,2809">
                    <v:shape style="position:absolute;left:0;top:0;width:3181;height:2809" coordorigin="0,0" coordsize="3181,2809" path="m0,2808l3181,2808,3181,0,0,0,0,2808xe" filled="true" fillcolor="#ffffff" stroked="false">
                      <v:path arrowok="t"/>
                      <v:fill type="solid"/>
                    </v:shape>
                  </v:group>
                </v:group>
              </w:pict>
            </w:r>
            <w:r>
              <w:rPr>
                <w:rFonts w:ascii="Times New Roman" w:hAnsi="Times New Roman" w:cs="Times New Roman" w:eastAsia="Times New Roman" w:hint="default"/>
                <w:position w:val="-55"/>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财会</w:t>
            </w:r>
            <w:r>
              <w:rPr>
                <w:rFonts w:ascii="Times New Roman" w:hAnsi="Times New Roman" w:cs="Times New Roman" w:eastAsia="Times New Roman" w:hint="default"/>
                <w:sz w:val="18"/>
                <w:szCs w:val="18"/>
              </w:rPr>
              <w:t>[2019]6 </w:t>
            </w:r>
            <w:r>
              <w:rPr>
                <w:rFonts w:ascii="宋体" w:hAnsi="宋体" w:cs="宋体" w:eastAsia="宋体" w:hint="default"/>
                <w:sz w:val="18"/>
                <w:szCs w:val="18"/>
              </w:rPr>
              <w:t>号、财会</w:t>
            </w:r>
            <w:r>
              <w:rPr>
                <w:rFonts w:ascii="Times New Roman" w:hAnsi="Times New Roman" w:cs="Times New Roman" w:eastAsia="Times New Roman" w:hint="default"/>
                <w:sz w:val="18"/>
                <w:szCs w:val="18"/>
              </w:rPr>
              <w:t>[2019]16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12"/>
              <w:ind w:left="24" w:right="94"/>
              <w:jc w:val="left"/>
              <w:rPr>
                <w:rFonts w:ascii="宋体" w:hAnsi="宋体" w:cs="宋体" w:eastAsia="宋体" w:hint="default"/>
                <w:sz w:val="18"/>
                <w:szCs w:val="18"/>
              </w:rPr>
            </w:pPr>
            <w:r>
              <w:rPr>
                <w:rFonts w:ascii="宋体" w:hAnsi="宋体" w:cs="宋体" w:eastAsia="宋体" w:hint="default"/>
                <w:sz w:val="18"/>
                <w:szCs w:val="18"/>
              </w:rPr>
              <w:t>本公司根据财会</w:t>
            </w:r>
            <w:r>
              <w:rPr>
                <w:rFonts w:ascii="Times New Roman" w:hAnsi="Times New Roman" w:cs="Times New Roman" w:eastAsia="Times New Roman" w:hint="default"/>
                <w:sz w:val="18"/>
                <w:szCs w:val="18"/>
              </w:rPr>
              <w:t>[2019]6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号、财会 </w:t>
            </w:r>
            <w:r>
              <w:rPr>
                <w:rFonts w:ascii="Times New Roman" w:hAnsi="Times New Roman" w:cs="Times New Roman" w:eastAsia="Times New Roman" w:hint="default"/>
                <w:sz w:val="18"/>
                <w:szCs w:val="18"/>
              </w:rPr>
              <w:t>[2019]16 </w:t>
            </w:r>
            <w:r>
              <w:rPr>
                <w:rFonts w:ascii="宋体" w:hAnsi="宋体" w:cs="宋体" w:eastAsia="宋体" w:hint="default"/>
                <w:sz w:val="18"/>
                <w:szCs w:val="18"/>
              </w:rPr>
              <w:t>号规定的财务报表格式编制比 较报表，并采用追溯调整法变更了相关 财务报表列报。</w:t>
            </w:r>
          </w:p>
        </w:tc>
      </w:tr>
      <w:tr>
        <w:trPr>
          <w:trHeight w:val="6332"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日分别发布了</w:t>
            </w:r>
          </w:p>
          <w:p>
            <w:pPr>
              <w:pStyle w:val="TableParagraph"/>
              <w:spacing w:line="300" w:lineRule="auto" w:before="60"/>
              <w:ind w:left="24"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 </w:t>
            </w:r>
            <w:r>
              <w:rPr>
                <w:rFonts w:ascii="宋体" w:hAnsi="宋体" w:cs="宋体" w:eastAsia="宋体" w:hint="default"/>
                <w:spacing w:val="-10"/>
                <w:sz w:val="18"/>
                <w:szCs w:val="18"/>
              </w:rPr>
              <w:t>和计量》（财会</w:t>
            </w:r>
            <w:r>
              <w:rPr>
                <w:rFonts w:ascii="Times New Roman" w:hAnsi="Times New Roman" w:cs="Times New Roman" w:eastAsia="Times New Roman" w:hint="default"/>
                <w:spacing w:val="-10"/>
                <w:sz w:val="18"/>
                <w:szCs w:val="18"/>
              </w:rPr>
              <w:t>[2017]7</w:t>
            </w:r>
            <w:r>
              <w:rPr>
                <w:rFonts w:ascii="Times New Roman" w:hAnsi="Times New Roman" w:cs="Times New Roman" w:eastAsia="Times New Roman" w:hint="default"/>
                <w:spacing w:val="7"/>
                <w:sz w:val="18"/>
                <w:szCs w:val="18"/>
              </w:rPr>
              <w:t> </w:t>
            </w:r>
            <w:r>
              <w:rPr>
                <w:rFonts w:ascii="宋体" w:hAnsi="宋体" w:cs="宋体" w:eastAsia="宋体" w:hint="default"/>
                <w:spacing w:val="-26"/>
                <w:sz w:val="18"/>
                <w:szCs w:val="18"/>
              </w:rPr>
              <w:t>号）、《企业会计准</w:t>
            </w:r>
            <w:r>
              <w:rPr>
                <w:rFonts w:ascii="宋体" w:hAnsi="宋体" w:cs="宋体" w:eastAsia="宋体" w:hint="default"/>
                <w:sz w:val="18"/>
                <w:szCs w:val="18"/>
              </w:rPr>
              <w:t> 则第</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1"/>
                <w:sz w:val="18"/>
                <w:szCs w:val="18"/>
              </w:rPr>
              <w:t> </w:t>
            </w:r>
            <w:r>
              <w:rPr>
                <w:rFonts w:ascii="宋体" w:hAnsi="宋体" w:cs="宋体" w:eastAsia="宋体" w:hint="default"/>
                <w:spacing w:val="-10"/>
                <w:sz w:val="18"/>
                <w:szCs w:val="18"/>
              </w:rPr>
              <w:t>号</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金融资产转移（》财会</w:t>
            </w:r>
            <w:r>
              <w:rPr>
                <w:rFonts w:ascii="Times New Roman" w:hAnsi="Times New Roman" w:cs="Times New Roman" w:eastAsia="Times New Roman" w:hint="default"/>
                <w:spacing w:val="-10"/>
                <w:sz w:val="18"/>
                <w:szCs w:val="18"/>
              </w:rPr>
              <w:t>[2017]8</w:t>
            </w:r>
            <w:r>
              <w:rPr>
                <w:rFonts w:ascii="Times New Roman" w:hAnsi="Times New Roman" w:cs="Times New Roman" w:eastAsia="Times New Roman" w:hint="default"/>
                <w:sz w:val="18"/>
                <w:szCs w:val="18"/>
              </w:rPr>
              <w:t> </w:t>
            </w:r>
            <w:r>
              <w:rPr>
                <w:rFonts w:ascii="宋体" w:hAnsi="宋体" w:cs="宋体" w:eastAsia="宋体" w:hint="default"/>
                <w:spacing w:val="-25"/>
                <w:sz w:val="18"/>
                <w:szCs w:val="18"/>
              </w:rPr>
              <w:t>号）、《企业会计准则第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（财会</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17</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0" w:lineRule="auto" w:before="63"/>
              <w:ind w:left="24" w:right="21"/>
              <w:jc w:val="both"/>
              <w:rPr>
                <w:rFonts w:ascii="宋体" w:hAnsi="宋体" w:cs="宋体" w:eastAsia="宋体" w:hint="default"/>
                <w:sz w:val="18"/>
                <w:szCs w:val="18"/>
              </w:rPr>
            </w:pPr>
            <w:r>
              <w:rPr>
                <w:rFonts w:ascii="宋体" w:hAnsi="宋体" w:cs="宋体" w:eastAsia="宋体" w:hint="default"/>
                <w:sz w:val="18"/>
                <w:szCs w:val="18"/>
              </w:rPr>
              <w:t>发布了《企业会计准则第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 </w:t>
            </w:r>
            <w:r>
              <w:rPr>
                <w:rFonts w:ascii="宋体" w:hAnsi="宋体" w:cs="宋体" w:eastAsia="宋体" w:hint="default"/>
                <w:spacing w:val="-7"/>
                <w:sz w:val="18"/>
                <w:szCs w:val="18"/>
              </w:rPr>
              <w:t>具列报》（财会</w:t>
            </w:r>
            <w:r>
              <w:rPr>
                <w:rFonts w:ascii="Times New Roman" w:hAnsi="Times New Roman" w:cs="Times New Roman" w:eastAsia="Times New Roman" w:hint="default"/>
                <w:spacing w:val="-7"/>
                <w:sz w:val="18"/>
                <w:szCs w:val="18"/>
              </w:rPr>
              <w:t>[2017]14</w:t>
            </w:r>
            <w:r>
              <w:rPr>
                <w:rFonts w:ascii="Times New Roman" w:hAnsi="Times New Roman" w:cs="Times New Roman" w:eastAsia="Times New Roman" w:hint="default"/>
                <w:sz w:val="18"/>
                <w:szCs w:val="18"/>
              </w:rPr>
              <w:t> </w:t>
            </w:r>
            <w:r>
              <w:rPr>
                <w:rFonts w:ascii="宋体" w:hAnsi="宋体" w:cs="宋体" w:eastAsia="宋体" w:hint="default"/>
                <w:spacing w:val="-14"/>
                <w:sz w:val="18"/>
                <w:szCs w:val="18"/>
              </w:rPr>
              <w:t>号）（上述准则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5"/>
                <w:w w:val="100"/>
                <w:sz w:val="18"/>
                <w:szCs w:val="18"/>
              </w:rPr>
              <w:t>以下统称</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新金融工具准则</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），要求境内</w:t>
            </w:r>
            <w:r>
              <w:rPr>
                <w:rFonts w:ascii="宋体" w:hAnsi="宋体" w:cs="宋体" w:eastAsia="宋体" w:hint="default"/>
                <w:spacing w:val="-88"/>
                <w:w w:val="100"/>
                <w:sz w:val="18"/>
                <w:szCs w:val="18"/>
              </w:rPr>
              <w:t> </w:t>
            </w:r>
            <w:r>
              <w:rPr>
                <w:rFonts w:ascii="宋体" w:hAnsi="宋体" w:cs="宋体" w:eastAsia="宋体" w:hint="default"/>
                <w:spacing w:val="-88"/>
                <w:w w:val="100"/>
                <w:sz w:val="18"/>
                <w:szCs w:val="18"/>
              </w:rPr>
            </w:r>
            <w:r>
              <w:rPr>
                <w:rFonts w:ascii="宋体" w:hAnsi="宋体" w:cs="宋体" w:eastAsia="宋体" w:hint="default"/>
                <w:sz w:val="18"/>
                <w:szCs w:val="18"/>
              </w:rPr>
              <w:t>上市企业自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日起执行新金</w:t>
            </w:r>
          </w:p>
          <w:p>
            <w:pPr>
              <w:pStyle w:val="TableParagraph"/>
              <w:spacing w:line="312" w:lineRule="auto" w:before="13"/>
              <w:ind w:left="24" w:right="23"/>
              <w:jc w:val="left"/>
              <w:rPr>
                <w:rFonts w:ascii="宋体" w:hAnsi="宋体" w:cs="宋体" w:eastAsia="宋体" w:hint="default"/>
                <w:sz w:val="18"/>
                <w:szCs w:val="18"/>
              </w:rPr>
            </w:pPr>
            <w:r>
              <w:rPr>
                <w:rFonts w:ascii="宋体" w:hAnsi="宋体" w:cs="宋体" w:eastAsia="宋体" w:hint="default"/>
                <w:spacing w:val="-3"/>
                <w:sz w:val="18"/>
                <w:szCs w:val="18"/>
              </w:rPr>
              <w:t>融工具准则。于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日之前的 金融工具确认和计量与新金融工具准则 要求不一致的，本公司按照新金融工具 准则的规定，对金融工具的分类和计量</w:t>
            </w:r>
          </w:p>
          <w:p>
            <w:pPr>
              <w:pStyle w:val="TableParagraph"/>
              <w:spacing w:line="316" w:lineRule="auto" w:before="23"/>
              <w:ind w:left="24" w:right="96"/>
              <w:jc w:val="left"/>
              <w:rPr>
                <w:rFonts w:ascii="宋体" w:hAnsi="宋体" w:cs="宋体" w:eastAsia="宋体" w:hint="default"/>
                <w:sz w:val="18"/>
                <w:szCs w:val="18"/>
              </w:rPr>
            </w:pPr>
            <w:r>
              <w:rPr>
                <w:rFonts w:ascii="宋体" w:hAnsi="宋体" w:cs="宋体" w:eastAsia="宋体" w:hint="default"/>
                <w:sz w:val="18"/>
                <w:szCs w:val="18"/>
              </w:rPr>
              <w:t>（含减值）进行追溯调整，将金融工具 原账面价值和在新金融工具准则施行日</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日）的新账面价值之</w:t>
            </w:r>
          </w:p>
          <w:p>
            <w:pPr>
              <w:pStyle w:val="TableParagraph"/>
              <w:spacing w:line="309" w:lineRule="auto" w:before="63"/>
              <w:ind w:left="24" w:right="21"/>
              <w:jc w:val="left"/>
              <w:rPr>
                <w:rFonts w:ascii="宋体" w:hAnsi="宋体" w:cs="宋体" w:eastAsia="宋体" w:hint="default"/>
                <w:sz w:val="18"/>
                <w:szCs w:val="18"/>
              </w:rPr>
            </w:pPr>
            <w:r>
              <w:rPr>
                <w:rFonts w:ascii="宋体" w:hAnsi="宋体" w:cs="宋体" w:eastAsia="宋体" w:hint="default"/>
                <w:sz w:val="18"/>
                <w:szCs w:val="18"/>
              </w:rPr>
              <w:t>间的差额计入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日的留存收 益或其他综合收益。同时，本公司未对 比较财务报表数据进行调整。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财会</w:t>
            </w:r>
            <w:r>
              <w:rPr>
                <w:rFonts w:ascii="Times New Roman" w:hAnsi="Times New Roman" w:cs="Times New Roman" w:eastAsia="Times New Roman" w:hint="default"/>
                <w:sz w:val="18"/>
                <w:szCs w:val="18"/>
              </w:rPr>
              <w:t>[2017]7 </w:t>
            </w:r>
            <w:r>
              <w:rPr>
                <w:rFonts w:ascii="宋体" w:hAnsi="宋体" w:cs="宋体" w:eastAsia="宋体" w:hint="default"/>
                <w:sz w:val="18"/>
                <w:szCs w:val="18"/>
              </w:rPr>
              <w:t>号、财会</w:t>
            </w:r>
            <w:r>
              <w:rPr>
                <w:rFonts w:ascii="Times New Roman" w:hAnsi="Times New Roman" w:cs="Times New Roman" w:eastAsia="Times New Roman" w:hint="default"/>
                <w:sz w:val="18"/>
                <w:szCs w:val="18"/>
              </w:rPr>
              <w:t>[2017]8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号、财会</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[2017]9 </w:t>
            </w:r>
            <w:r>
              <w:rPr>
                <w:rFonts w:ascii="宋体" w:hAnsi="宋体" w:cs="宋体" w:eastAsia="宋体" w:hint="default"/>
                <w:sz w:val="18"/>
                <w:szCs w:val="18"/>
              </w:rPr>
              <w:t>号、财会</w:t>
            </w:r>
            <w:r>
              <w:rPr>
                <w:rFonts w:ascii="Times New Roman" w:hAnsi="Times New Roman" w:cs="Times New Roman" w:eastAsia="Times New Roman" w:hint="default"/>
                <w:sz w:val="18"/>
                <w:szCs w:val="18"/>
              </w:rPr>
              <w:t>[2017]14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07" w:lineRule="auto"/>
              <w:ind w:left="24" w:right="22"/>
              <w:jc w:val="left"/>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日执行上述新金 融工具准则，对会计政策的相关内容进 行调整，详见附注五、</w:t>
            </w:r>
            <w:r>
              <w:rPr>
                <w:rFonts w:ascii="Times New Roman" w:hAnsi="Times New Roman" w:cs="Times New Roman" w:eastAsia="Times New Roman" w:hint="default"/>
                <w:sz w:val="18"/>
                <w:szCs w:val="18"/>
              </w:rPr>
              <w:t>10</w:t>
            </w:r>
            <w:r>
              <w:rPr>
                <w:rFonts w:ascii="宋体" w:hAnsi="宋体" w:cs="宋体" w:eastAsia="宋体" w:hint="default"/>
                <w:sz w:val="18"/>
                <w:szCs w:val="18"/>
              </w:rPr>
              <w:t>、金融工具。</w:t>
            </w:r>
          </w:p>
        </w:tc>
      </w:tr>
      <w:tr>
        <w:trPr>
          <w:trHeight w:val="1339"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日，财政部发布《企业会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非货币性资</w:t>
            </w:r>
            <w:r>
              <w:rPr>
                <w:rFonts w:ascii="宋体" w:hAnsi="宋体" w:cs="宋体" w:eastAsia="宋体" w:hint="default"/>
                <w:spacing w:val="-3"/>
                <w:sz w:val="18"/>
                <w:szCs w:val="18"/>
              </w:rPr>
              <w:t>产</w:t>
            </w:r>
            <w:r>
              <w:rPr>
                <w:rFonts w:ascii="宋体" w:hAnsi="宋体" w:cs="宋体" w:eastAsia="宋体" w:hint="default"/>
                <w:sz w:val="18"/>
                <w:szCs w:val="18"/>
              </w:rPr>
              <w:t>交换</w:t>
            </w:r>
            <w:r>
              <w:rPr>
                <w:rFonts w:ascii="宋体" w:hAnsi="宋体" w:cs="宋体" w:eastAsia="宋体" w:hint="default"/>
                <w:spacing w:val="-106"/>
                <w:sz w:val="18"/>
                <w:szCs w:val="18"/>
              </w:rPr>
              <w:t>》</w:t>
            </w:r>
            <w:r>
              <w:rPr>
                <w:rFonts w:ascii="宋体" w:hAnsi="宋体" w:cs="宋体" w:eastAsia="宋体" w:hint="default"/>
                <w:sz w:val="18"/>
                <w:szCs w:val="18"/>
              </w:rPr>
              <w:t>（财</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会</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68"/>
                <w:sz w:val="18"/>
                <w:szCs w:val="18"/>
              </w:rPr>
              <w:t>，</w:t>
            </w:r>
            <w:r>
              <w:rPr>
                <w:rFonts w:ascii="宋体" w:hAnsi="宋体" w:cs="宋体" w:eastAsia="宋体" w:hint="default"/>
                <w:sz w:val="18"/>
                <w:szCs w:val="18"/>
              </w:rPr>
              <w:t>根据要求</w:t>
            </w:r>
            <w:r>
              <w:rPr>
                <w:rFonts w:ascii="宋体" w:hAnsi="宋体" w:cs="宋体" w:eastAsia="宋体" w:hint="default"/>
                <w:spacing w:val="-68"/>
                <w:sz w:val="18"/>
                <w:szCs w:val="18"/>
              </w:rPr>
              <w:t>，</w:t>
            </w:r>
            <w:r>
              <w:rPr>
                <w:rFonts w:ascii="宋体" w:hAnsi="宋体" w:cs="宋体" w:eastAsia="宋体" w:hint="default"/>
                <w:sz w:val="18"/>
                <w:szCs w:val="18"/>
              </w:rPr>
              <w:t>本公司对</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日至执行日之间发生的非货币</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财会</w:t>
            </w:r>
            <w:r>
              <w:rPr>
                <w:rFonts w:ascii="Times New Roman" w:hAnsi="Times New Roman" w:cs="Times New Roman" w:eastAsia="Times New Roman" w:hint="default"/>
                <w:sz w:val="18"/>
                <w:szCs w:val="18"/>
              </w:rPr>
              <w:t>[2019]8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公司自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日至执行新债务重 组准则期间未发生非货币性资产交换事 项，因此，此项会计政策变更不影响公 司财务报表数据。</w:t>
            </w:r>
          </w:p>
        </w:tc>
      </w:tr>
    </w:tbl>
    <w:p>
      <w:pPr>
        <w:spacing w:after="0" w:line="312"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7"/>
          <w:szCs w:val="27"/>
        </w:rPr>
      </w:pPr>
    </w:p>
    <w:p>
      <w:pPr>
        <w:pStyle w:val="BodyText"/>
        <w:spacing w:line="240" w:lineRule="auto" w:before="44"/>
        <w:ind w:left="0" w:right="1138"/>
        <w:jc w:val="right"/>
      </w:pPr>
      <w:r>
        <w:rPr/>
        <w:pict>
          <v:shape style="position:absolute;margin-left:56.424pt;margin-top:-112.468292pt;width:479.3pt;height:194.7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3"/>
                    <w:gridCol w:w="3188"/>
                    <w:gridCol w:w="3190"/>
                  </w:tblGrid>
                  <w:tr>
                    <w:trPr>
                      <w:trHeight w:val="1299"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性资产交换，根据本准则进行调整，对</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日之前发生的非货币性资</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产交换</w:t>
                        </w:r>
                        <w:r>
                          <w:rPr>
                            <w:rFonts w:ascii="宋体" w:hAnsi="宋体" w:cs="宋体" w:eastAsia="宋体" w:hint="default"/>
                            <w:spacing w:val="-75"/>
                            <w:sz w:val="18"/>
                            <w:szCs w:val="18"/>
                          </w:rPr>
                          <w:t>，</w:t>
                        </w:r>
                        <w:r>
                          <w:rPr>
                            <w:rFonts w:ascii="宋体" w:hAnsi="宋体" w:cs="宋体" w:eastAsia="宋体" w:hint="default"/>
                            <w:sz w:val="18"/>
                            <w:szCs w:val="18"/>
                          </w:rPr>
                          <w:t>不进行追溯调整</w:t>
                        </w:r>
                        <w:r>
                          <w:rPr>
                            <w:rFonts w:ascii="宋体" w:hAnsi="宋体" w:cs="宋体" w:eastAsia="宋体" w:hint="default"/>
                            <w:spacing w:val="-75"/>
                            <w:sz w:val="18"/>
                            <w:szCs w:val="18"/>
                          </w:rPr>
                          <w:t>，</w:t>
                        </w:r>
                        <w:r>
                          <w:rPr>
                            <w:rFonts w:ascii="宋体" w:hAnsi="宋体" w:cs="宋体" w:eastAsia="宋体" w:hint="default"/>
                            <w:sz w:val="18"/>
                            <w:szCs w:val="18"/>
                          </w:rPr>
                          <w:t>本公司于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日起执行本准则。</w:t>
                        </w:r>
                      </w:p>
                    </w:tc>
                    <w:tc>
                      <w:tcPr>
                        <w:tcW w:w="3188"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4"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日，财政部发布《企业会</w:t>
                        </w:r>
                        <w:r>
                          <w:rPr>
                            <w:rFonts w:ascii="宋体" w:hAnsi="宋体" w:cs="宋体" w:eastAsia="宋体" w:hint="default"/>
                            <w:sz w:val="18"/>
                            <w:szCs w:val="18"/>
                          </w:rPr>
                          <w:t> 计准则第</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pacing w:val="-11"/>
                            <w:sz w:val="18"/>
                            <w:szCs w:val="18"/>
                          </w:rPr>
                          <w:t>号</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债务重组（》财会</w:t>
                        </w:r>
                        <w:r>
                          <w:rPr>
                            <w:rFonts w:ascii="Times New Roman" w:hAnsi="Times New Roman" w:cs="Times New Roman" w:eastAsia="Times New Roman" w:hint="default"/>
                            <w:spacing w:val="-11"/>
                            <w:sz w:val="18"/>
                            <w:szCs w:val="18"/>
                          </w:rPr>
                          <w:t>[2019]9</w:t>
                        </w:r>
                        <w:r>
                          <w:rPr>
                            <w:rFonts w:ascii="Times New Roman" w:hAnsi="Times New Roman" w:cs="Times New Roman" w:eastAsia="Times New Roman" w:hint="default"/>
                            <w:sz w:val="18"/>
                            <w:szCs w:val="18"/>
                          </w:rPr>
                          <w:t> </w:t>
                        </w:r>
                        <w:r>
                          <w:rPr>
                            <w:rFonts w:ascii="宋体" w:hAnsi="宋体" w:cs="宋体" w:eastAsia="宋体" w:hint="default"/>
                            <w:spacing w:val="-13"/>
                            <w:sz w:val="18"/>
                            <w:szCs w:val="18"/>
                          </w:rPr>
                          <w:t>号），根据要求，本公司对</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日至执行日之间发生的债务重组，根据 本准则进行调整，对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日之 前发生的债务重组，不进行追溯调整， 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日起执行本准 则。</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财会</w:t>
                        </w:r>
                        <w:r>
                          <w:rPr>
                            <w:rFonts w:ascii="Times New Roman" w:hAnsi="Times New Roman" w:cs="Times New Roman" w:eastAsia="Times New Roman" w:hint="default"/>
                            <w:sz w:val="18"/>
                            <w:szCs w:val="18"/>
                          </w:rPr>
                          <w:t>[2019]9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2" w:lineRule="auto"/>
                          <w:ind w:left="24" w:right="22"/>
                          <w:jc w:val="left"/>
                          <w:rPr>
                            <w:rFonts w:ascii="宋体" w:hAnsi="宋体" w:cs="宋体" w:eastAsia="宋体" w:hint="default"/>
                            <w:sz w:val="18"/>
                            <w:szCs w:val="18"/>
                          </w:rPr>
                        </w:pPr>
                        <w:r>
                          <w:rPr>
                            <w:rFonts w:ascii="宋体" w:hAnsi="宋体" w:cs="宋体" w:eastAsia="宋体" w:hint="default"/>
                            <w:sz w:val="18"/>
                            <w:szCs w:val="18"/>
                          </w:rPr>
                          <w:t>公司自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日至执行新债务重 组准则期间未发生债务重组事项，因此 此项会计政策变更不影响公司财务报表 数据。</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44"/>
        <w:ind w:right="0"/>
        <w:jc w:val="left"/>
      </w:pPr>
      <w:r>
        <w:rPr/>
        <w:t>上述会计政策的影响如下：</w:t>
      </w: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269"/>
        <w:gridCol w:w="1843"/>
        <w:gridCol w:w="1985"/>
        <w:gridCol w:w="1700"/>
        <w:gridCol w:w="1702"/>
      </w:tblGrid>
      <w:tr>
        <w:trPr>
          <w:trHeight w:val="348" w:hRule="exact"/>
        </w:trPr>
        <w:tc>
          <w:tcPr>
            <w:tcW w:w="2269" w:type="dxa"/>
            <w:vMerge w:val="restart"/>
            <w:tcBorders>
              <w:top w:val="single" w:sz="6" w:space="0" w:color="000000"/>
              <w:left w:val="single" w:sz="6" w:space="0" w:color="000000"/>
              <w:right w:val="single" w:sz="6"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4"/>
                <w:sz w:val="21"/>
                <w:szCs w:val="21"/>
              </w:rPr>
              <w:t> </w:t>
            </w:r>
            <w:r>
              <w:rPr>
                <w:rFonts w:ascii="宋体" w:hAnsi="宋体" w:cs="宋体" w:eastAsia="宋体" w:hint="default"/>
                <w:sz w:val="21"/>
                <w:szCs w:val="21"/>
              </w:rPr>
              <w:t>目</w:t>
            </w:r>
          </w:p>
        </w:tc>
        <w:tc>
          <w:tcPr>
            <w:tcW w:w="38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7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日（合并）</w:t>
            </w:r>
          </w:p>
        </w:tc>
        <w:tc>
          <w:tcPr>
            <w:tcW w:w="3402" w:type="dxa"/>
            <w:gridSpan w:val="2"/>
            <w:tcBorders>
              <w:top w:val="single" w:sz="6" w:space="0" w:color="000000"/>
              <w:left w:val="single" w:sz="6" w:space="0" w:color="000000"/>
              <w:bottom w:val="single" w:sz="6" w:space="0" w:color="000000"/>
              <w:right w:val="nil" w:sz="6" w:space="0" w:color="auto"/>
            </w:tcBorders>
          </w:tcPr>
          <w:p>
            <w:pPr>
              <w:pStyle w:val="TableParagraph"/>
              <w:spacing w:line="290" w:lineRule="exact"/>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日（母公司）</w:t>
            </w:r>
          </w:p>
        </w:tc>
      </w:tr>
      <w:tr>
        <w:trPr>
          <w:trHeight w:val="348" w:hRule="exact"/>
        </w:trPr>
        <w:tc>
          <w:tcPr>
            <w:tcW w:w="2269" w:type="dxa"/>
            <w:vMerge/>
            <w:tcBorders>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00" w:right="0"/>
              <w:jc w:val="left"/>
              <w:rPr>
                <w:rFonts w:ascii="宋体" w:hAnsi="宋体" w:cs="宋体" w:eastAsia="宋体" w:hint="default"/>
                <w:sz w:val="21"/>
                <w:szCs w:val="21"/>
              </w:rPr>
            </w:pPr>
            <w:r>
              <w:rPr>
                <w:rFonts w:ascii="宋体" w:hAnsi="宋体" w:cs="宋体" w:eastAsia="宋体" w:hint="default"/>
                <w:sz w:val="21"/>
                <w:szCs w:val="21"/>
              </w:rPr>
              <w:t>变更前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变更后</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26" w:right="0"/>
              <w:jc w:val="left"/>
              <w:rPr>
                <w:rFonts w:ascii="宋体" w:hAnsi="宋体" w:cs="宋体" w:eastAsia="宋体" w:hint="default"/>
                <w:sz w:val="21"/>
                <w:szCs w:val="21"/>
              </w:rPr>
            </w:pPr>
            <w:r>
              <w:rPr>
                <w:rFonts w:ascii="宋体" w:hAnsi="宋体" w:cs="宋体" w:eastAsia="宋体" w:hint="default"/>
                <w:sz w:val="21"/>
                <w:szCs w:val="21"/>
              </w:rPr>
              <w:t>变更前</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left="530" w:right="0"/>
              <w:jc w:val="left"/>
              <w:rPr>
                <w:rFonts w:ascii="宋体" w:hAnsi="宋体" w:cs="宋体" w:eastAsia="宋体" w:hint="default"/>
                <w:sz w:val="21"/>
                <w:szCs w:val="21"/>
              </w:rPr>
            </w:pPr>
            <w:r>
              <w:rPr>
                <w:rFonts w:ascii="宋体" w:hAnsi="宋体" w:cs="宋体" w:eastAsia="宋体" w:hint="default"/>
                <w:sz w:val="21"/>
                <w:szCs w:val="21"/>
              </w:rPr>
              <w:t>变更后</w:t>
            </w:r>
          </w:p>
        </w:tc>
      </w:tr>
      <w:tr>
        <w:trPr>
          <w:trHeight w:val="346" w:hRule="exact"/>
        </w:trPr>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1,226,078,619.17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429,033,398.51</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16,743,972.11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16,743,972.11</w:t>
            </w:r>
          </w:p>
        </w:tc>
      </w:tr>
      <w:tr>
        <w:trPr>
          <w:trHeight w:val="346" w:hRule="exact"/>
        </w:trPr>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1,209,334,647.06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412,289,426.40</w:t>
            </w:r>
          </w:p>
        </w:tc>
      </w:tr>
      <w:tr>
        <w:trPr>
          <w:trHeight w:val="348" w:hRule="exact"/>
        </w:trPr>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32,568,373.74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65,201,367.00</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32,568,373.74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65,201,367.00</w:t>
            </w:r>
          </w:p>
        </w:tc>
      </w:tr>
      <w:tr>
        <w:trPr>
          <w:trHeight w:val="348" w:hRule="exact"/>
        </w:trPr>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9,010,653.06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1,396,007.29</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660" w:hRule="exact"/>
        </w:trPr>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p>
          <w:p>
            <w:pPr>
              <w:pStyle w:val="TableParagraph"/>
              <w:spacing w:line="240" w:lineRule="auto" w:before="37"/>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一</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-9,010,653.06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-1,396,007.29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t>年起执行新金融工具准则、新收入准则或新租赁准则调整执行当年年初财务报表相关项目情况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0"/>
        </w:sectPr>
      </w:pPr>
    </w:p>
    <w:p>
      <w:pPr>
        <w:pStyle w:val="BodyText"/>
        <w:spacing w:line="338"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34" w:space="7387"/>
            <w:col w:w="2009"/>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1" w:right="0"/>
              <w:jc w:val="left"/>
              <w:rPr>
                <w:rFonts w:ascii="Times New Roman" w:hAnsi="Times New Roman" w:cs="Times New Roman" w:eastAsia="Times New Roman" w:hint="default"/>
                <w:sz w:val="18"/>
                <w:szCs w:val="18"/>
              </w:rPr>
            </w:pPr>
            <w:r>
              <w:rPr>
                <w:rFonts w:ascii="Times New Roman"/>
                <w:sz w:val="18"/>
              </w:rPr>
              <w:t>1,252,551,826.69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1,252,551,826.69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270,050,000.00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5" w:right="0"/>
              <w:jc w:val="left"/>
              <w:rPr>
                <w:rFonts w:ascii="Times New Roman" w:hAnsi="Times New Roman" w:cs="Times New Roman" w:eastAsia="Times New Roman" w:hint="default"/>
                <w:sz w:val="18"/>
                <w:szCs w:val="18"/>
              </w:rPr>
            </w:pPr>
            <w:r>
              <w:rPr>
                <w:rFonts w:ascii="Times New Roman"/>
                <w:sz w:val="18"/>
              </w:rPr>
              <w:t>270,050,000.00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16,743,972.11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8,034,041.95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-8,709,930.16</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1,209,334,647.06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1,209,334,647.06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8,709,930.16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8,709,930.16</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9,582,685.90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9,582,685.90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0"/>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29,220,197.73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29,220,197.73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3"/>
                <w:sz w:val="18"/>
              </w:rPr>
              <w:t>391,111.11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3"/>
                <w:sz w:val="18"/>
              </w:rPr>
              <w:t>391,111.11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0"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278,361,508.40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8,311,508.40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-270,050,000.00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2,795,794,837.89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2,795,794,837.89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20,892,385.13</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-20,892,385.13</w:t>
            </w: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46,858,875.12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46,858,875.12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20,892,385.13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20,892,385.13</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0"/>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630,185,392.19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630,185,392.19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59,537.93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59,537.93</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87,916,054.97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87,916,054.97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60,442,202.13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60,442,202.13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2,638,024,655.66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2,638,024,655.66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9,580,254.46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9,580,254.46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65,700,603.40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65,700,603.40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3,559,659,960.99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3,559,659,960.99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6,355,454,798.88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6,355,454,798.88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9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32,568,373.74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32,568,373.74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5,098,770.22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5,098,770.22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119,714,775.59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119,714,775.59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40,185,803.35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40,185,803.35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21,772,945.85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21,772,945.85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2,034,038.71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2,034,038.71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0"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71,874,092.70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71,874,092.70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1,591,214,761.45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1,591,214,761.45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16,172,500.00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16,172,500.00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1,220,862.16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1,220,862.16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117,393,362.16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117,393,362.16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1,708,608,123.61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1,708,608,123.61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796,410,841.00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796,410,841.00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2,877,828,295.13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2,877,828,295.13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148,976,163.45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148,976,163.45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-1,757,368.61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-1,757,368.61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79,632,498.72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79,632,498.72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1,022,608,372.38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1,022,608,372.38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4,625,746,475.17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4,625,746,475.17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21,100,200.10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21,100,200.10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4,646,846,675.27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4,646,846,675.27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6,355,454,798.88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6,355,454,798.88</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调整情况说明</w:t>
      </w:r>
    </w:p>
    <w:p>
      <w:pPr>
        <w:pStyle w:val="BodyText"/>
        <w:spacing w:line="240" w:lineRule="auto" w:before="115"/>
        <w:ind w:right="0"/>
        <w:jc w:val="left"/>
      </w:pPr>
      <w:r>
        <w:rPr/>
        <w:t>①于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日，执行新金融工具准则前后金融资产的分类和计量对比表</w:t>
      </w:r>
    </w:p>
    <w:p>
      <w:pPr>
        <w:spacing w:line="240" w:lineRule="auto" w:before="2"/>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1135"/>
        <w:gridCol w:w="1433"/>
        <w:gridCol w:w="1683"/>
        <w:gridCol w:w="1157"/>
        <w:gridCol w:w="2290"/>
        <w:gridCol w:w="1659"/>
      </w:tblGrid>
      <w:tr>
        <w:trPr>
          <w:trHeight w:val="350" w:hRule="exact"/>
        </w:trPr>
        <w:tc>
          <w:tcPr>
            <w:tcW w:w="4251" w:type="dxa"/>
            <w:gridSpan w:val="3"/>
            <w:tcBorders>
              <w:top w:val="single" w:sz="6" w:space="0" w:color="000000"/>
              <w:left w:val="single" w:sz="6" w:space="0" w:color="000000"/>
              <w:bottom w:val="single" w:sz="8" w:space="0" w:color="000000"/>
              <w:right w:val="single" w:sz="6" w:space="0" w:color="000000"/>
            </w:tcBorders>
          </w:tcPr>
          <w:p>
            <w:pPr>
              <w:pStyle w:val="TableParagraph"/>
              <w:spacing w:line="290" w:lineRule="exact"/>
              <w:ind w:left="48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日（原金融工具准则）</w:t>
            </w:r>
          </w:p>
        </w:tc>
        <w:tc>
          <w:tcPr>
            <w:tcW w:w="5106" w:type="dxa"/>
            <w:gridSpan w:val="3"/>
            <w:tcBorders>
              <w:top w:val="single" w:sz="6" w:space="0" w:color="000000"/>
              <w:left w:val="single" w:sz="6" w:space="0" w:color="000000"/>
              <w:bottom w:val="single" w:sz="8" w:space="0" w:color="000000"/>
              <w:right w:val="nil" w:sz="6" w:space="0" w:color="auto"/>
            </w:tcBorders>
          </w:tcPr>
          <w:p>
            <w:pPr>
              <w:pStyle w:val="TableParagraph"/>
              <w:spacing w:line="290" w:lineRule="exact"/>
              <w:ind w:left="10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日（新金融工具准则）</w:t>
            </w:r>
          </w:p>
        </w:tc>
      </w:tr>
      <w:tr>
        <w:trPr>
          <w:trHeight w:val="348" w:hRule="exact"/>
        </w:trPr>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39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33"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331"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683"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5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157"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right="314"/>
              <w:jc w:val="right"/>
              <w:rPr>
                <w:rFonts w:ascii="宋体" w:hAnsi="宋体" w:cs="宋体" w:eastAsia="宋体" w:hint="default"/>
                <w:sz w:val="21"/>
                <w:szCs w:val="21"/>
              </w:rPr>
            </w:pPr>
            <w:r>
              <w:rPr>
                <w:rFonts w:ascii="宋体" w:hAnsi="宋体" w:cs="宋体" w:eastAsia="宋体" w:hint="default"/>
                <w:sz w:val="21"/>
                <w:szCs w:val="21"/>
              </w:rPr>
              <w:t>项目</w:t>
            </w:r>
          </w:p>
        </w:tc>
        <w:tc>
          <w:tcPr>
            <w:tcW w:w="2290"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758"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659" w:type="dxa"/>
            <w:tcBorders>
              <w:top w:val="single" w:sz="8" w:space="0" w:color="000000"/>
              <w:left w:val="single" w:sz="6" w:space="0" w:color="000000"/>
              <w:bottom w:val="single" w:sz="8" w:space="0" w:color="000000"/>
              <w:right w:val="nil" w:sz="6" w:space="0" w:color="auto"/>
            </w:tcBorders>
          </w:tcPr>
          <w:p>
            <w:pPr>
              <w:pStyle w:val="TableParagraph"/>
              <w:spacing w:line="267" w:lineRule="exact"/>
              <w:ind w:left="44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46" w:hRule="exact"/>
        </w:trPr>
        <w:tc>
          <w:tcPr>
            <w:tcW w:w="1135" w:type="dxa"/>
            <w:vMerge w:val="restart"/>
            <w:tcBorders>
              <w:top w:val="single" w:sz="8" w:space="0" w:color="000000"/>
              <w:left w:val="single" w:sz="6"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433" w:type="dxa"/>
            <w:vMerge w:val="restart"/>
            <w:tcBorders>
              <w:top w:val="single" w:sz="8" w:space="0" w:color="000000"/>
              <w:left w:val="single" w:sz="6" w:space="0" w:color="000000"/>
              <w:right w:val="single" w:sz="6" w:space="0" w:color="000000"/>
            </w:tcBorders>
          </w:tcPr>
          <w:p>
            <w:pPr>
              <w:pStyle w:val="TableParagraph"/>
              <w:spacing w:line="267" w:lineRule="exact"/>
              <w:ind w:left="86"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683" w:type="dxa"/>
            <w:vMerge w:val="restart"/>
            <w:tcBorders>
              <w:top w:val="single" w:sz="8" w:space="0" w:color="000000"/>
              <w:left w:val="single" w:sz="6" w:space="0" w:color="000000"/>
              <w:right w:val="single" w:sz="6" w:space="0" w:color="000000"/>
            </w:tcBorders>
          </w:tcPr>
          <w:p>
            <w:pPr>
              <w:pStyle w:val="TableParagraph"/>
              <w:spacing w:line="240" w:lineRule="auto" w:before="39"/>
              <w:ind w:left="458" w:right="0"/>
              <w:jc w:val="left"/>
              <w:rPr>
                <w:rFonts w:ascii="Times New Roman" w:hAnsi="Times New Roman" w:cs="Times New Roman" w:eastAsia="Times New Roman" w:hint="default"/>
                <w:sz w:val="21"/>
                <w:szCs w:val="21"/>
              </w:rPr>
            </w:pPr>
            <w:r>
              <w:rPr>
                <w:rFonts w:ascii="Times New Roman"/>
                <w:sz w:val="21"/>
              </w:rPr>
              <w:t>16,743,972.11</w:t>
            </w:r>
          </w:p>
        </w:tc>
        <w:tc>
          <w:tcPr>
            <w:tcW w:w="1157"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right="293"/>
              <w:jc w:val="right"/>
              <w:rPr>
                <w:rFonts w:ascii="宋体" w:hAnsi="宋体" w:cs="宋体" w:eastAsia="宋体" w:hint="default"/>
                <w:sz w:val="21"/>
                <w:szCs w:val="21"/>
              </w:rPr>
            </w:pPr>
            <w:r>
              <w:rPr>
                <w:rFonts w:ascii="宋体" w:hAnsi="宋体" w:cs="宋体" w:eastAsia="宋体" w:hint="default"/>
                <w:spacing w:val="-1"/>
                <w:sz w:val="21"/>
                <w:szCs w:val="21"/>
              </w:rPr>
              <w:t>应收票据</w:t>
            </w:r>
          </w:p>
        </w:tc>
        <w:tc>
          <w:tcPr>
            <w:tcW w:w="2290"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2"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65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8,034,041.95</w:t>
            </w:r>
          </w:p>
        </w:tc>
      </w:tr>
      <w:tr>
        <w:trPr>
          <w:trHeight w:val="660" w:hRule="exact"/>
        </w:trPr>
        <w:tc>
          <w:tcPr>
            <w:tcW w:w="1135" w:type="dxa"/>
            <w:vMerge/>
            <w:tcBorders>
              <w:left w:val="single" w:sz="6" w:space="0" w:color="000000"/>
              <w:bottom w:val="single" w:sz="8" w:space="0" w:color="000000"/>
              <w:right w:val="single" w:sz="6" w:space="0" w:color="000000"/>
            </w:tcBorders>
          </w:tcPr>
          <w:p>
            <w:pPr/>
          </w:p>
        </w:tc>
        <w:tc>
          <w:tcPr>
            <w:tcW w:w="1433" w:type="dxa"/>
            <w:vMerge/>
            <w:tcBorders>
              <w:left w:val="single" w:sz="6" w:space="0" w:color="000000"/>
              <w:bottom w:val="single" w:sz="8" w:space="0" w:color="000000"/>
              <w:right w:val="single" w:sz="6" w:space="0" w:color="000000"/>
            </w:tcBorders>
          </w:tcPr>
          <w:p>
            <w:pPr/>
          </w:p>
        </w:tc>
        <w:tc>
          <w:tcPr>
            <w:tcW w:w="1683" w:type="dxa"/>
            <w:vMerge/>
            <w:tcBorders>
              <w:left w:val="single" w:sz="6" w:space="0" w:color="000000"/>
              <w:bottom w:val="single" w:sz="8" w:space="0" w:color="000000"/>
              <w:right w:val="single" w:sz="6" w:space="0" w:color="000000"/>
            </w:tcBorders>
          </w:tcPr>
          <w:p>
            <w:pPr/>
          </w:p>
        </w:tc>
        <w:tc>
          <w:tcPr>
            <w:tcW w:w="115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4" w:right="81"/>
              <w:jc w:val="left"/>
              <w:rPr>
                <w:rFonts w:ascii="宋体" w:hAnsi="宋体" w:cs="宋体" w:eastAsia="宋体" w:hint="default"/>
                <w:sz w:val="21"/>
                <w:szCs w:val="21"/>
              </w:rPr>
            </w:pPr>
            <w:r>
              <w:rPr>
                <w:rFonts w:ascii="宋体" w:hAnsi="宋体" w:cs="宋体" w:eastAsia="宋体" w:hint="default"/>
                <w:sz w:val="21"/>
                <w:szCs w:val="21"/>
              </w:rPr>
              <w:t>应收款项融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w:t>
            </w:r>
          </w:p>
        </w:tc>
        <w:tc>
          <w:tcPr>
            <w:tcW w:w="2290"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168"/>
              <w:jc w:val="left"/>
              <w:rPr>
                <w:rFonts w:ascii="宋体" w:hAnsi="宋体" w:cs="宋体" w:eastAsia="宋体" w:hint="default"/>
                <w:sz w:val="21"/>
                <w:szCs w:val="21"/>
              </w:rPr>
            </w:pPr>
            <w:r>
              <w:rPr>
                <w:rFonts w:ascii="宋体" w:hAnsi="宋体" w:cs="宋体" w:eastAsia="宋体" w:hint="default"/>
                <w:sz w:val="21"/>
                <w:szCs w:val="21"/>
              </w:rPr>
              <w:t>以公允价值计量且其变</w:t>
            </w:r>
            <w:r>
              <w:rPr>
                <w:rFonts w:ascii="宋体" w:hAnsi="宋体" w:cs="宋体" w:eastAsia="宋体" w:hint="default"/>
                <w:w w:val="100"/>
                <w:sz w:val="21"/>
                <w:szCs w:val="21"/>
              </w:rPr>
              <w:t> </w:t>
            </w:r>
            <w:r>
              <w:rPr>
                <w:rFonts w:ascii="宋体" w:hAnsi="宋体" w:cs="宋体" w:eastAsia="宋体" w:hint="default"/>
                <w:sz w:val="21"/>
                <w:szCs w:val="21"/>
              </w:rPr>
              <w:t>动计入其他综合收益</w:t>
            </w:r>
          </w:p>
        </w:tc>
        <w:tc>
          <w:tcPr>
            <w:tcW w:w="165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1"/>
                <w:szCs w:val="21"/>
              </w:rPr>
            </w:pPr>
            <w:r>
              <w:rPr>
                <w:rFonts w:ascii="Times New Roman"/>
                <w:spacing w:val="-1"/>
                <w:sz w:val="21"/>
              </w:rPr>
              <w:t>8,709,930.16</w:t>
            </w:r>
          </w:p>
        </w:tc>
      </w:tr>
      <w:tr>
        <w:trPr>
          <w:trHeight w:val="658" w:hRule="exact"/>
        </w:trPr>
        <w:tc>
          <w:tcPr>
            <w:tcW w:w="1135" w:type="dxa"/>
            <w:vMerge w:val="restart"/>
            <w:tcBorders>
              <w:top w:val="single" w:sz="8" w:space="0" w:color="000000"/>
              <w:left w:val="single" w:sz="6" w:space="0" w:color="000000"/>
              <w:right w:val="single" w:sz="6" w:space="0" w:color="000000"/>
            </w:tcBorders>
          </w:tcPr>
          <w:p>
            <w:pPr>
              <w:pStyle w:val="TableParagraph"/>
              <w:spacing w:line="273" w:lineRule="auto"/>
              <w:ind w:left="4" w:right="60"/>
              <w:jc w:val="left"/>
              <w:rPr>
                <w:rFonts w:ascii="宋体" w:hAnsi="宋体" w:cs="宋体" w:eastAsia="宋体" w:hint="default"/>
                <w:sz w:val="21"/>
                <w:szCs w:val="21"/>
              </w:rPr>
            </w:pPr>
            <w:r>
              <w:rPr>
                <w:rFonts w:ascii="宋体" w:hAnsi="宋体" w:cs="宋体" w:eastAsia="宋体" w:hint="default"/>
                <w:sz w:val="21"/>
                <w:szCs w:val="21"/>
              </w:rPr>
              <w:t>其他流动资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w:t>
            </w:r>
          </w:p>
        </w:tc>
        <w:tc>
          <w:tcPr>
            <w:tcW w:w="1433" w:type="dxa"/>
            <w:vMerge w:val="restart"/>
            <w:tcBorders>
              <w:top w:val="single" w:sz="8" w:space="0" w:color="000000"/>
              <w:left w:val="single" w:sz="6" w:space="0" w:color="000000"/>
              <w:right w:val="single" w:sz="6" w:space="0" w:color="000000"/>
            </w:tcBorders>
          </w:tcPr>
          <w:p>
            <w:pPr>
              <w:pStyle w:val="TableParagraph"/>
              <w:spacing w:line="267" w:lineRule="exact"/>
              <w:ind w:left="86"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683" w:type="dxa"/>
            <w:vMerge w:val="restart"/>
            <w:tcBorders>
              <w:top w:val="single" w:sz="8" w:space="0" w:color="000000"/>
              <w:left w:val="single" w:sz="6" w:space="0" w:color="000000"/>
              <w:right w:val="single" w:sz="6" w:space="0" w:color="000000"/>
            </w:tcBorders>
          </w:tcPr>
          <w:p>
            <w:pPr>
              <w:pStyle w:val="TableParagraph"/>
              <w:spacing w:line="240" w:lineRule="auto" w:before="39"/>
              <w:ind w:left="352" w:right="0"/>
              <w:jc w:val="left"/>
              <w:rPr>
                <w:rFonts w:ascii="Times New Roman" w:hAnsi="Times New Roman" w:cs="Times New Roman" w:eastAsia="Times New Roman" w:hint="default"/>
                <w:sz w:val="21"/>
                <w:szCs w:val="21"/>
              </w:rPr>
            </w:pPr>
            <w:r>
              <w:rPr>
                <w:rFonts w:ascii="Times New Roman"/>
                <w:sz w:val="21"/>
              </w:rPr>
              <w:t>278,361,508.40</w:t>
            </w:r>
          </w:p>
        </w:tc>
        <w:tc>
          <w:tcPr>
            <w:tcW w:w="115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pacing w:val="15"/>
                <w:sz w:val="21"/>
                <w:szCs w:val="21"/>
              </w:rPr>
              <w:t>交易性金融</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资产</w:t>
            </w:r>
          </w:p>
        </w:tc>
        <w:tc>
          <w:tcPr>
            <w:tcW w:w="2290"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168"/>
              <w:jc w:val="left"/>
              <w:rPr>
                <w:rFonts w:ascii="宋体" w:hAnsi="宋体" w:cs="宋体" w:eastAsia="宋体" w:hint="default"/>
                <w:sz w:val="21"/>
                <w:szCs w:val="21"/>
              </w:rPr>
            </w:pPr>
            <w:r>
              <w:rPr>
                <w:rFonts w:ascii="宋体" w:hAnsi="宋体" w:cs="宋体" w:eastAsia="宋体" w:hint="default"/>
                <w:sz w:val="21"/>
                <w:szCs w:val="21"/>
              </w:rPr>
              <w:t>以公允价值计量且其变</w:t>
            </w:r>
            <w:r>
              <w:rPr>
                <w:rFonts w:ascii="宋体" w:hAnsi="宋体" w:cs="宋体" w:eastAsia="宋体" w:hint="default"/>
                <w:w w:val="100"/>
                <w:sz w:val="21"/>
                <w:szCs w:val="21"/>
              </w:rPr>
              <w:t> </w:t>
            </w:r>
            <w:r>
              <w:rPr>
                <w:rFonts w:ascii="宋体" w:hAnsi="宋体" w:cs="宋体" w:eastAsia="宋体" w:hint="default"/>
                <w:sz w:val="21"/>
                <w:szCs w:val="21"/>
              </w:rPr>
              <w:t>动计入当期损益</w:t>
            </w:r>
          </w:p>
        </w:tc>
        <w:tc>
          <w:tcPr>
            <w:tcW w:w="165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270,050,000.00</w:t>
            </w:r>
          </w:p>
        </w:tc>
      </w:tr>
      <w:tr>
        <w:trPr>
          <w:trHeight w:val="660" w:hRule="exact"/>
        </w:trPr>
        <w:tc>
          <w:tcPr>
            <w:tcW w:w="1135" w:type="dxa"/>
            <w:vMerge/>
            <w:tcBorders>
              <w:left w:val="single" w:sz="6" w:space="0" w:color="000000"/>
              <w:bottom w:val="single" w:sz="8" w:space="0" w:color="000000"/>
              <w:right w:val="single" w:sz="6" w:space="0" w:color="000000"/>
            </w:tcBorders>
          </w:tcPr>
          <w:p>
            <w:pPr/>
          </w:p>
        </w:tc>
        <w:tc>
          <w:tcPr>
            <w:tcW w:w="1433" w:type="dxa"/>
            <w:vMerge/>
            <w:tcBorders>
              <w:left w:val="single" w:sz="6" w:space="0" w:color="000000"/>
              <w:bottom w:val="single" w:sz="8" w:space="0" w:color="000000"/>
              <w:right w:val="single" w:sz="6" w:space="0" w:color="000000"/>
            </w:tcBorders>
          </w:tcPr>
          <w:p>
            <w:pPr/>
          </w:p>
        </w:tc>
        <w:tc>
          <w:tcPr>
            <w:tcW w:w="1683" w:type="dxa"/>
            <w:vMerge/>
            <w:tcBorders>
              <w:left w:val="single" w:sz="6" w:space="0" w:color="000000"/>
              <w:bottom w:val="single" w:sz="8" w:space="0" w:color="000000"/>
              <w:right w:val="single" w:sz="6" w:space="0" w:color="000000"/>
            </w:tcBorders>
          </w:tcPr>
          <w:p>
            <w:pPr/>
          </w:p>
        </w:tc>
        <w:tc>
          <w:tcPr>
            <w:tcW w:w="115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pacing w:val="15"/>
                <w:sz w:val="21"/>
                <w:szCs w:val="21"/>
              </w:rPr>
              <w:t>其他流动资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产</w:t>
            </w:r>
          </w:p>
        </w:tc>
        <w:tc>
          <w:tcPr>
            <w:tcW w:w="2290"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83"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65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1"/>
                <w:szCs w:val="21"/>
              </w:rPr>
            </w:pPr>
            <w:r>
              <w:rPr>
                <w:rFonts w:ascii="Times New Roman"/>
                <w:spacing w:val="-1"/>
                <w:sz w:val="21"/>
              </w:rPr>
              <w:t>8,311,508.40</w:t>
            </w:r>
          </w:p>
        </w:tc>
      </w:tr>
      <w:tr>
        <w:trPr>
          <w:trHeight w:val="660" w:hRule="exact"/>
        </w:trPr>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4" w:right="60"/>
              <w:jc w:val="left"/>
              <w:rPr>
                <w:rFonts w:ascii="宋体" w:hAnsi="宋体" w:cs="宋体" w:eastAsia="宋体" w:hint="default"/>
                <w:sz w:val="21"/>
                <w:szCs w:val="21"/>
              </w:rPr>
            </w:pPr>
            <w:r>
              <w:rPr>
                <w:rFonts w:ascii="宋体" w:hAnsi="宋体" w:cs="宋体" w:eastAsia="宋体" w:hint="default"/>
                <w:sz w:val="21"/>
                <w:szCs w:val="21"/>
              </w:rPr>
              <w:t>可供出售金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融资产</w:t>
            </w:r>
          </w:p>
        </w:tc>
        <w:tc>
          <w:tcPr>
            <w:tcW w:w="1433"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pacing w:val="-10"/>
                <w:sz w:val="21"/>
                <w:szCs w:val="21"/>
              </w:rPr>
              <w:t>以成本计量（权</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益工具）</w:t>
            </w:r>
          </w:p>
        </w:tc>
        <w:tc>
          <w:tcPr>
            <w:tcW w:w="16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58" w:right="0"/>
              <w:jc w:val="left"/>
              <w:rPr>
                <w:rFonts w:ascii="Times New Roman" w:hAnsi="Times New Roman" w:cs="Times New Roman" w:eastAsia="Times New Roman" w:hint="default"/>
                <w:sz w:val="21"/>
                <w:szCs w:val="21"/>
              </w:rPr>
            </w:pPr>
            <w:r>
              <w:rPr>
                <w:rFonts w:ascii="Times New Roman"/>
                <w:sz w:val="21"/>
              </w:rPr>
              <w:t>20,892,385.13</w:t>
            </w:r>
          </w:p>
        </w:tc>
        <w:tc>
          <w:tcPr>
            <w:tcW w:w="115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pacing w:val="15"/>
                <w:sz w:val="21"/>
                <w:szCs w:val="21"/>
              </w:rPr>
              <w:t>其他权益工</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具投资</w:t>
            </w:r>
          </w:p>
        </w:tc>
        <w:tc>
          <w:tcPr>
            <w:tcW w:w="2290"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168"/>
              <w:jc w:val="left"/>
              <w:rPr>
                <w:rFonts w:ascii="宋体" w:hAnsi="宋体" w:cs="宋体" w:eastAsia="宋体" w:hint="default"/>
                <w:sz w:val="21"/>
                <w:szCs w:val="21"/>
              </w:rPr>
            </w:pPr>
            <w:r>
              <w:rPr>
                <w:rFonts w:ascii="宋体" w:hAnsi="宋体" w:cs="宋体" w:eastAsia="宋体" w:hint="default"/>
                <w:sz w:val="21"/>
                <w:szCs w:val="21"/>
              </w:rPr>
              <w:t>以公允价值计量且其变</w:t>
            </w:r>
            <w:r>
              <w:rPr>
                <w:rFonts w:ascii="宋体" w:hAnsi="宋体" w:cs="宋体" w:eastAsia="宋体" w:hint="default"/>
                <w:w w:val="100"/>
                <w:sz w:val="21"/>
                <w:szCs w:val="21"/>
              </w:rPr>
              <w:t> </w:t>
            </w:r>
            <w:r>
              <w:rPr>
                <w:rFonts w:ascii="宋体" w:hAnsi="宋体" w:cs="宋体" w:eastAsia="宋体" w:hint="default"/>
                <w:sz w:val="21"/>
                <w:szCs w:val="21"/>
              </w:rPr>
              <w:t>动计入其他综合收益</w:t>
            </w:r>
          </w:p>
        </w:tc>
        <w:tc>
          <w:tcPr>
            <w:tcW w:w="165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20,892,385.13</w:t>
            </w:r>
          </w:p>
        </w:tc>
      </w:tr>
    </w:tbl>
    <w:p>
      <w:pPr>
        <w:pStyle w:val="BodyText"/>
        <w:spacing w:line="240" w:lineRule="auto" w:before="8"/>
        <w:ind w:right="0"/>
        <w:jc w:val="left"/>
      </w:pPr>
      <w:r>
        <w:rPr/>
        <w:t>②于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日，按新金融工具准则将原金融资产账面价值调整为新金融工具准则账面价值的调节表</w:t>
      </w:r>
    </w:p>
    <w:p>
      <w:pPr>
        <w:spacing w:line="240" w:lineRule="auto" w:before="2"/>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2528"/>
        <w:gridCol w:w="2093"/>
        <w:gridCol w:w="1548"/>
        <w:gridCol w:w="934"/>
        <w:gridCol w:w="1829"/>
      </w:tblGrid>
      <w:tr>
        <w:trPr>
          <w:trHeight w:val="972" w:hRule="exact"/>
        </w:trPr>
        <w:tc>
          <w:tcPr>
            <w:tcW w:w="2528"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11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93" w:type="dxa"/>
            <w:tcBorders>
              <w:top w:val="single" w:sz="6" w:space="0" w:color="000000"/>
              <w:left w:val="single" w:sz="6" w:space="0" w:color="000000"/>
              <w:bottom w:val="single" w:sz="8" w:space="0" w:color="000000"/>
              <w:right w:val="single" w:sz="6" w:space="0" w:color="000000"/>
            </w:tcBorders>
          </w:tcPr>
          <w:p>
            <w:pPr>
              <w:pStyle w:val="TableParagraph"/>
              <w:spacing w:line="264" w:lineRule="auto"/>
              <w:ind w:left="4" w:right="-3"/>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日的账</w:t>
            </w:r>
            <w:r>
              <w:rPr>
                <w:rFonts w:ascii="宋体" w:hAnsi="宋体" w:cs="宋体" w:eastAsia="宋体" w:hint="default"/>
                <w:w w:val="100"/>
                <w:sz w:val="21"/>
                <w:szCs w:val="21"/>
              </w:rPr>
              <w:t> </w:t>
            </w:r>
            <w:r>
              <w:rPr>
                <w:rFonts w:ascii="宋体" w:hAnsi="宋体" w:cs="宋体" w:eastAsia="宋体" w:hint="default"/>
                <w:spacing w:val="-4"/>
                <w:sz w:val="21"/>
                <w:szCs w:val="21"/>
              </w:rPr>
              <w:t>面价值（按原金融工具</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准则）</w:t>
            </w:r>
          </w:p>
        </w:tc>
        <w:tc>
          <w:tcPr>
            <w:tcW w:w="1548"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506" w:right="0"/>
              <w:jc w:val="left"/>
              <w:rPr>
                <w:rFonts w:ascii="宋体" w:hAnsi="宋体" w:cs="宋体" w:eastAsia="宋体" w:hint="default"/>
                <w:sz w:val="21"/>
                <w:szCs w:val="21"/>
              </w:rPr>
            </w:pPr>
            <w:r>
              <w:rPr>
                <w:rFonts w:ascii="宋体" w:hAnsi="宋体" w:cs="宋体" w:eastAsia="宋体" w:hint="default"/>
                <w:sz w:val="21"/>
                <w:szCs w:val="21"/>
              </w:rPr>
              <w:t>重分类</w:t>
            </w:r>
          </w:p>
        </w:tc>
        <w:tc>
          <w:tcPr>
            <w:tcW w:w="934"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right="34"/>
              <w:jc w:val="right"/>
              <w:rPr>
                <w:rFonts w:ascii="宋体" w:hAnsi="宋体" w:cs="宋体" w:eastAsia="宋体" w:hint="default"/>
                <w:sz w:val="21"/>
                <w:szCs w:val="21"/>
              </w:rPr>
            </w:pPr>
            <w:r>
              <w:rPr>
                <w:rFonts w:ascii="宋体" w:hAnsi="宋体" w:cs="宋体" w:eastAsia="宋体" w:hint="default"/>
                <w:spacing w:val="-1"/>
                <w:sz w:val="21"/>
                <w:szCs w:val="21"/>
              </w:rPr>
              <w:t>重新计量</w:t>
            </w:r>
          </w:p>
        </w:tc>
        <w:tc>
          <w:tcPr>
            <w:tcW w:w="1829" w:type="dxa"/>
            <w:tcBorders>
              <w:top w:val="single" w:sz="6" w:space="0" w:color="000000"/>
              <w:left w:val="single" w:sz="6" w:space="0" w:color="000000"/>
              <w:bottom w:val="single" w:sz="8" w:space="0" w:color="000000"/>
              <w:right w:val="nil" w:sz="6" w:space="0" w:color="auto"/>
            </w:tcBorders>
          </w:tcPr>
          <w:p>
            <w:pPr>
              <w:pStyle w:val="TableParagraph"/>
              <w:spacing w:line="264" w:lineRule="auto"/>
              <w:ind w:left="4" w:right="3"/>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日的账</w:t>
            </w:r>
            <w:r>
              <w:rPr>
                <w:rFonts w:ascii="宋体" w:hAnsi="宋体" w:cs="宋体" w:eastAsia="宋体" w:hint="default"/>
                <w:w w:val="100"/>
                <w:sz w:val="21"/>
                <w:szCs w:val="21"/>
              </w:rPr>
              <w:t> </w:t>
            </w:r>
            <w:r>
              <w:rPr>
                <w:rFonts w:ascii="宋体" w:hAnsi="宋体" w:cs="宋体" w:eastAsia="宋体" w:hint="default"/>
                <w:spacing w:val="-11"/>
                <w:w w:val="100"/>
                <w:sz w:val="21"/>
                <w:szCs w:val="21"/>
              </w:rPr>
              <w:t>面价值（按新金融工</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具准则）</w:t>
            </w:r>
          </w:p>
        </w:tc>
      </w:tr>
      <w:tr>
        <w:trPr>
          <w:trHeight w:val="348" w:hRule="exact"/>
        </w:trPr>
        <w:tc>
          <w:tcPr>
            <w:tcW w:w="8932" w:type="dxa"/>
            <w:gridSpan w:val="5"/>
            <w:tcBorders>
              <w:top w:val="single" w:sz="8" w:space="0" w:color="000000"/>
              <w:left w:val="single" w:sz="6" w:space="0" w:color="000000"/>
              <w:bottom w:val="single" w:sz="8" w:space="0" w:color="000000"/>
              <w:right w:val="nil" w:sz="6" w:space="0" w:color="auto"/>
            </w:tcBorders>
          </w:tcPr>
          <w:p>
            <w:pPr>
              <w:pStyle w:val="TableParagraph"/>
              <w:spacing w:line="270" w:lineRule="exact"/>
              <w:ind w:left="112" w:right="0"/>
              <w:jc w:val="left"/>
              <w:rPr>
                <w:rFonts w:ascii="宋体" w:hAnsi="宋体" w:cs="宋体" w:eastAsia="宋体" w:hint="default"/>
                <w:sz w:val="21"/>
                <w:szCs w:val="21"/>
              </w:rPr>
            </w:pPr>
            <w:r>
              <w:rPr>
                <w:rFonts w:ascii="宋体" w:hAnsi="宋体" w:cs="宋体" w:eastAsia="宋体" w:hint="default"/>
                <w:sz w:val="21"/>
                <w:szCs w:val="21"/>
              </w:rPr>
              <w:t>一、新金融工具准则下以公允价值计量且其变动计入当期损益的金融资产</w:t>
            </w:r>
          </w:p>
        </w:tc>
      </w:tr>
      <w:tr>
        <w:trPr>
          <w:trHeight w:val="660" w:hRule="exact"/>
        </w:trPr>
        <w:tc>
          <w:tcPr>
            <w:tcW w:w="2528"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86" w:right="84" w:firstLine="26"/>
              <w:jc w:val="left"/>
              <w:rPr>
                <w:rFonts w:ascii="宋体" w:hAnsi="宋体" w:cs="宋体" w:eastAsia="宋体" w:hint="default"/>
                <w:sz w:val="21"/>
                <w:szCs w:val="21"/>
              </w:rPr>
            </w:pPr>
            <w:r>
              <w:rPr>
                <w:rFonts w:ascii="宋体" w:hAnsi="宋体" w:cs="宋体" w:eastAsia="宋体" w:hint="default"/>
                <w:sz w:val="21"/>
                <w:szCs w:val="21"/>
              </w:rPr>
              <w:t>其他流动资产（按原金融</w:t>
            </w:r>
            <w:r>
              <w:rPr>
                <w:rFonts w:ascii="宋体" w:hAnsi="宋体" w:cs="宋体" w:eastAsia="宋体" w:hint="default"/>
                <w:w w:val="100"/>
                <w:sz w:val="21"/>
                <w:szCs w:val="21"/>
              </w:rPr>
              <w:t> </w:t>
            </w:r>
            <w:r>
              <w:rPr>
                <w:rFonts w:ascii="宋体" w:hAnsi="宋体" w:cs="宋体" w:eastAsia="宋体" w:hint="default"/>
                <w:sz w:val="21"/>
                <w:szCs w:val="21"/>
              </w:rPr>
              <w:t>工具准则列示金额）</w:t>
            </w:r>
          </w:p>
        </w:tc>
        <w:tc>
          <w:tcPr>
            <w:tcW w:w="20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278,361,508.40</w:t>
            </w:r>
          </w:p>
        </w:tc>
        <w:tc>
          <w:tcPr>
            <w:tcW w:w="154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658" w:hRule="exact"/>
        </w:trPr>
        <w:tc>
          <w:tcPr>
            <w:tcW w:w="2528"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86" w:right="84" w:firstLine="26"/>
              <w:jc w:val="left"/>
              <w:rPr>
                <w:rFonts w:ascii="宋体" w:hAnsi="宋体" w:cs="宋体" w:eastAsia="宋体" w:hint="default"/>
                <w:sz w:val="21"/>
                <w:szCs w:val="21"/>
              </w:rPr>
            </w:pPr>
            <w:r>
              <w:rPr>
                <w:rFonts w:ascii="宋体" w:hAnsi="宋体" w:cs="宋体" w:eastAsia="宋体" w:hint="default"/>
                <w:sz w:val="21"/>
                <w:szCs w:val="21"/>
              </w:rPr>
              <w:t>减：转出至交易性金融资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20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4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270,050,000.00</w:t>
            </w:r>
          </w:p>
        </w:tc>
        <w:tc>
          <w:tcPr>
            <w:tcW w:w="9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270,050,000.00</w:t>
            </w:r>
          </w:p>
        </w:tc>
      </w:tr>
      <w:tr>
        <w:trPr>
          <w:trHeight w:val="660" w:hRule="exact"/>
        </w:trPr>
        <w:tc>
          <w:tcPr>
            <w:tcW w:w="2528"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86" w:right="84" w:firstLine="26"/>
              <w:jc w:val="left"/>
              <w:rPr>
                <w:rFonts w:ascii="宋体" w:hAnsi="宋体" w:cs="宋体" w:eastAsia="宋体" w:hint="default"/>
                <w:sz w:val="21"/>
                <w:szCs w:val="21"/>
              </w:rPr>
            </w:pPr>
            <w:r>
              <w:rPr>
                <w:rFonts w:ascii="宋体" w:hAnsi="宋体" w:cs="宋体" w:eastAsia="宋体" w:hint="default"/>
                <w:sz w:val="21"/>
                <w:szCs w:val="21"/>
              </w:rPr>
              <w:t>其他流动资产（按新融工</w:t>
            </w:r>
            <w:r>
              <w:rPr>
                <w:rFonts w:ascii="宋体" w:hAnsi="宋体" w:cs="宋体" w:eastAsia="宋体" w:hint="default"/>
                <w:w w:val="100"/>
                <w:sz w:val="21"/>
                <w:szCs w:val="21"/>
              </w:rPr>
              <w:t> </w:t>
            </w:r>
            <w:r>
              <w:rPr>
                <w:rFonts w:ascii="宋体" w:hAnsi="宋体" w:cs="宋体" w:eastAsia="宋体" w:hint="default"/>
                <w:sz w:val="21"/>
                <w:szCs w:val="21"/>
              </w:rPr>
              <w:t>具准则列示金额）</w:t>
            </w:r>
          </w:p>
        </w:tc>
        <w:tc>
          <w:tcPr>
            <w:tcW w:w="20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4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3"/>
              <w:jc w:val="right"/>
              <w:rPr>
                <w:rFonts w:ascii="Times New Roman" w:hAnsi="Times New Roman" w:cs="Times New Roman" w:eastAsia="Times New Roman" w:hint="default"/>
                <w:sz w:val="21"/>
                <w:szCs w:val="21"/>
              </w:rPr>
            </w:pPr>
            <w:r>
              <w:rPr>
                <w:rFonts w:ascii="Times New Roman"/>
                <w:spacing w:val="-1"/>
                <w:sz w:val="21"/>
              </w:rPr>
              <w:t>8,311,508.40</w:t>
            </w:r>
          </w:p>
        </w:tc>
      </w:tr>
      <w:tr>
        <w:trPr>
          <w:trHeight w:val="346" w:hRule="exact"/>
        </w:trPr>
        <w:tc>
          <w:tcPr>
            <w:tcW w:w="8932" w:type="dxa"/>
            <w:gridSpan w:val="5"/>
            <w:tcBorders>
              <w:top w:val="single" w:sz="8" w:space="0" w:color="000000"/>
              <w:left w:val="single" w:sz="6" w:space="0" w:color="000000"/>
              <w:bottom w:val="single" w:sz="8" w:space="0" w:color="000000"/>
              <w:right w:val="nil" w:sz="6" w:space="0" w:color="auto"/>
            </w:tcBorders>
          </w:tcPr>
          <w:p>
            <w:pPr>
              <w:pStyle w:val="TableParagraph"/>
              <w:spacing w:line="267" w:lineRule="exact"/>
              <w:ind w:left="112" w:right="0"/>
              <w:jc w:val="left"/>
              <w:rPr>
                <w:rFonts w:ascii="宋体" w:hAnsi="宋体" w:cs="宋体" w:eastAsia="宋体" w:hint="default"/>
                <w:sz w:val="21"/>
                <w:szCs w:val="21"/>
              </w:rPr>
            </w:pPr>
            <w:r>
              <w:rPr>
                <w:rFonts w:ascii="宋体" w:hAnsi="宋体" w:cs="宋体" w:eastAsia="宋体" w:hint="default"/>
                <w:sz w:val="21"/>
                <w:szCs w:val="21"/>
              </w:rPr>
              <w:t>二、新金融工具准则下以摊余成本计量的金融资产</w:t>
            </w:r>
          </w:p>
        </w:tc>
      </w:tr>
      <w:tr>
        <w:trPr>
          <w:trHeight w:val="660" w:hRule="exact"/>
        </w:trPr>
        <w:tc>
          <w:tcPr>
            <w:tcW w:w="2528"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86" w:right="84" w:firstLine="26"/>
              <w:jc w:val="left"/>
              <w:rPr>
                <w:rFonts w:ascii="宋体" w:hAnsi="宋体" w:cs="宋体" w:eastAsia="宋体" w:hint="default"/>
                <w:sz w:val="21"/>
                <w:szCs w:val="21"/>
              </w:rPr>
            </w:pPr>
            <w:r>
              <w:rPr>
                <w:rFonts w:ascii="宋体" w:hAnsi="宋体" w:cs="宋体" w:eastAsia="宋体" w:hint="default"/>
                <w:sz w:val="21"/>
                <w:szCs w:val="21"/>
              </w:rPr>
              <w:t>应收票据（按原金融工具</w:t>
            </w:r>
            <w:r>
              <w:rPr>
                <w:rFonts w:ascii="宋体" w:hAnsi="宋体" w:cs="宋体" w:eastAsia="宋体" w:hint="default"/>
                <w:w w:val="100"/>
                <w:sz w:val="21"/>
                <w:szCs w:val="21"/>
              </w:rPr>
              <w:t> </w:t>
            </w:r>
            <w:r>
              <w:rPr>
                <w:rFonts w:ascii="宋体" w:hAnsi="宋体" w:cs="宋体" w:eastAsia="宋体" w:hint="default"/>
                <w:sz w:val="21"/>
                <w:szCs w:val="21"/>
              </w:rPr>
              <w:t>准则列示金额）</w:t>
            </w:r>
          </w:p>
        </w:tc>
        <w:tc>
          <w:tcPr>
            <w:tcW w:w="20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3"/>
              <w:jc w:val="right"/>
              <w:rPr>
                <w:rFonts w:ascii="Times New Roman" w:hAnsi="Times New Roman" w:cs="Times New Roman" w:eastAsia="Times New Roman" w:hint="default"/>
                <w:sz w:val="21"/>
                <w:szCs w:val="21"/>
              </w:rPr>
            </w:pPr>
            <w:r>
              <w:rPr>
                <w:rFonts w:ascii="Times New Roman"/>
                <w:spacing w:val="-1"/>
                <w:sz w:val="21"/>
              </w:rPr>
              <w:t>16,743,972.11</w:t>
            </w:r>
          </w:p>
        </w:tc>
        <w:tc>
          <w:tcPr>
            <w:tcW w:w="154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2528"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26" w:right="0"/>
              <w:jc w:val="center"/>
              <w:rPr>
                <w:rFonts w:ascii="宋体" w:hAnsi="宋体" w:cs="宋体" w:eastAsia="宋体" w:hint="default"/>
                <w:sz w:val="21"/>
                <w:szCs w:val="21"/>
              </w:rPr>
            </w:pPr>
            <w:r>
              <w:rPr>
                <w:rFonts w:ascii="宋体" w:hAnsi="宋体" w:cs="宋体" w:eastAsia="宋体" w:hint="default"/>
                <w:sz w:val="21"/>
                <w:szCs w:val="21"/>
              </w:rPr>
              <w:t>减：转出至应收款项融资</w:t>
            </w:r>
          </w:p>
        </w:tc>
        <w:tc>
          <w:tcPr>
            <w:tcW w:w="20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4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8,709,930.16</w:t>
            </w:r>
          </w:p>
        </w:tc>
        <w:tc>
          <w:tcPr>
            <w:tcW w:w="9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8,709,930.16</w:t>
            </w:r>
          </w:p>
        </w:tc>
      </w:tr>
      <w:tr>
        <w:trPr>
          <w:trHeight w:val="658" w:hRule="exact"/>
        </w:trPr>
        <w:tc>
          <w:tcPr>
            <w:tcW w:w="2528"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86" w:right="84" w:firstLine="26"/>
              <w:jc w:val="left"/>
              <w:rPr>
                <w:rFonts w:ascii="宋体" w:hAnsi="宋体" w:cs="宋体" w:eastAsia="宋体" w:hint="default"/>
                <w:sz w:val="21"/>
                <w:szCs w:val="21"/>
              </w:rPr>
            </w:pPr>
            <w:r>
              <w:rPr>
                <w:rFonts w:ascii="宋体" w:hAnsi="宋体" w:cs="宋体" w:eastAsia="宋体" w:hint="default"/>
                <w:sz w:val="21"/>
                <w:szCs w:val="21"/>
              </w:rPr>
              <w:t>应收票据（按新融工具准</w:t>
            </w:r>
            <w:r>
              <w:rPr>
                <w:rFonts w:ascii="宋体" w:hAnsi="宋体" w:cs="宋体" w:eastAsia="宋体" w:hint="default"/>
                <w:w w:val="100"/>
                <w:sz w:val="21"/>
                <w:szCs w:val="21"/>
              </w:rPr>
              <w:t> </w:t>
            </w:r>
            <w:r>
              <w:rPr>
                <w:rFonts w:ascii="宋体" w:hAnsi="宋体" w:cs="宋体" w:eastAsia="宋体" w:hint="default"/>
                <w:sz w:val="21"/>
                <w:szCs w:val="21"/>
              </w:rPr>
              <w:t>则列示金额）</w:t>
            </w:r>
          </w:p>
        </w:tc>
        <w:tc>
          <w:tcPr>
            <w:tcW w:w="20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4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8,034,041.95</w:t>
            </w:r>
          </w:p>
        </w:tc>
      </w:tr>
      <w:tr>
        <w:trPr>
          <w:trHeight w:val="348" w:hRule="exact"/>
        </w:trPr>
        <w:tc>
          <w:tcPr>
            <w:tcW w:w="8932" w:type="dxa"/>
            <w:gridSpan w:val="5"/>
            <w:tcBorders>
              <w:top w:val="single" w:sz="8" w:space="0" w:color="000000"/>
              <w:left w:val="single" w:sz="6" w:space="0" w:color="000000"/>
              <w:bottom w:val="single" w:sz="8" w:space="0" w:color="000000"/>
              <w:right w:val="nil" w:sz="6" w:space="0" w:color="auto"/>
            </w:tcBorders>
          </w:tcPr>
          <w:p>
            <w:pPr>
              <w:pStyle w:val="TableParagraph"/>
              <w:spacing w:line="270" w:lineRule="exact"/>
              <w:ind w:left="112" w:right="0"/>
              <w:jc w:val="left"/>
              <w:rPr>
                <w:rFonts w:ascii="宋体" w:hAnsi="宋体" w:cs="宋体" w:eastAsia="宋体" w:hint="default"/>
                <w:sz w:val="21"/>
                <w:szCs w:val="21"/>
              </w:rPr>
            </w:pPr>
            <w:r>
              <w:rPr>
                <w:rFonts w:ascii="宋体" w:hAnsi="宋体" w:cs="宋体" w:eastAsia="宋体" w:hint="default"/>
                <w:sz w:val="21"/>
                <w:szCs w:val="21"/>
              </w:rPr>
              <w:t>三、新金融工具准则下以公允价值计量且其变动计入其他综合收益的金融资产</w:t>
            </w:r>
          </w:p>
        </w:tc>
      </w:tr>
      <w:tr>
        <w:trPr>
          <w:trHeight w:val="658" w:hRule="exact"/>
        </w:trPr>
        <w:tc>
          <w:tcPr>
            <w:tcW w:w="2528"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86" w:right="84" w:firstLine="26"/>
              <w:jc w:val="left"/>
              <w:rPr>
                <w:rFonts w:ascii="宋体" w:hAnsi="宋体" w:cs="宋体" w:eastAsia="宋体" w:hint="default"/>
                <w:sz w:val="21"/>
                <w:szCs w:val="21"/>
              </w:rPr>
            </w:pPr>
            <w:r>
              <w:rPr>
                <w:rFonts w:ascii="宋体" w:hAnsi="宋体" w:cs="宋体" w:eastAsia="宋体" w:hint="default"/>
                <w:sz w:val="21"/>
                <w:szCs w:val="21"/>
              </w:rPr>
              <w:t>可供出售金融资产（按原</w:t>
            </w:r>
            <w:r>
              <w:rPr>
                <w:rFonts w:ascii="宋体" w:hAnsi="宋体" w:cs="宋体" w:eastAsia="宋体" w:hint="default"/>
                <w:w w:val="100"/>
                <w:sz w:val="21"/>
                <w:szCs w:val="21"/>
              </w:rPr>
              <w:t> </w:t>
            </w:r>
            <w:r>
              <w:rPr>
                <w:rFonts w:ascii="宋体" w:hAnsi="宋体" w:cs="宋体" w:eastAsia="宋体" w:hint="default"/>
                <w:sz w:val="21"/>
                <w:szCs w:val="21"/>
              </w:rPr>
              <w:t>金融工具准则列示金额）</w:t>
            </w:r>
          </w:p>
        </w:tc>
        <w:tc>
          <w:tcPr>
            <w:tcW w:w="20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20,892,385.13</w:t>
            </w:r>
          </w:p>
        </w:tc>
        <w:tc>
          <w:tcPr>
            <w:tcW w:w="154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660" w:hRule="exact"/>
        </w:trPr>
        <w:tc>
          <w:tcPr>
            <w:tcW w:w="2528"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86" w:right="84" w:firstLine="26"/>
              <w:jc w:val="left"/>
              <w:rPr>
                <w:rFonts w:ascii="宋体" w:hAnsi="宋体" w:cs="宋体" w:eastAsia="宋体" w:hint="default"/>
                <w:sz w:val="21"/>
                <w:szCs w:val="21"/>
              </w:rPr>
            </w:pPr>
            <w:r>
              <w:rPr>
                <w:rFonts w:ascii="宋体" w:hAnsi="宋体" w:cs="宋体" w:eastAsia="宋体" w:hint="default"/>
                <w:sz w:val="21"/>
                <w:szCs w:val="21"/>
              </w:rPr>
              <w:t>减：转出至其他权益工具</w:t>
            </w:r>
            <w:r>
              <w:rPr>
                <w:rFonts w:ascii="宋体" w:hAnsi="宋体" w:cs="宋体" w:eastAsia="宋体" w:hint="default"/>
                <w:w w:val="100"/>
                <w:sz w:val="21"/>
                <w:szCs w:val="21"/>
              </w:rPr>
              <w:t> </w:t>
            </w:r>
            <w:r>
              <w:rPr>
                <w:rFonts w:ascii="宋体" w:hAnsi="宋体" w:cs="宋体" w:eastAsia="宋体" w:hint="default"/>
                <w:sz w:val="21"/>
                <w:szCs w:val="21"/>
              </w:rPr>
              <w:t>投资</w:t>
            </w:r>
          </w:p>
        </w:tc>
        <w:tc>
          <w:tcPr>
            <w:tcW w:w="20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4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20,892,385.13</w:t>
            </w:r>
          </w:p>
        </w:tc>
        <w:tc>
          <w:tcPr>
            <w:tcW w:w="9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3"/>
              <w:jc w:val="right"/>
              <w:rPr>
                <w:rFonts w:ascii="Times New Roman" w:hAnsi="Times New Roman" w:cs="Times New Roman" w:eastAsia="Times New Roman" w:hint="default"/>
                <w:sz w:val="21"/>
                <w:szCs w:val="21"/>
              </w:rPr>
            </w:pPr>
            <w:r>
              <w:rPr>
                <w:rFonts w:ascii="Times New Roman"/>
                <w:spacing w:val="-1"/>
                <w:sz w:val="21"/>
              </w:rPr>
              <w:t>20,892,385.13</w:t>
            </w:r>
          </w:p>
        </w:tc>
      </w:tr>
      <w:tr>
        <w:trPr>
          <w:trHeight w:val="660" w:hRule="exact"/>
        </w:trPr>
        <w:tc>
          <w:tcPr>
            <w:tcW w:w="2528"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86" w:right="84" w:firstLine="26"/>
              <w:jc w:val="left"/>
              <w:rPr>
                <w:rFonts w:ascii="宋体" w:hAnsi="宋体" w:cs="宋体" w:eastAsia="宋体" w:hint="default"/>
                <w:sz w:val="21"/>
                <w:szCs w:val="21"/>
              </w:rPr>
            </w:pPr>
            <w:r>
              <w:rPr>
                <w:rFonts w:ascii="宋体" w:hAnsi="宋体" w:cs="宋体" w:eastAsia="宋体" w:hint="default"/>
                <w:sz w:val="21"/>
                <w:szCs w:val="21"/>
              </w:rPr>
              <w:t>可供出售金融资产（按新</w:t>
            </w:r>
            <w:r>
              <w:rPr>
                <w:rFonts w:ascii="宋体" w:hAnsi="宋体" w:cs="宋体" w:eastAsia="宋体" w:hint="default"/>
                <w:w w:val="100"/>
                <w:sz w:val="21"/>
                <w:szCs w:val="21"/>
              </w:rPr>
              <w:t> </w:t>
            </w:r>
            <w:r>
              <w:rPr>
                <w:rFonts w:ascii="宋体" w:hAnsi="宋体" w:cs="宋体" w:eastAsia="宋体" w:hint="default"/>
                <w:sz w:val="21"/>
                <w:szCs w:val="21"/>
              </w:rPr>
              <w:t>融工具准则列示金额）</w:t>
            </w:r>
          </w:p>
        </w:tc>
        <w:tc>
          <w:tcPr>
            <w:tcW w:w="20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4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2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bl>
    <w:p>
      <w:pPr>
        <w:pStyle w:val="BodyText"/>
        <w:spacing w:line="240" w:lineRule="auto" w:before="8"/>
        <w:ind w:right="0"/>
        <w:jc w:val="left"/>
      </w:pPr>
      <w:r>
        <w:rPr/>
        <w:t>③于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日，执行新金融工具准则将原金融资产减值准备调整到新金融工具准则金融资产减值准备的调节表</w:t>
      </w:r>
    </w:p>
    <w:p>
      <w:pPr>
        <w:spacing w:line="240" w:lineRule="auto" w:before="2"/>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2132"/>
        <w:gridCol w:w="2129"/>
        <w:gridCol w:w="1128"/>
        <w:gridCol w:w="1136"/>
        <w:gridCol w:w="2124"/>
      </w:tblGrid>
      <w:tr>
        <w:trPr>
          <w:trHeight w:val="350" w:hRule="exact"/>
        </w:trPr>
        <w:tc>
          <w:tcPr>
            <w:tcW w:w="2132"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640"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2129" w:type="dxa"/>
            <w:tcBorders>
              <w:top w:val="single" w:sz="6" w:space="0" w:color="000000"/>
              <w:left w:val="single" w:sz="6" w:space="0" w:color="000000"/>
              <w:bottom w:val="single" w:sz="8"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日计提的</w:t>
            </w:r>
          </w:p>
        </w:tc>
        <w:tc>
          <w:tcPr>
            <w:tcW w:w="1128"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242" w:right="0"/>
              <w:jc w:val="left"/>
              <w:rPr>
                <w:rFonts w:ascii="宋体" w:hAnsi="宋体" w:cs="宋体" w:eastAsia="宋体" w:hint="default"/>
                <w:sz w:val="21"/>
                <w:szCs w:val="21"/>
              </w:rPr>
            </w:pPr>
            <w:r>
              <w:rPr>
                <w:rFonts w:ascii="宋体" w:hAnsi="宋体" w:cs="宋体" w:eastAsia="宋体" w:hint="default"/>
                <w:sz w:val="21"/>
                <w:szCs w:val="21"/>
              </w:rPr>
              <w:t>重分类</w:t>
            </w:r>
          </w:p>
        </w:tc>
        <w:tc>
          <w:tcPr>
            <w:tcW w:w="1136"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141" w:right="0"/>
              <w:jc w:val="left"/>
              <w:rPr>
                <w:rFonts w:ascii="宋体" w:hAnsi="宋体" w:cs="宋体" w:eastAsia="宋体" w:hint="default"/>
                <w:sz w:val="21"/>
                <w:szCs w:val="21"/>
              </w:rPr>
            </w:pPr>
            <w:r>
              <w:rPr>
                <w:rFonts w:ascii="宋体" w:hAnsi="宋体" w:cs="宋体" w:eastAsia="宋体" w:hint="default"/>
                <w:sz w:val="21"/>
                <w:szCs w:val="21"/>
              </w:rPr>
              <w:t>重新计量</w:t>
            </w:r>
          </w:p>
        </w:tc>
        <w:tc>
          <w:tcPr>
            <w:tcW w:w="2124" w:type="dxa"/>
            <w:tcBorders>
              <w:top w:val="single" w:sz="6" w:space="0" w:color="000000"/>
              <w:left w:val="single" w:sz="6" w:space="0" w:color="000000"/>
              <w:bottom w:val="single" w:sz="8" w:space="0" w:color="000000"/>
              <w:right w:val="nil" w:sz="6" w:space="0" w:color="auto"/>
            </w:tcBorders>
          </w:tcPr>
          <w:p>
            <w:pPr>
              <w:pStyle w:val="TableParagraph"/>
              <w:spacing w:line="288"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日计提的减</w:t>
            </w:r>
          </w:p>
        </w:tc>
      </w:tr>
    </w:tbl>
    <w:p>
      <w:pPr>
        <w:spacing w:after="0" w:line="288" w:lineRule="exact"/>
        <w:jc w:val="left"/>
        <w:rPr>
          <w:rFonts w:ascii="宋体" w:hAnsi="宋体" w:cs="宋体" w:eastAsia="宋体" w:hint="default"/>
          <w:sz w:val="21"/>
          <w:szCs w:val="21"/>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132"/>
        <w:gridCol w:w="2129"/>
        <w:gridCol w:w="1128"/>
        <w:gridCol w:w="1136"/>
        <w:gridCol w:w="2124"/>
      </w:tblGrid>
      <w:tr>
        <w:trPr>
          <w:trHeight w:val="663" w:hRule="exact"/>
        </w:trPr>
        <w:tc>
          <w:tcPr>
            <w:tcW w:w="2132" w:type="dxa"/>
            <w:tcBorders>
              <w:top w:val="single" w:sz="6" w:space="0" w:color="000000"/>
              <w:left w:val="single" w:sz="6" w:space="0" w:color="000000"/>
              <w:bottom w:val="single" w:sz="8" w:space="0" w:color="000000"/>
              <w:right w:val="single" w:sz="6" w:space="0" w:color="000000"/>
            </w:tcBorders>
          </w:tcPr>
          <w:p>
            <w:pPr/>
          </w:p>
        </w:tc>
        <w:tc>
          <w:tcPr>
            <w:tcW w:w="2129" w:type="dxa"/>
            <w:tcBorders>
              <w:top w:val="single" w:sz="6" w:space="0" w:color="000000"/>
              <w:left w:val="single" w:sz="6" w:space="0" w:color="000000"/>
              <w:bottom w:val="single" w:sz="8" w:space="0" w:color="000000"/>
              <w:right w:val="single" w:sz="6" w:space="0" w:color="000000"/>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z w:val="21"/>
                <w:szCs w:val="21"/>
              </w:rPr>
              <w:t>减值准备（按原金融工</w:t>
            </w:r>
            <w:r>
              <w:rPr>
                <w:rFonts w:ascii="宋体" w:hAnsi="宋体" w:cs="宋体" w:eastAsia="宋体" w:hint="default"/>
                <w:w w:val="100"/>
                <w:sz w:val="21"/>
                <w:szCs w:val="21"/>
              </w:rPr>
              <w:t> </w:t>
            </w:r>
            <w:r>
              <w:rPr>
                <w:rFonts w:ascii="宋体" w:hAnsi="宋体" w:cs="宋体" w:eastAsia="宋体" w:hint="default"/>
                <w:sz w:val="21"/>
                <w:szCs w:val="21"/>
              </w:rPr>
              <w:t>具准则）</w:t>
            </w:r>
          </w:p>
        </w:tc>
        <w:tc>
          <w:tcPr>
            <w:tcW w:w="1128" w:type="dxa"/>
            <w:tcBorders>
              <w:top w:val="single" w:sz="6" w:space="0" w:color="000000"/>
              <w:left w:val="single" w:sz="6" w:space="0" w:color="000000"/>
              <w:bottom w:val="single" w:sz="8" w:space="0" w:color="000000"/>
              <w:right w:val="single" w:sz="6" w:space="0" w:color="000000"/>
            </w:tcBorders>
          </w:tcPr>
          <w:p>
            <w:pPr/>
          </w:p>
        </w:tc>
        <w:tc>
          <w:tcPr>
            <w:tcW w:w="1136" w:type="dxa"/>
            <w:tcBorders>
              <w:top w:val="single" w:sz="6" w:space="0" w:color="000000"/>
              <w:left w:val="single" w:sz="6" w:space="0" w:color="000000"/>
              <w:bottom w:val="single" w:sz="8" w:space="0" w:color="000000"/>
              <w:right w:val="single" w:sz="6" w:space="0" w:color="000000"/>
            </w:tcBorders>
          </w:tcPr>
          <w:p>
            <w:pPr/>
          </w:p>
        </w:tc>
        <w:tc>
          <w:tcPr>
            <w:tcW w:w="2124" w:type="dxa"/>
            <w:tcBorders>
              <w:top w:val="single" w:sz="6" w:space="0" w:color="000000"/>
              <w:left w:val="single" w:sz="6" w:space="0" w:color="000000"/>
              <w:bottom w:val="single" w:sz="8" w:space="0" w:color="000000"/>
              <w:right w:val="nil" w:sz="6" w:space="0" w:color="auto"/>
            </w:tcBorders>
          </w:tcPr>
          <w:p>
            <w:pPr>
              <w:pStyle w:val="TableParagraph"/>
              <w:spacing w:line="273" w:lineRule="auto"/>
              <w:ind w:left="2" w:right="10"/>
              <w:jc w:val="left"/>
              <w:rPr>
                <w:rFonts w:ascii="宋体" w:hAnsi="宋体" w:cs="宋体" w:eastAsia="宋体" w:hint="default"/>
                <w:sz w:val="21"/>
                <w:szCs w:val="21"/>
              </w:rPr>
            </w:pPr>
            <w:r>
              <w:rPr>
                <w:rFonts w:ascii="宋体" w:hAnsi="宋体" w:cs="宋体" w:eastAsia="宋体" w:hint="default"/>
                <w:spacing w:val="-2"/>
                <w:sz w:val="21"/>
                <w:szCs w:val="21"/>
              </w:rPr>
              <w:t>值准备（按新金融工具</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准则）</w:t>
            </w:r>
          </w:p>
        </w:tc>
      </w:tr>
      <w:tr>
        <w:trPr>
          <w:trHeight w:val="658" w:hRule="exact"/>
        </w:trPr>
        <w:tc>
          <w:tcPr>
            <w:tcW w:w="2132"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4" w:right="7"/>
              <w:jc w:val="left"/>
              <w:rPr>
                <w:rFonts w:ascii="宋体" w:hAnsi="宋体" w:cs="宋体" w:eastAsia="宋体" w:hint="default"/>
                <w:sz w:val="21"/>
                <w:szCs w:val="21"/>
              </w:rPr>
            </w:pPr>
            <w:r>
              <w:rPr>
                <w:rFonts w:ascii="宋体" w:hAnsi="宋体" w:cs="宋体" w:eastAsia="宋体" w:hint="default"/>
                <w:sz w:val="21"/>
                <w:szCs w:val="21"/>
              </w:rPr>
              <w:t>以摊余成本计量的金融</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21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94,106,730.05</w:t>
            </w:r>
          </w:p>
        </w:tc>
        <w:tc>
          <w:tcPr>
            <w:tcW w:w="11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1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12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94,106,730.05</w:t>
            </w:r>
          </w:p>
        </w:tc>
      </w:tr>
      <w:tr>
        <w:trPr>
          <w:trHeight w:val="660" w:hRule="exact"/>
        </w:trPr>
        <w:tc>
          <w:tcPr>
            <w:tcW w:w="2132"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635" w:right="5"/>
              <w:jc w:val="left"/>
              <w:rPr>
                <w:rFonts w:ascii="宋体" w:hAnsi="宋体" w:cs="宋体" w:eastAsia="宋体" w:hint="default"/>
                <w:sz w:val="21"/>
                <w:szCs w:val="21"/>
              </w:rPr>
            </w:pPr>
            <w:r>
              <w:rPr>
                <w:rFonts w:ascii="宋体" w:hAnsi="宋体" w:cs="宋体" w:eastAsia="宋体" w:hint="default"/>
                <w:sz w:val="21"/>
                <w:szCs w:val="21"/>
              </w:rPr>
              <w:t>其中：应收账款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减值准备</w:t>
            </w:r>
          </w:p>
        </w:tc>
        <w:tc>
          <w:tcPr>
            <w:tcW w:w="21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3"/>
              <w:jc w:val="right"/>
              <w:rPr>
                <w:rFonts w:ascii="Times New Roman" w:hAnsi="Times New Roman" w:cs="Times New Roman" w:eastAsia="Times New Roman" w:hint="default"/>
                <w:sz w:val="21"/>
                <w:szCs w:val="21"/>
              </w:rPr>
            </w:pPr>
            <w:r>
              <w:rPr>
                <w:rFonts w:ascii="Times New Roman"/>
                <w:spacing w:val="-1"/>
                <w:sz w:val="21"/>
              </w:rPr>
              <w:t>91,270,493.10</w:t>
            </w:r>
          </w:p>
        </w:tc>
        <w:tc>
          <w:tcPr>
            <w:tcW w:w="11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1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12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1"/>
                <w:szCs w:val="21"/>
              </w:rPr>
            </w:pPr>
            <w:r>
              <w:rPr>
                <w:rFonts w:ascii="Times New Roman"/>
                <w:spacing w:val="-1"/>
                <w:sz w:val="21"/>
              </w:rPr>
              <w:t>91,270,493.10</w:t>
            </w:r>
          </w:p>
        </w:tc>
      </w:tr>
      <w:tr>
        <w:trPr>
          <w:trHeight w:val="660" w:hRule="exact"/>
        </w:trPr>
        <w:tc>
          <w:tcPr>
            <w:tcW w:w="2132"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635" w:right="5"/>
              <w:jc w:val="left"/>
              <w:rPr>
                <w:rFonts w:ascii="宋体" w:hAnsi="宋体" w:cs="宋体" w:eastAsia="宋体" w:hint="default"/>
                <w:sz w:val="21"/>
                <w:szCs w:val="21"/>
              </w:rPr>
            </w:pPr>
            <w:r>
              <w:rPr>
                <w:rFonts w:ascii="宋体" w:hAnsi="宋体" w:cs="宋体" w:eastAsia="宋体" w:hint="default"/>
                <w:sz w:val="21"/>
                <w:szCs w:val="21"/>
              </w:rPr>
              <w:t>其他应收款减值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w:t>
            </w:r>
          </w:p>
        </w:tc>
        <w:tc>
          <w:tcPr>
            <w:tcW w:w="21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2,836,236.95</w:t>
            </w:r>
          </w:p>
        </w:tc>
        <w:tc>
          <w:tcPr>
            <w:tcW w:w="11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1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12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2,836,236.95</w:t>
            </w:r>
          </w:p>
        </w:tc>
      </w:tr>
    </w:tbl>
    <w:p>
      <w:pPr>
        <w:spacing w:line="240" w:lineRule="auto" w:before="2"/>
        <w:rPr>
          <w:rFonts w:ascii="宋体" w:hAnsi="宋体" w:cs="宋体" w:eastAsia="宋体" w:hint="default"/>
          <w:sz w:val="24"/>
          <w:szCs w:val="24"/>
        </w:rPr>
      </w:pPr>
    </w:p>
    <w:p>
      <w:pPr>
        <w:pStyle w:val="BodyText"/>
        <w:spacing w:line="240" w:lineRule="auto" w:before="44"/>
        <w:ind w:right="0"/>
        <w:jc w:val="left"/>
      </w:pPr>
      <w:r>
        <w:rPr/>
        <w:t>母公司资产负债表</w:t>
      </w:r>
    </w:p>
    <w:p>
      <w:pPr>
        <w:pStyle w:val="BodyText"/>
        <w:spacing w:line="240" w:lineRule="auto" w:before="115"/>
        <w:ind w:left="0" w:right="1130"/>
        <w:jc w:val="right"/>
      </w:pPr>
      <w:r>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436,310,814.07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436,310,814.07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270,000,000.00</w:t>
            </w: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16,743,972.11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8,034,041.95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-8,709,930.16</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412,289,426.40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412,289,426.40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8,709,930.16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8,709,930.16</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3,788,983.99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3,788,983.99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648,446,514.66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648,446,514.66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70"/>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70"/>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90"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277,262,513.12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7,262,513.12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1,794,842,224.35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1,794,842,224.35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70"/>
              <w:jc w:val="righ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14,008,355.32</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-14,008,355.32</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3,370,110,481.95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3,370,110,481.95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14,008,355.32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87" w:right="0"/>
              <w:jc w:val="left"/>
              <w:rPr>
                <w:rFonts w:ascii="Times New Roman" w:hAnsi="Times New Roman" w:cs="Times New Roman" w:eastAsia="Times New Roman" w:hint="default"/>
                <w:sz w:val="18"/>
                <w:szCs w:val="18"/>
              </w:rPr>
            </w:pPr>
            <w:r>
              <w:rPr>
                <w:rFonts w:ascii="Times New Roman"/>
                <w:sz w:val="18"/>
              </w:rPr>
              <w:t>14,008,355.32</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32,972,568.63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32,972,568.63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42,880,154.38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42,880,154.38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60,442,202.13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60,442,202.13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2,168,774.71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2,168,774.71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45,025,092.63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45,025,092.63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3,567,607,629.75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3,567,607,629.75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5,362,449,854.10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5,362,449,854.10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65,201,367.00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65,201,367.00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32,306,719.86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32,306,719.86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3,872,390.83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3,872,390.83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79,730,350.48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79,730,350.48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1,675,272.98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1,675,272.98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0"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11,447,426.57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11,447,426.57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1,262,658,254.74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1,262,658,254.74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1,370,158,254.74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1,370,158,254.74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796,410,841.00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796,410,841.00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2,891,486,208.31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2,891,486,208.31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148,976,163.45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148,976,163.45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79,512,634.75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79,512,634.75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373,858,078.75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373,858,078.75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3,992,291,599.36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3,992,291,599.36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5,362,449,854.10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5,362,449,854.10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调整情况说明</w:t>
      </w:r>
    </w:p>
    <w:p>
      <w:pPr>
        <w:pStyle w:val="BodyText"/>
        <w:spacing w:line="240" w:lineRule="auto" w:before="115"/>
        <w:ind w:right="0"/>
        <w:jc w:val="left"/>
      </w:pPr>
      <w:r>
        <w:rPr/>
        <w:t>①于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日，执行新金融工具准则前后金融资产的分类和计量对比表</w:t>
      </w:r>
    </w:p>
    <w:p>
      <w:pPr>
        <w:spacing w:line="240" w:lineRule="auto" w:before="2"/>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3968"/>
        <w:gridCol w:w="5061"/>
      </w:tblGrid>
      <w:tr>
        <w:trPr>
          <w:trHeight w:val="350" w:hRule="exact"/>
        </w:trPr>
        <w:tc>
          <w:tcPr>
            <w:tcW w:w="3968" w:type="dxa"/>
            <w:tcBorders>
              <w:top w:val="single" w:sz="6" w:space="0" w:color="000000"/>
              <w:left w:val="single" w:sz="6" w:space="0" w:color="000000"/>
              <w:bottom w:val="single" w:sz="8" w:space="0" w:color="000000"/>
              <w:right w:val="single" w:sz="6" w:space="0" w:color="000000"/>
            </w:tcBorders>
          </w:tcPr>
          <w:p>
            <w:pPr>
              <w:pStyle w:val="TableParagraph"/>
              <w:spacing w:line="288" w:lineRule="exact"/>
              <w:ind w:left="5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日（原金融工具准则）</w:t>
            </w:r>
          </w:p>
        </w:tc>
        <w:tc>
          <w:tcPr>
            <w:tcW w:w="5061" w:type="dxa"/>
            <w:tcBorders>
              <w:top w:val="single" w:sz="6" w:space="0" w:color="000000"/>
              <w:left w:val="single" w:sz="6" w:space="0" w:color="000000"/>
              <w:bottom w:val="single" w:sz="8" w:space="0" w:color="000000"/>
              <w:right w:val="nil" w:sz="6" w:space="0" w:color="auto"/>
            </w:tcBorders>
          </w:tcPr>
          <w:p>
            <w:pPr>
              <w:pStyle w:val="TableParagraph"/>
              <w:spacing w:line="288" w:lineRule="exact"/>
              <w:ind w:left="9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日（新金融工具准则）</w:t>
            </w:r>
          </w:p>
        </w:tc>
      </w:tr>
    </w:tbl>
    <w:p>
      <w:pPr>
        <w:spacing w:after="0" w:line="288" w:lineRule="exact"/>
        <w:jc w:val="left"/>
        <w:rPr>
          <w:rFonts w:ascii="宋体" w:hAnsi="宋体" w:cs="宋体" w:eastAsia="宋体" w:hint="default"/>
          <w:sz w:val="21"/>
          <w:szCs w:val="21"/>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991"/>
        <w:gridCol w:w="1417"/>
        <w:gridCol w:w="1560"/>
        <w:gridCol w:w="1272"/>
        <w:gridCol w:w="2269"/>
        <w:gridCol w:w="1520"/>
      </w:tblGrid>
      <w:tr>
        <w:trPr>
          <w:trHeight w:val="351" w:hRule="exact"/>
        </w:trPr>
        <w:tc>
          <w:tcPr>
            <w:tcW w:w="991"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32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17"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321"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560"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39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72"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right="372"/>
              <w:jc w:val="right"/>
              <w:rPr>
                <w:rFonts w:ascii="宋体" w:hAnsi="宋体" w:cs="宋体" w:eastAsia="宋体" w:hint="default"/>
                <w:sz w:val="21"/>
                <w:szCs w:val="21"/>
              </w:rPr>
            </w:pPr>
            <w:r>
              <w:rPr>
                <w:rFonts w:ascii="宋体" w:hAnsi="宋体" w:cs="宋体" w:eastAsia="宋体" w:hint="default"/>
                <w:sz w:val="21"/>
                <w:szCs w:val="21"/>
              </w:rPr>
              <w:t>项目</w:t>
            </w:r>
          </w:p>
        </w:tc>
        <w:tc>
          <w:tcPr>
            <w:tcW w:w="2269"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748"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520" w:type="dxa"/>
            <w:tcBorders>
              <w:top w:val="single" w:sz="6" w:space="0" w:color="000000"/>
              <w:left w:val="single" w:sz="6" w:space="0" w:color="000000"/>
              <w:bottom w:val="single" w:sz="8" w:space="0" w:color="000000"/>
              <w:right w:val="nil" w:sz="6" w:space="0" w:color="auto"/>
            </w:tcBorders>
          </w:tcPr>
          <w:p>
            <w:pPr>
              <w:pStyle w:val="TableParagraph"/>
              <w:spacing w:line="272" w:lineRule="exact"/>
              <w:ind w:left="37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46" w:hRule="exact"/>
        </w:trPr>
        <w:tc>
          <w:tcPr>
            <w:tcW w:w="991" w:type="dxa"/>
            <w:vMerge w:val="restart"/>
            <w:tcBorders>
              <w:top w:val="single" w:sz="8" w:space="0" w:color="000000"/>
              <w:left w:val="single" w:sz="6"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417" w:type="dxa"/>
            <w:vMerge w:val="restart"/>
            <w:tcBorders>
              <w:top w:val="single" w:sz="8" w:space="0" w:color="000000"/>
              <w:left w:val="single" w:sz="6" w:space="0" w:color="000000"/>
              <w:right w:val="single" w:sz="6" w:space="0" w:color="000000"/>
            </w:tcBorders>
          </w:tcPr>
          <w:p>
            <w:pPr>
              <w:pStyle w:val="TableParagraph"/>
              <w:spacing w:line="267" w:lineRule="exact"/>
              <w:ind w:left="86"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560" w:type="dxa"/>
            <w:vMerge w:val="restart"/>
            <w:tcBorders>
              <w:top w:val="single" w:sz="8" w:space="0" w:color="000000"/>
              <w:left w:val="single" w:sz="6" w:space="0" w:color="000000"/>
              <w:right w:val="single" w:sz="6" w:space="0" w:color="000000"/>
            </w:tcBorders>
          </w:tcPr>
          <w:p>
            <w:pPr>
              <w:pStyle w:val="TableParagraph"/>
              <w:spacing w:line="240" w:lineRule="auto" w:before="39"/>
              <w:ind w:left="338" w:right="-3"/>
              <w:jc w:val="left"/>
              <w:rPr>
                <w:rFonts w:ascii="Times New Roman" w:hAnsi="Times New Roman" w:cs="Times New Roman" w:eastAsia="Times New Roman" w:hint="default"/>
                <w:sz w:val="21"/>
                <w:szCs w:val="21"/>
              </w:rPr>
            </w:pPr>
            <w:r>
              <w:rPr>
                <w:rFonts w:ascii="Times New Roman"/>
                <w:sz w:val="21"/>
              </w:rPr>
              <w:t>16,743,972.11</w:t>
            </w:r>
          </w:p>
        </w:tc>
        <w:tc>
          <w:tcPr>
            <w:tcW w:w="1272"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right="408"/>
              <w:jc w:val="right"/>
              <w:rPr>
                <w:rFonts w:ascii="宋体" w:hAnsi="宋体" w:cs="宋体" w:eastAsia="宋体" w:hint="default"/>
                <w:sz w:val="21"/>
                <w:szCs w:val="21"/>
              </w:rPr>
            </w:pPr>
            <w:r>
              <w:rPr>
                <w:rFonts w:ascii="宋体" w:hAnsi="宋体" w:cs="宋体" w:eastAsia="宋体" w:hint="default"/>
                <w:spacing w:val="-1"/>
                <w:sz w:val="21"/>
                <w:szCs w:val="21"/>
              </w:rPr>
              <w:t>应收票据</w:t>
            </w:r>
          </w:p>
        </w:tc>
        <w:tc>
          <w:tcPr>
            <w:tcW w:w="2269"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86"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52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8,034,041.95</w:t>
            </w:r>
          </w:p>
        </w:tc>
      </w:tr>
      <w:tr>
        <w:trPr>
          <w:trHeight w:val="660" w:hRule="exact"/>
        </w:trPr>
        <w:tc>
          <w:tcPr>
            <w:tcW w:w="991" w:type="dxa"/>
            <w:vMerge/>
            <w:tcBorders>
              <w:left w:val="single" w:sz="6" w:space="0" w:color="000000"/>
              <w:bottom w:val="single" w:sz="8" w:space="0" w:color="000000"/>
              <w:right w:val="single" w:sz="6" w:space="0" w:color="000000"/>
            </w:tcBorders>
          </w:tcPr>
          <w:p>
            <w:pPr/>
          </w:p>
        </w:tc>
        <w:tc>
          <w:tcPr>
            <w:tcW w:w="1417" w:type="dxa"/>
            <w:vMerge/>
            <w:tcBorders>
              <w:left w:val="single" w:sz="6" w:space="0" w:color="000000"/>
              <w:bottom w:val="single" w:sz="8" w:space="0" w:color="000000"/>
              <w:right w:val="single" w:sz="6" w:space="0" w:color="000000"/>
            </w:tcBorders>
          </w:tcPr>
          <w:p>
            <w:pPr/>
          </w:p>
        </w:tc>
        <w:tc>
          <w:tcPr>
            <w:tcW w:w="1560" w:type="dxa"/>
            <w:vMerge/>
            <w:tcBorders>
              <w:left w:val="single" w:sz="6" w:space="0" w:color="000000"/>
              <w:bottom w:val="single" w:sz="8" w:space="0" w:color="000000"/>
              <w:right w:val="single" w:sz="6" w:space="0" w:color="000000"/>
            </w:tcBorders>
          </w:tcPr>
          <w:p>
            <w:pPr/>
          </w:p>
        </w:tc>
        <w:tc>
          <w:tcPr>
            <w:tcW w:w="1272"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4" w:right="197"/>
              <w:jc w:val="left"/>
              <w:rPr>
                <w:rFonts w:ascii="宋体" w:hAnsi="宋体" w:cs="宋体" w:eastAsia="宋体" w:hint="default"/>
                <w:sz w:val="21"/>
                <w:szCs w:val="21"/>
              </w:rPr>
            </w:pPr>
            <w:r>
              <w:rPr>
                <w:rFonts w:ascii="宋体" w:hAnsi="宋体" w:cs="宋体" w:eastAsia="宋体" w:hint="default"/>
                <w:sz w:val="21"/>
                <w:szCs w:val="21"/>
              </w:rPr>
              <w:t>应收款项融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w:t>
            </w:r>
          </w:p>
        </w:tc>
        <w:tc>
          <w:tcPr>
            <w:tcW w:w="2269"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4" w:right="63" w:firstLine="81"/>
              <w:jc w:val="left"/>
              <w:rPr>
                <w:rFonts w:ascii="宋体" w:hAnsi="宋体" w:cs="宋体" w:eastAsia="宋体" w:hint="default"/>
                <w:sz w:val="21"/>
                <w:szCs w:val="21"/>
              </w:rPr>
            </w:pPr>
            <w:r>
              <w:rPr>
                <w:rFonts w:ascii="宋体" w:hAnsi="宋体" w:cs="宋体" w:eastAsia="宋体" w:hint="default"/>
                <w:sz w:val="21"/>
                <w:szCs w:val="21"/>
              </w:rPr>
              <w:t>以公允价值计量且其变</w:t>
            </w:r>
            <w:r>
              <w:rPr>
                <w:rFonts w:ascii="宋体" w:hAnsi="宋体" w:cs="宋体" w:eastAsia="宋体" w:hint="default"/>
                <w:w w:val="100"/>
                <w:sz w:val="21"/>
                <w:szCs w:val="21"/>
              </w:rPr>
              <w:t> </w:t>
            </w:r>
            <w:r>
              <w:rPr>
                <w:rFonts w:ascii="宋体" w:hAnsi="宋体" w:cs="宋体" w:eastAsia="宋体" w:hint="default"/>
                <w:sz w:val="21"/>
                <w:szCs w:val="21"/>
              </w:rPr>
              <w:t>动计入其他综合收益</w:t>
            </w:r>
          </w:p>
        </w:tc>
        <w:tc>
          <w:tcPr>
            <w:tcW w:w="152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3"/>
              <w:jc w:val="right"/>
              <w:rPr>
                <w:rFonts w:ascii="Times New Roman" w:hAnsi="Times New Roman" w:cs="Times New Roman" w:eastAsia="Times New Roman" w:hint="default"/>
                <w:sz w:val="21"/>
                <w:szCs w:val="21"/>
              </w:rPr>
            </w:pPr>
            <w:r>
              <w:rPr>
                <w:rFonts w:ascii="Times New Roman"/>
                <w:spacing w:val="-1"/>
                <w:sz w:val="21"/>
              </w:rPr>
              <w:t>8,709,930.16</w:t>
            </w:r>
          </w:p>
        </w:tc>
      </w:tr>
      <w:tr>
        <w:trPr>
          <w:trHeight w:val="658" w:hRule="exact"/>
        </w:trPr>
        <w:tc>
          <w:tcPr>
            <w:tcW w:w="991" w:type="dxa"/>
            <w:vMerge w:val="restart"/>
            <w:tcBorders>
              <w:top w:val="single" w:sz="8" w:space="0" w:color="000000"/>
              <w:left w:val="single" w:sz="6" w:space="0" w:color="000000"/>
              <w:right w:val="single" w:sz="6" w:space="0" w:color="000000"/>
            </w:tcBorders>
          </w:tcPr>
          <w:p>
            <w:pPr>
              <w:pStyle w:val="TableParagraph"/>
              <w:spacing w:line="273" w:lineRule="auto"/>
              <w:ind w:left="4" w:right="-46"/>
              <w:jc w:val="left"/>
              <w:rPr>
                <w:rFonts w:ascii="宋体" w:hAnsi="宋体" w:cs="宋体" w:eastAsia="宋体" w:hint="default"/>
                <w:sz w:val="21"/>
                <w:szCs w:val="21"/>
              </w:rPr>
            </w:pPr>
            <w:r>
              <w:rPr>
                <w:rFonts w:ascii="宋体" w:hAnsi="宋体" w:cs="宋体" w:eastAsia="宋体" w:hint="default"/>
                <w:spacing w:val="31"/>
                <w:sz w:val="21"/>
                <w:szCs w:val="21"/>
              </w:rPr>
              <w:t>其他流动</w:t>
            </w:r>
            <w:r>
              <w:rPr>
                <w:rFonts w:ascii="宋体" w:hAnsi="宋体" w:cs="宋体" w:eastAsia="宋体" w:hint="default"/>
                <w:spacing w:val="-96"/>
                <w:sz w:val="21"/>
                <w:szCs w:val="21"/>
              </w:rPr>
              <w:t> </w:t>
            </w:r>
            <w:r>
              <w:rPr>
                <w:rFonts w:ascii="宋体" w:hAnsi="宋体" w:cs="宋体" w:eastAsia="宋体" w:hint="default"/>
                <w:sz w:val="21"/>
                <w:szCs w:val="21"/>
              </w:rPr>
              <w:t>资产</w:t>
            </w:r>
          </w:p>
        </w:tc>
        <w:tc>
          <w:tcPr>
            <w:tcW w:w="1417" w:type="dxa"/>
            <w:vMerge w:val="restart"/>
            <w:tcBorders>
              <w:top w:val="single" w:sz="8" w:space="0" w:color="000000"/>
              <w:left w:val="single" w:sz="6" w:space="0" w:color="000000"/>
              <w:right w:val="single" w:sz="6" w:space="0" w:color="000000"/>
            </w:tcBorders>
          </w:tcPr>
          <w:p>
            <w:pPr>
              <w:pStyle w:val="TableParagraph"/>
              <w:spacing w:line="267" w:lineRule="exact"/>
              <w:ind w:left="86"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560" w:type="dxa"/>
            <w:vMerge w:val="restart"/>
            <w:tcBorders>
              <w:top w:val="single" w:sz="8" w:space="0" w:color="000000"/>
              <w:left w:val="single" w:sz="6" w:space="0" w:color="000000"/>
              <w:right w:val="single" w:sz="6" w:space="0" w:color="000000"/>
            </w:tcBorders>
          </w:tcPr>
          <w:p>
            <w:pPr>
              <w:pStyle w:val="TableParagraph"/>
              <w:spacing w:line="240" w:lineRule="auto" w:before="39"/>
              <w:ind w:left="232" w:right="-3"/>
              <w:jc w:val="left"/>
              <w:rPr>
                <w:rFonts w:ascii="Times New Roman" w:hAnsi="Times New Roman" w:cs="Times New Roman" w:eastAsia="Times New Roman" w:hint="default"/>
                <w:sz w:val="21"/>
                <w:szCs w:val="21"/>
              </w:rPr>
            </w:pPr>
            <w:r>
              <w:rPr>
                <w:rFonts w:ascii="Times New Roman"/>
                <w:sz w:val="21"/>
              </w:rPr>
              <w:t>277,262,513.12</w:t>
            </w:r>
          </w:p>
        </w:tc>
        <w:tc>
          <w:tcPr>
            <w:tcW w:w="1272"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4" w:right="-2"/>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54"/>
                <w:sz w:val="21"/>
                <w:szCs w:val="21"/>
              </w:rPr>
              <w:t> </w:t>
            </w:r>
            <w:r>
              <w:rPr>
                <w:rFonts w:ascii="宋体" w:hAnsi="宋体" w:cs="宋体" w:eastAsia="宋体" w:hint="default"/>
                <w:sz w:val="21"/>
                <w:szCs w:val="21"/>
              </w:rPr>
              <w:t>易</w:t>
            </w:r>
            <w:r>
              <w:rPr>
                <w:rFonts w:ascii="宋体" w:hAnsi="宋体" w:cs="宋体" w:eastAsia="宋体" w:hint="default"/>
                <w:spacing w:val="-54"/>
                <w:sz w:val="21"/>
                <w:szCs w:val="21"/>
              </w:rPr>
              <w:t> </w:t>
            </w:r>
            <w:r>
              <w:rPr>
                <w:rFonts w:ascii="宋体" w:hAnsi="宋体" w:cs="宋体" w:eastAsia="宋体" w:hint="default"/>
                <w:sz w:val="21"/>
                <w:szCs w:val="21"/>
              </w:rPr>
              <w:t>性</w:t>
            </w:r>
            <w:r>
              <w:rPr>
                <w:rFonts w:ascii="宋体" w:hAnsi="宋体" w:cs="宋体" w:eastAsia="宋体" w:hint="default"/>
                <w:spacing w:val="-54"/>
                <w:sz w:val="21"/>
                <w:szCs w:val="21"/>
              </w:rPr>
              <w:t> </w:t>
            </w:r>
            <w:r>
              <w:rPr>
                <w:rFonts w:ascii="宋体" w:hAnsi="宋体" w:cs="宋体" w:eastAsia="宋体" w:hint="default"/>
                <w:sz w:val="21"/>
                <w:szCs w:val="21"/>
              </w:rPr>
              <w:t>金</w:t>
            </w:r>
            <w:r>
              <w:rPr>
                <w:rFonts w:ascii="宋体" w:hAnsi="宋体" w:cs="宋体" w:eastAsia="宋体" w:hint="default"/>
                <w:spacing w:val="-57"/>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2269"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4" w:right="63" w:firstLine="81"/>
              <w:jc w:val="left"/>
              <w:rPr>
                <w:rFonts w:ascii="宋体" w:hAnsi="宋体" w:cs="宋体" w:eastAsia="宋体" w:hint="default"/>
                <w:sz w:val="21"/>
                <w:szCs w:val="21"/>
              </w:rPr>
            </w:pPr>
            <w:r>
              <w:rPr>
                <w:rFonts w:ascii="宋体" w:hAnsi="宋体" w:cs="宋体" w:eastAsia="宋体" w:hint="default"/>
                <w:sz w:val="21"/>
                <w:szCs w:val="21"/>
              </w:rPr>
              <w:t>以公允价值计量且其变</w:t>
            </w:r>
            <w:r>
              <w:rPr>
                <w:rFonts w:ascii="宋体" w:hAnsi="宋体" w:cs="宋体" w:eastAsia="宋体" w:hint="default"/>
                <w:w w:val="100"/>
                <w:sz w:val="21"/>
                <w:szCs w:val="21"/>
              </w:rPr>
              <w:t> </w:t>
            </w:r>
            <w:r>
              <w:rPr>
                <w:rFonts w:ascii="宋体" w:hAnsi="宋体" w:cs="宋体" w:eastAsia="宋体" w:hint="default"/>
                <w:sz w:val="21"/>
                <w:szCs w:val="21"/>
              </w:rPr>
              <w:t>动计入当期损益</w:t>
            </w:r>
          </w:p>
        </w:tc>
        <w:tc>
          <w:tcPr>
            <w:tcW w:w="152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270,000,000.00</w:t>
            </w:r>
          </w:p>
        </w:tc>
      </w:tr>
      <w:tr>
        <w:trPr>
          <w:trHeight w:val="660" w:hRule="exact"/>
        </w:trPr>
        <w:tc>
          <w:tcPr>
            <w:tcW w:w="991" w:type="dxa"/>
            <w:vMerge/>
            <w:tcBorders>
              <w:left w:val="single" w:sz="6" w:space="0" w:color="000000"/>
              <w:bottom w:val="single" w:sz="8" w:space="0" w:color="000000"/>
              <w:right w:val="single" w:sz="6" w:space="0" w:color="000000"/>
            </w:tcBorders>
          </w:tcPr>
          <w:p>
            <w:pPr/>
          </w:p>
        </w:tc>
        <w:tc>
          <w:tcPr>
            <w:tcW w:w="1417" w:type="dxa"/>
            <w:vMerge/>
            <w:tcBorders>
              <w:left w:val="single" w:sz="6" w:space="0" w:color="000000"/>
              <w:bottom w:val="single" w:sz="8" w:space="0" w:color="000000"/>
              <w:right w:val="single" w:sz="6" w:space="0" w:color="000000"/>
            </w:tcBorders>
          </w:tcPr>
          <w:p>
            <w:pPr/>
          </w:p>
        </w:tc>
        <w:tc>
          <w:tcPr>
            <w:tcW w:w="1560" w:type="dxa"/>
            <w:vMerge/>
            <w:tcBorders>
              <w:left w:val="single" w:sz="6" w:space="0" w:color="000000"/>
              <w:bottom w:val="single" w:sz="8" w:space="0" w:color="000000"/>
              <w:right w:val="single" w:sz="6" w:space="0" w:color="000000"/>
            </w:tcBorders>
          </w:tcPr>
          <w:p>
            <w:pPr/>
          </w:p>
        </w:tc>
        <w:tc>
          <w:tcPr>
            <w:tcW w:w="1272"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4" w:right="-2"/>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4"/>
                <w:sz w:val="21"/>
                <w:szCs w:val="21"/>
              </w:rPr>
              <w:t> </w:t>
            </w:r>
            <w:r>
              <w:rPr>
                <w:rFonts w:ascii="宋体" w:hAnsi="宋体" w:cs="宋体" w:eastAsia="宋体" w:hint="default"/>
                <w:sz w:val="21"/>
                <w:szCs w:val="21"/>
              </w:rPr>
              <w:t>他</w:t>
            </w:r>
            <w:r>
              <w:rPr>
                <w:rFonts w:ascii="宋体" w:hAnsi="宋体" w:cs="宋体" w:eastAsia="宋体" w:hint="default"/>
                <w:spacing w:val="-54"/>
                <w:sz w:val="21"/>
                <w:szCs w:val="21"/>
              </w:rPr>
              <w:t> </w:t>
            </w:r>
            <w:r>
              <w:rPr>
                <w:rFonts w:ascii="宋体" w:hAnsi="宋体" w:cs="宋体" w:eastAsia="宋体" w:hint="default"/>
                <w:sz w:val="21"/>
                <w:szCs w:val="21"/>
              </w:rPr>
              <w:t>流</w:t>
            </w:r>
            <w:r>
              <w:rPr>
                <w:rFonts w:ascii="宋体" w:hAnsi="宋体" w:cs="宋体" w:eastAsia="宋体" w:hint="default"/>
                <w:spacing w:val="-54"/>
                <w:sz w:val="21"/>
                <w:szCs w:val="21"/>
              </w:rPr>
              <w:t> </w:t>
            </w:r>
            <w:r>
              <w:rPr>
                <w:rFonts w:ascii="宋体" w:hAnsi="宋体" w:cs="宋体" w:eastAsia="宋体" w:hint="default"/>
                <w:sz w:val="21"/>
                <w:szCs w:val="21"/>
              </w:rPr>
              <w:t>动</w:t>
            </w:r>
            <w:r>
              <w:rPr>
                <w:rFonts w:ascii="宋体" w:hAnsi="宋体" w:cs="宋体" w:eastAsia="宋体" w:hint="default"/>
                <w:spacing w:val="-57"/>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226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86"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52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3"/>
              <w:jc w:val="right"/>
              <w:rPr>
                <w:rFonts w:ascii="Times New Roman" w:hAnsi="Times New Roman" w:cs="Times New Roman" w:eastAsia="Times New Roman" w:hint="default"/>
                <w:sz w:val="21"/>
                <w:szCs w:val="21"/>
              </w:rPr>
            </w:pPr>
            <w:r>
              <w:rPr>
                <w:rFonts w:ascii="Times New Roman"/>
                <w:spacing w:val="-1"/>
                <w:sz w:val="21"/>
              </w:rPr>
              <w:t>7,262,513.12</w:t>
            </w:r>
          </w:p>
        </w:tc>
      </w:tr>
      <w:tr>
        <w:trPr>
          <w:trHeight w:val="660" w:hRule="exact"/>
        </w:trPr>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4" w:right="-46"/>
              <w:jc w:val="left"/>
              <w:rPr>
                <w:rFonts w:ascii="宋体" w:hAnsi="宋体" w:cs="宋体" w:eastAsia="宋体" w:hint="default"/>
                <w:sz w:val="21"/>
                <w:szCs w:val="21"/>
              </w:rPr>
            </w:pPr>
            <w:r>
              <w:rPr>
                <w:rFonts w:ascii="宋体" w:hAnsi="宋体" w:cs="宋体" w:eastAsia="宋体" w:hint="default"/>
                <w:spacing w:val="31"/>
                <w:sz w:val="21"/>
                <w:szCs w:val="21"/>
              </w:rPr>
              <w:t>可供出售</w:t>
            </w:r>
            <w:r>
              <w:rPr>
                <w:rFonts w:ascii="宋体" w:hAnsi="宋体" w:cs="宋体" w:eastAsia="宋体" w:hint="default"/>
                <w:spacing w:val="-96"/>
                <w:sz w:val="21"/>
                <w:szCs w:val="21"/>
              </w:rPr>
              <w:t> </w:t>
            </w:r>
            <w:r>
              <w:rPr>
                <w:rFonts w:ascii="宋体" w:hAnsi="宋体" w:cs="宋体" w:eastAsia="宋体" w:hint="default"/>
                <w:sz w:val="21"/>
                <w:szCs w:val="21"/>
              </w:rPr>
              <w:t>金融资产</w:t>
            </w: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86" w:right="0"/>
              <w:jc w:val="left"/>
              <w:rPr>
                <w:rFonts w:ascii="宋体" w:hAnsi="宋体" w:cs="宋体" w:eastAsia="宋体" w:hint="default"/>
                <w:sz w:val="21"/>
                <w:szCs w:val="21"/>
              </w:rPr>
            </w:pPr>
            <w:r>
              <w:rPr>
                <w:rFonts w:ascii="宋体" w:hAnsi="宋体" w:cs="宋体" w:eastAsia="宋体" w:hint="default"/>
                <w:spacing w:val="47"/>
                <w:sz w:val="21"/>
                <w:szCs w:val="21"/>
              </w:rPr>
              <w:t>以成本计</w:t>
            </w:r>
            <w:r>
              <w:rPr>
                <w:rFonts w:ascii="宋体" w:hAnsi="宋体" w:cs="宋体" w:eastAsia="宋体" w:hint="default"/>
                <w:spacing w:val="-32"/>
                <w:sz w:val="21"/>
                <w:szCs w:val="21"/>
              </w:rPr>
              <w:t> </w:t>
            </w:r>
            <w:r>
              <w:rPr>
                <w:rFonts w:ascii="宋体" w:hAnsi="宋体" w:cs="宋体" w:eastAsia="宋体" w:hint="default"/>
                <w:sz w:val="21"/>
                <w:szCs w:val="21"/>
              </w:rPr>
              <w:t>量</w:t>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（权益工具）</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338" w:right="-3"/>
              <w:jc w:val="left"/>
              <w:rPr>
                <w:rFonts w:ascii="Times New Roman" w:hAnsi="Times New Roman" w:cs="Times New Roman" w:eastAsia="Times New Roman" w:hint="default"/>
                <w:sz w:val="21"/>
                <w:szCs w:val="21"/>
              </w:rPr>
            </w:pPr>
            <w:r>
              <w:rPr>
                <w:rFonts w:ascii="Times New Roman"/>
                <w:sz w:val="21"/>
              </w:rPr>
              <w:t>14,008,355.32</w:t>
            </w:r>
          </w:p>
        </w:tc>
        <w:tc>
          <w:tcPr>
            <w:tcW w:w="1272"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4" w:right="-2"/>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4"/>
                <w:sz w:val="21"/>
                <w:szCs w:val="21"/>
              </w:rPr>
              <w:t> </w:t>
            </w:r>
            <w:r>
              <w:rPr>
                <w:rFonts w:ascii="宋体" w:hAnsi="宋体" w:cs="宋体" w:eastAsia="宋体" w:hint="default"/>
                <w:sz w:val="21"/>
                <w:szCs w:val="21"/>
              </w:rPr>
              <w:t>他</w:t>
            </w:r>
            <w:r>
              <w:rPr>
                <w:rFonts w:ascii="宋体" w:hAnsi="宋体" w:cs="宋体" w:eastAsia="宋体" w:hint="default"/>
                <w:spacing w:val="-54"/>
                <w:sz w:val="21"/>
                <w:szCs w:val="21"/>
              </w:rPr>
              <w:t> </w:t>
            </w:r>
            <w:r>
              <w:rPr>
                <w:rFonts w:ascii="宋体" w:hAnsi="宋体" w:cs="宋体" w:eastAsia="宋体" w:hint="default"/>
                <w:sz w:val="21"/>
                <w:szCs w:val="21"/>
              </w:rPr>
              <w:t>权</w:t>
            </w:r>
            <w:r>
              <w:rPr>
                <w:rFonts w:ascii="宋体" w:hAnsi="宋体" w:cs="宋体" w:eastAsia="宋体" w:hint="default"/>
                <w:spacing w:val="-54"/>
                <w:sz w:val="21"/>
                <w:szCs w:val="21"/>
              </w:rPr>
              <w:t> </w:t>
            </w:r>
            <w:r>
              <w:rPr>
                <w:rFonts w:ascii="宋体" w:hAnsi="宋体" w:cs="宋体" w:eastAsia="宋体" w:hint="default"/>
                <w:sz w:val="21"/>
                <w:szCs w:val="21"/>
              </w:rPr>
              <w:t>益</w:t>
            </w:r>
            <w:r>
              <w:rPr>
                <w:rFonts w:ascii="宋体" w:hAnsi="宋体" w:cs="宋体" w:eastAsia="宋体" w:hint="default"/>
                <w:spacing w:val="-57"/>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具投资</w:t>
            </w:r>
          </w:p>
        </w:tc>
        <w:tc>
          <w:tcPr>
            <w:tcW w:w="2269"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4" w:right="63" w:firstLine="81"/>
              <w:jc w:val="left"/>
              <w:rPr>
                <w:rFonts w:ascii="宋体" w:hAnsi="宋体" w:cs="宋体" w:eastAsia="宋体" w:hint="default"/>
                <w:sz w:val="21"/>
                <w:szCs w:val="21"/>
              </w:rPr>
            </w:pPr>
            <w:r>
              <w:rPr>
                <w:rFonts w:ascii="宋体" w:hAnsi="宋体" w:cs="宋体" w:eastAsia="宋体" w:hint="default"/>
                <w:sz w:val="21"/>
                <w:szCs w:val="21"/>
              </w:rPr>
              <w:t>以公允价值计量且其变</w:t>
            </w:r>
            <w:r>
              <w:rPr>
                <w:rFonts w:ascii="宋体" w:hAnsi="宋体" w:cs="宋体" w:eastAsia="宋体" w:hint="default"/>
                <w:w w:val="100"/>
                <w:sz w:val="21"/>
                <w:szCs w:val="21"/>
              </w:rPr>
              <w:t> </w:t>
            </w:r>
            <w:r>
              <w:rPr>
                <w:rFonts w:ascii="宋体" w:hAnsi="宋体" w:cs="宋体" w:eastAsia="宋体" w:hint="default"/>
                <w:sz w:val="21"/>
                <w:szCs w:val="21"/>
              </w:rPr>
              <w:t>动计入其他综合收益</w:t>
            </w:r>
          </w:p>
        </w:tc>
        <w:tc>
          <w:tcPr>
            <w:tcW w:w="152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14,008,355.32</w:t>
            </w:r>
          </w:p>
        </w:tc>
      </w:tr>
    </w:tbl>
    <w:p>
      <w:pPr>
        <w:pStyle w:val="BodyText"/>
        <w:spacing w:line="240" w:lineRule="auto" w:before="8"/>
        <w:ind w:right="0"/>
        <w:jc w:val="left"/>
      </w:pPr>
      <w:r>
        <w:rPr/>
        <w:t>②于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日，按新金融工具准则将原金融资产账面价值调整为新金融工具准则账面价值的调节表</w:t>
      </w:r>
    </w:p>
    <w:p>
      <w:pPr>
        <w:spacing w:line="240" w:lineRule="auto" w:before="3"/>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2127"/>
        <w:gridCol w:w="1985"/>
        <w:gridCol w:w="1700"/>
        <w:gridCol w:w="994"/>
        <w:gridCol w:w="1844"/>
      </w:tblGrid>
      <w:tr>
        <w:trPr>
          <w:trHeight w:val="972" w:hRule="exact"/>
        </w:trPr>
        <w:tc>
          <w:tcPr>
            <w:tcW w:w="2127"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11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6" w:space="0" w:color="000000"/>
              <w:left w:val="single" w:sz="6" w:space="0" w:color="000000"/>
              <w:bottom w:val="single" w:sz="8" w:space="0" w:color="000000"/>
              <w:right w:val="single" w:sz="6" w:space="0" w:color="000000"/>
            </w:tcBorders>
          </w:tcPr>
          <w:p>
            <w:pPr>
              <w:pStyle w:val="TableParagraph"/>
              <w:spacing w:line="264" w:lineRule="auto"/>
              <w:ind w:left="40" w:right="33" w:firstLine="10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日的</w:t>
            </w:r>
            <w:r>
              <w:rPr>
                <w:rFonts w:ascii="宋体" w:hAnsi="宋体" w:cs="宋体" w:eastAsia="宋体" w:hint="default"/>
                <w:spacing w:val="-3"/>
                <w:w w:val="100"/>
                <w:sz w:val="21"/>
                <w:szCs w:val="21"/>
              </w:rPr>
              <w:t> </w:t>
            </w:r>
            <w:r>
              <w:rPr>
                <w:rFonts w:ascii="宋体" w:hAnsi="宋体" w:cs="宋体" w:eastAsia="宋体" w:hint="default"/>
                <w:spacing w:val="-1"/>
                <w:sz w:val="21"/>
                <w:szCs w:val="21"/>
              </w:rPr>
              <w:t>账面价值（按原金融</w:t>
            </w:r>
            <w:r>
              <w:rPr>
                <w:rFonts w:ascii="宋体" w:hAnsi="宋体" w:cs="宋体" w:eastAsia="宋体" w:hint="default"/>
                <w:w w:val="100"/>
                <w:sz w:val="21"/>
                <w:szCs w:val="21"/>
              </w:rPr>
              <w:t> </w:t>
            </w:r>
            <w:r>
              <w:rPr>
                <w:rFonts w:ascii="宋体" w:hAnsi="宋体" w:cs="宋体" w:eastAsia="宋体" w:hint="default"/>
                <w:sz w:val="21"/>
                <w:szCs w:val="21"/>
              </w:rPr>
              <w:t>工具准则）</w:t>
            </w:r>
          </w:p>
        </w:tc>
        <w:tc>
          <w:tcPr>
            <w:tcW w:w="1700"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581" w:right="0"/>
              <w:jc w:val="left"/>
              <w:rPr>
                <w:rFonts w:ascii="宋体" w:hAnsi="宋体" w:cs="宋体" w:eastAsia="宋体" w:hint="default"/>
                <w:sz w:val="21"/>
                <w:szCs w:val="21"/>
              </w:rPr>
            </w:pPr>
            <w:r>
              <w:rPr>
                <w:rFonts w:ascii="宋体" w:hAnsi="宋体" w:cs="宋体" w:eastAsia="宋体" w:hint="default"/>
                <w:sz w:val="21"/>
                <w:szCs w:val="21"/>
              </w:rPr>
              <w:t>重分类</w:t>
            </w:r>
          </w:p>
        </w:tc>
        <w:tc>
          <w:tcPr>
            <w:tcW w:w="994"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重新计量</w:t>
            </w:r>
          </w:p>
        </w:tc>
        <w:tc>
          <w:tcPr>
            <w:tcW w:w="1844" w:type="dxa"/>
            <w:tcBorders>
              <w:top w:val="single" w:sz="6" w:space="0" w:color="000000"/>
              <w:left w:val="single" w:sz="6" w:space="0" w:color="000000"/>
              <w:bottom w:val="single" w:sz="8" w:space="0" w:color="000000"/>
              <w:right w:val="nil" w:sz="6" w:space="0" w:color="auto"/>
            </w:tcBorders>
          </w:tcPr>
          <w:p>
            <w:pPr>
              <w:pStyle w:val="TableParagraph"/>
              <w:spacing w:line="264" w:lineRule="auto"/>
              <w:ind w:left="2" w:right="5" w:firstLine="108"/>
              <w:jc w:val="both"/>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日的账</w:t>
            </w:r>
            <w:r>
              <w:rPr>
                <w:rFonts w:ascii="宋体" w:hAnsi="宋体" w:cs="宋体" w:eastAsia="宋体" w:hint="default"/>
                <w:w w:val="100"/>
                <w:sz w:val="21"/>
                <w:szCs w:val="21"/>
              </w:rPr>
              <w:t> </w:t>
            </w:r>
            <w:r>
              <w:rPr>
                <w:rFonts w:ascii="宋体" w:hAnsi="宋体" w:cs="宋体" w:eastAsia="宋体" w:hint="default"/>
                <w:spacing w:val="-9"/>
                <w:sz w:val="21"/>
                <w:szCs w:val="21"/>
              </w:rPr>
              <w:t>面价值（按新金融工</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具准则）</w:t>
            </w:r>
          </w:p>
        </w:tc>
      </w:tr>
      <w:tr>
        <w:trPr>
          <w:trHeight w:val="348" w:hRule="exact"/>
        </w:trPr>
        <w:tc>
          <w:tcPr>
            <w:tcW w:w="8649" w:type="dxa"/>
            <w:gridSpan w:val="5"/>
            <w:tcBorders>
              <w:top w:val="single" w:sz="8" w:space="0" w:color="000000"/>
              <w:left w:val="single" w:sz="6" w:space="0" w:color="000000"/>
              <w:bottom w:val="single" w:sz="8" w:space="0" w:color="000000"/>
              <w:right w:val="nil" w:sz="6" w:space="0" w:color="auto"/>
            </w:tcBorders>
          </w:tcPr>
          <w:p>
            <w:pPr>
              <w:pStyle w:val="TableParagraph"/>
              <w:spacing w:line="270" w:lineRule="exact"/>
              <w:ind w:left="112" w:right="0"/>
              <w:jc w:val="left"/>
              <w:rPr>
                <w:rFonts w:ascii="宋体" w:hAnsi="宋体" w:cs="宋体" w:eastAsia="宋体" w:hint="default"/>
                <w:sz w:val="21"/>
                <w:szCs w:val="21"/>
              </w:rPr>
            </w:pPr>
            <w:r>
              <w:rPr>
                <w:rFonts w:ascii="宋体" w:hAnsi="宋体" w:cs="宋体" w:eastAsia="宋体" w:hint="default"/>
                <w:sz w:val="21"/>
                <w:szCs w:val="21"/>
              </w:rPr>
              <w:t>一、新金融工具准则下以公允价值计量且其变动计入当期损益的金融资产</w:t>
            </w:r>
          </w:p>
        </w:tc>
      </w:tr>
      <w:tr>
        <w:trPr>
          <w:trHeight w:val="660" w:hRule="exact"/>
        </w:trPr>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86" w:right="-3" w:firstLine="26"/>
              <w:jc w:val="left"/>
              <w:rPr>
                <w:rFonts w:ascii="宋体" w:hAnsi="宋体" w:cs="宋体" w:eastAsia="宋体" w:hint="default"/>
                <w:sz w:val="21"/>
                <w:szCs w:val="21"/>
              </w:rPr>
            </w:pPr>
            <w:r>
              <w:rPr>
                <w:rFonts w:ascii="宋体" w:hAnsi="宋体" w:cs="宋体" w:eastAsia="宋体" w:hint="default"/>
                <w:spacing w:val="-12"/>
                <w:w w:val="100"/>
                <w:sz w:val="21"/>
                <w:szCs w:val="21"/>
              </w:rPr>
              <w:t>其他流动资产（按原金</w:t>
            </w:r>
            <w:r>
              <w:rPr>
                <w:rFonts w:ascii="宋体" w:hAnsi="宋体" w:cs="宋体" w:eastAsia="宋体" w:hint="default"/>
                <w:w w:val="100"/>
                <w:sz w:val="21"/>
                <w:szCs w:val="21"/>
              </w:rPr>
              <w:t> </w:t>
            </w:r>
            <w:r>
              <w:rPr>
                <w:rFonts w:ascii="宋体" w:hAnsi="宋体" w:cs="宋体" w:eastAsia="宋体" w:hint="default"/>
                <w:sz w:val="21"/>
                <w:szCs w:val="21"/>
              </w:rPr>
              <w:t>融工具准则列示金额</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655" w:right="-1"/>
              <w:jc w:val="left"/>
              <w:rPr>
                <w:rFonts w:ascii="Times New Roman" w:hAnsi="Times New Roman" w:cs="Times New Roman" w:eastAsia="Times New Roman" w:hint="default"/>
                <w:sz w:val="21"/>
                <w:szCs w:val="21"/>
              </w:rPr>
            </w:pPr>
            <w:r>
              <w:rPr>
                <w:rFonts w:ascii="Times New Roman"/>
                <w:sz w:val="21"/>
              </w:rPr>
              <w:t>277,262,513.12</w:t>
            </w:r>
          </w:p>
          <w:p>
            <w:pPr>
              <w:pStyle w:val="TableParagraph"/>
              <w:spacing w:line="240" w:lineRule="auto" w:before="23"/>
              <w:ind w:left="-15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4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658" w:hRule="exact"/>
        </w:trPr>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86" w:right="-3" w:firstLine="26"/>
              <w:jc w:val="left"/>
              <w:rPr>
                <w:rFonts w:ascii="宋体" w:hAnsi="宋体" w:cs="宋体" w:eastAsia="宋体" w:hint="default"/>
                <w:sz w:val="21"/>
                <w:szCs w:val="21"/>
              </w:rPr>
            </w:pPr>
            <w:r>
              <w:rPr>
                <w:rFonts w:ascii="宋体" w:hAnsi="宋体" w:cs="宋体" w:eastAsia="宋体" w:hint="default"/>
                <w:spacing w:val="-12"/>
                <w:w w:val="100"/>
                <w:sz w:val="21"/>
                <w:szCs w:val="21"/>
              </w:rPr>
              <w:t>减：转出至交易性金融</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270,000,000.00</w:t>
            </w:r>
          </w:p>
        </w:tc>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4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270,000,000.00</w:t>
            </w:r>
          </w:p>
        </w:tc>
      </w:tr>
      <w:tr>
        <w:trPr>
          <w:trHeight w:val="660" w:hRule="exact"/>
        </w:trPr>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86" w:right="-3" w:firstLine="26"/>
              <w:jc w:val="left"/>
              <w:rPr>
                <w:rFonts w:ascii="宋体" w:hAnsi="宋体" w:cs="宋体" w:eastAsia="宋体" w:hint="default"/>
                <w:sz w:val="21"/>
                <w:szCs w:val="21"/>
              </w:rPr>
            </w:pPr>
            <w:r>
              <w:rPr>
                <w:rFonts w:ascii="宋体" w:hAnsi="宋体" w:cs="宋体" w:eastAsia="宋体" w:hint="default"/>
                <w:spacing w:val="-12"/>
                <w:w w:val="100"/>
                <w:sz w:val="21"/>
                <w:szCs w:val="21"/>
              </w:rPr>
              <w:t>其他流动资产（按新融</w:t>
            </w:r>
            <w:r>
              <w:rPr>
                <w:rFonts w:ascii="宋体" w:hAnsi="宋体" w:cs="宋体" w:eastAsia="宋体" w:hint="default"/>
                <w:w w:val="100"/>
                <w:sz w:val="21"/>
                <w:szCs w:val="21"/>
              </w:rPr>
              <w:t> </w:t>
            </w:r>
            <w:r>
              <w:rPr>
                <w:rFonts w:ascii="宋体" w:hAnsi="宋体" w:cs="宋体" w:eastAsia="宋体" w:hint="default"/>
                <w:sz w:val="21"/>
                <w:szCs w:val="21"/>
              </w:rPr>
              <w:t>工具准则列示金额）</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4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1"/>
                <w:szCs w:val="21"/>
              </w:rPr>
            </w:pPr>
            <w:r>
              <w:rPr>
                <w:rFonts w:ascii="Times New Roman"/>
                <w:spacing w:val="-1"/>
                <w:sz w:val="21"/>
              </w:rPr>
              <w:t>7,262,513.12</w:t>
            </w:r>
          </w:p>
        </w:tc>
      </w:tr>
      <w:tr>
        <w:trPr>
          <w:trHeight w:val="346" w:hRule="exact"/>
        </w:trPr>
        <w:tc>
          <w:tcPr>
            <w:tcW w:w="8649" w:type="dxa"/>
            <w:gridSpan w:val="5"/>
            <w:tcBorders>
              <w:top w:val="single" w:sz="8" w:space="0" w:color="000000"/>
              <w:left w:val="single" w:sz="6" w:space="0" w:color="000000"/>
              <w:bottom w:val="single" w:sz="8" w:space="0" w:color="000000"/>
              <w:right w:val="nil" w:sz="6" w:space="0" w:color="auto"/>
            </w:tcBorders>
          </w:tcPr>
          <w:p>
            <w:pPr>
              <w:pStyle w:val="TableParagraph"/>
              <w:spacing w:line="268" w:lineRule="exact"/>
              <w:ind w:left="112" w:right="0"/>
              <w:jc w:val="left"/>
              <w:rPr>
                <w:rFonts w:ascii="宋体" w:hAnsi="宋体" w:cs="宋体" w:eastAsia="宋体" w:hint="default"/>
                <w:sz w:val="21"/>
                <w:szCs w:val="21"/>
              </w:rPr>
            </w:pPr>
            <w:r>
              <w:rPr>
                <w:rFonts w:ascii="宋体" w:hAnsi="宋体" w:cs="宋体" w:eastAsia="宋体" w:hint="default"/>
                <w:sz w:val="21"/>
                <w:szCs w:val="21"/>
              </w:rPr>
              <w:t>二、新金融工具准则下以摊余成本计量的金融资产</w:t>
            </w:r>
          </w:p>
        </w:tc>
      </w:tr>
      <w:tr>
        <w:trPr>
          <w:trHeight w:val="660" w:hRule="exact"/>
        </w:trPr>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86" w:right="-3" w:firstLine="26"/>
              <w:jc w:val="left"/>
              <w:rPr>
                <w:rFonts w:ascii="宋体" w:hAnsi="宋体" w:cs="宋体" w:eastAsia="宋体" w:hint="default"/>
                <w:sz w:val="21"/>
                <w:szCs w:val="21"/>
              </w:rPr>
            </w:pPr>
            <w:r>
              <w:rPr>
                <w:rFonts w:ascii="宋体" w:hAnsi="宋体" w:cs="宋体" w:eastAsia="宋体" w:hint="default"/>
                <w:spacing w:val="-12"/>
                <w:w w:val="100"/>
                <w:sz w:val="21"/>
                <w:szCs w:val="21"/>
              </w:rPr>
              <w:t>应收票据（按原金融工</w:t>
            </w:r>
            <w:r>
              <w:rPr>
                <w:rFonts w:ascii="宋体" w:hAnsi="宋体" w:cs="宋体" w:eastAsia="宋体" w:hint="default"/>
                <w:w w:val="100"/>
                <w:sz w:val="21"/>
                <w:szCs w:val="21"/>
              </w:rPr>
              <w:t> </w:t>
            </w:r>
            <w:r>
              <w:rPr>
                <w:rFonts w:ascii="宋体" w:hAnsi="宋体" w:cs="宋体" w:eastAsia="宋体" w:hint="default"/>
                <w:sz w:val="21"/>
                <w:szCs w:val="21"/>
              </w:rPr>
              <w:t>具准则列示金额）</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16,743,972.11</w:t>
            </w: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4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658" w:hRule="exact"/>
        </w:trPr>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86" w:right="-3" w:firstLine="26"/>
              <w:jc w:val="left"/>
              <w:rPr>
                <w:rFonts w:ascii="宋体" w:hAnsi="宋体" w:cs="宋体" w:eastAsia="宋体" w:hint="default"/>
                <w:sz w:val="21"/>
                <w:szCs w:val="21"/>
              </w:rPr>
            </w:pPr>
            <w:r>
              <w:rPr>
                <w:rFonts w:ascii="宋体" w:hAnsi="宋体" w:cs="宋体" w:eastAsia="宋体" w:hint="default"/>
                <w:spacing w:val="-12"/>
                <w:w w:val="100"/>
                <w:sz w:val="21"/>
                <w:szCs w:val="21"/>
              </w:rPr>
              <w:t>减：转出至应收款项融</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8,709,930.16</w:t>
            </w:r>
          </w:p>
        </w:tc>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4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8,709,930.16</w:t>
            </w:r>
          </w:p>
        </w:tc>
      </w:tr>
      <w:tr>
        <w:trPr>
          <w:trHeight w:val="660" w:hRule="exact"/>
        </w:trPr>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86" w:right="-3" w:firstLine="26"/>
              <w:jc w:val="left"/>
              <w:rPr>
                <w:rFonts w:ascii="宋体" w:hAnsi="宋体" w:cs="宋体" w:eastAsia="宋体" w:hint="default"/>
                <w:sz w:val="21"/>
                <w:szCs w:val="21"/>
              </w:rPr>
            </w:pPr>
            <w:r>
              <w:rPr>
                <w:rFonts w:ascii="宋体" w:hAnsi="宋体" w:cs="宋体" w:eastAsia="宋体" w:hint="default"/>
                <w:spacing w:val="-12"/>
                <w:w w:val="100"/>
                <w:sz w:val="21"/>
                <w:szCs w:val="21"/>
              </w:rPr>
              <w:t>应收票据（按新融工具</w:t>
            </w:r>
            <w:r>
              <w:rPr>
                <w:rFonts w:ascii="宋体" w:hAnsi="宋体" w:cs="宋体" w:eastAsia="宋体" w:hint="default"/>
                <w:w w:val="100"/>
                <w:sz w:val="21"/>
                <w:szCs w:val="21"/>
              </w:rPr>
              <w:t> </w:t>
            </w:r>
            <w:r>
              <w:rPr>
                <w:rFonts w:ascii="宋体" w:hAnsi="宋体" w:cs="宋体" w:eastAsia="宋体" w:hint="default"/>
                <w:sz w:val="21"/>
                <w:szCs w:val="21"/>
              </w:rPr>
              <w:t>准则列示金额）</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4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1"/>
                <w:szCs w:val="21"/>
              </w:rPr>
            </w:pPr>
            <w:r>
              <w:rPr>
                <w:rFonts w:ascii="Times New Roman"/>
                <w:spacing w:val="-1"/>
                <w:sz w:val="21"/>
              </w:rPr>
              <w:t>8,034,041.95</w:t>
            </w:r>
          </w:p>
        </w:tc>
      </w:tr>
      <w:tr>
        <w:trPr>
          <w:trHeight w:val="348" w:hRule="exact"/>
        </w:trPr>
        <w:tc>
          <w:tcPr>
            <w:tcW w:w="8649" w:type="dxa"/>
            <w:gridSpan w:val="5"/>
            <w:tcBorders>
              <w:top w:val="single" w:sz="8" w:space="0" w:color="000000"/>
              <w:left w:val="single" w:sz="6" w:space="0" w:color="000000"/>
              <w:bottom w:val="single" w:sz="8" w:space="0" w:color="000000"/>
              <w:right w:val="nil" w:sz="6" w:space="0" w:color="auto"/>
            </w:tcBorders>
          </w:tcPr>
          <w:p>
            <w:pPr>
              <w:pStyle w:val="TableParagraph"/>
              <w:spacing w:line="267" w:lineRule="exact"/>
              <w:ind w:left="112" w:right="0"/>
              <w:jc w:val="left"/>
              <w:rPr>
                <w:rFonts w:ascii="宋体" w:hAnsi="宋体" w:cs="宋体" w:eastAsia="宋体" w:hint="default"/>
                <w:sz w:val="21"/>
                <w:szCs w:val="21"/>
              </w:rPr>
            </w:pPr>
            <w:r>
              <w:rPr>
                <w:rFonts w:ascii="宋体" w:hAnsi="宋体" w:cs="宋体" w:eastAsia="宋体" w:hint="default"/>
                <w:sz w:val="21"/>
                <w:szCs w:val="21"/>
              </w:rPr>
              <w:t>三、新金融工具准则下以公允价值计量且其变动计入其他综合收益的金融资产</w:t>
            </w:r>
          </w:p>
        </w:tc>
      </w:tr>
      <w:tr>
        <w:trPr>
          <w:trHeight w:val="970" w:hRule="exact"/>
        </w:trPr>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86" w:right="-3" w:firstLine="26"/>
              <w:jc w:val="left"/>
              <w:rPr>
                <w:rFonts w:ascii="宋体" w:hAnsi="宋体" w:cs="宋体" w:eastAsia="宋体" w:hint="default"/>
                <w:sz w:val="21"/>
                <w:szCs w:val="21"/>
              </w:rPr>
            </w:pPr>
            <w:r>
              <w:rPr>
                <w:rFonts w:ascii="宋体" w:hAnsi="宋体" w:cs="宋体" w:eastAsia="宋体" w:hint="default"/>
                <w:spacing w:val="-12"/>
                <w:w w:val="100"/>
                <w:sz w:val="21"/>
                <w:szCs w:val="21"/>
              </w:rPr>
              <w:t>可供出售金融资产（按</w:t>
            </w:r>
            <w:r>
              <w:rPr>
                <w:rFonts w:ascii="宋体" w:hAnsi="宋体" w:cs="宋体" w:eastAsia="宋体" w:hint="default"/>
                <w:w w:val="100"/>
                <w:sz w:val="21"/>
                <w:szCs w:val="21"/>
              </w:rPr>
              <w:t> </w:t>
            </w:r>
            <w:r>
              <w:rPr>
                <w:rFonts w:ascii="宋体" w:hAnsi="宋体" w:cs="宋体" w:eastAsia="宋体" w:hint="default"/>
                <w:sz w:val="21"/>
                <w:szCs w:val="21"/>
              </w:rPr>
              <w:t>原金融工具准则列示</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14,008,355.32</w:t>
            </w: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4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660" w:hRule="exact"/>
        </w:trPr>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86" w:right="-3" w:firstLine="26"/>
              <w:jc w:val="left"/>
              <w:rPr>
                <w:rFonts w:ascii="宋体" w:hAnsi="宋体" w:cs="宋体" w:eastAsia="宋体" w:hint="default"/>
                <w:sz w:val="21"/>
                <w:szCs w:val="21"/>
              </w:rPr>
            </w:pPr>
            <w:r>
              <w:rPr>
                <w:rFonts w:ascii="宋体" w:hAnsi="宋体" w:cs="宋体" w:eastAsia="宋体" w:hint="default"/>
                <w:spacing w:val="-12"/>
                <w:w w:val="100"/>
                <w:sz w:val="21"/>
                <w:szCs w:val="21"/>
              </w:rPr>
              <w:t>减：转出至其他权益工</w:t>
            </w:r>
            <w:r>
              <w:rPr>
                <w:rFonts w:ascii="宋体" w:hAnsi="宋体" w:cs="宋体" w:eastAsia="宋体" w:hint="default"/>
                <w:w w:val="100"/>
                <w:sz w:val="21"/>
                <w:szCs w:val="21"/>
              </w:rPr>
              <w:t> </w:t>
            </w:r>
            <w:r>
              <w:rPr>
                <w:rFonts w:ascii="宋体" w:hAnsi="宋体" w:cs="宋体" w:eastAsia="宋体" w:hint="default"/>
                <w:sz w:val="21"/>
                <w:szCs w:val="21"/>
              </w:rPr>
              <w:t>具投资</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14,008,355.32</w:t>
            </w:r>
          </w:p>
        </w:tc>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4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1"/>
                <w:szCs w:val="21"/>
              </w:rPr>
            </w:pPr>
            <w:r>
              <w:rPr>
                <w:rFonts w:ascii="Times New Roman"/>
                <w:spacing w:val="-1"/>
                <w:sz w:val="21"/>
              </w:rPr>
              <w:t>14,008,355.32</w:t>
            </w:r>
          </w:p>
        </w:tc>
      </w:tr>
      <w:tr>
        <w:trPr>
          <w:trHeight w:val="972" w:hRule="exact"/>
        </w:trPr>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86" w:right="-3" w:firstLine="26"/>
              <w:jc w:val="left"/>
              <w:rPr>
                <w:rFonts w:ascii="宋体" w:hAnsi="宋体" w:cs="宋体" w:eastAsia="宋体" w:hint="default"/>
                <w:sz w:val="21"/>
                <w:szCs w:val="21"/>
              </w:rPr>
            </w:pPr>
            <w:r>
              <w:rPr>
                <w:rFonts w:ascii="宋体" w:hAnsi="宋体" w:cs="宋体" w:eastAsia="宋体" w:hint="default"/>
                <w:spacing w:val="-12"/>
                <w:w w:val="100"/>
                <w:sz w:val="21"/>
                <w:szCs w:val="21"/>
              </w:rPr>
              <w:t>可供出售金融资产（按</w:t>
            </w:r>
            <w:r>
              <w:rPr>
                <w:rFonts w:ascii="宋体" w:hAnsi="宋体" w:cs="宋体" w:eastAsia="宋体" w:hint="default"/>
                <w:w w:val="100"/>
                <w:sz w:val="21"/>
                <w:szCs w:val="21"/>
              </w:rPr>
              <w:t> </w:t>
            </w:r>
            <w:r>
              <w:rPr>
                <w:rFonts w:ascii="宋体" w:hAnsi="宋体" w:cs="宋体" w:eastAsia="宋体" w:hint="default"/>
                <w:sz w:val="21"/>
                <w:szCs w:val="21"/>
              </w:rPr>
              <w:t>新融工具准则列示金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4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bl>
    <w:p>
      <w:pPr>
        <w:pStyle w:val="BodyText"/>
        <w:spacing w:line="240" w:lineRule="auto" w:before="8"/>
        <w:ind w:right="0"/>
        <w:jc w:val="left"/>
      </w:pPr>
      <w:r>
        <w:rPr/>
        <w:t>③于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日，执行新金融工具准则将原金融资产减值准备调整到新金融工具准则金融资产减值准备的调节表</w:t>
      </w:r>
    </w:p>
    <w:p>
      <w:pPr>
        <w:spacing w:line="240" w:lineRule="auto" w:before="2"/>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2127"/>
        <w:gridCol w:w="2129"/>
        <w:gridCol w:w="1133"/>
        <w:gridCol w:w="1136"/>
        <w:gridCol w:w="2124"/>
      </w:tblGrid>
      <w:tr>
        <w:trPr>
          <w:trHeight w:val="972" w:hRule="exact"/>
        </w:trPr>
        <w:tc>
          <w:tcPr>
            <w:tcW w:w="2127"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计量类别</w:t>
            </w:r>
          </w:p>
        </w:tc>
        <w:tc>
          <w:tcPr>
            <w:tcW w:w="2129" w:type="dxa"/>
            <w:tcBorders>
              <w:top w:val="single" w:sz="6" w:space="0" w:color="000000"/>
              <w:left w:val="single" w:sz="6" w:space="0" w:color="000000"/>
              <w:bottom w:val="single" w:sz="8" w:space="0" w:color="000000"/>
              <w:right w:val="single" w:sz="6" w:space="0" w:color="000000"/>
            </w:tcBorders>
          </w:tcPr>
          <w:p>
            <w:pPr>
              <w:pStyle w:val="TableParagraph"/>
              <w:spacing w:line="264" w:lineRule="auto"/>
              <w:ind w:left="4" w:right="5"/>
              <w:jc w:val="both"/>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日计提的</w:t>
            </w:r>
            <w:r>
              <w:rPr>
                <w:rFonts w:ascii="宋体" w:hAnsi="宋体" w:cs="宋体" w:eastAsia="宋体" w:hint="default"/>
                <w:w w:val="100"/>
                <w:sz w:val="21"/>
                <w:szCs w:val="21"/>
              </w:rPr>
              <w:t> </w:t>
            </w:r>
            <w:r>
              <w:rPr>
                <w:rFonts w:ascii="宋体" w:hAnsi="宋体" w:cs="宋体" w:eastAsia="宋体" w:hint="default"/>
                <w:sz w:val="21"/>
                <w:szCs w:val="21"/>
              </w:rPr>
              <w:t>减值准备（按原金融工</w:t>
            </w:r>
            <w:r>
              <w:rPr>
                <w:rFonts w:ascii="宋体" w:hAnsi="宋体" w:cs="宋体" w:eastAsia="宋体" w:hint="default"/>
                <w:w w:val="100"/>
                <w:sz w:val="21"/>
                <w:szCs w:val="21"/>
              </w:rPr>
              <w:t> </w:t>
            </w:r>
            <w:r>
              <w:rPr>
                <w:rFonts w:ascii="宋体" w:hAnsi="宋体" w:cs="宋体" w:eastAsia="宋体" w:hint="default"/>
                <w:sz w:val="21"/>
                <w:szCs w:val="21"/>
              </w:rPr>
              <w:t>具准则）</w:t>
            </w:r>
          </w:p>
        </w:tc>
        <w:tc>
          <w:tcPr>
            <w:tcW w:w="1133"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242" w:right="0"/>
              <w:jc w:val="left"/>
              <w:rPr>
                <w:rFonts w:ascii="宋体" w:hAnsi="宋体" w:cs="宋体" w:eastAsia="宋体" w:hint="default"/>
                <w:sz w:val="21"/>
                <w:szCs w:val="21"/>
              </w:rPr>
            </w:pPr>
            <w:r>
              <w:rPr>
                <w:rFonts w:ascii="宋体" w:hAnsi="宋体" w:cs="宋体" w:eastAsia="宋体" w:hint="default"/>
                <w:sz w:val="21"/>
                <w:szCs w:val="21"/>
              </w:rPr>
              <w:t>重分类</w:t>
            </w:r>
          </w:p>
        </w:tc>
        <w:tc>
          <w:tcPr>
            <w:tcW w:w="1136"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141" w:right="0"/>
              <w:jc w:val="left"/>
              <w:rPr>
                <w:rFonts w:ascii="宋体" w:hAnsi="宋体" w:cs="宋体" w:eastAsia="宋体" w:hint="default"/>
                <w:sz w:val="21"/>
                <w:szCs w:val="21"/>
              </w:rPr>
            </w:pPr>
            <w:r>
              <w:rPr>
                <w:rFonts w:ascii="宋体" w:hAnsi="宋体" w:cs="宋体" w:eastAsia="宋体" w:hint="default"/>
                <w:sz w:val="21"/>
                <w:szCs w:val="21"/>
              </w:rPr>
              <w:t>重新计量</w:t>
            </w:r>
          </w:p>
        </w:tc>
        <w:tc>
          <w:tcPr>
            <w:tcW w:w="2124" w:type="dxa"/>
            <w:tcBorders>
              <w:top w:val="single" w:sz="6" w:space="0" w:color="000000"/>
              <w:left w:val="single" w:sz="6" w:space="0" w:color="000000"/>
              <w:bottom w:val="single" w:sz="8" w:space="0" w:color="000000"/>
              <w:right w:val="nil" w:sz="6" w:space="0" w:color="auto"/>
            </w:tcBorders>
          </w:tcPr>
          <w:p>
            <w:pPr>
              <w:pStyle w:val="TableParagraph"/>
              <w:spacing w:line="264" w:lineRule="auto"/>
              <w:ind w:left="2" w:right="1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2019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日计提的减</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值准备（按新金融工具</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准则）</w:t>
            </w:r>
          </w:p>
        </w:tc>
      </w:tr>
      <w:tr>
        <w:trPr>
          <w:trHeight w:val="348" w:hRule="exact"/>
        </w:trPr>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pacing w:val="-2"/>
                <w:sz w:val="21"/>
                <w:szCs w:val="21"/>
              </w:rPr>
              <w:t>以摊余成本计量的金融</w:t>
            </w:r>
          </w:p>
        </w:tc>
        <w:tc>
          <w:tcPr>
            <w:tcW w:w="21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904" w:right="0"/>
              <w:jc w:val="left"/>
              <w:rPr>
                <w:rFonts w:ascii="Times New Roman" w:hAnsi="Times New Roman" w:cs="Times New Roman" w:eastAsia="Times New Roman" w:hint="default"/>
                <w:sz w:val="21"/>
                <w:szCs w:val="21"/>
              </w:rPr>
            </w:pPr>
            <w:r>
              <w:rPr>
                <w:rFonts w:ascii="Times New Roman"/>
                <w:sz w:val="21"/>
              </w:rPr>
              <w:t>26,960,086.87</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1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12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left="899" w:right="0"/>
              <w:jc w:val="left"/>
              <w:rPr>
                <w:rFonts w:ascii="Times New Roman" w:hAnsi="Times New Roman" w:cs="Times New Roman" w:eastAsia="Times New Roman" w:hint="default"/>
                <w:sz w:val="21"/>
                <w:szCs w:val="21"/>
              </w:rPr>
            </w:pPr>
            <w:r>
              <w:rPr>
                <w:rFonts w:ascii="Times New Roman"/>
                <w:sz w:val="21"/>
              </w:rPr>
              <w:t>26,960,086.87</w:t>
            </w:r>
          </w:p>
        </w:tc>
      </w:tr>
    </w:tbl>
    <w:p>
      <w:pPr>
        <w:spacing w:after="0" w:line="240" w:lineRule="auto"/>
        <w:jc w:val="left"/>
        <w:rPr>
          <w:rFonts w:ascii="Times New Roman" w:hAnsi="Times New Roman" w:cs="Times New Roman" w:eastAsia="Times New Roman" w:hint="default"/>
          <w:sz w:val="21"/>
          <w:szCs w:val="21"/>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127"/>
        <w:gridCol w:w="2129"/>
        <w:gridCol w:w="1133"/>
        <w:gridCol w:w="1136"/>
        <w:gridCol w:w="2124"/>
      </w:tblGrid>
      <w:tr>
        <w:trPr>
          <w:trHeight w:val="351" w:hRule="exact"/>
        </w:trPr>
        <w:tc>
          <w:tcPr>
            <w:tcW w:w="2127"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2129" w:type="dxa"/>
            <w:tcBorders>
              <w:top w:val="single" w:sz="6" w:space="0" w:color="000000"/>
              <w:left w:val="single" w:sz="6" w:space="0" w:color="000000"/>
              <w:bottom w:val="single" w:sz="8" w:space="0" w:color="000000"/>
              <w:right w:val="single" w:sz="6" w:space="0" w:color="000000"/>
            </w:tcBorders>
          </w:tcPr>
          <w:p>
            <w:pPr/>
          </w:p>
        </w:tc>
        <w:tc>
          <w:tcPr>
            <w:tcW w:w="1133" w:type="dxa"/>
            <w:tcBorders>
              <w:top w:val="single" w:sz="6" w:space="0" w:color="000000"/>
              <w:left w:val="single" w:sz="6" w:space="0" w:color="000000"/>
              <w:bottom w:val="single" w:sz="8" w:space="0" w:color="000000"/>
              <w:right w:val="single" w:sz="6" w:space="0" w:color="000000"/>
            </w:tcBorders>
          </w:tcPr>
          <w:p>
            <w:pPr/>
          </w:p>
        </w:tc>
        <w:tc>
          <w:tcPr>
            <w:tcW w:w="1136" w:type="dxa"/>
            <w:tcBorders>
              <w:top w:val="single" w:sz="6" w:space="0" w:color="000000"/>
              <w:left w:val="single" w:sz="6" w:space="0" w:color="000000"/>
              <w:bottom w:val="single" w:sz="8" w:space="0" w:color="000000"/>
              <w:right w:val="single" w:sz="6" w:space="0" w:color="000000"/>
            </w:tcBorders>
          </w:tcPr>
          <w:p>
            <w:pPr/>
          </w:p>
        </w:tc>
        <w:tc>
          <w:tcPr>
            <w:tcW w:w="2124" w:type="dxa"/>
            <w:tcBorders>
              <w:top w:val="single" w:sz="6" w:space="0" w:color="000000"/>
              <w:left w:val="single" w:sz="6" w:space="0" w:color="000000"/>
              <w:bottom w:val="single" w:sz="8" w:space="0" w:color="000000"/>
              <w:right w:val="nil" w:sz="6" w:space="0" w:color="auto"/>
            </w:tcBorders>
          </w:tcPr>
          <w:p>
            <w:pPr/>
          </w:p>
        </w:tc>
      </w:tr>
      <w:tr>
        <w:trPr>
          <w:trHeight w:val="658" w:hRule="exact"/>
        </w:trPr>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635" w:right="0"/>
              <w:jc w:val="left"/>
              <w:rPr>
                <w:rFonts w:ascii="宋体" w:hAnsi="宋体" w:cs="宋体" w:eastAsia="宋体" w:hint="default"/>
                <w:sz w:val="21"/>
                <w:szCs w:val="21"/>
              </w:rPr>
            </w:pPr>
            <w:r>
              <w:rPr>
                <w:rFonts w:ascii="宋体" w:hAnsi="宋体" w:cs="宋体" w:eastAsia="宋体" w:hint="default"/>
                <w:sz w:val="21"/>
                <w:szCs w:val="21"/>
              </w:rPr>
              <w:t>其中：应收账款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减值准备</w:t>
            </w:r>
          </w:p>
        </w:tc>
        <w:tc>
          <w:tcPr>
            <w:tcW w:w="21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25,491,523.18</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1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12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25,491,523.18</w:t>
            </w:r>
          </w:p>
        </w:tc>
      </w:tr>
      <w:tr>
        <w:trPr>
          <w:trHeight w:val="660" w:hRule="exact"/>
        </w:trPr>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635" w:right="0"/>
              <w:jc w:val="left"/>
              <w:rPr>
                <w:rFonts w:ascii="宋体" w:hAnsi="宋体" w:cs="宋体" w:eastAsia="宋体" w:hint="default"/>
                <w:sz w:val="21"/>
                <w:szCs w:val="21"/>
              </w:rPr>
            </w:pPr>
            <w:r>
              <w:rPr>
                <w:rFonts w:ascii="宋体" w:hAnsi="宋体" w:cs="宋体" w:eastAsia="宋体" w:hint="default"/>
                <w:sz w:val="21"/>
                <w:szCs w:val="21"/>
              </w:rPr>
              <w:t>其他应收款减值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w:t>
            </w:r>
          </w:p>
        </w:tc>
        <w:tc>
          <w:tcPr>
            <w:tcW w:w="21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1,468,563.69</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1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12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1"/>
                <w:szCs w:val="21"/>
              </w:rPr>
            </w:pPr>
            <w:r>
              <w:rPr>
                <w:rFonts w:ascii="Times New Roman"/>
                <w:spacing w:val="-1"/>
                <w:sz w:val="21"/>
              </w:rPr>
              <w:t>1,468,563.69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t>年起执行新金融工具准则或新租赁准则追溯调整前期比较数据说明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20"/>
          <w:szCs w:val="20"/>
        </w:rPr>
      </w:pPr>
    </w:p>
    <w:p>
      <w:pPr>
        <w:spacing w:line="376" w:lineRule="auto" w:before="0"/>
        <w:ind w:left="153" w:right="897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45</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4"/>
          <w:szCs w:val="24"/>
        </w:rPr>
        <w:t>六、税项</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pacing w:val="-56"/>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、主要税种及税率</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9"/>
          <w:szCs w:val="9"/>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应税销售额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0"/>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江苏润和软件股份有限公司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西安润和软件信息技术有限公司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北京捷科智诚科技有限公司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福州捷科智诚信息科技有限公司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北京联创智融信息技术有限公司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上海菲耐得信息科技有限公司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上海润和信息技术服务有限公司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00" w:lineRule="auto"/>
        <w:ind w:left="657" w:right="1117"/>
        <w:jc w:val="left"/>
      </w:pPr>
      <w:r>
        <w:rPr/>
        <w:t>（</w:t>
      </w:r>
      <w:r>
        <w:rPr>
          <w:rFonts w:ascii="Times New Roman" w:hAnsi="Times New Roman" w:cs="Times New Roman" w:eastAsia="Times New Roman" w:hint="default"/>
        </w:rPr>
        <w:t>1</w:t>
      </w:r>
      <w:r>
        <w:rPr/>
        <w:t>）增值税 </w:t>
      </w:r>
      <w:r>
        <w:rPr>
          <w:spacing w:val="-2"/>
        </w:rPr>
        <w:t>根据国务院《进一步鼓励软件产业和集成电路产业发展的若干政策》的通知（国发</w:t>
      </w:r>
      <w:r>
        <w:rPr>
          <w:rFonts w:ascii="Times New Roman" w:hAnsi="Times New Roman" w:cs="Times New Roman" w:eastAsia="Times New Roman" w:hint="default"/>
          <w:spacing w:val="-2"/>
        </w:rPr>
        <w:t>[2011]4</w:t>
      </w:r>
      <w:r>
        <w:rPr>
          <w:spacing w:val="-2"/>
        </w:rPr>
        <w:t>号）和财政部、国家税务总</w:t>
      </w:r>
    </w:p>
    <w:p>
      <w:pPr>
        <w:pStyle w:val="BodyText"/>
        <w:spacing w:line="300" w:lineRule="auto" w:before="13"/>
        <w:ind w:right="1183"/>
        <w:jc w:val="left"/>
      </w:pPr>
      <w:r>
        <w:rPr/>
        <w:t>局《关于软件产品增值税政策的通知》（财税</w:t>
      </w:r>
      <w:r>
        <w:rPr>
          <w:rFonts w:ascii="Times New Roman" w:hAnsi="Times New Roman" w:cs="Times New Roman" w:eastAsia="Times New Roman" w:hint="default"/>
        </w:rPr>
        <w:t>[2011]100</w:t>
      </w:r>
      <w:r>
        <w:rPr/>
        <w:t>号），本公司、捷科智诚、联创智融销售其自行开发生产的软件产 品，按</w:t>
      </w:r>
      <w:r>
        <w:rPr>
          <w:rFonts w:ascii="Times New Roman" w:hAnsi="Times New Roman" w:cs="Times New Roman" w:eastAsia="Times New Roman" w:hint="default"/>
        </w:rPr>
        <w:t>17%</w:t>
      </w:r>
      <w:r>
        <w:rPr/>
        <w:t>的法定税率征收增值税，对实际税负超过</w:t>
      </w:r>
      <w:r>
        <w:rPr>
          <w:rFonts w:ascii="Times New Roman" w:hAnsi="Times New Roman" w:cs="Times New Roman" w:eastAsia="Times New Roman" w:hint="default"/>
        </w:rPr>
        <w:t>3%</w:t>
      </w:r>
      <w:r>
        <w:rPr/>
        <w:t>的部分即征即退。</w:t>
      </w:r>
    </w:p>
    <w:p>
      <w:pPr>
        <w:pStyle w:val="BodyText"/>
        <w:spacing w:line="240" w:lineRule="auto" w:before="13"/>
        <w:ind w:left="657" w:right="0"/>
        <w:jc w:val="left"/>
      </w:pPr>
      <w:r>
        <w:rPr/>
        <w:t>根据财政部、国家税务总局下发《关于在全国开展交通运输业和部分现代服务业营业税改征增值税试点税收政策的通</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28"/>
        <w:jc w:val="both"/>
      </w:pPr>
      <w:r>
        <w:rPr>
          <w:spacing w:val="-2"/>
        </w:rPr>
        <w:t>知》（财税</w:t>
      </w:r>
      <w:r>
        <w:rPr>
          <w:rFonts w:ascii="Times New Roman" w:hAnsi="Times New Roman" w:cs="Times New Roman" w:eastAsia="Times New Roman" w:hint="default"/>
          <w:spacing w:val="-2"/>
        </w:rPr>
        <w:t>[2013]37</w:t>
      </w:r>
      <w:r>
        <w:rPr>
          <w:spacing w:val="-2"/>
        </w:rPr>
        <w:t>号），本公司及子公司开发业务、运行维护等服务业务按照</w:t>
      </w:r>
      <w:r>
        <w:rPr>
          <w:rFonts w:ascii="Times New Roman" w:hAnsi="Times New Roman" w:cs="Times New Roman" w:eastAsia="Times New Roman" w:hint="default"/>
          <w:spacing w:val="-2"/>
        </w:rPr>
        <w:t>6%</w:t>
      </w:r>
      <w:r>
        <w:rPr>
          <w:spacing w:val="-2"/>
        </w:rPr>
        <w:t>的法定税率征收增值税；软信和熙对外出</w:t>
      </w:r>
      <w:r>
        <w:rPr>
          <w:spacing w:val="-63"/>
        </w:rPr>
        <w:t> </w:t>
      </w:r>
      <w:r>
        <w:rPr>
          <w:spacing w:val="-63"/>
        </w:rPr>
      </w:r>
      <w:r>
        <w:rPr>
          <w:spacing w:val="-2"/>
        </w:rPr>
        <w:t>租房屋收入采用</w:t>
      </w:r>
      <w:r>
        <w:rPr>
          <w:rFonts w:ascii="Times New Roman" w:hAnsi="Times New Roman" w:cs="Times New Roman" w:eastAsia="Times New Roman" w:hint="default"/>
          <w:spacing w:val="-2"/>
        </w:rPr>
        <w:t>5%</w:t>
      </w:r>
      <w:r>
        <w:rPr>
          <w:spacing w:val="-2"/>
        </w:rPr>
        <w:t>税率；外包园公司对外出租房屋的收入税率分别为</w:t>
      </w: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日起变更为</w:t>
      </w:r>
      <w:r>
        <w:rPr>
          <w:rFonts w:ascii="Times New Roman" w:hAnsi="Times New Roman" w:cs="Times New Roman" w:eastAsia="Times New Roman" w:hint="default"/>
          <w:spacing w:val="-2"/>
        </w:rPr>
        <w:t>9%</w:t>
      </w:r>
      <w:r>
        <w:rPr>
          <w:spacing w:val="-2"/>
        </w:rPr>
        <w:t>）、</w:t>
      </w:r>
      <w:r>
        <w:rPr>
          <w:rFonts w:ascii="Times New Roman" w:hAnsi="Times New Roman" w:cs="Times New Roman" w:eastAsia="Times New Roman" w:hint="default"/>
          <w:spacing w:val="-2"/>
        </w:rPr>
        <w:t>5%</w:t>
      </w:r>
      <w:r>
        <w:rPr>
          <w:spacing w:val="-2"/>
        </w:rPr>
        <w:t>，其中适用</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42"/>
        </w:rPr>
        <w:t> </w:t>
      </w:r>
      <w:r>
        <w:rPr>
          <w:spacing w:val="-2"/>
        </w:rPr>
        <w:t>税率为采用简易征收方式；外包园公司物业管理采用</w:t>
      </w:r>
      <w:r>
        <w:rPr>
          <w:rFonts w:ascii="Times New Roman" w:hAnsi="Times New Roman" w:cs="Times New Roman" w:eastAsia="Times New Roman" w:hint="default"/>
          <w:spacing w:val="-2"/>
        </w:rPr>
        <w:t>6%</w:t>
      </w:r>
      <w:r>
        <w:rPr>
          <w:spacing w:val="-2"/>
        </w:rPr>
        <w:t>税率，电费采用</w:t>
      </w:r>
      <w:r>
        <w:rPr>
          <w:rFonts w:ascii="Times New Roman" w:hAnsi="Times New Roman" w:cs="Times New Roman" w:eastAsia="Times New Roman" w:hint="default"/>
          <w:spacing w:val="-2"/>
        </w:rPr>
        <w:t>16%</w:t>
      </w:r>
      <w:r>
        <w:rPr>
          <w:spacing w:val="-2"/>
        </w:rPr>
        <w:t>税率（</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日起变更为</w:t>
      </w:r>
      <w:r>
        <w:rPr>
          <w:rFonts w:ascii="Times New Roman" w:hAnsi="Times New Roman" w:cs="Times New Roman" w:eastAsia="Times New Roman" w:hint="default"/>
          <w:spacing w:val="-2"/>
        </w:rPr>
        <w:t>13%</w:t>
      </w:r>
      <w:r>
        <w:rPr>
          <w:spacing w:val="-2"/>
        </w:rPr>
        <w:t>），水费采用</w:t>
      </w:r>
      <w:r>
        <w:rPr>
          <w:spacing w:val="-61"/>
        </w:rPr>
        <w:t> </w:t>
      </w:r>
      <w:r>
        <w:rPr>
          <w:spacing w:val="-61"/>
        </w:rPr>
      </w:r>
      <w:r>
        <w:rPr>
          <w:rFonts w:ascii="Times New Roman" w:hAnsi="Times New Roman" w:cs="Times New Roman" w:eastAsia="Times New Roman" w:hint="default"/>
        </w:rPr>
        <w:t>3%</w:t>
      </w:r>
      <w:r>
        <w:rPr/>
        <w:t>税率；本公司及子公司销售软硬件产品按照</w:t>
      </w:r>
      <w:r>
        <w:rPr>
          <w:rFonts w:ascii="Times New Roman" w:hAnsi="Times New Roman" w:cs="Times New Roman" w:eastAsia="Times New Roman" w:hint="default"/>
        </w:rPr>
        <w:t>16%</w:t>
      </w:r>
      <w:r>
        <w:rPr/>
        <w:t>税率（</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日起变更为</w:t>
      </w:r>
      <w:r>
        <w:rPr>
          <w:rFonts w:ascii="Times New Roman" w:hAnsi="Times New Roman" w:cs="Times New Roman" w:eastAsia="Times New Roman" w:hint="default"/>
        </w:rPr>
        <w:t>13%</w:t>
      </w:r>
      <w:r>
        <w:rPr/>
        <w:t>）征收增值税。</w:t>
      </w:r>
    </w:p>
    <w:p>
      <w:pPr>
        <w:pStyle w:val="BodyText"/>
        <w:spacing w:line="240" w:lineRule="auto" w:before="13"/>
        <w:ind w:left="657" w:right="0"/>
        <w:jc w:val="left"/>
      </w:pPr>
      <w:r>
        <w:rPr/>
        <w:t>根据《财政部、国家税务总局关于在北京等</w:t>
      </w:r>
      <w:r>
        <w:rPr>
          <w:rFonts w:ascii="Times New Roman" w:hAnsi="Times New Roman" w:cs="Times New Roman" w:eastAsia="Times New Roman" w:hint="default"/>
        </w:rPr>
        <w:t>8</w:t>
      </w:r>
      <w:r>
        <w:rPr/>
        <w:t>省市开展交通运输业和部分现代服务业营业税改征增值税试点的通知》</w:t>
      </w:r>
    </w:p>
    <w:p>
      <w:pPr>
        <w:pStyle w:val="BodyText"/>
        <w:spacing w:line="309" w:lineRule="auto" w:before="63"/>
        <w:ind w:right="1129"/>
        <w:jc w:val="both"/>
      </w:pPr>
      <w:r>
        <w:rPr>
          <w:spacing w:val="-6"/>
        </w:rPr>
        <w:t>（财税</w:t>
      </w:r>
      <w:r>
        <w:rPr>
          <w:rFonts w:ascii="Times New Roman" w:hAnsi="Times New Roman" w:cs="Times New Roman" w:eastAsia="Times New Roman" w:hint="default"/>
          <w:spacing w:val="-6"/>
        </w:rPr>
        <w:t>[2012]71</w:t>
      </w:r>
      <w:r>
        <w:rPr>
          <w:spacing w:val="-6"/>
        </w:rPr>
        <w:t>号）及《关于在全国开展交通运输业和部分现代服务业营业税改征增值税试点税收政策的通知》（财税</w:t>
      </w:r>
      <w:r>
        <w:rPr>
          <w:rFonts w:ascii="Times New Roman" w:hAnsi="Times New Roman" w:cs="Times New Roman" w:eastAsia="Times New Roman" w:hint="default"/>
          <w:spacing w:val="-6"/>
        </w:rPr>
        <w:t>[2013]37</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spacing w:val="-2"/>
        </w:rPr>
        <w:t>号），本公司、西安润和、上海润和、捷科智诚、福州捷科、联创智融所属从事的技术转让、技术开发业务及与之相关的技</w:t>
      </w:r>
      <w:r>
        <w:rPr>
          <w:spacing w:val="-65"/>
        </w:rPr>
        <w:t> </w:t>
      </w:r>
      <w:r>
        <w:rPr>
          <w:spacing w:val="-65"/>
        </w:rPr>
      </w:r>
      <w:r>
        <w:rPr/>
        <w:t>术咨询、技术服务业务取得的收入在取得技术合同认定并经税务局备案后由原先免征营业税部分继续免征增值税。</w:t>
      </w:r>
    </w:p>
    <w:p>
      <w:pPr>
        <w:pStyle w:val="BodyText"/>
        <w:spacing w:line="300" w:lineRule="auto" w:before="24"/>
        <w:ind w:right="1130" w:firstLine="504"/>
        <w:jc w:val="both"/>
      </w:pPr>
      <w:r>
        <w:rPr>
          <w:spacing w:val="-1"/>
        </w:rPr>
        <w:t>根据《关于深化增值税改革有关政策的公告》（财政部、税务总局、海关总署公告</w:t>
      </w:r>
      <w:r>
        <w:rPr>
          <w:rFonts w:ascii="Times New Roman" w:hAnsi="Times New Roman" w:cs="Times New Roman" w:eastAsia="Times New Roman" w:hint="default"/>
          <w:spacing w:val="-1"/>
        </w:rPr>
        <w:t>2019</w:t>
      </w:r>
      <w:r>
        <w:rPr>
          <w:spacing w:val="-1"/>
        </w:rPr>
        <w:t>年第</w:t>
      </w:r>
      <w:r>
        <w:rPr>
          <w:rFonts w:ascii="Times New Roman" w:hAnsi="Times New Roman" w:cs="Times New Roman" w:eastAsia="Times New Roman" w:hint="default"/>
          <w:spacing w:val="-1"/>
        </w:rPr>
        <w:t>39</w:t>
      </w:r>
      <w:r>
        <w:rPr>
          <w:spacing w:val="-1"/>
        </w:rPr>
        <w:t>号），本公司及境内子</w:t>
      </w:r>
      <w:r>
        <w:rPr/>
        <w:t> </w:t>
      </w:r>
      <w:r>
        <w:rPr>
          <w:spacing w:val="-1"/>
        </w:rPr>
        <w:t>公司作为生产、生活性服务业纳税人，自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日，可按照当期可抵扣进项税额加计</w:t>
      </w:r>
      <w:r>
        <w:rPr>
          <w:rFonts w:ascii="Times New Roman" w:hAnsi="Times New Roman" w:cs="Times New Roman" w:eastAsia="Times New Roman" w:hint="default"/>
          <w:spacing w:val="-1"/>
        </w:rPr>
        <w:t>10%</w:t>
      </w:r>
      <w:r>
        <w:rPr>
          <w:spacing w:val="-1"/>
        </w:rPr>
        <w:t>抵减应纳增</w:t>
      </w:r>
      <w:r>
        <w:rPr>
          <w:spacing w:val="-87"/>
        </w:rPr>
        <w:t> </w:t>
      </w:r>
      <w:r>
        <w:rPr/>
        <w:t>值税额。</w:t>
      </w:r>
    </w:p>
    <w:p>
      <w:pPr>
        <w:pStyle w:val="BodyText"/>
        <w:spacing w:line="240" w:lineRule="auto" w:before="32"/>
        <w:ind w:left="657" w:right="0"/>
        <w:jc w:val="left"/>
      </w:pPr>
      <w:r>
        <w:rPr/>
        <w:t>（</w:t>
      </w:r>
      <w:r>
        <w:rPr>
          <w:rFonts w:ascii="Times New Roman" w:hAnsi="Times New Roman" w:cs="Times New Roman" w:eastAsia="Times New Roman" w:hint="default"/>
        </w:rPr>
        <w:t>2</w:t>
      </w:r>
      <w:r>
        <w:rPr/>
        <w:t>）企业所得税</w:t>
      </w:r>
    </w:p>
    <w:p>
      <w:pPr>
        <w:pStyle w:val="BodyText"/>
        <w:spacing w:line="316" w:lineRule="auto" w:before="63"/>
        <w:ind w:left="657" w:right="1023"/>
        <w:jc w:val="left"/>
      </w:pPr>
      <w:r>
        <w:rPr/>
        <w:t>①本公司 </w:t>
      </w:r>
      <w:r>
        <w:rPr>
          <w:spacing w:val="-2"/>
        </w:rPr>
        <w:t>根据《中华人民共和国企业所得税法》规定</w:t>
      </w:r>
      <w:r>
        <w:rPr>
          <w:rFonts w:ascii="Times New Roman" w:hAnsi="Times New Roman" w:cs="Times New Roman" w:eastAsia="Times New Roman" w:hint="default"/>
          <w:spacing w:val="-2"/>
        </w:rPr>
        <w:t>“</w:t>
      </w:r>
      <w:r>
        <w:rPr>
          <w:spacing w:val="-2"/>
        </w:rPr>
        <w:t>对国家需要重点扶持的高新技术企业，减按</w:t>
      </w:r>
      <w:r>
        <w:rPr>
          <w:rFonts w:ascii="Times New Roman" w:hAnsi="Times New Roman" w:cs="Times New Roman" w:eastAsia="Times New Roman" w:hint="default"/>
          <w:spacing w:val="-2"/>
        </w:rPr>
        <w:t>15%</w:t>
      </w:r>
      <w:r>
        <w:rPr>
          <w:spacing w:val="-2"/>
        </w:rPr>
        <w:t>的税率征收企业所得税</w:t>
      </w:r>
      <w:r>
        <w:rPr>
          <w:rFonts w:ascii="Times New Roman" w:hAnsi="Times New Roman" w:cs="Times New Roman" w:eastAsia="Times New Roman" w:hint="default"/>
          <w:spacing w:val="-2"/>
        </w:rPr>
        <w:t>”</w:t>
      </w:r>
      <w:r>
        <w:rPr>
          <w:spacing w:val="-2"/>
        </w:rPr>
        <w:t>。</w:t>
      </w:r>
    </w:p>
    <w:p>
      <w:pPr>
        <w:pStyle w:val="BodyText"/>
        <w:spacing w:line="300" w:lineRule="auto"/>
        <w:ind w:right="1130"/>
        <w:jc w:val="both"/>
      </w:pPr>
      <w:r>
        <w:rPr>
          <w:spacing w:val="-2"/>
        </w:rPr>
        <w:t>本公司已于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13</w:t>
      </w:r>
      <w:r>
        <w:rPr>
          <w:spacing w:val="-2"/>
        </w:rPr>
        <w:t>日取得江苏省科学技术厅、江苏省财政厅、江苏省国家税务局、江苏省地方税务局批准的《高新技</w:t>
      </w:r>
      <w:r>
        <w:rPr>
          <w:spacing w:val="-61"/>
        </w:rPr>
        <w:t> </w:t>
      </w:r>
      <w:r>
        <w:rPr>
          <w:spacing w:val="-61"/>
        </w:rPr>
      </w:r>
      <w:r>
        <w:rPr/>
        <w:t>术企业证书》，</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日高新技术企业复审通过。本公司</w:t>
      </w:r>
      <w:r>
        <w:rPr>
          <w:rFonts w:ascii="Times New Roman" w:hAnsi="Times New Roman" w:cs="Times New Roman" w:eastAsia="Times New Roman" w:hint="default"/>
        </w:rPr>
        <w:t>2019</w:t>
      </w:r>
      <w:r>
        <w:rPr/>
        <w:t>年度、</w:t>
      </w:r>
      <w:r>
        <w:rPr>
          <w:rFonts w:ascii="Times New Roman" w:hAnsi="Times New Roman" w:cs="Times New Roman" w:eastAsia="Times New Roman" w:hint="default"/>
        </w:rPr>
        <w:t>2020</w:t>
      </w:r>
      <w:r>
        <w:rPr/>
        <w:t>年度、</w:t>
      </w:r>
      <w:r>
        <w:rPr>
          <w:rFonts w:ascii="Times New Roman" w:hAnsi="Times New Roman" w:cs="Times New Roman" w:eastAsia="Times New Roman" w:hint="default"/>
        </w:rPr>
        <w:t>2021</w:t>
      </w:r>
      <w:r>
        <w:rPr/>
        <w:t>年度享受高新技术企业减按</w:t>
      </w:r>
      <w:r>
        <w:rPr>
          <w:rFonts w:ascii="Times New Roman" w:hAnsi="Times New Roman" w:cs="Times New Roman" w:eastAsia="Times New Roman" w:hint="default"/>
        </w:rPr>
        <w:t>15% </w:t>
      </w:r>
      <w:r>
        <w:rPr/>
        <w:t>税率征收企业所得税的税收优惠政策。</w:t>
      </w:r>
    </w:p>
    <w:p>
      <w:pPr>
        <w:pStyle w:val="BodyText"/>
        <w:spacing w:line="316" w:lineRule="auto" w:before="31"/>
        <w:ind w:left="657" w:right="1023"/>
        <w:jc w:val="left"/>
      </w:pPr>
      <w:r>
        <w:rPr/>
        <w:t>②西安润和 </w:t>
      </w:r>
      <w:r>
        <w:rPr>
          <w:spacing w:val="-2"/>
        </w:rPr>
        <w:t>根据《中华人民共和国企业所得税法》规定</w:t>
      </w:r>
      <w:r>
        <w:rPr>
          <w:rFonts w:ascii="Times New Roman" w:hAnsi="Times New Roman" w:cs="Times New Roman" w:eastAsia="Times New Roman" w:hint="default"/>
          <w:spacing w:val="-2"/>
        </w:rPr>
        <w:t>“</w:t>
      </w:r>
      <w:r>
        <w:rPr>
          <w:spacing w:val="-2"/>
        </w:rPr>
        <w:t>对国家需要重点扶持的高新技术企业，减按</w:t>
      </w:r>
      <w:r>
        <w:rPr>
          <w:rFonts w:ascii="Times New Roman" w:hAnsi="Times New Roman" w:cs="Times New Roman" w:eastAsia="Times New Roman" w:hint="default"/>
          <w:spacing w:val="-2"/>
        </w:rPr>
        <w:t>15%</w:t>
      </w:r>
      <w:r>
        <w:rPr>
          <w:spacing w:val="-2"/>
        </w:rPr>
        <w:t>的税率征收企业所得税</w:t>
      </w:r>
      <w:r>
        <w:rPr>
          <w:rFonts w:ascii="Times New Roman" w:hAnsi="Times New Roman" w:cs="Times New Roman" w:eastAsia="Times New Roman" w:hint="default"/>
          <w:spacing w:val="-2"/>
        </w:rPr>
        <w:t>”</w:t>
      </w:r>
      <w:r>
        <w:rPr>
          <w:spacing w:val="-2"/>
        </w:rPr>
        <w:t>。</w:t>
      </w:r>
    </w:p>
    <w:p>
      <w:pPr>
        <w:pStyle w:val="BodyText"/>
        <w:spacing w:line="300" w:lineRule="auto"/>
        <w:ind w:right="1046"/>
        <w:jc w:val="both"/>
      </w:pPr>
      <w:r>
        <w:rPr>
          <w:spacing w:val="-6"/>
        </w:rPr>
        <w:t>西安润和于</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10</w:t>
      </w:r>
      <w:r>
        <w:rPr>
          <w:spacing w:val="-6"/>
        </w:rPr>
        <w:t>月</w:t>
      </w:r>
      <w:r>
        <w:rPr>
          <w:rFonts w:ascii="Times New Roman" w:hAnsi="Times New Roman" w:cs="Times New Roman" w:eastAsia="Times New Roman" w:hint="default"/>
          <w:spacing w:val="-6"/>
        </w:rPr>
        <w:t>29</w:t>
      </w:r>
      <w:r>
        <w:rPr>
          <w:spacing w:val="-6"/>
        </w:rPr>
        <w:t>日取得陕西省科学技术厅、陕西省财政厅、国家税务总局陕西省税务局批准的《高新技术企业证书》。</w:t>
      </w:r>
      <w:r>
        <w:rPr/>
        <w:t> 西安润和</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2019</w:t>
      </w:r>
      <w:r>
        <w:rPr/>
        <w:t>年度、</w:t>
      </w:r>
      <w:r>
        <w:rPr>
          <w:rFonts w:ascii="Times New Roman" w:hAnsi="Times New Roman" w:cs="Times New Roman" w:eastAsia="Times New Roman" w:hint="default"/>
        </w:rPr>
        <w:t>2020</w:t>
      </w:r>
      <w:r>
        <w:rPr/>
        <w:t>年度享受高新技术企业减按</w:t>
      </w:r>
      <w:r>
        <w:rPr>
          <w:rFonts w:ascii="Times New Roman" w:hAnsi="Times New Roman" w:cs="Times New Roman" w:eastAsia="Times New Roman" w:hint="default"/>
        </w:rPr>
        <w:t>15%</w:t>
      </w:r>
      <w:r>
        <w:rPr/>
        <w:t>税率征收企业所得税的税收优惠政策。</w:t>
      </w:r>
    </w:p>
    <w:p>
      <w:pPr>
        <w:pStyle w:val="BodyText"/>
        <w:spacing w:line="316" w:lineRule="auto" w:before="13"/>
        <w:ind w:left="657" w:right="1129"/>
        <w:jc w:val="left"/>
      </w:pPr>
      <w:r>
        <w:rPr/>
        <w:t>③捷科智诚 根据财税</w:t>
      </w:r>
      <w:r>
        <w:rPr>
          <w:rFonts w:ascii="Times New Roman" w:hAnsi="Times New Roman" w:cs="Times New Roman" w:eastAsia="Times New Roman" w:hint="default"/>
        </w:rPr>
        <w:t>[2016]49</w:t>
      </w:r>
      <w:r>
        <w:rPr/>
        <w:t>号，国家规划布局内重点软件企业的税收优惠资格认定改为备案制，</w:t>
      </w:r>
      <w:r>
        <w:rPr>
          <w:rFonts w:ascii="Times New Roman" w:hAnsi="Times New Roman" w:cs="Times New Roman" w:eastAsia="Times New Roman" w:hint="default"/>
        </w:rPr>
        <w:t>2019</w:t>
      </w:r>
      <w:r>
        <w:rPr/>
        <w:t>年度捷科智诚符合备案条</w:t>
      </w:r>
    </w:p>
    <w:p>
      <w:pPr>
        <w:pStyle w:val="BodyText"/>
        <w:spacing w:line="249" w:lineRule="exact"/>
        <w:ind w:right="0"/>
        <w:jc w:val="both"/>
      </w:pPr>
      <w:r>
        <w:rPr/>
        <w:t>件，</w:t>
      </w:r>
      <w:r>
        <w:rPr>
          <w:rFonts w:ascii="Times New Roman" w:hAnsi="Times New Roman" w:cs="Times New Roman" w:eastAsia="Times New Roman" w:hint="default"/>
        </w:rPr>
        <w:t>2019</w:t>
      </w:r>
      <w:r>
        <w:rPr/>
        <w:t>年度暂按享受重点软件企业减按</w:t>
      </w:r>
      <w:r>
        <w:rPr>
          <w:rFonts w:ascii="Times New Roman" w:hAnsi="Times New Roman" w:cs="Times New Roman" w:eastAsia="Times New Roman" w:hint="default"/>
        </w:rPr>
        <w:t>10%</w:t>
      </w:r>
      <w:r>
        <w:rPr/>
        <w:t>税率征收企业所得税的税收优惠政策。</w:t>
      </w:r>
    </w:p>
    <w:p>
      <w:pPr>
        <w:pStyle w:val="BodyText"/>
        <w:spacing w:line="316" w:lineRule="auto" w:before="63"/>
        <w:ind w:left="657" w:right="1129"/>
        <w:jc w:val="left"/>
        <w:rPr>
          <w:rFonts w:ascii="Times New Roman" w:hAnsi="Times New Roman" w:cs="Times New Roman" w:eastAsia="Times New Roman" w:hint="default"/>
        </w:rPr>
      </w:pPr>
      <w:r>
        <w:rPr/>
        <w:t>④福州捷科 根据财政部、国家税务总局《关于进一步鼓励软件产业和集成电路产业发展企业所得税政策的通知》（财税</w:t>
      </w:r>
      <w:r>
        <w:rPr>
          <w:rFonts w:ascii="Times New Roman" w:hAnsi="Times New Roman" w:cs="Times New Roman" w:eastAsia="Times New Roman" w:hint="default"/>
        </w:rPr>
        <w:t>[2012]27</w:t>
      </w:r>
    </w:p>
    <w:p>
      <w:pPr>
        <w:pStyle w:val="BodyText"/>
        <w:spacing w:line="304" w:lineRule="auto"/>
        <w:ind w:right="1128"/>
        <w:jc w:val="both"/>
      </w:pPr>
      <w:r>
        <w:rPr>
          <w:spacing w:val="-2"/>
        </w:rPr>
        <w:t>号）及财政部、国家税务总局、发展改革委、工业和信息化部《关于软件和集成电路产业企业所得税优惠政策有关问题的通</w:t>
      </w:r>
      <w:r>
        <w:rPr>
          <w:spacing w:val="-67"/>
        </w:rPr>
        <w:t> </w:t>
      </w:r>
      <w:r>
        <w:rPr>
          <w:spacing w:val="-67"/>
        </w:rPr>
      </w:r>
      <w:r>
        <w:rPr>
          <w:spacing w:val="-1"/>
        </w:rPr>
        <w:t>知》（财税</w:t>
      </w:r>
      <w:r>
        <w:rPr>
          <w:rFonts w:ascii="Times New Roman" w:hAnsi="Times New Roman" w:cs="Times New Roman" w:eastAsia="Times New Roman" w:hint="default"/>
          <w:spacing w:val="-1"/>
        </w:rPr>
        <w:t>[2016]49</w:t>
      </w:r>
      <w:r>
        <w:rPr>
          <w:spacing w:val="-1"/>
        </w:rPr>
        <w:t>号），我国境内新办的集成电路设计企业和符合条件的软件企业，经认定后，在</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日前自获</w:t>
      </w:r>
      <w:r>
        <w:rPr>
          <w:spacing w:val="-55"/>
        </w:rPr>
        <w:t> </w:t>
      </w:r>
      <w:r>
        <w:rPr>
          <w:spacing w:val="-55"/>
        </w:rPr>
      </w:r>
      <w:r>
        <w:rPr>
          <w:spacing w:val="-1"/>
        </w:rPr>
        <w:t>利年度起计算优惠期，第一年至第二年免征企业所得税，第三年至第五年按照</w:t>
      </w:r>
      <w:r>
        <w:rPr>
          <w:rFonts w:ascii="Times New Roman" w:hAnsi="Times New Roman" w:cs="Times New Roman" w:eastAsia="Times New Roman" w:hint="default"/>
          <w:spacing w:val="-1"/>
        </w:rPr>
        <w:t>25%</w:t>
      </w:r>
      <w:r>
        <w:rPr>
          <w:spacing w:val="-1"/>
        </w:rPr>
        <w:t>的法定税率减半征收企业所得税，并享受</w:t>
      </w:r>
      <w:r>
        <w:rPr>
          <w:spacing w:val="-85"/>
        </w:rPr>
        <w:t> </w:t>
      </w:r>
      <w:r>
        <w:rPr>
          <w:spacing w:val="-85"/>
        </w:rPr>
      </w:r>
      <w:r>
        <w:rPr>
          <w:spacing w:val="-2"/>
        </w:rPr>
        <w:t>至期满为止。福州捷科享受两年三减半的政策，</w:t>
      </w:r>
      <w:r>
        <w:rPr>
          <w:rFonts w:ascii="Times New Roman" w:hAnsi="Times New Roman" w:cs="Times New Roman" w:eastAsia="Times New Roman" w:hint="default"/>
          <w:spacing w:val="-2"/>
        </w:rPr>
        <w:t>2016</w:t>
      </w:r>
      <w:r>
        <w:rPr>
          <w:spacing w:val="-2"/>
        </w:rPr>
        <w:t>年起为第一个获利年度，</w:t>
      </w:r>
      <w:r>
        <w:rPr>
          <w:rFonts w:ascii="Times New Roman" w:hAnsi="Times New Roman" w:cs="Times New Roman" w:eastAsia="Times New Roman" w:hint="default"/>
          <w:spacing w:val="-2"/>
        </w:rPr>
        <w:t>2017</w:t>
      </w:r>
      <w:r>
        <w:rPr>
          <w:spacing w:val="-2"/>
        </w:rPr>
        <w:t>年为第二个获利年度，</w:t>
      </w:r>
      <w:r>
        <w:rPr>
          <w:rFonts w:ascii="Times New Roman" w:hAnsi="Times New Roman" w:cs="Times New Roman" w:eastAsia="Times New Roman" w:hint="default"/>
          <w:spacing w:val="-2"/>
        </w:rPr>
        <w:t>2018</w:t>
      </w:r>
      <w:r>
        <w:rPr>
          <w:spacing w:val="-2"/>
        </w:rPr>
        <w:t>年起开始执行</w:t>
      </w:r>
      <w:r>
        <w:rPr>
          <w:spacing w:val="-55"/>
        </w:rPr>
        <w:t> </w:t>
      </w:r>
      <w:r>
        <w:rPr>
          <w:spacing w:val="-55"/>
        </w:rPr>
      </w:r>
      <w:r>
        <w:rPr/>
        <w:t>第三年法定所得税率减半征收的税收优惠。</w:t>
      </w:r>
    </w:p>
    <w:p>
      <w:pPr>
        <w:pStyle w:val="BodyText"/>
        <w:spacing w:line="300" w:lineRule="auto" w:before="28"/>
        <w:ind w:right="1023" w:firstLine="504"/>
        <w:jc w:val="left"/>
      </w:pPr>
      <w:r>
        <w:rPr>
          <w:spacing w:val="-8"/>
        </w:rPr>
        <w:t>根据</w:t>
      </w:r>
      <w:r>
        <w:rPr>
          <w:rFonts w:ascii="Times New Roman" w:hAnsi="Times New Roman" w:cs="Times New Roman" w:eastAsia="Times New Roman" w:hint="default"/>
          <w:spacing w:val="-8"/>
        </w:rPr>
        <w:t>2019</w:t>
      </w:r>
      <w:r>
        <w:rPr>
          <w:spacing w:val="-8"/>
        </w:rPr>
        <w:t>年</w:t>
      </w:r>
      <w:r>
        <w:rPr>
          <w:rFonts w:ascii="Times New Roman" w:hAnsi="Times New Roman" w:cs="Times New Roman" w:eastAsia="Times New Roman" w:hint="default"/>
          <w:spacing w:val="-8"/>
        </w:rPr>
        <w:t>1</w:t>
      </w:r>
      <w:r>
        <w:rPr>
          <w:spacing w:val="-8"/>
        </w:rPr>
        <w:t>月</w:t>
      </w:r>
      <w:r>
        <w:rPr>
          <w:rFonts w:ascii="Times New Roman" w:hAnsi="Times New Roman" w:cs="Times New Roman" w:eastAsia="Times New Roman" w:hint="default"/>
          <w:spacing w:val="-8"/>
        </w:rPr>
        <w:t>17</w:t>
      </w:r>
      <w:r>
        <w:rPr>
          <w:spacing w:val="-8"/>
        </w:rPr>
        <w:t>日财政部、国家税务总局下发《关于实施小微企业普惠性税收减免政策的通知》（财税〔</w:t>
      </w:r>
      <w:r>
        <w:rPr>
          <w:rFonts w:ascii="Times New Roman" w:hAnsi="Times New Roman" w:cs="Times New Roman" w:eastAsia="Times New Roman" w:hint="default"/>
          <w:spacing w:val="-8"/>
        </w:rPr>
        <w:t>2019</w:t>
      </w:r>
      <w:r>
        <w:rPr>
          <w:spacing w:val="-8"/>
        </w:rPr>
        <w:t>〕</w:t>
      </w:r>
      <w:r>
        <w:rPr>
          <w:rFonts w:ascii="Times New Roman" w:hAnsi="Times New Roman" w:cs="Times New Roman" w:eastAsia="Times New Roman" w:hint="default"/>
          <w:spacing w:val="-8"/>
        </w:rPr>
        <w:t>13</w:t>
      </w:r>
      <w:r>
        <w:rPr>
          <w:rFonts w:ascii="Times New Roman" w:hAnsi="Times New Roman" w:cs="Times New Roman" w:eastAsia="Times New Roman" w:hint="default"/>
          <w:spacing w:val="19"/>
        </w:rPr>
        <w:t> </w:t>
      </w:r>
      <w:r>
        <w:rPr>
          <w:spacing w:val="-24"/>
        </w:rPr>
        <w:t>号），</w:t>
      </w:r>
      <w:r>
        <w:rPr/>
        <w:t> 进一步支持小微企业发展，自</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日，对小型微利企业年应纳税所得额不超过</w:t>
      </w:r>
      <w:r>
        <w:rPr>
          <w:rFonts w:ascii="Times New Roman" w:hAnsi="Times New Roman" w:cs="Times New Roman" w:eastAsia="Times New Roman" w:hint="default"/>
        </w:rPr>
        <w:t>100</w:t>
      </w:r>
      <w:r>
        <w:rPr/>
        <w:t>万元的部分，减 按</w:t>
      </w:r>
      <w:r>
        <w:rPr>
          <w:spacing w:val="-18"/>
        </w:rPr>
        <w:t> </w:t>
      </w:r>
      <w:r>
        <w:rPr>
          <w:rFonts w:ascii="Times New Roman" w:hAnsi="Times New Roman" w:cs="Times New Roman" w:eastAsia="Times New Roman" w:hint="default"/>
        </w:rPr>
        <w:t>25%</w:t>
      </w:r>
      <w:r>
        <w:rPr/>
        <w:t>计入应纳税所得额，按</w:t>
      </w:r>
      <w:r>
        <w:rPr>
          <w:rFonts w:ascii="Times New Roman" w:hAnsi="Times New Roman" w:cs="Times New Roman" w:eastAsia="Times New Roman" w:hint="default"/>
        </w:rPr>
        <w:t>20%</w:t>
      </w:r>
      <w:r>
        <w:rPr/>
        <w:t>的税率缴纳企业所得税；对年应纳税所得额超过</w:t>
      </w:r>
      <w:r>
        <w:rPr>
          <w:rFonts w:ascii="Times New Roman" w:hAnsi="Times New Roman" w:cs="Times New Roman" w:eastAsia="Times New Roman" w:hint="default"/>
        </w:rPr>
        <w:t>100</w:t>
      </w:r>
      <w:r>
        <w:rPr/>
        <w:t>万元但不超过</w:t>
      </w:r>
      <w:r>
        <w:rPr>
          <w:rFonts w:ascii="Times New Roman" w:hAnsi="Times New Roman" w:cs="Times New Roman" w:eastAsia="Times New Roman" w:hint="default"/>
        </w:rPr>
        <w:t>300</w:t>
      </w:r>
      <w:r>
        <w:rPr/>
        <w:t>万元的部分，减按</w:t>
      </w:r>
      <w:r>
        <w:rPr>
          <w:spacing w:val="-88"/>
        </w:rPr>
        <w:t> </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w:t>
      </w:r>
      <w:r>
        <w:rPr>
          <w:rFonts w:ascii="Times New Roman" w:hAnsi="Times New Roman" w:cs="Times New Roman" w:eastAsia="Times New Roman" w:hint="default"/>
        </w:rPr>
        <w:t>2019</w:t>
      </w:r>
      <w:r>
        <w:rPr/>
        <w:t>年福州捷科应纳税所得额符合《关于实施小微企业普惠性税收 减免政策的通知》规定，企业所得税税率按照《关于实施小微企业普惠性税收减免政策的通知》规定执行。</w:t>
      </w:r>
    </w:p>
    <w:p>
      <w:pPr>
        <w:pStyle w:val="BodyText"/>
        <w:spacing w:line="316" w:lineRule="auto" w:before="31"/>
        <w:ind w:left="657" w:right="1129"/>
        <w:jc w:val="left"/>
      </w:pPr>
      <w:r>
        <w:rPr/>
        <w:t>⑤联创智融 根据财税</w:t>
      </w:r>
      <w:r>
        <w:rPr>
          <w:rFonts w:ascii="Times New Roman" w:hAnsi="Times New Roman" w:cs="Times New Roman" w:eastAsia="Times New Roman" w:hint="default"/>
        </w:rPr>
        <w:t>[2016]49</w:t>
      </w:r>
      <w:r>
        <w:rPr/>
        <w:t>号，国家规划布局内重点软件企业的税收优惠资格认定改为备案制，</w:t>
      </w:r>
      <w:r>
        <w:rPr>
          <w:rFonts w:ascii="Times New Roman" w:hAnsi="Times New Roman" w:cs="Times New Roman" w:eastAsia="Times New Roman" w:hint="default"/>
        </w:rPr>
        <w:t>2019</w:t>
      </w:r>
      <w:r>
        <w:rPr/>
        <w:t>年度联创智融符合备案条</w:t>
      </w:r>
    </w:p>
    <w:p>
      <w:pPr>
        <w:pStyle w:val="BodyText"/>
        <w:spacing w:line="248" w:lineRule="exact"/>
        <w:ind w:right="0"/>
        <w:jc w:val="both"/>
      </w:pPr>
      <w:r>
        <w:rPr/>
        <w:t>件，</w:t>
      </w:r>
      <w:r>
        <w:rPr>
          <w:rFonts w:ascii="Times New Roman" w:hAnsi="Times New Roman" w:cs="Times New Roman" w:eastAsia="Times New Roman" w:hint="default"/>
        </w:rPr>
        <w:t>2019</w:t>
      </w:r>
      <w:r>
        <w:rPr/>
        <w:t>年度暂按享受重点软件企业减按</w:t>
      </w:r>
      <w:r>
        <w:rPr>
          <w:rFonts w:ascii="Times New Roman" w:hAnsi="Times New Roman" w:cs="Times New Roman" w:eastAsia="Times New Roman" w:hint="default"/>
        </w:rPr>
        <w:t>10%</w:t>
      </w:r>
      <w:r>
        <w:rPr/>
        <w:t>税率征收企业所得税的税收优惠政策。</w:t>
      </w:r>
    </w:p>
    <w:p>
      <w:pPr>
        <w:pStyle w:val="BodyText"/>
        <w:spacing w:line="316" w:lineRule="auto" w:before="63"/>
        <w:ind w:left="657" w:right="1023"/>
        <w:jc w:val="left"/>
      </w:pPr>
      <w:r>
        <w:rPr/>
        <w:t>⑥菲耐得 </w:t>
      </w:r>
      <w:r>
        <w:rPr>
          <w:spacing w:val="-2"/>
        </w:rPr>
        <w:t>根据《中华人民共和国企业所得税法》规定</w:t>
      </w:r>
      <w:r>
        <w:rPr>
          <w:rFonts w:ascii="Times New Roman" w:hAnsi="Times New Roman" w:cs="Times New Roman" w:eastAsia="Times New Roman" w:hint="default"/>
          <w:spacing w:val="-2"/>
        </w:rPr>
        <w:t>“</w:t>
      </w:r>
      <w:r>
        <w:rPr>
          <w:spacing w:val="-2"/>
        </w:rPr>
        <w:t>对国家需要重点扶持的高新技术企业，减按</w:t>
      </w:r>
      <w:r>
        <w:rPr>
          <w:rFonts w:ascii="Times New Roman" w:hAnsi="Times New Roman" w:cs="Times New Roman" w:eastAsia="Times New Roman" w:hint="default"/>
          <w:spacing w:val="-2"/>
        </w:rPr>
        <w:t>15%</w:t>
      </w:r>
      <w:r>
        <w:rPr>
          <w:spacing w:val="-2"/>
        </w:rPr>
        <w:t>的税率征收企业所得税</w:t>
      </w:r>
      <w:r>
        <w:rPr>
          <w:rFonts w:ascii="Times New Roman" w:hAnsi="Times New Roman" w:cs="Times New Roman" w:eastAsia="Times New Roman" w:hint="default"/>
          <w:spacing w:val="-2"/>
        </w:rPr>
        <w:t>”</w:t>
      </w:r>
      <w:r>
        <w:rPr>
          <w:spacing w:val="-2"/>
        </w:rPr>
        <w:t>。</w:t>
      </w:r>
    </w:p>
    <w:p>
      <w:pPr>
        <w:pStyle w:val="BodyText"/>
        <w:spacing w:line="300" w:lineRule="auto"/>
        <w:ind w:right="1131"/>
        <w:jc w:val="both"/>
      </w:pPr>
      <w:r>
        <w:rPr>
          <w:spacing w:val="-2"/>
        </w:rPr>
        <w:t>菲耐得于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24</w:t>
      </w:r>
      <w:r>
        <w:rPr>
          <w:spacing w:val="-2"/>
        </w:rPr>
        <w:t>日取得上海市科学技术委员会、上海市财政局、上海市国家税务局、上海市地方税务局批准的《高新</w:t>
      </w:r>
      <w:r>
        <w:rPr>
          <w:spacing w:val="-60"/>
        </w:rPr>
        <w:t> </w:t>
      </w:r>
      <w:r>
        <w:rPr>
          <w:spacing w:val="-60"/>
        </w:rPr>
      </w:r>
      <w:r>
        <w:rPr>
          <w:spacing w:val="-4"/>
        </w:rPr>
        <w:t>技术企业证书》，</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30</w:t>
      </w:r>
      <w:r>
        <w:rPr>
          <w:spacing w:val="-4"/>
        </w:rPr>
        <w:t>日高新技术企业复审通过。菲耐得</w:t>
      </w:r>
      <w:r>
        <w:rPr>
          <w:rFonts w:ascii="Times New Roman" w:hAnsi="Times New Roman" w:cs="Times New Roman" w:eastAsia="Times New Roman" w:hint="default"/>
          <w:spacing w:val="-4"/>
        </w:rPr>
        <w:t>2019</w:t>
      </w:r>
      <w:r>
        <w:rPr>
          <w:spacing w:val="-4"/>
        </w:rPr>
        <w:t>年度、</w:t>
      </w:r>
      <w:r>
        <w:rPr>
          <w:rFonts w:ascii="Times New Roman" w:hAnsi="Times New Roman" w:cs="Times New Roman" w:eastAsia="Times New Roman" w:hint="default"/>
          <w:spacing w:val="-4"/>
        </w:rPr>
        <w:t>2020</w:t>
      </w:r>
      <w:r>
        <w:rPr>
          <w:spacing w:val="-4"/>
        </w:rPr>
        <w:t>年度、</w:t>
      </w:r>
      <w:r>
        <w:rPr>
          <w:rFonts w:ascii="Times New Roman" w:hAnsi="Times New Roman" w:cs="Times New Roman" w:eastAsia="Times New Roman" w:hint="default"/>
          <w:spacing w:val="-4"/>
        </w:rPr>
        <w:t>2021</w:t>
      </w:r>
      <w:r>
        <w:rPr>
          <w:spacing w:val="-4"/>
        </w:rPr>
        <w:t>年度享受高新技术企业减按</w:t>
      </w:r>
      <w:r>
        <w:rPr>
          <w:rFonts w:ascii="Times New Roman" w:hAnsi="Times New Roman" w:cs="Times New Roman" w:eastAsia="Times New Roman" w:hint="default"/>
          <w:spacing w:val="-4"/>
        </w:rPr>
        <w:t>15%</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税率征收企业所得税的税收优惠政策。</w:t>
      </w:r>
    </w:p>
    <w:p>
      <w:pPr>
        <w:spacing w:after="0" w:line="300"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left="657" w:right="1023"/>
        <w:jc w:val="left"/>
      </w:pPr>
      <w:r>
        <w:rPr/>
        <w:t>⑦上海润和 </w:t>
      </w:r>
      <w:r>
        <w:rPr>
          <w:spacing w:val="-2"/>
        </w:rPr>
        <w:t>根据《中华人民共和国企业所得税法》规定</w:t>
      </w:r>
      <w:r>
        <w:rPr>
          <w:rFonts w:ascii="Times New Roman" w:hAnsi="Times New Roman" w:cs="Times New Roman" w:eastAsia="Times New Roman" w:hint="default"/>
          <w:spacing w:val="-2"/>
        </w:rPr>
        <w:t>“</w:t>
      </w:r>
      <w:r>
        <w:rPr>
          <w:spacing w:val="-2"/>
        </w:rPr>
        <w:t>对国家需要重点扶持的高新技术企业，减按</w:t>
      </w:r>
      <w:r>
        <w:rPr>
          <w:rFonts w:ascii="Times New Roman" w:hAnsi="Times New Roman" w:cs="Times New Roman" w:eastAsia="Times New Roman" w:hint="default"/>
          <w:spacing w:val="-2"/>
        </w:rPr>
        <w:t>15%</w:t>
      </w:r>
      <w:r>
        <w:rPr>
          <w:spacing w:val="-2"/>
        </w:rPr>
        <w:t>的税率征收企业所得税</w:t>
      </w:r>
      <w:r>
        <w:rPr>
          <w:rFonts w:ascii="Times New Roman" w:hAnsi="Times New Roman" w:cs="Times New Roman" w:eastAsia="Times New Roman" w:hint="default"/>
          <w:spacing w:val="-2"/>
        </w:rPr>
        <w:t>”</w:t>
      </w:r>
      <w:r>
        <w:rPr>
          <w:spacing w:val="-2"/>
        </w:rPr>
        <w:t>。</w:t>
      </w:r>
    </w:p>
    <w:p>
      <w:pPr>
        <w:pStyle w:val="BodyText"/>
        <w:spacing w:line="300" w:lineRule="auto"/>
        <w:ind w:right="1123"/>
        <w:jc w:val="left"/>
      </w:pPr>
      <w:r>
        <w:rPr/>
        <w:t>上海润和于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日取得上海市科学技术委员会、上海市财政局、国家税务总局上海市税务局批准的《高新技术企业 证书》。上海润和</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2019</w:t>
      </w:r>
      <w:r>
        <w:rPr/>
        <w:t>年度、</w:t>
      </w:r>
      <w:r>
        <w:rPr>
          <w:rFonts w:ascii="Times New Roman" w:hAnsi="Times New Roman" w:cs="Times New Roman" w:eastAsia="Times New Roman" w:hint="default"/>
        </w:rPr>
        <w:t>2020</w:t>
      </w:r>
      <w:r>
        <w:rPr/>
        <w:t>年度享受高新技术企业减按</w:t>
      </w:r>
      <w:r>
        <w:rPr>
          <w:rFonts w:ascii="Times New Roman" w:hAnsi="Times New Roman" w:cs="Times New Roman" w:eastAsia="Times New Roman" w:hint="default"/>
        </w:rPr>
        <w:t>15%</w:t>
      </w:r>
      <w:r>
        <w:rPr/>
        <w:t>税率征收企业所得税的税收优惠政策。</w:t>
      </w:r>
    </w:p>
    <w:p>
      <w:pPr>
        <w:pStyle w:val="BodyText"/>
        <w:spacing w:line="340" w:lineRule="auto" w:before="13"/>
        <w:ind w:right="1842" w:firstLine="504"/>
        <w:jc w:val="left"/>
      </w:pPr>
      <w:r>
        <w:rPr/>
        <w:t>⑧除上述七家公司外，其他境内公司</w:t>
      </w:r>
      <w:r>
        <w:rPr>
          <w:rFonts w:ascii="Times New Roman" w:hAnsi="Times New Roman" w:cs="Times New Roman" w:eastAsia="Times New Roman" w:hint="default"/>
        </w:rPr>
        <w:t>2019</w:t>
      </w:r>
      <w:r>
        <w:rPr/>
        <w:t>年度均执行</w:t>
      </w:r>
      <w:r>
        <w:rPr>
          <w:rFonts w:ascii="Times New Roman" w:hAnsi="Times New Roman" w:cs="Times New Roman" w:eastAsia="Times New Roman" w:hint="default"/>
        </w:rPr>
        <w:t>25%</w:t>
      </w:r>
      <w:r>
        <w:rPr/>
        <w:t>的企业所得税税率。 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6"/>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657" w:right="0"/>
        <w:jc w:val="left"/>
      </w:pPr>
      <w:r>
        <w:rPr/>
        <w:t>境外公司主要税种及税率</w:t>
      </w:r>
    </w:p>
    <w:p>
      <w:pPr>
        <w:pStyle w:val="BodyText"/>
        <w:spacing w:line="300" w:lineRule="auto" w:before="76"/>
        <w:ind w:left="657" w:right="6109"/>
        <w:jc w:val="left"/>
      </w:pPr>
      <w:r>
        <w:rPr/>
        <w:t>（</w:t>
      </w:r>
      <w:r>
        <w:rPr>
          <w:rFonts w:ascii="Times New Roman" w:hAnsi="Times New Roman" w:cs="Times New Roman" w:eastAsia="Times New Roman" w:hint="default"/>
        </w:rPr>
        <w:t>1</w:t>
      </w:r>
      <w:r>
        <w:rPr/>
        <w:t>）东京润和 东京润和注册于日本东京，其主要税种、税率如下：</w:t>
      </w:r>
    </w:p>
    <w:tbl>
      <w:tblPr>
        <w:tblW w:w="0" w:type="auto"/>
        <w:jc w:val="left"/>
        <w:tblInd w:w="146" w:type="dxa"/>
        <w:tblLayout w:type="fixed"/>
        <w:tblCellMar>
          <w:top w:w="0" w:type="dxa"/>
          <w:left w:w="0" w:type="dxa"/>
          <w:bottom w:w="0" w:type="dxa"/>
          <w:right w:w="0" w:type="dxa"/>
        </w:tblCellMar>
        <w:tblLook w:val="01E0"/>
      </w:tblPr>
      <w:tblGrid>
        <w:gridCol w:w="2216"/>
        <w:gridCol w:w="2213"/>
        <w:gridCol w:w="2216"/>
        <w:gridCol w:w="2213"/>
      </w:tblGrid>
      <w:tr>
        <w:trPr>
          <w:trHeight w:val="350" w:hRule="exact"/>
        </w:trPr>
        <w:tc>
          <w:tcPr>
            <w:tcW w:w="2216"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575" w:right="0"/>
              <w:jc w:val="left"/>
              <w:rPr>
                <w:rFonts w:ascii="宋体" w:hAnsi="宋体" w:cs="宋体" w:eastAsia="宋体" w:hint="default"/>
                <w:sz w:val="21"/>
                <w:szCs w:val="21"/>
              </w:rPr>
            </w:pPr>
            <w:r>
              <w:rPr>
                <w:rFonts w:ascii="宋体" w:hAnsi="宋体" w:cs="宋体" w:eastAsia="宋体" w:hint="default"/>
                <w:sz w:val="21"/>
                <w:szCs w:val="21"/>
              </w:rPr>
              <w:t>税（费）种</w:t>
            </w:r>
          </w:p>
        </w:tc>
        <w:tc>
          <w:tcPr>
            <w:tcW w:w="2213"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216"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税（费）率</w:t>
            </w:r>
          </w:p>
        </w:tc>
        <w:tc>
          <w:tcPr>
            <w:tcW w:w="2213" w:type="dxa"/>
            <w:tcBorders>
              <w:top w:val="single" w:sz="6" w:space="0" w:color="000000"/>
              <w:left w:val="single" w:sz="6" w:space="0" w:color="000000"/>
              <w:bottom w:val="single" w:sz="8" w:space="0" w:color="000000"/>
              <w:right w:val="nil" w:sz="6" w:space="0" w:color="auto"/>
            </w:tcBorders>
          </w:tcPr>
          <w:p>
            <w:pPr>
              <w:pStyle w:val="TableParagraph"/>
              <w:spacing w:line="274" w:lineRule="exact"/>
              <w:ind w:right="893"/>
              <w:jc w:val="right"/>
              <w:rPr>
                <w:rFonts w:ascii="宋体" w:hAnsi="宋体" w:cs="宋体" w:eastAsia="宋体" w:hint="default"/>
                <w:sz w:val="21"/>
                <w:szCs w:val="21"/>
              </w:rPr>
            </w:pPr>
            <w:r>
              <w:rPr>
                <w:rFonts w:ascii="宋体" w:hAnsi="宋体" w:cs="宋体" w:eastAsia="宋体" w:hint="default"/>
                <w:sz w:val="21"/>
                <w:szCs w:val="21"/>
              </w:rPr>
              <w:t>备注</w:t>
            </w:r>
          </w:p>
        </w:tc>
      </w:tr>
      <w:tr>
        <w:trPr>
          <w:trHeight w:val="346" w:hRule="exact"/>
        </w:trPr>
        <w:tc>
          <w:tcPr>
            <w:tcW w:w="2216"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增值额</w:t>
            </w:r>
          </w:p>
        </w:tc>
        <w:tc>
          <w:tcPr>
            <w:tcW w:w="2216" w:type="dxa"/>
            <w:tcBorders>
              <w:top w:val="single" w:sz="8" w:space="0" w:color="000000"/>
              <w:left w:val="single" w:sz="6" w:space="0" w:color="000000"/>
              <w:bottom w:val="single" w:sz="8" w:space="0" w:color="000000"/>
              <w:right w:val="single" w:sz="6" w:space="0" w:color="000000"/>
            </w:tcBorders>
          </w:tcPr>
          <w:p>
            <w:pPr>
              <w:pStyle w:val="TableParagraph"/>
              <w:spacing w:line="283"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8%</w:t>
            </w:r>
          </w:p>
        </w:tc>
        <w:tc>
          <w:tcPr>
            <w:tcW w:w="2213" w:type="dxa"/>
            <w:tcBorders>
              <w:top w:val="single" w:sz="8" w:space="0" w:color="000000"/>
              <w:left w:val="single" w:sz="6" w:space="0" w:color="000000"/>
              <w:bottom w:val="single" w:sz="8" w:space="0" w:color="000000"/>
              <w:right w:val="nil" w:sz="6" w:space="0" w:color="auto"/>
            </w:tcBorders>
          </w:tcPr>
          <w:p>
            <w:pPr>
              <w:pStyle w:val="TableParagraph"/>
              <w:spacing w:line="283" w:lineRule="exact"/>
              <w:ind w:right="946"/>
              <w:jc w:val="righ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p>
        </w:tc>
      </w:tr>
      <w:tr>
        <w:trPr>
          <w:trHeight w:val="348" w:hRule="exact"/>
        </w:trPr>
        <w:tc>
          <w:tcPr>
            <w:tcW w:w="2216"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应纳税所得额</w:t>
            </w:r>
          </w:p>
        </w:tc>
        <w:tc>
          <w:tcPr>
            <w:tcW w:w="22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213" w:type="dxa"/>
            <w:tcBorders>
              <w:top w:val="single" w:sz="8" w:space="0" w:color="000000"/>
              <w:left w:val="single" w:sz="6" w:space="0" w:color="000000"/>
              <w:bottom w:val="single" w:sz="8" w:space="0" w:color="000000"/>
              <w:right w:val="nil" w:sz="6" w:space="0" w:color="auto"/>
            </w:tcBorders>
          </w:tcPr>
          <w:p>
            <w:pPr>
              <w:pStyle w:val="TableParagraph"/>
              <w:spacing w:line="285" w:lineRule="exact"/>
              <w:ind w:right="946"/>
              <w:jc w:val="righ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2</w:t>
            </w:r>
          </w:p>
        </w:tc>
      </w:tr>
    </w:tbl>
    <w:p>
      <w:pPr>
        <w:pStyle w:val="BodyText"/>
        <w:spacing w:line="300" w:lineRule="auto" w:before="31"/>
        <w:ind w:right="1116" w:firstLine="504"/>
        <w:jc w:val="left"/>
      </w:pPr>
      <w:r>
        <w:rPr>
          <w:spacing w:val="-2"/>
        </w:rPr>
        <w:t>注</w:t>
      </w:r>
      <w:r>
        <w:rPr>
          <w:rFonts w:ascii="Times New Roman" w:hAnsi="Times New Roman" w:cs="Times New Roman" w:eastAsia="Times New Roman" w:hint="default"/>
          <w:spacing w:val="-2"/>
        </w:rPr>
        <w:t>1</w:t>
      </w:r>
      <w:r>
        <w:rPr>
          <w:spacing w:val="-2"/>
        </w:rPr>
        <w:t>：消费税是对商品和劳务的增值额课征的一种税，征收实行单一比例税率，税率为</w:t>
      </w:r>
      <w:r>
        <w:rPr>
          <w:spacing w:val="-3"/>
        </w:rPr>
        <w:t> </w:t>
      </w:r>
      <w:r>
        <w:rPr>
          <w:rFonts w:ascii="Times New Roman" w:hAnsi="Times New Roman" w:cs="Times New Roman" w:eastAsia="Times New Roman" w:hint="default"/>
          <w:spacing w:val="-2"/>
        </w:rPr>
        <w:t>8%</w:t>
      </w:r>
      <w:r>
        <w:rPr>
          <w:spacing w:val="-2"/>
        </w:rPr>
        <w:t>，以纳税人的总销货额与总</w:t>
      </w:r>
      <w:r>
        <w:rPr/>
        <w:t> 进货额的差额为计税依据，类似于国内的增值税。</w:t>
      </w:r>
    </w:p>
    <w:p>
      <w:pPr>
        <w:pStyle w:val="BodyText"/>
        <w:spacing w:line="240" w:lineRule="auto" w:before="31"/>
        <w:ind w:left="657" w:right="0"/>
        <w:jc w:val="left"/>
      </w:pPr>
      <w:r>
        <w:rPr/>
        <w:t>注</w:t>
      </w:r>
      <w:r>
        <w:rPr>
          <w:rFonts w:ascii="Times New Roman" w:hAnsi="Times New Roman" w:cs="Times New Roman" w:eastAsia="Times New Roman" w:hint="default"/>
        </w:rPr>
        <w:t>2</w:t>
      </w:r>
      <w:r>
        <w:rPr/>
        <w:t>：企业所得税包括法人税、法人居民税、法人事业税、地方法人特别税。</w:t>
      </w:r>
    </w:p>
    <w:p>
      <w:pPr>
        <w:pStyle w:val="BodyText"/>
        <w:spacing w:line="309" w:lineRule="auto" w:before="63"/>
        <w:ind w:left="657" w:right="4849"/>
        <w:jc w:val="left"/>
      </w:pPr>
      <w:r>
        <w:rPr/>
        <w:t>（</w:t>
      </w:r>
      <w:r>
        <w:rPr>
          <w:rFonts w:ascii="Times New Roman" w:hAnsi="Times New Roman" w:cs="Times New Roman" w:eastAsia="Times New Roman" w:hint="default"/>
        </w:rPr>
        <w:t>2</w:t>
      </w:r>
      <w:r>
        <w:rPr/>
        <w:t>）波士顿润和 波士顿润和注册于美国特拉华州，适用美国联邦企业累进所得税率。 其他地方税按照有关规定计算缴纳。</w:t>
      </w:r>
    </w:p>
    <w:p>
      <w:pPr>
        <w:pStyle w:val="BodyText"/>
        <w:spacing w:line="240" w:lineRule="auto" w:before="24"/>
        <w:ind w:left="657" w:right="0"/>
        <w:jc w:val="left"/>
      </w:pPr>
      <w:r>
        <w:rPr/>
        <w:t>（</w:t>
      </w:r>
      <w:r>
        <w:rPr>
          <w:rFonts w:ascii="Times New Roman" w:hAnsi="Times New Roman" w:cs="Times New Roman" w:eastAsia="Times New Roman" w:hint="default"/>
        </w:rPr>
        <w:t>3</w:t>
      </w:r>
      <w:r>
        <w:rPr/>
        <w:t>）新加坡润和</w:t>
      </w:r>
    </w:p>
    <w:p>
      <w:pPr>
        <w:spacing w:line="240" w:lineRule="auto" w:before="2"/>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2216"/>
        <w:gridCol w:w="2213"/>
        <w:gridCol w:w="2216"/>
        <w:gridCol w:w="2213"/>
      </w:tblGrid>
      <w:tr>
        <w:trPr>
          <w:trHeight w:val="351" w:hRule="exact"/>
        </w:trPr>
        <w:tc>
          <w:tcPr>
            <w:tcW w:w="221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ind w:left="575" w:right="0"/>
              <w:jc w:val="left"/>
              <w:rPr>
                <w:rFonts w:ascii="宋体" w:hAnsi="宋体" w:cs="宋体" w:eastAsia="宋体" w:hint="default"/>
                <w:sz w:val="21"/>
                <w:szCs w:val="21"/>
              </w:rPr>
            </w:pPr>
            <w:r>
              <w:rPr>
                <w:rFonts w:ascii="宋体" w:hAnsi="宋体" w:cs="宋体" w:eastAsia="宋体" w:hint="default"/>
                <w:sz w:val="21"/>
                <w:szCs w:val="21"/>
              </w:rPr>
              <w:t>税（费）种</w:t>
            </w:r>
          </w:p>
        </w:tc>
        <w:tc>
          <w:tcPr>
            <w:tcW w:w="221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21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税（费）率</w:t>
            </w:r>
          </w:p>
        </w:tc>
        <w:tc>
          <w:tcPr>
            <w:tcW w:w="2213" w:type="dxa"/>
            <w:tcBorders>
              <w:top w:val="single" w:sz="6" w:space="0" w:color="000000"/>
              <w:left w:val="single" w:sz="6" w:space="0" w:color="000000"/>
              <w:bottom w:val="single" w:sz="8" w:space="0" w:color="000000"/>
              <w:right w:val="nil" w:sz="6" w:space="0" w:color="auto"/>
            </w:tcBorders>
          </w:tcPr>
          <w:p>
            <w:pPr>
              <w:pStyle w:val="TableParagraph"/>
              <w:spacing w:line="240" w:lineRule="auto"/>
              <w:ind w:right="893"/>
              <w:jc w:val="right"/>
              <w:rPr>
                <w:rFonts w:ascii="宋体" w:hAnsi="宋体" w:cs="宋体" w:eastAsia="宋体" w:hint="default"/>
                <w:sz w:val="21"/>
                <w:szCs w:val="21"/>
              </w:rPr>
            </w:pPr>
            <w:r>
              <w:rPr>
                <w:rFonts w:ascii="宋体" w:hAnsi="宋体" w:cs="宋体" w:eastAsia="宋体" w:hint="default"/>
                <w:sz w:val="21"/>
                <w:szCs w:val="21"/>
              </w:rPr>
              <w:t>备注</w:t>
            </w:r>
          </w:p>
        </w:tc>
      </w:tr>
      <w:tr>
        <w:trPr>
          <w:trHeight w:val="346" w:hRule="exact"/>
        </w:trPr>
        <w:tc>
          <w:tcPr>
            <w:tcW w:w="2216"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增值额</w:t>
            </w:r>
          </w:p>
        </w:tc>
        <w:tc>
          <w:tcPr>
            <w:tcW w:w="22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7%</w:t>
            </w:r>
          </w:p>
        </w:tc>
        <w:tc>
          <w:tcPr>
            <w:tcW w:w="2213" w:type="dxa"/>
            <w:tcBorders>
              <w:top w:val="single" w:sz="8" w:space="0" w:color="000000"/>
              <w:left w:val="single" w:sz="6" w:space="0" w:color="000000"/>
              <w:bottom w:val="single" w:sz="8" w:space="0" w:color="000000"/>
              <w:right w:val="nil" w:sz="6" w:space="0" w:color="auto"/>
            </w:tcBorders>
          </w:tcPr>
          <w:p>
            <w:pPr>
              <w:pStyle w:val="TableParagraph"/>
              <w:spacing w:line="283" w:lineRule="exact"/>
              <w:ind w:right="946"/>
              <w:jc w:val="righ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p>
        </w:tc>
      </w:tr>
      <w:tr>
        <w:trPr>
          <w:trHeight w:val="348" w:hRule="exact"/>
        </w:trPr>
        <w:tc>
          <w:tcPr>
            <w:tcW w:w="2216"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213"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应纳税所得额</w:t>
            </w:r>
          </w:p>
        </w:tc>
        <w:tc>
          <w:tcPr>
            <w:tcW w:w="22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4" w:right="0"/>
              <w:jc w:val="center"/>
              <w:rPr>
                <w:rFonts w:ascii="Times New Roman" w:hAnsi="Times New Roman" w:cs="Times New Roman" w:eastAsia="Times New Roman" w:hint="default"/>
                <w:sz w:val="21"/>
                <w:szCs w:val="21"/>
              </w:rPr>
            </w:pPr>
            <w:r>
              <w:rPr>
                <w:rFonts w:ascii="Times New Roman"/>
                <w:sz w:val="21"/>
              </w:rPr>
              <w:t>17%</w:t>
            </w:r>
          </w:p>
        </w:tc>
        <w:tc>
          <w:tcPr>
            <w:tcW w:w="2213" w:type="dxa"/>
            <w:tcBorders>
              <w:top w:val="single" w:sz="8" w:space="0" w:color="000000"/>
              <w:left w:val="single" w:sz="6" w:space="0" w:color="000000"/>
              <w:bottom w:val="single" w:sz="8" w:space="0" w:color="000000"/>
              <w:right w:val="nil" w:sz="6" w:space="0" w:color="auto"/>
            </w:tcBorders>
          </w:tcPr>
          <w:p>
            <w:pPr/>
          </w:p>
        </w:tc>
      </w:tr>
    </w:tbl>
    <w:p>
      <w:pPr>
        <w:pStyle w:val="BodyText"/>
        <w:spacing w:line="307" w:lineRule="auto" w:before="8"/>
        <w:ind w:right="1131" w:firstLine="504"/>
        <w:jc w:val="both"/>
      </w:pPr>
      <w:r>
        <w:rPr/>
        <w:t>注</w:t>
      </w:r>
      <w:r>
        <w:rPr>
          <w:rFonts w:ascii="Times New Roman" w:hAnsi="Times New Roman" w:cs="Times New Roman" w:eastAsia="Times New Roman" w:hint="default"/>
        </w:rPr>
        <w:t>1</w:t>
      </w:r>
      <w:r>
        <w:rPr/>
        <w:t>：消费税</w:t>
      </w:r>
      <w:r>
        <w:rPr>
          <w:rFonts w:ascii="Times New Roman" w:hAnsi="Times New Roman" w:cs="Times New Roman" w:eastAsia="Times New Roman" w:hint="default"/>
        </w:rPr>
        <w:t>(Goods</w:t>
      </w:r>
      <w:r>
        <w:rPr>
          <w:rFonts w:ascii="Times New Roman" w:hAnsi="Times New Roman" w:cs="Times New Roman" w:eastAsia="Times New Roman" w:hint="default"/>
          <w:spacing w:val="-14"/>
        </w:rPr>
        <w:t> </w:t>
      </w:r>
      <w:r>
        <w:rPr>
          <w:rFonts w:ascii="Times New Roman" w:hAnsi="Times New Roman" w:cs="Times New Roman" w:eastAsia="Times New Roman" w:hint="default"/>
        </w:rPr>
        <w:t>and</w:t>
      </w:r>
      <w:r>
        <w:rPr>
          <w:rFonts w:ascii="Times New Roman" w:hAnsi="Times New Roman" w:cs="Times New Roman" w:eastAsia="Times New Roman" w:hint="default"/>
          <w:spacing w:val="-12"/>
        </w:rPr>
        <w:t> </w:t>
      </w:r>
      <w:r>
        <w:rPr>
          <w:rFonts w:ascii="Times New Roman" w:hAnsi="Times New Roman" w:cs="Times New Roman" w:eastAsia="Times New Roman" w:hint="default"/>
        </w:rPr>
        <w:t>Services</w:t>
      </w:r>
      <w:r>
        <w:rPr>
          <w:rFonts w:ascii="Times New Roman" w:hAnsi="Times New Roman" w:cs="Times New Roman" w:eastAsia="Times New Roman" w:hint="default"/>
          <w:spacing w:val="-11"/>
        </w:rPr>
        <w:t> </w:t>
      </w:r>
      <w:r>
        <w:rPr>
          <w:rFonts w:ascii="Times New Roman" w:hAnsi="Times New Roman" w:cs="Times New Roman" w:eastAsia="Times New Roman" w:hint="default"/>
        </w:rPr>
        <w:t>Tax)</w:t>
      </w:r>
      <w:r>
        <w:rPr/>
        <w:t>是对进口货物和所有在新加坡提供货物和劳务服务征收的一种税，税负由最终的 消费者负担，从事提供货物和劳务服务且年营业额在</w:t>
      </w:r>
      <w:r>
        <w:rPr>
          <w:rFonts w:ascii="Times New Roman" w:hAnsi="Times New Roman" w:cs="Times New Roman" w:eastAsia="Times New Roman" w:hint="default"/>
        </w:rPr>
        <w:t>100</w:t>
      </w:r>
      <w:r>
        <w:rPr/>
        <w:t>万新元以上的纳税人，应进行消费税的纳税登记，进行了消费税登 </w:t>
      </w:r>
      <w:r>
        <w:rPr>
          <w:spacing w:val="-2"/>
        </w:rPr>
        <w:t>记的纳税人，其消费税应纳税额为销项税额减去购进货物或服务支付的进项税额后的差额，类似于国内的增值税，对于出口</w:t>
      </w:r>
      <w:r>
        <w:rPr>
          <w:spacing w:val="-66"/>
        </w:rPr>
        <w:t> </w:t>
      </w:r>
      <w:r>
        <w:rPr>
          <w:spacing w:val="-66"/>
        </w:rPr>
      </w:r>
      <w:r>
        <w:rPr/>
        <w:t>货物和服务的消费税税率为零，新加坡润和目前所从事的软件外包业务属于出口服务，免征消费税。</w:t>
      </w:r>
    </w:p>
    <w:p>
      <w:pPr>
        <w:pStyle w:val="BodyText"/>
        <w:spacing w:line="300" w:lineRule="auto" w:before="26"/>
        <w:ind w:left="657" w:right="6274"/>
        <w:jc w:val="left"/>
      </w:pPr>
      <w:r>
        <w:rPr/>
        <w:t>（</w:t>
      </w:r>
      <w:r>
        <w:rPr>
          <w:rFonts w:ascii="Times New Roman" w:hAnsi="Times New Roman" w:cs="Times New Roman" w:eastAsia="Times New Roman" w:hint="default"/>
        </w:rPr>
        <w:t>4</w:t>
      </w:r>
      <w:r>
        <w:rPr/>
        <w:t>）香港润和 香港润和注册于中国香港，利得税税率为</w:t>
      </w:r>
      <w:r>
        <w:rPr>
          <w:rFonts w:ascii="Times New Roman" w:hAnsi="Times New Roman" w:cs="Times New Roman" w:eastAsia="Times New Roman" w:hint="default"/>
        </w:rPr>
        <w:t>16.50%</w:t>
      </w:r>
      <w:r>
        <w:rPr/>
        <w:t>。</w:t>
      </w:r>
    </w:p>
    <w:p>
      <w:pPr>
        <w:spacing w:line="240" w:lineRule="auto" w:before="7"/>
        <w:rPr>
          <w:rFonts w:ascii="宋体" w:hAnsi="宋体" w:cs="宋体" w:eastAsia="宋体" w:hint="default"/>
          <w:sz w:val="14"/>
          <w:szCs w:val="14"/>
        </w:rPr>
      </w:pPr>
    </w:p>
    <w:p>
      <w:pPr>
        <w:pStyle w:val="Heading2"/>
        <w:spacing w:line="240" w:lineRule="auto"/>
        <w:ind w:right="0"/>
        <w:jc w:val="left"/>
        <w:rPr>
          <w:b w:val="0"/>
          <w:bCs w:val="0"/>
        </w:rPr>
      </w:pPr>
      <w:r>
        <w:rPr/>
        <w:t>七、合并财务报表项目注释</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144,664.47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78,054.28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747,884,377.80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986,473,500.37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12,572,507.00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266,000,272.04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760,601,549.27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1,252,551,826.69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62,262,146.77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67,179,443.29</w:t>
            </w:r>
          </w:p>
        </w:tc>
      </w:tr>
    </w:tbl>
    <w:p>
      <w:pPr>
        <w:pStyle w:val="BodyText"/>
        <w:spacing w:line="240" w:lineRule="auto" w:before="49"/>
        <w:ind w:right="0"/>
        <w:jc w:val="left"/>
      </w:pPr>
      <w:r>
        <w:rPr/>
        <w:t>其他说明</w:t>
      </w:r>
    </w:p>
    <w:p>
      <w:pPr>
        <w:pStyle w:val="BodyText"/>
        <w:spacing w:line="300" w:lineRule="auto" w:before="115"/>
        <w:ind w:right="0" w:firstLine="504"/>
        <w:jc w:val="left"/>
      </w:pPr>
      <w:r>
        <w:rPr>
          <w:spacing w:val="-1"/>
        </w:rPr>
        <w:t>（</w:t>
      </w:r>
      <w:r>
        <w:rPr>
          <w:rFonts w:ascii="Times New Roman" w:hAnsi="Times New Roman" w:cs="Times New Roman" w:eastAsia="Times New Roman" w:hint="default"/>
          <w:spacing w:val="-1"/>
        </w:rPr>
        <w:t>1</w:t>
      </w:r>
      <w:r>
        <w:rPr>
          <w:spacing w:val="-1"/>
        </w:rPr>
        <w:t>）本期末其他货币资金中</w:t>
      </w:r>
      <w:r>
        <w:rPr>
          <w:rFonts w:ascii="Times New Roman" w:hAnsi="Times New Roman" w:cs="Times New Roman" w:eastAsia="Times New Roman" w:hint="default"/>
          <w:spacing w:val="-1"/>
        </w:rPr>
        <w:t>8,917,040.82</w:t>
      </w:r>
      <w:r>
        <w:rPr>
          <w:spacing w:val="-1"/>
        </w:rPr>
        <w:t>元系本公司在途货币资金；</w:t>
      </w:r>
      <w:r>
        <w:rPr>
          <w:rFonts w:ascii="Times New Roman" w:hAnsi="Times New Roman" w:cs="Times New Roman" w:eastAsia="Times New Roman" w:hint="default"/>
          <w:spacing w:val="-1"/>
        </w:rPr>
        <w:t>3,655,466.18</w:t>
      </w:r>
      <w:r>
        <w:rPr>
          <w:spacing w:val="-1"/>
        </w:rPr>
        <w:t>元系本公司及子公司为开具保函存入</w:t>
      </w:r>
      <w:r>
        <w:rPr/>
        <w:t> 的保证金，除此之外，货币资金中无其他因抵押或冻结等对使用有限制、有潜在回收风险的款项；</w:t>
      </w:r>
    </w:p>
    <w:p>
      <w:pPr>
        <w:pStyle w:val="BodyText"/>
        <w:spacing w:line="300" w:lineRule="auto" w:before="31"/>
        <w:ind w:right="1144" w:firstLine="504"/>
        <w:jc w:val="left"/>
      </w:pPr>
      <w:r>
        <w:rPr/>
        <w:t>（</w:t>
      </w:r>
      <w:r>
        <w:rPr>
          <w:rFonts w:ascii="Times New Roman" w:hAnsi="Times New Roman" w:cs="Times New Roman" w:eastAsia="Times New Roman" w:hint="default"/>
        </w:rPr>
        <w:t>2</w:t>
      </w:r>
      <w:r>
        <w:rPr/>
        <w:t>）货币资金期末余额较期初余额减少</w:t>
      </w:r>
      <w:r>
        <w:rPr>
          <w:rFonts w:ascii="Times New Roman" w:hAnsi="Times New Roman" w:cs="Times New Roman" w:eastAsia="Times New Roman" w:hint="default"/>
        </w:rPr>
        <w:t>39.28%</w:t>
      </w:r>
      <w:r>
        <w:rPr/>
        <w:t>，主要原因是一方面公司为提高暂时闲置货币资金的使用效率，购买 的银行理财产品增加，另一方面本期公司加大对外投资，投资支付的现金增加。</w:t>
      </w: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270,050,000.00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金融机构理财产品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270,050,000.00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270,050,000.00</w:t>
            </w:r>
          </w:p>
        </w:tc>
      </w:tr>
    </w:tbl>
    <w:p>
      <w:pPr>
        <w:pStyle w:val="BodyText"/>
        <w:spacing w:line="240" w:lineRule="auto" w:before="49"/>
        <w:ind w:right="0"/>
        <w:jc w:val="left"/>
      </w:pPr>
      <w:r>
        <w:rPr/>
        <w:t>其他说明：</w:t>
      </w:r>
    </w:p>
    <w:p>
      <w:pPr>
        <w:pStyle w:val="BodyText"/>
        <w:spacing w:line="300" w:lineRule="auto" w:before="117"/>
        <w:ind w:right="1199" w:firstLine="504"/>
        <w:jc w:val="left"/>
      </w:pPr>
      <w:r>
        <w:rPr/>
        <w:t>（</w:t>
      </w:r>
      <w:r>
        <w:rPr>
          <w:rFonts w:ascii="Times New Roman" w:hAnsi="Times New Roman" w:cs="Times New Roman" w:eastAsia="Times New Roman" w:hint="default"/>
        </w:rPr>
        <w:t>1</w:t>
      </w:r>
      <w:r>
        <w:rPr/>
        <w:t>）公司自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日执行新金融工具准则，将原在</w:t>
      </w:r>
      <w:r>
        <w:rPr>
          <w:rFonts w:ascii="Times New Roman" w:hAnsi="Times New Roman" w:cs="Times New Roman" w:eastAsia="Times New Roman" w:hint="default"/>
        </w:rPr>
        <w:t>“</w:t>
      </w:r>
      <w:r>
        <w:rPr/>
        <w:t>其他流动资产</w:t>
      </w:r>
      <w:r>
        <w:rPr>
          <w:rFonts w:ascii="Times New Roman" w:hAnsi="Times New Roman" w:cs="Times New Roman" w:eastAsia="Times New Roman" w:hint="default"/>
        </w:rPr>
        <w:t>”</w:t>
      </w:r>
      <w:r>
        <w:rPr/>
        <w:t>中列报的金融资产调整至</w:t>
      </w:r>
      <w:r>
        <w:rPr>
          <w:rFonts w:ascii="Times New Roman" w:hAnsi="Times New Roman" w:cs="Times New Roman" w:eastAsia="Times New Roman" w:hint="default"/>
        </w:rPr>
        <w:t>“</w:t>
      </w:r>
      <w:r>
        <w:rPr/>
        <w:t>交易性金融资产</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列报。</w:t>
      </w:r>
    </w:p>
    <w:p>
      <w:pPr>
        <w:pStyle w:val="BodyText"/>
        <w:spacing w:line="240" w:lineRule="auto" w:before="32"/>
        <w:ind w:left="657" w:right="0"/>
        <w:jc w:val="left"/>
      </w:pPr>
      <w:r>
        <w:rPr/>
        <w:t>（</w:t>
      </w:r>
      <w:r>
        <w:rPr>
          <w:rFonts w:ascii="Times New Roman" w:hAnsi="Times New Roman" w:cs="Times New Roman" w:eastAsia="Times New Roman" w:hint="default"/>
        </w:rPr>
        <w:t>2</w:t>
      </w:r>
      <w:r>
        <w:rPr/>
        <w:t>）交易性金融资产期末余额较期初余额增长</w:t>
      </w:r>
      <w:r>
        <w:rPr>
          <w:rFonts w:ascii="Times New Roman" w:hAnsi="Times New Roman" w:cs="Times New Roman" w:eastAsia="Times New Roman" w:hint="default"/>
        </w:rPr>
        <w:t>73.30%</w:t>
      </w:r>
      <w:r>
        <w:rPr/>
        <w:t>，主要原因是本期购买金融机构理财产品增加。</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18,418,420.20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8,034,041.95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18,418,420.20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8,034,041.95</w:t>
            </w:r>
          </w:p>
        </w:tc>
      </w:tr>
    </w:tbl>
    <w:p>
      <w:pPr>
        <w:pStyle w:val="BodyText"/>
        <w:spacing w:line="240" w:lineRule="auto" w:before="49"/>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3"/>
        <w:gridCol w:w="1527"/>
        <w:gridCol w:w="1524"/>
        <w:gridCol w:w="790"/>
        <w:gridCol w:w="1573"/>
        <w:gridCol w:w="1728"/>
        <w:gridCol w:w="792"/>
      </w:tblGrid>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3"/>
        <w:gridCol w:w="761"/>
        <w:gridCol w:w="764"/>
        <w:gridCol w:w="790"/>
        <w:gridCol w:w="775"/>
        <w:gridCol w:w="797"/>
        <w:gridCol w:w="931"/>
        <w:gridCol w:w="797"/>
        <w:gridCol w:w="792"/>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5"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878"/>
              <w:jc w:val="righ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按组合计提坏账准 备的应收票据</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18,418,4</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20.20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18,418,42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0.20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8,034,041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8,034,041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878"/>
              <w:jc w:val="righ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应收票据组合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银 行承兑汇票</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18,418,4</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20.20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18,418,42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0.20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8,034,041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8,034,041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.95</w:t>
            </w:r>
          </w:p>
        </w:tc>
      </w:tr>
      <w:tr>
        <w:trPr>
          <w:trHeight w:val="71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18,418,4</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20.20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18,418,42</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0.20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8,034,041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8,034,041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.95</w:t>
            </w:r>
          </w:p>
        </w:tc>
      </w:tr>
    </w:tbl>
    <w:p>
      <w:pPr>
        <w:pStyle w:val="BodyText"/>
        <w:spacing w:line="240" w:lineRule="auto" w:before="49"/>
        <w:ind w:right="0"/>
        <w:jc w:val="left"/>
      </w:pPr>
      <w:r>
        <w:rPr/>
        <w:t>按单项计提坏账准备：</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0"/>
        <w:jc w:val="left"/>
      </w:pPr>
      <w:r>
        <w:rPr/>
        <w:t>按组合计提坏账准备：应收票据组合 </w:t>
      </w: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银行承兑汇票</w:t>
      </w:r>
    </w:p>
    <w:p>
      <w:pPr>
        <w:pStyle w:val="BodyText"/>
        <w:spacing w:line="240" w:lineRule="auto" w:before="103"/>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2"/>
              <w:jc w:val="left"/>
              <w:rPr>
                <w:rFonts w:ascii="宋体" w:hAnsi="宋体" w:cs="宋体" w:eastAsia="宋体" w:hint="default"/>
                <w:sz w:val="18"/>
                <w:szCs w:val="18"/>
              </w:rPr>
            </w:pPr>
            <w:r>
              <w:rPr>
                <w:rFonts w:ascii="宋体" w:hAnsi="宋体" w:cs="宋体" w:eastAsia="宋体" w:hint="default"/>
                <w:sz w:val="18"/>
                <w:szCs w:val="18"/>
              </w:rPr>
              <w:t>应收票据组合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银行承兑汇 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18,418,420.20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18,418,420.20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350" w:lineRule="auto" w:before="49"/>
        <w:ind w:right="-18"/>
        <w:jc w:val="left"/>
      </w:pPr>
      <w:r>
        <w:rPr/>
        <w:t>确定该组合依据的说明： 详见附注五、</w:t>
      </w:r>
      <w:r>
        <w:rPr>
          <w:rFonts w:ascii="Times New Roman" w:hAnsi="Times New Roman" w:cs="Times New Roman" w:eastAsia="Times New Roman" w:hint="default"/>
        </w:rPr>
        <w:t>10</w:t>
      </w:r>
      <w:r>
        <w:rPr/>
        <w:t>、金融工具。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496" w:space="6333"/>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49"/>
        <w:ind w:right="1753"/>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2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本期计提坏账准备情况：</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其中本期坏账准备收回或转回金额重要的：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4"/>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0"/>
        <w:jc w:val="left"/>
      </w:pPr>
      <w:r>
        <w:rPr/>
        <w:t>其中重要的应收票据核销情况：</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应收票据核销说明：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3"/>
        <w:gridCol w:w="764"/>
        <w:gridCol w:w="763"/>
        <w:gridCol w:w="761"/>
        <w:gridCol w:w="764"/>
        <w:gridCol w:w="790"/>
        <w:gridCol w:w="775"/>
        <w:gridCol w:w="797"/>
        <w:gridCol w:w="799"/>
        <w:gridCol w:w="790"/>
        <w:gridCol w:w="931"/>
      </w:tblGrid>
      <w:tr>
        <w:trPr>
          <w:trHeight w:val="396"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3"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5"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58"/>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143,380,</w:t>
            </w:r>
          </w:p>
          <w:p>
            <w:pPr>
              <w:pStyle w:val="TableParagraph"/>
              <w:spacing w:line="240" w:lineRule="auto" w:before="102"/>
              <w:ind w:left="215" w:right="0"/>
              <w:jc w:val="center"/>
              <w:rPr>
                <w:rFonts w:ascii="Times New Roman" w:hAnsi="Times New Roman" w:cs="Times New Roman" w:eastAsia="Times New Roman" w:hint="default"/>
                <w:sz w:val="18"/>
                <w:szCs w:val="18"/>
              </w:rPr>
            </w:pPr>
            <w:r>
              <w:rPr>
                <w:rFonts w:ascii="Times New Roman"/>
                <w:sz w:val="18"/>
              </w:rPr>
              <w:t>975.43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9.82%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143,273,</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008.36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99.92%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107,967.0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3"/>
        <w:gridCol w:w="761"/>
        <w:gridCol w:w="764"/>
        <w:gridCol w:w="790"/>
        <w:gridCol w:w="775"/>
        <w:gridCol w:w="797"/>
        <w:gridCol w:w="799"/>
        <w:gridCol w:w="790"/>
        <w:gridCol w:w="931"/>
      </w:tblGrid>
      <w:tr>
        <w:trPr>
          <w:trHeight w:val="401"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单项金额重大并单 项计提坏账准备的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140,000,</w:t>
            </w:r>
          </w:p>
          <w:p>
            <w:pPr>
              <w:pStyle w:val="TableParagraph"/>
              <w:spacing w:line="240" w:lineRule="auto" w:before="102"/>
              <w:ind w:left="215" w:right="0"/>
              <w:jc w:val="center"/>
              <w:rPr>
                <w:rFonts w:ascii="Times New Roman" w:hAnsi="Times New Roman" w:cs="Times New Roman" w:eastAsia="Times New Roman" w:hint="default"/>
                <w:sz w:val="18"/>
                <w:szCs w:val="18"/>
              </w:rPr>
            </w:pPr>
            <w:r>
              <w:rPr>
                <w:rFonts w:ascii="Times New Roman"/>
                <w:sz w:val="18"/>
              </w:rPr>
              <w:t>657.45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140,000,</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657.45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单项金额不重大并 单项计提坏账准备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3,380,31</w:t>
            </w:r>
          </w:p>
          <w:p>
            <w:pPr>
              <w:pStyle w:val="TableParagraph"/>
              <w:spacing w:line="240" w:lineRule="auto" w:before="105"/>
              <w:ind w:left="418" w:right="0"/>
              <w:jc w:val="left"/>
              <w:rPr>
                <w:rFonts w:ascii="Times New Roman" w:hAnsi="Times New Roman" w:cs="Times New Roman" w:eastAsia="Times New Roman" w:hint="default"/>
                <w:sz w:val="18"/>
                <w:szCs w:val="18"/>
              </w:rPr>
            </w:pPr>
            <w:r>
              <w:rPr>
                <w:rFonts w:ascii="Times New Roman"/>
                <w:sz w:val="18"/>
              </w:rPr>
              <w:t>7.98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3,272,35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0.91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96.81%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107,967.0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5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1,316,99</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0,805.39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90.18%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144,558,</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766.70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10.98%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1,172,432</w:t>
            </w:r>
          </w:p>
          <w:p>
            <w:pPr>
              <w:pStyle w:val="TableParagraph"/>
              <w:spacing w:line="240" w:lineRule="auto" w:before="102"/>
              <w:ind w:left="192" w:right="0"/>
              <w:jc w:val="center"/>
              <w:rPr>
                <w:rFonts w:ascii="Times New Roman" w:hAnsi="Times New Roman" w:cs="Times New Roman" w:eastAsia="Times New Roman" w:hint="default"/>
                <w:sz w:val="18"/>
                <w:szCs w:val="18"/>
              </w:rPr>
            </w:pPr>
            <w:r>
              <w:rPr>
                <w:rFonts w:ascii="Times New Roman"/>
                <w:sz w:val="18"/>
              </w:rPr>
              <w:t>,038.69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1,300,605</w:t>
            </w:r>
          </w:p>
          <w:p>
            <w:pPr>
              <w:pStyle w:val="TableParagraph"/>
              <w:spacing w:line="240" w:lineRule="auto" w:before="102"/>
              <w:ind w:left="182" w:right="0"/>
              <w:jc w:val="center"/>
              <w:rPr>
                <w:rFonts w:ascii="Times New Roman" w:hAnsi="Times New Roman" w:cs="Times New Roman" w:eastAsia="Times New Roman" w:hint="default"/>
                <w:sz w:val="18"/>
                <w:szCs w:val="18"/>
              </w:rPr>
            </w:pPr>
            <w:r>
              <w:rPr>
                <w:rFonts w:ascii="Times New Roman"/>
                <w:sz w:val="18"/>
              </w:rPr>
              <w:t>,140.16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91,270,49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1,209,334,6</w:t>
            </w:r>
          </w:p>
          <w:p>
            <w:pPr>
              <w:pStyle w:val="TableParagraph"/>
              <w:spacing w:line="240" w:lineRule="auto" w:before="102"/>
              <w:ind w:left="494" w:right="0"/>
              <w:jc w:val="left"/>
              <w:rPr>
                <w:rFonts w:ascii="Times New Roman" w:hAnsi="Times New Roman" w:cs="Times New Roman" w:eastAsia="Times New Roman" w:hint="default"/>
                <w:sz w:val="18"/>
                <w:szCs w:val="18"/>
              </w:rPr>
            </w:pPr>
            <w:r>
              <w:rPr>
                <w:rFonts w:ascii="Times New Roman"/>
                <w:sz w:val="18"/>
              </w:rPr>
              <w:t>47.06</w:t>
            </w:r>
          </w:p>
        </w:tc>
      </w:tr>
      <w:tr>
        <w:trPr>
          <w:trHeight w:val="401"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2"/>
              <w:ind w:left="24" w:right="21"/>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：应收联创智 融资产组客户</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9" w:right="0"/>
              <w:jc w:val="center"/>
              <w:rPr>
                <w:rFonts w:ascii="Times New Roman" w:hAnsi="Times New Roman" w:cs="Times New Roman" w:eastAsia="Times New Roman" w:hint="default"/>
                <w:sz w:val="18"/>
                <w:szCs w:val="18"/>
              </w:rPr>
            </w:pPr>
            <w:r>
              <w:rPr>
                <w:rFonts w:ascii="Times New Roman"/>
                <w:sz w:val="18"/>
              </w:rPr>
              <w:t>412,836,</w:t>
            </w:r>
          </w:p>
          <w:p>
            <w:pPr>
              <w:pStyle w:val="TableParagraph"/>
              <w:spacing w:line="240" w:lineRule="auto" w:before="102"/>
              <w:ind w:left="215" w:right="0"/>
              <w:jc w:val="center"/>
              <w:rPr>
                <w:rFonts w:ascii="Times New Roman" w:hAnsi="Times New Roman" w:cs="Times New Roman" w:eastAsia="Times New Roman" w:hint="default"/>
                <w:sz w:val="18"/>
                <w:szCs w:val="18"/>
              </w:rPr>
            </w:pPr>
            <w:r>
              <w:rPr>
                <w:rFonts w:ascii="Times New Roman"/>
                <w:sz w:val="18"/>
              </w:rPr>
              <w:t>244.27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28.27%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8" w:right="0"/>
              <w:jc w:val="left"/>
              <w:rPr>
                <w:rFonts w:ascii="Times New Roman" w:hAnsi="Times New Roman" w:cs="Times New Roman" w:eastAsia="Times New Roman" w:hint="default"/>
                <w:sz w:val="18"/>
                <w:szCs w:val="18"/>
              </w:rPr>
            </w:pPr>
            <w:r>
              <w:rPr>
                <w:rFonts w:ascii="Times New Roman"/>
                <w:sz w:val="18"/>
              </w:rPr>
              <w:t>82,496,5</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50.41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19.98%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 w:right="0"/>
              <w:jc w:val="left"/>
              <w:rPr>
                <w:rFonts w:ascii="Times New Roman" w:hAnsi="Times New Roman" w:cs="Times New Roman" w:eastAsia="Times New Roman" w:hint="default"/>
                <w:sz w:val="18"/>
                <w:szCs w:val="18"/>
              </w:rPr>
            </w:pPr>
            <w:r>
              <w:rPr>
                <w:rFonts w:ascii="Times New Roman"/>
                <w:sz w:val="18"/>
              </w:rPr>
              <w:t>330,339,6</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93.86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546,489,0</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01.80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42.02%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43,423,70</w:t>
            </w:r>
          </w:p>
          <w:p>
            <w:pPr>
              <w:pStyle w:val="TableParagraph"/>
              <w:spacing w:line="240" w:lineRule="auto" w:before="102"/>
              <w:ind w:left="458" w:right="0"/>
              <w:jc w:val="left"/>
              <w:rPr>
                <w:rFonts w:ascii="Times New Roman" w:hAnsi="Times New Roman" w:cs="Times New Roman" w:eastAsia="Times New Roman" w:hint="default"/>
                <w:sz w:val="18"/>
                <w:szCs w:val="18"/>
              </w:rPr>
            </w:pPr>
            <w:r>
              <w:rPr>
                <w:rFonts w:ascii="Times New Roman"/>
                <w:sz w:val="18"/>
              </w:rPr>
              <w:t>8.11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8" w:right="0"/>
              <w:jc w:val="left"/>
              <w:rPr>
                <w:rFonts w:ascii="Times New Roman" w:hAnsi="Times New Roman" w:cs="Times New Roman" w:eastAsia="Times New Roman" w:hint="default"/>
                <w:sz w:val="18"/>
                <w:szCs w:val="18"/>
              </w:rPr>
            </w:pPr>
            <w:r>
              <w:rPr>
                <w:rFonts w:ascii="Times New Roman"/>
                <w:sz w:val="18"/>
              </w:rPr>
              <w:t>503,065,29</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3.69</w:t>
            </w: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：应收其他客 户</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904,154,</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561.12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61.91%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62,062,2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16.29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842,092,3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44.83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754,116,1</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38.36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57.98%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47,846,78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4.99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706,269,35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3.37</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1,460,37</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1,780.82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287,831,</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775.06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19.71%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1,172,540</w:t>
            </w:r>
          </w:p>
          <w:p>
            <w:pPr>
              <w:pStyle w:val="TableParagraph"/>
              <w:spacing w:line="240" w:lineRule="auto" w:before="102"/>
              <w:ind w:left="192" w:right="0"/>
              <w:jc w:val="center"/>
              <w:rPr>
                <w:rFonts w:ascii="Times New Roman" w:hAnsi="Times New Roman" w:cs="Times New Roman" w:eastAsia="Times New Roman" w:hint="default"/>
                <w:sz w:val="18"/>
                <w:szCs w:val="18"/>
              </w:rPr>
            </w:pPr>
            <w:r>
              <w:rPr>
                <w:rFonts w:ascii="Times New Roman"/>
                <w:sz w:val="18"/>
              </w:rPr>
              <w:t>,005.76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1,300,605</w:t>
            </w:r>
          </w:p>
          <w:p>
            <w:pPr>
              <w:pStyle w:val="TableParagraph"/>
              <w:spacing w:line="240" w:lineRule="auto" w:before="102"/>
              <w:ind w:left="182" w:right="0"/>
              <w:jc w:val="center"/>
              <w:rPr>
                <w:rFonts w:ascii="Times New Roman" w:hAnsi="Times New Roman" w:cs="Times New Roman" w:eastAsia="Times New Roman" w:hint="default"/>
                <w:sz w:val="18"/>
                <w:szCs w:val="18"/>
              </w:rPr>
            </w:pPr>
            <w:r>
              <w:rPr>
                <w:rFonts w:ascii="Times New Roman"/>
                <w:sz w:val="18"/>
              </w:rPr>
              <w:t>,140.16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91,270,49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1,209,334,6</w:t>
            </w:r>
          </w:p>
          <w:p>
            <w:pPr>
              <w:pStyle w:val="TableParagraph"/>
              <w:spacing w:line="240" w:lineRule="auto" w:before="102"/>
              <w:ind w:left="494" w:right="0"/>
              <w:jc w:val="left"/>
              <w:rPr>
                <w:rFonts w:ascii="Times New Roman" w:hAnsi="Times New Roman" w:cs="Times New Roman" w:eastAsia="Times New Roman" w:hint="default"/>
                <w:sz w:val="18"/>
                <w:szCs w:val="18"/>
              </w:rPr>
            </w:pPr>
            <w:r>
              <w:rPr>
                <w:rFonts w:ascii="Times New Roman"/>
                <w:sz w:val="18"/>
              </w:rPr>
              <w:t>47.06</w:t>
            </w:r>
          </w:p>
        </w:tc>
      </w:tr>
    </w:tbl>
    <w:p>
      <w:pPr>
        <w:pStyle w:val="BodyText"/>
        <w:spacing w:line="240" w:lineRule="auto" w:before="49"/>
        <w:ind w:right="0"/>
        <w:jc w:val="left"/>
      </w:pPr>
      <w:r>
        <w:rPr/>
        <w:t>按单项计提坏账准备：单项金额重大并单项计提坏账准备的应收账款</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53,230,040.10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53,230,040.10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预计收回可能性较小</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47,427,235.23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47,427,235.23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预计收回可能性较小</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19,830,000.00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19,830,000.00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预计收回可能性较小</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13,013,382.12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13,013,382.12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预计收回可能性较小</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预计收回可能性较小</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140,000,657.45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140,000,657.45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按单项计提坏账准备：单项金额不重大并单项计提坏账准备的应收账款</w:t>
      </w:r>
    </w:p>
    <w:p>
      <w:pPr>
        <w:pStyle w:val="BodyText"/>
        <w:spacing w:line="240" w:lineRule="auto" w:before="117"/>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4"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3,164,383.83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3,164,383.83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预计收回可能性较小</w:t>
            </w:r>
          </w:p>
        </w:tc>
      </w:tr>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215,934.15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107,967.08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1"/>
              <w:jc w:val="both"/>
              <w:rPr>
                <w:rFonts w:ascii="宋体" w:hAnsi="宋体" w:cs="宋体" w:eastAsia="宋体" w:hint="default"/>
                <w:sz w:val="18"/>
                <w:szCs w:val="18"/>
              </w:rPr>
            </w:pPr>
            <w:r>
              <w:rPr>
                <w:rFonts w:ascii="宋体" w:hAnsi="宋体" w:cs="宋体" w:eastAsia="宋体" w:hint="default"/>
                <w:sz w:val="18"/>
                <w:szCs w:val="18"/>
              </w:rPr>
              <w:t>客户经营状况恶化，已 起诉，预计收回可能性 不大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3,380,317.98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3,272,350.91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按单项计提坏账准备：</w:t>
      </w:r>
    </w:p>
    <w:p>
      <w:pPr>
        <w:pStyle w:val="BodyText"/>
        <w:spacing w:line="240" w:lineRule="auto" w:before="114"/>
        <w:ind w:left="0" w:right="1130"/>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0"/>
        <w:jc w:val="left"/>
      </w:pPr>
      <w:r>
        <w:rPr/>
        <w:t>按组合计提坏账准备：组合</w:t>
      </w:r>
      <w:r>
        <w:rPr>
          <w:spacing w:val="-46"/>
        </w:rPr>
        <w:t> </w:t>
      </w:r>
      <w:r>
        <w:rPr>
          <w:rFonts w:ascii="Times New Roman" w:hAnsi="Times New Roman" w:cs="Times New Roman" w:eastAsia="Times New Roman" w:hint="default"/>
        </w:rPr>
        <w:t>2</w:t>
      </w:r>
      <w:r>
        <w:rPr/>
        <w:t>：应收联创智融资产组客户</w:t>
      </w:r>
    </w:p>
    <w:p>
      <w:pPr>
        <w:pStyle w:val="BodyText"/>
        <w:spacing w:line="240" w:lineRule="auto" w:before="101"/>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：应收联创智融资产组 客户</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412,836,244.27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82,496,550.41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19.98%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412,836,244.27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82,496,550.41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360" w:lineRule="auto" w:before="49"/>
        <w:ind w:left="657" w:right="-17" w:hanging="504"/>
        <w:jc w:val="left"/>
      </w:pPr>
      <w:r>
        <w:rPr/>
        <w:t>确定该组合依据的说明： 公司参考历史信用损失经验，结合当前状况以及对未来经济状况的预测，确定该组合。</w:t>
      </w:r>
    </w:p>
    <w:p>
      <w:pPr>
        <w:pStyle w:val="BodyText"/>
        <w:spacing w:line="240" w:lineRule="auto" w:before="27"/>
        <w:ind w:right="-17"/>
        <w:jc w:val="left"/>
      </w:pPr>
      <w:r>
        <w:rPr/>
        <w:t>按组合计提坏账准备：组合</w:t>
      </w:r>
      <w:r>
        <w:rPr>
          <w:spacing w:val="-46"/>
        </w:rPr>
        <w:t> </w:t>
      </w:r>
      <w:r>
        <w:rPr>
          <w:rFonts w:ascii="Times New Roman" w:hAnsi="Times New Roman" w:cs="Times New Roman" w:eastAsia="Times New Roman" w:hint="default"/>
        </w:rPr>
        <w:t>3</w:t>
      </w:r>
      <w:r>
        <w:rPr/>
        <w:t>：应收其他客户</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7501" w:space="1328"/>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：应收其他客户</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904,154,561.12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62,062,216.29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904,154,561.12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62,062,216.29</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57" w:lineRule="auto" w:before="49"/>
        <w:ind w:left="657" w:right="-18" w:hanging="504"/>
        <w:jc w:val="left"/>
      </w:pPr>
      <w:r>
        <w:rPr/>
        <w:t>确定该组合依据的说明： 公司参考历史信用损失经验，结合当前状况以及对未来经济状况的预测，确定该组合。</w:t>
      </w:r>
    </w:p>
    <w:p>
      <w:pPr>
        <w:pStyle w:val="BodyText"/>
        <w:spacing w:line="240" w:lineRule="auto" w:before="29"/>
        <w:ind w:right="-18"/>
        <w:jc w:val="left"/>
      </w:pPr>
      <w:r>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7500" w:space="1329"/>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49"/>
        <w:ind w:right="1753"/>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5"/>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1"/>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981,771,497.10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981,771,497.10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376,924,221.82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75,619,988.66</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26,056,073.24</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16,739,097.32</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9,170,323.16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146,652.76</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1,460,371,780.82</w:t>
            </w:r>
          </w:p>
        </w:tc>
      </w:tr>
    </w:tbl>
    <w:p>
      <w:pPr>
        <w:pStyle w:val="BodyText"/>
        <w:spacing w:line="240" w:lineRule="auto" w:before="49"/>
        <w:ind w:right="0"/>
        <w:jc w:val="left"/>
      </w:pPr>
      <w:r>
        <w:rPr/>
        <w:t>公司需要遵守《深圳证券交易所行业信息披露指引第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本期计提坏账准备情况：</w:t>
      </w:r>
    </w:p>
    <w:p>
      <w:pPr>
        <w:pStyle w:val="BodyText"/>
        <w:spacing w:line="240" w:lineRule="auto" w:before="117"/>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：应收联创</w:t>
            </w:r>
            <w:r>
              <w:rPr>
                <w:rFonts w:ascii="宋体" w:hAnsi="宋体" w:cs="宋体" w:eastAsia="宋体" w:hint="default"/>
                <w:sz w:val="18"/>
                <w:szCs w:val="18"/>
              </w:rPr>
              <w:t> 智融资产组客户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43,423,708.11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39,150,112.30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77,270.00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82,496,550.41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：应收其他</w:t>
            </w:r>
            <w:r>
              <w:rPr>
                <w:rFonts w:ascii="宋体" w:hAnsi="宋体" w:cs="宋体" w:eastAsia="宋体" w:hint="default"/>
                <w:sz w:val="18"/>
                <w:szCs w:val="18"/>
              </w:rPr>
              <w:t> 客户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47,846,784.99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14,684,088.87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z w:val="18"/>
              </w:rPr>
              <w:t>-468,657.57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62,062,216.29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91,270,493.10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53,834,201.17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3" w:right="0"/>
              <w:jc w:val="left"/>
              <w:rPr>
                <w:rFonts w:ascii="Times New Roman" w:hAnsi="Times New Roman" w:cs="Times New Roman" w:eastAsia="Times New Roman" w:hint="default"/>
                <w:sz w:val="18"/>
                <w:szCs w:val="18"/>
              </w:rPr>
            </w:pPr>
            <w:r>
              <w:rPr>
                <w:rFonts w:ascii="Times New Roman"/>
                <w:sz w:val="18"/>
              </w:rPr>
              <w:t>-468,657.57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144,558,766.70</w:t>
            </w:r>
          </w:p>
        </w:tc>
      </w:tr>
    </w:tbl>
    <w:p>
      <w:pPr>
        <w:pStyle w:val="BodyText"/>
        <w:spacing w:line="240" w:lineRule="auto" w:before="49"/>
        <w:ind w:right="0"/>
        <w:jc w:val="left"/>
      </w:pPr>
      <w:r>
        <w:rPr/>
        <w:t>其中本期坏账准备收回或转回金额重要的：</w:t>
      </w:r>
    </w:p>
    <w:p>
      <w:pPr>
        <w:pStyle w:val="BodyText"/>
        <w:spacing w:line="240" w:lineRule="auto" w:before="117"/>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77,270.00</w:t>
            </w:r>
          </w:p>
        </w:tc>
      </w:tr>
    </w:tbl>
    <w:p>
      <w:pPr>
        <w:pStyle w:val="BodyText"/>
        <w:spacing w:line="240" w:lineRule="auto" w:before="49"/>
        <w:ind w:right="0"/>
        <w:jc w:val="left"/>
      </w:pPr>
      <w:r>
        <w:rPr/>
        <w:t>其中重要的应收账款核销情况：</w:t>
      </w:r>
    </w:p>
    <w:p>
      <w:pPr>
        <w:pStyle w:val="BodyText"/>
        <w:spacing w:line="240" w:lineRule="auto" w:before="117"/>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3"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应收账款核销说明：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1"/>
        <w:gridCol w:w="2530"/>
        <w:gridCol w:w="2528"/>
      </w:tblGrid>
      <w:tr>
        <w:trPr>
          <w:trHeight w:val="71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79"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133,276,994.57</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9.13%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6,663,849.73</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第二名  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107,157,275.33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107,157,275.33</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75,014,305.76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5.14%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3,774,691.03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80"/>
        <w:gridCol w:w="2531"/>
        <w:gridCol w:w="2530"/>
        <w:gridCol w:w="2528"/>
      </w:tblGrid>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46,006,833.76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3,058,742.73</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45,471,624.02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3.11%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2,389,191.42</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406,927,033.44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27.87%</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657" w:right="0"/>
        <w:jc w:val="left"/>
      </w:pPr>
      <w:r>
        <w:rPr/>
        <w:t>无。</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9853" w:firstLine="504"/>
        <w:jc w:val="left"/>
      </w:pPr>
      <w:r>
        <w:rPr/>
        <w:t>无。 其他说明：</w:t>
      </w:r>
    </w:p>
    <w:p>
      <w:pPr>
        <w:pStyle w:val="BodyText"/>
        <w:spacing w:line="300" w:lineRule="auto" w:before="25"/>
        <w:ind w:right="1159" w:firstLine="504"/>
        <w:jc w:val="left"/>
      </w:pPr>
      <w:r>
        <w:rPr/>
        <w:t>注</w:t>
      </w:r>
      <w:r>
        <w:rPr>
          <w:rFonts w:ascii="Times New Roman" w:hAnsi="Times New Roman" w:cs="Times New Roman" w:eastAsia="Times New Roman" w:hint="default"/>
        </w:rPr>
        <w:t>1</w:t>
      </w:r>
      <w:r>
        <w:rPr/>
        <w:t>：亚联（天津）信息技术有限责任公司应收账款期末余额按照合并口径计算，包括其关联公司芝麻邦科技有限公 司和亚联创新科技有限责任公司的应收账款期末余额，对应应收账款已单项全额计提坏账准备。</w:t>
      </w:r>
    </w:p>
    <w:p>
      <w:pPr>
        <w:pStyle w:val="BodyText"/>
        <w:spacing w:line="240" w:lineRule="auto" w:before="31"/>
        <w:ind w:left="657" w:right="0"/>
        <w:jc w:val="left"/>
      </w:pPr>
      <w:r>
        <w:rPr/>
        <w:t>（</w:t>
      </w:r>
      <w:r>
        <w:rPr>
          <w:rFonts w:ascii="Times New Roman" w:hAnsi="Times New Roman" w:cs="Times New Roman" w:eastAsia="Times New Roman" w:hint="default"/>
        </w:rPr>
        <w:t>1</w:t>
      </w:r>
      <w:r>
        <w:rPr/>
        <w:t>）本期坏账准备计提金额的确认标准及说明见附注五、</w:t>
      </w:r>
      <w:r>
        <w:rPr>
          <w:rFonts w:ascii="Times New Roman" w:hAnsi="Times New Roman" w:cs="Times New Roman" w:eastAsia="Times New Roman" w:hint="default"/>
        </w:rPr>
        <w:t>10</w:t>
      </w:r>
      <w:r>
        <w:rPr/>
        <w:t>、金融工具。</w:t>
      </w:r>
    </w:p>
    <w:p>
      <w:pPr>
        <w:pStyle w:val="BodyText"/>
        <w:spacing w:line="240" w:lineRule="auto" w:before="63"/>
        <w:ind w:left="657" w:right="0"/>
        <w:jc w:val="left"/>
      </w:pPr>
      <w:r>
        <w:rPr/>
        <w:t>（</w:t>
      </w:r>
      <w:r>
        <w:rPr>
          <w:rFonts w:ascii="Times New Roman" w:hAnsi="Times New Roman" w:cs="Times New Roman" w:eastAsia="Times New Roman" w:hint="default"/>
        </w:rPr>
        <w:t>2</w:t>
      </w:r>
      <w:r>
        <w:rPr/>
        <w:t>）本期计提坏账准备情况之其他变动为处置子公司减少坏账准备。</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6</w:t>
      </w:r>
      <w:r>
        <w:rPr/>
        <w:t>、应收款项融资</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5,369,196.03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8,709,930.16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5,369,196.03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8,709,930.16</w:t>
            </w:r>
          </w:p>
        </w:tc>
      </w:tr>
    </w:tbl>
    <w:p>
      <w:pPr>
        <w:pStyle w:val="BodyText"/>
        <w:spacing w:line="240" w:lineRule="auto" w:before="49"/>
        <w:ind w:right="0"/>
        <w:jc w:val="left"/>
      </w:pPr>
      <w:r>
        <w:rPr/>
        <w:t>应收款项融资本期增减变动及公允价值变动情况</w:t>
      </w:r>
    </w:p>
    <w:p>
      <w:pPr>
        <w:pStyle w:val="BodyText"/>
        <w:spacing w:line="340" w:lineRule="auto" w:before="115"/>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如是按照预期信用损失一般模型计提应收款项融资减值准备，请参照其他应收款的披露方式披露减值准备的相关信息：</w:t>
      </w:r>
    </w:p>
    <w:p>
      <w:pPr>
        <w:pStyle w:val="BodyText"/>
        <w:spacing w:line="338" w:lineRule="auto" w:before="41"/>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其他说明：</w:t>
      </w:r>
    </w:p>
    <w:p>
      <w:pPr>
        <w:pStyle w:val="BodyText"/>
        <w:spacing w:line="300" w:lineRule="auto" w:before="43"/>
        <w:ind w:right="1175" w:firstLine="504"/>
        <w:jc w:val="both"/>
      </w:pPr>
      <w:r>
        <w:rPr/>
        <w:t>（</w:t>
      </w:r>
      <w:r>
        <w:rPr>
          <w:rFonts w:ascii="Times New Roman" w:hAnsi="Times New Roman" w:cs="Times New Roman" w:eastAsia="Times New Roman" w:hint="default"/>
        </w:rPr>
        <w:t>1</w:t>
      </w:r>
      <w:r>
        <w:rPr/>
        <w:t>）公司自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日执行新金融工具准则，将分类为以公允价值计量且其变动计入其他综合收益的金融资产的 商业票据，计入</w:t>
      </w:r>
      <w:r>
        <w:rPr>
          <w:rFonts w:ascii="Times New Roman" w:hAnsi="Times New Roman" w:cs="Times New Roman" w:eastAsia="Times New Roman" w:hint="default"/>
        </w:rPr>
        <w:t>“</w:t>
      </w:r>
      <w:r>
        <w:rPr/>
        <w:t>应收款项融资</w:t>
      </w:r>
      <w:r>
        <w:rPr>
          <w:rFonts w:ascii="Times New Roman" w:hAnsi="Times New Roman" w:cs="Times New Roman" w:eastAsia="Times New Roman" w:hint="default"/>
        </w:rPr>
        <w:t>”</w:t>
      </w:r>
      <w:r>
        <w:rPr/>
        <w:t>科目。</w:t>
      </w:r>
    </w:p>
    <w:p>
      <w:pPr>
        <w:pStyle w:val="BodyText"/>
        <w:spacing w:line="240" w:lineRule="auto" w:before="13"/>
        <w:ind w:left="657" w:right="0"/>
        <w:jc w:val="left"/>
      </w:pPr>
      <w:r>
        <w:rPr/>
        <w:t>（</w:t>
      </w:r>
      <w:r>
        <w:rPr>
          <w:rFonts w:ascii="Times New Roman" w:hAnsi="Times New Roman" w:cs="Times New Roman" w:eastAsia="Times New Roman" w:hint="default"/>
        </w:rPr>
        <w:t>2</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日，本公司无按单项计提坏账准备的应收票据。</w:t>
      </w:r>
    </w:p>
    <w:p>
      <w:pPr>
        <w:pStyle w:val="BodyText"/>
        <w:spacing w:line="240" w:lineRule="auto" w:before="63"/>
        <w:ind w:left="657" w:right="0"/>
        <w:jc w:val="left"/>
      </w:pPr>
      <w:r>
        <w:rPr/>
        <w:t>（</w:t>
      </w:r>
      <w:r>
        <w:rPr>
          <w:rFonts w:ascii="Times New Roman" w:hAnsi="Times New Roman" w:cs="Times New Roman" w:eastAsia="Times New Roman" w:hint="default"/>
        </w:rPr>
        <w:t>3</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日，本公司无按商业承兑汇票组合计提坏账准备的应收票据。</w:t>
      </w:r>
    </w:p>
    <w:p>
      <w:pPr>
        <w:pStyle w:val="BodyText"/>
        <w:spacing w:line="309" w:lineRule="auto" w:before="63"/>
        <w:ind w:right="1130" w:firstLine="504"/>
        <w:jc w:val="both"/>
      </w:pPr>
      <w:r>
        <w:rPr/>
        <w:t>（</w:t>
      </w:r>
      <w:r>
        <w:rPr>
          <w:rFonts w:ascii="Times New Roman" w:hAnsi="Times New Roman" w:cs="Times New Roman" w:eastAsia="Times New Roman" w:hint="default"/>
        </w:rPr>
        <w:t>4</w:t>
      </w:r>
      <w:r>
        <w:rPr/>
        <w:t>）按银行承兑汇票组合计提坏账准备：</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日，本公司按照整个存续期预期信用损失计量银行承兑汇票 </w:t>
      </w:r>
      <w:r>
        <w:rPr>
          <w:spacing w:val="-2"/>
        </w:rPr>
        <w:t>坏账准备。本公司认为所持有的银行承兑汇票不存在重大的信用风险，不会因银行或其他出票人违约而产生重大损失，故未</w:t>
      </w:r>
      <w:r>
        <w:rPr>
          <w:spacing w:val="-64"/>
        </w:rPr>
        <w:t> </w:t>
      </w:r>
      <w:r>
        <w:rPr>
          <w:spacing w:val="-64"/>
        </w:rPr>
      </w:r>
      <w:r>
        <w:rPr/>
        <w:t>计提信用减值准备。按组合计提坏账准备的确认标准及说明见附注五、</w:t>
      </w:r>
      <w:r>
        <w:rPr>
          <w:rFonts w:ascii="Times New Roman" w:hAnsi="Times New Roman" w:cs="Times New Roman" w:eastAsia="Times New Roman" w:hint="default"/>
        </w:rPr>
        <w:t>10</w:t>
      </w:r>
      <w:r>
        <w:rPr/>
        <w:t>、金融工具。</w:t>
      </w:r>
    </w:p>
    <w:p>
      <w:pPr>
        <w:pStyle w:val="BodyText"/>
        <w:spacing w:line="240" w:lineRule="auto" w:before="5"/>
        <w:ind w:left="657" w:right="0"/>
        <w:jc w:val="left"/>
      </w:pPr>
      <w:r>
        <w:rPr/>
        <w:t>（</w:t>
      </w:r>
      <w:r>
        <w:rPr>
          <w:rFonts w:ascii="Times New Roman" w:hAnsi="Times New Roman" w:cs="Times New Roman" w:eastAsia="Times New Roman" w:hint="default"/>
        </w:rPr>
        <w:t>5</w:t>
      </w:r>
      <w:r>
        <w:rPr/>
        <w:t>）</w:t>
      </w:r>
      <w:r>
        <w:rPr>
          <w:spacing w:val="-18"/>
        </w:rPr>
        <w:t> </w:t>
      </w:r>
      <w:r>
        <w:rPr/>
        <w:t>期末本公司已背书或贴现但尚未到期的应收票据</w:t>
      </w:r>
    </w:p>
    <w:p>
      <w:pPr>
        <w:spacing w:line="240" w:lineRule="auto" w:before="2"/>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2727"/>
        <w:gridCol w:w="3060"/>
        <w:gridCol w:w="3059"/>
      </w:tblGrid>
      <w:tr>
        <w:trPr>
          <w:trHeight w:val="350" w:hRule="exact"/>
        </w:trPr>
        <w:tc>
          <w:tcPr>
            <w:tcW w:w="2727"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3060"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892" w:right="0"/>
              <w:jc w:val="left"/>
              <w:rPr>
                <w:rFonts w:ascii="宋体" w:hAnsi="宋体" w:cs="宋体" w:eastAsia="宋体" w:hint="default"/>
                <w:sz w:val="21"/>
                <w:szCs w:val="21"/>
              </w:rPr>
            </w:pPr>
            <w:r>
              <w:rPr>
                <w:rFonts w:ascii="宋体" w:hAnsi="宋体" w:cs="宋体" w:eastAsia="宋体" w:hint="default"/>
                <w:sz w:val="21"/>
                <w:szCs w:val="21"/>
              </w:rPr>
              <w:t>终止确认金额</w:t>
            </w:r>
          </w:p>
        </w:tc>
        <w:tc>
          <w:tcPr>
            <w:tcW w:w="3059" w:type="dxa"/>
            <w:tcBorders>
              <w:top w:val="single" w:sz="6" w:space="0" w:color="000000"/>
              <w:left w:val="single" w:sz="6" w:space="0" w:color="000000"/>
              <w:bottom w:val="single" w:sz="8" w:space="0" w:color="000000"/>
              <w:right w:val="nil" w:sz="6" w:space="0" w:color="auto"/>
            </w:tcBorders>
          </w:tcPr>
          <w:p>
            <w:pPr>
              <w:pStyle w:val="TableParagraph"/>
              <w:spacing w:line="272" w:lineRule="exact"/>
              <w:ind w:left="787" w:right="0"/>
              <w:jc w:val="left"/>
              <w:rPr>
                <w:rFonts w:ascii="宋体" w:hAnsi="宋体" w:cs="宋体" w:eastAsia="宋体" w:hint="default"/>
                <w:sz w:val="21"/>
                <w:szCs w:val="21"/>
              </w:rPr>
            </w:pPr>
            <w:r>
              <w:rPr>
                <w:rFonts w:ascii="宋体" w:hAnsi="宋体" w:cs="宋体" w:eastAsia="宋体" w:hint="default"/>
                <w:sz w:val="21"/>
                <w:szCs w:val="21"/>
              </w:rPr>
              <w:t>未终止确认金额</w:t>
            </w:r>
          </w:p>
        </w:tc>
      </w:tr>
      <w:tr>
        <w:trPr>
          <w:trHeight w:val="346" w:hRule="exact"/>
        </w:trPr>
        <w:tc>
          <w:tcPr>
            <w:tcW w:w="2727"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1,000,000.00</w:t>
            </w:r>
          </w:p>
        </w:tc>
        <w:tc>
          <w:tcPr>
            <w:tcW w:w="305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2727"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305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2727"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1,000,000.00</w:t>
            </w:r>
          </w:p>
        </w:tc>
        <w:tc>
          <w:tcPr>
            <w:tcW w:w="305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bl>
    <w:p>
      <w:pPr>
        <w:pStyle w:val="BodyText"/>
        <w:spacing w:line="240" w:lineRule="auto" w:before="8"/>
        <w:ind w:left="657" w:right="0"/>
        <w:jc w:val="left"/>
      </w:pPr>
      <w:r>
        <w:rPr/>
        <w:t>本公司用于背书的银行承兑汇票是由信用等级较高的银行承兑，相关银行历史上从未发生过票据违约事件，信用风险</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17"/>
        <w:jc w:val="left"/>
      </w:pPr>
      <w:r>
        <w:rPr>
          <w:spacing w:val="-2"/>
        </w:rPr>
        <w:t>和延期付款风险很小，并且票据相关的利率风险已转移给银行，可以判断票据所有权上的主要风险和报酬已经转移，故终止</w:t>
      </w:r>
      <w:r>
        <w:rPr>
          <w:spacing w:val="-63"/>
        </w:rPr>
        <w:t> </w:t>
      </w:r>
      <w:r>
        <w:rPr>
          <w:spacing w:val="-63"/>
        </w:rPr>
      </w:r>
      <w:r>
        <w:rPr/>
        <w:t>确认。</w:t>
      </w:r>
    </w:p>
    <w:p>
      <w:pPr>
        <w:pStyle w:val="BodyText"/>
        <w:spacing w:line="240" w:lineRule="auto" w:before="19"/>
        <w:ind w:left="657" w:right="0"/>
        <w:jc w:val="left"/>
      </w:pPr>
      <w:r>
        <w:rPr/>
        <w:t>（</w:t>
      </w:r>
      <w:r>
        <w:rPr>
          <w:rFonts w:ascii="Times New Roman" w:hAnsi="Times New Roman" w:cs="Times New Roman" w:eastAsia="Times New Roman" w:hint="default"/>
        </w:rPr>
        <w:t>6</w:t>
      </w:r>
      <w:r>
        <w:rPr/>
        <w:t>）应收款项融资期末余额较期初余额减少</w:t>
      </w:r>
      <w:r>
        <w:rPr>
          <w:rFonts w:ascii="Times New Roman" w:hAnsi="Times New Roman" w:cs="Times New Roman" w:eastAsia="Times New Roman" w:hint="default"/>
        </w:rPr>
        <w:t>38.36%</w:t>
      </w:r>
      <w:r>
        <w:rPr/>
        <w:t>，主要原因是报告期内银行承兑汇票到期承兑。</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7</w:t>
      </w:r>
      <w:r>
        <w:rPr/>
        <w:t>、预付款项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6"/>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6,092,603.34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6"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9,517,687.72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99.33%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48,367.26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16,630.92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6,092,603.34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9,582,685.90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6" w:type="dxa"/>
        <w:tblLayout w:type="fixed"/>
        <w:tblCellMar>
          <w:top w:w="0" w:type="dxa"/>
          <w:left w:w="0" w:type="dxa"/>
          <w:bottom w:w="0" w:type="dxa"/>
          <w:right w:w="0" w:type="dxa"/>
        </w:tblCellMar>
        <w:tblLook w:val="01E0"/>
      </w:tblPr>
      <w:tblGrid>
        <w:gridCol w:w="3493"/>
        <w:gridCol w:w="1587"/>
        <w:gridCol w:w="3779"/>
      </w:tblGrid>
      <w:tr>
        <w:trPr>
          <w:trHeight w:val="350" w:hRule="exact"/>
        </w:trPr>
        <w:tc>
          <w:tcPr>
            <w:tcW w:w="3493"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87" w:type="dxa"/>
            <w:tcBorders>
              <w:top w:val="single" w:sz="6" w:space="0" w:color="000000"/>
              <w:left w:val="single" w:sz="6" w:space="0" w:color="000000"/>
              <w:bottom w:val="single" w:sz="8" w:space="0" w:color="000000"/>
              <w:right w:val="single" w:sz="6" w:space="0" w:color="000000"/>
            </w:tcBorders>
          </w:tcPr>
          <w:p>
            <w:pPr>
              <w:pStyle w:val="TableParagraph"/>
              <w:spacing w:line="290" w:lineRule="exact"/>
              <w:ind w:left="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3779" w:type="dxa"/>
            <w:tcBorders>
              <w:top w:val="single" w:sz="6" w:space="0" w:color="000000"/>
              <w:left w:val="single" w:sz="6" w:space="0" w:color="000000"/>
              <w:bottom w:val="single" w:sz="8" w:space="0" w:color="000000"/>
              <w:right w:val="nil" w:sz="6" w:space="0" w:color="auto"/>
            </w:tcBorders>
          </w:tcPr>
          <w:p>
            <w:pPr>
              <w:pStyle w:val="TableParagraph"/>
              <w:spacing w:line="290" w:lineRule="exact"/>
              <w:ind w:left="14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占预付款项期末余额合计数的比例</w:t>
            </w:r>
            <w:r>
              <w:rPr>
                <w:rFonts w:ascii="Times New Roman" w:hAnsi="Times New Roman" w:cs="Times New Roman" w:eastAsia="Times New Roman" w:hint="default"/>
                <w:sz w:val="21"/>
                <w:szCs w:val="21"/>
              </w:rPr>
              <w:t>(%)</w:t>
            </w:r>
          </w:p>
        </w:tc>
      </w:tr>
      <w:tr>
        <w:trPr>
          <w:trHeight w:val="346" w:hRule="exact"/>
        </w:trPr>
        <w:tc>
          <w:tcPr>
            <w:tcW w:w="3493"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2"/>
                <w:szCs w:val="22"/>
              </w:rPr>
              <w:t>屠同舟</w:t>
            </w:r>
            <w:r>
              <w:rPr>
                <w:rFonts w:ascii="宋体" w:hAnsi="宋体" w:cs="宋体" w:eastAsia="宋体" w:hint="default"/>
                <w:sz w:val="21"/>
                <w:szCs w:val="21"/>
              </w:rPr>
              <w:t>（预付办公场所出租方租金）</w:t>
            </w:r>
          </w:p>
        </w:tc>
        <w:tc>
          <w:tcPr>
            <w:tcW w:w="15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0"/>
              <w:jc w:val="right"/>
              <w:rPr>
                <w:rFonts w:ascii="Times New Roman" w:hAnsi="Times New Roman" w:cs="Times New Roman" w:eastAsia="Times New Roman" w:hint="default"/>
                <w:sz w:val="22"/>
                <w:szCs w:val="22"/>
              </w:rPr>
            </w:pPr>
            <w:r>
              <w:rPr>
                <w:rFonts w:ascii="Times New Roman"/>
                <w:spacing w:val="-1"/>
                <w:sz w:val="22"/>
              </w:rPr>
              <w:t>1,110,631.66</w:t>
            </w:r>
          </w:p>
        </w:tc>
        <w:tc>
          <w:tcPr>
            <w:tcW w:w="377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2"/>
              <w:ind w:right="5"/>
              <w:jc w:val="right"/>
              <w:rPr>
                <w:rFonts w:ascii="Times New Roman" w:hAnsi="Times New Roman" w:cs="Times New Roman" w:eastAsia="Times New Roman" w:hint="default"/>
                <w:sz w:val="22"/>
                <w:szCs w:val="22"/>
              </w:rPr>
            </w:pPr>
            <w:r>
              <w:rPr>
                <w:rFonts w:ascii="Times New Roman"/>
                <w:sz w:val="22"/>
              </w:rPr>
              <w:t>18.23</w:t>
            </w:r>
          </w:p>
        </w:tc>
      </w:tr>
      <w:tr>
        <w:trPr>
          <w:trHeight w:val="660" w:hRule="exact"/>
        </w:trPr>
        <w:tc>
          <w:tcPr>
            <w:tcW w:w="3493" w:type="dxa"/>
            <w:tcBorders>
              <w:top w:val="single" w:sz="8" w:space="0" w:color="000000"/>
              <w:left w:val="single" w:sz="6" w:space="0" w:color="000000"/>
              <w:bottom w:val="single" w:sz="8" w:space="0" w:color="000000"/>
              <w:right w:val="single" w:sz="6" w:space="0" w:color="000000"/>
            </w:tcBorders>
          </w:tcPr>
          <w:p>
            <w:pPr>
              <w:pStyle w:val="TableParagraph"/>
              <w:spacing w:line="273" w:lineRule="exact"/>
              <w:ind w:left="4" w:right="-14"/>
              <w:jc w:val="left"/>
              <w:rPr>
                <w:rFonts w:ascii="宋体" w:hAnsi="宋体" w:cs="宋体" w:eastAsia="宋体" w:hint="default"/>
                <w:sz w:val="22"/>
                <w:szCs w:val="22"/>
              </w:rPr>
            </w:pPr>
            <w:r>
              <w:rPr>
                <w:rFonts w:ascii="宋体" w:hAnsi="宋体" w:cs="宋体" w:eastAsia="宋体" w:hint="default"/>
                <w:spacing w:val="10"/>
                <w:sz w:val="22"/>
                <w:szCs w:val="22"/>
              </w:rPr>
              <w:t>中国人民人寿保险股份有限公司北</w:t>
            </w:r>
            <w:r>
              <w:rPr>
                <w:rFonts w:ascii="宋体" w:hAnsi="宋体" w:cs="宋体" w:eastAsia="宋体" w:hint="default"/>
                <w:sz w:val="22"/>
                <w:szCs w:val="22"/>
              </w:rPr>
            </w:r>
          </w:p>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京市分公司</w:t>
            </w:r>
          </w:p>
        </w:tc>
        <w:tc>
          <w:tcPr>
            <w:tcW w:w="15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sz w:val="22"/>
              </w:rPr>
              <w:t>602,904.20</w:t>
            </w:r>
          </w:p>
        </w:tc>
        <w:tc>
          <w:tcPr>
            <w:tcW w:w="377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2"/>
                <w:szCs w:val="22"/>
              </w:rPr>
            </w:pPr>
            <w:r>
              <w:rPr>
                <w:rFonts w:ascii="Times New Roman"/>
                <w:sz w:val="22"/>
              </w:rPr>
              <w:t>9.90</w:t>
            </w:r>
          </w:p>
        </w:tc>
      </w:tr>
      <w:tr>
        <w:trPr>
          <w:trHeight w:val="346" w:hRule="exact"/>
        </w:trPr>
        <w:tc>
          <w:tcPr>
            <w:tcW w:w="3493"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宋体" w:hAnsi="宋体" w:cs="宋体" w:eastAsia="宋体" w:hint="default"/>
                <w:sz w:val="22"/>
                <w:szCs w:val="22"/>
              </w:rPr>
            </w:pPr>
            <w:r>
              <w:rPr>
                <w:rFonts w:ascii="宋体" w:hAnsi="宋体" w:cs="宋体" w:eastAsia="宋体" w:hint="default"/>
                <w:sz w:val="22"/>
                <w:szCs w:val="22"/>
              </w:rPr>
              <w:t>上海南洋万邦软件技术有限公司</w:t>
            </w:r>
          </w:p>
        </w:tc>
        <w:tc>
          <w:tcPr>
            <w:tcW w:w="15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0"/>
              <w:jc w:val="right"/>
              <w:rPr>
                <w:rFonts w:ascii="Times New Roman" w:hAnsi="Times New Roman" w:cs="Times New Roman" w:eastAsia="Times New Roman" w:hint="default"/>
                <w:sz w:val="22"/>
                <w:szCs w:val="22"/>
              </w:rPr>
            </w:pPr>
            <w:r>
              <w:rPr>
                <w:rFonts w:ascii="Times New Roman"/>
                <w:sz w:val="22"/>
              </w:rPr>
              <w:t>390,787.61</w:t>
            </w:r>
          </w:p>
        </w:tc>
        <w:tc>
          <w:tcPr>
            <w:tcW w:w="377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2"/>
              <w:ind w:right="5"/>
              <w:jc w:val="right"/>
              <w:rPr>
                <w:rFonts w:ascii="Times New Roman" w:hAnsi="Times New Roman" w:cs="Times New Roman" w:eastAsia="Times New Roman" w:hint="default"/>
                <w:sz w:val="22"/>
                <w:szCs w:val="22"/>
              </w:rPr>
            </w:pPr>
            <w:r>
              <w:rPr>
                <w:rFonts w:ascii="Times New Roman"/>
                <w:sz w:val="22"/>
              </w:rPr>
              <w:t>6.41</w:t>
            </w:r>
          </w:p>
        </w:tc>
      </w:tr>
      <w:tr>
        <w:trPr>
          <w:trHeight w:val="348" w:hRule="exact"/>
        </w:trPr>
        <w:tc>
          <w:tcPr>
            <w:tcW w:w="3493" w:type="dxa"/>
            <w:tcBorders>
              <w:top w:val="single" w:sz="8" w:space="0" w:color="000000"/>
              <w:left w:val="single" w:sz="6" w:space="0" w:color="000000"/>
              <w:bottom w:val="single" w:sz="8" w:space="0" w:color="000000"/>
              <w:right w:val="single" w:sz="6" w:space="0" w:color="000000"/>
            </w:tcBorders>
          </w:tcPr>
          <w:p>
            <w:pPr>
              <w:pStyle w:val="TableParagraph"/>
              <w:spacing w:line="273" w:lineRule="exact"/>
              <w:ind w:left="4" w:right="0"/>
              <w:jc w:val="left"/>
              <w:rPr>
                <w:rFonts w:ascii="宋体" w:hAnsi="宋体" w:cs="宋体" w:eastAsia="宋体" w:hint="default"/>
                <w:sz w:val="22"/>
                <w:szCs w:val="22"/>
              </w:rPr>
            </w:pPr>
            <w:r>
              <w:rPr>
                <w:rFonts w:ascii="宋体" w:hAnsi="宋体" w:cs="宋体" w:eastAsia="宋体" w:hint="default"/>
                <w:sz w:val="22"/>
                <w:szCs w:val="22"/>
              </w:rPr>
              <w:t>上海嘉丹立投资管理有限公司</w:t>
            </w:r>
          </w:p>
        </w:tc>
        <w:tc>
          <w:tcPr>
            <w:tcW w:w="15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sz w:val="22"/>
              </w:rPr>
              <w:t>261,688.60</w:t>
            </w:r>
          </w:p>
        </w:tc>
        <w:tc>
          <w:tcPr>
            <w:tcW w:w="377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2"/>
                <w:szCs w:val="22"/>
              </w:rPr>
            </w:pPr>
            <w:r>
              <w:rPr>
                <w:rFonts w:ascii="Times New Roman"/>
                <w:sz w:val="22"/>
              </w:rPr>
              <w:t>4.30</w:t>
            </w:r>
          </w:p>
        </w:tc>
      </w:tr>
      <w:tr>
        <w:trPr>
          <w:trHeight w:val="348" w:hRule="exact"/>
        </w:trPr>
        <w:tc>
          <w:tcPr>
            <w:tcW w:w="3493"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宋体" w:hAnsi="宋体" w:cs="宋体" w:eastAsia="宋体" w:hint="default"/>
                <w:sz w:val="22"/>
                <w:szCs w:val="22"/>
              </w:rPr>
            </w:pPr>
            <w:r>
              <w:rPr>
                <w:rFonts w:ascii="宋体" w:hAnsi="宋体" w:cs="宋体" w:eastAsia="宋体" w:hint="default"/>
                <w:sz w:val="22"/>
                <w:szCs w:val="22"/>
              </w:rPr>
              <w:t>江苏兴力建设集团有限公司</w:t>
            </w:r>
          </w:p>
        </w:tc>
        <w:tc>
          <w:tcPr>
            <w:tcW w:w="15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0"/>
              <w:jc w:val="right"/>
              <w:rPr>
                <w:rFonts w:ascii="Times New Roman" w:hAnsi="Times New Roman" w:cs="Times New Roman" w:eastAsia="Times New Roman" w:hint="default"/>
                <w:sz w:val="22"/>
                <w:szCs w:val="22"/>
              </w:rPr>
            </w:pPr>
            <w:r>
              <w:rPr>
                <w:rFonts w:ascii="Times New Roman"/>
                <w:sz w:val="22"/>
              </w:rPr>
              <w:t>240,419.00</w:t>
            </w:r>
          </w:p>
        </w:tc>
        <w:tc>
          <w:tcPr>
            <w:tcW w:w="377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2"/>
              <w:ind w:right="5"/>
              <w:jc w:val="right"/>
              <w:rPr>
                <w:rFonts w:ascii="Times New Roman" w:hAnsi="Times New Roman" w:cs="Times New Roman" w:eastAsia="Times New Roman" w:hint="default"/>
                <w:sz w:val="22"/>
                <w:szCs w:val="22"/>
              </w:rPr>
            </w:pPr>
            <w:r>
              <w:rPr>
                <w:rFonts w:ascii="Times New Roman"/>
                <w:sz w:val="22"/>
              </w:rPr>
              <w:t>3.95</w:t>
            </w:r>
          </w:p>
        </w:tc>
      </w:tr>
      <w:tr>
        <w:trPr>
          <w:trHeight w:val="348" w:hRule="exact"/>
        </w:trPr>
        <w:tc>
          <w:tcPr>
            <w:tcW w:w="3493" w:type="dxa"/>
            <w:tcBorders>
              <w:top w:val="single" w:sz="8" w:space="0" w:color="000000"/>
              <w:left w:val="single" w:sz="6" w:space="0" w:color="000000"/>
              <w:bottom w:val="single" w:sz="8" w:space="0" w:color="000000"/>
              <w:right w:val="single" w:sz="6" w:space="0" w:color="000000"/>
            </w:tcBorders>
          </w:tcPr>
          <w:p>
            <w:pPr>
              <w:pStyle w:val="TableParagraph"/>
              <w:tabs>
                <w:tab w:pos="467" w:val="left" w:leader="none"/>
              </w:tabs>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0"/>
              <w:jc w:val="right"/>
              <w:rPr>
                <w:rFonts w:ascii="Times New Roman" w:hAnsi="Times New Roman" w:cs="Times New Roman" w:eastAsia="Times New Roman" w:hint="default"/>
                <w:sz w:val="22"/>
                <w:szCs w:val="22"/>
              </w:rPr>
            </w:pPr>
            <w:r>
              <w:rPr>
                <w:rFonts w:ascii="Times New Roman"/>
                <w:spacing w:val="-1"/>
                <w:sz w:val="22"/>
              </w:rPr>
              <w:t>2,606,431.07</w:t>
            </w:r>
          </w:p>
        </w:tc>
        <w:tc>
          <w:tcPr>
            <w:tcW w:w="377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2"/>
              <w:ind w:right="5"/>
              <w:jc w:val="right"/>
              <w:rPr>
                <w:rFonts w:ascii="Times New Roman" w:hAnsi="Times New Roman" w:cs="Times New Roman" w:eastAsia="Times New Roman" w:hint="default"/>
                <w:sz w:val="22"/>
                <w:szCs w:val="22"/>
              </w:rPr>
            </w:pPr>
            <w:r>
              <w:rPr>
                <w:rFonts w:ascii="Times New Roman"/>
                <w:sz w:val="22"/>
              </w:rPr>
              <w:t>42.79</w:t>
            </w:r>
          </w:p>
        </w:tc>
      </w:tr>
    </w:tbl>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before="44"/>
        <w:ind w:right="0"/>
        <w:jc w:val="left"/>
      </w:pPr>
      <w:r>
        <w:rPr/>
        <w:t>其他说明：</w:t>
      </w:r>
    </w:p>
    <w:p>
      <w:pPr>
        <w:pStyle w:val="BodyText"/>
        <w:spacing w:line="240" w:lineRule="auto" w:before="115"/>
        <w:ind w:left="657" w:right="0"/>
        <w:jc w:val="left"/>
      </w:pPr>
      <w:r>
        <w:rPr/>
        <w:t>预付款项期末余额比期初余额减少</w:t>
      </w:r>
      <w:r>
        <w:rPr>
          <w:rFonts w:ascii="Times New Roman" w:hAnsi="Times New Roman" w:cs="Times New Roman" w:eastAsia="Times New Roman" w:hint="default"/>
        </w:rPr>
        <w:t>36.42%</w:t>
      </w:r>
      <w:r>
        <w:rPr/>
        <w:t>，主要原因是公司本期预付款业务减少。</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8</w:t>
      </w:r>
      <w:r>
        <w:rPr/>
        <w:t>、其他应收款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3"/>
                <w:sz w:val="18"/>
              </w:rPr>
              <w:t>391,111.11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22,312,614.60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28,829,086.62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22,312,614.60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29,220,197.73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391,111.11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391,111.11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72" w:right="51"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）重要的账龄超过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年的应收股利</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51"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after="0" w:line="3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13,890,949.73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15,134,956.65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5,357,771.22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2,911,050.43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8,827,000.00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6,003,795.69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4,792,316.49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25,252,516.64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31,665,323.57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652"/>
        <w:gridCol w:w="2098"/>
        <w:gridCol w:w="2101"/>
        <w:gridCol w:w="1805"/>
      </w:tblGrid>
      <w:tr>
        <w:trPr>
          <w:trHeight w:val="403" w:hRule="exact"/>
        </w:trPr>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5"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5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2,836,236.95</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2,836,236.95</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146,890.99</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146,890.99</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-43,225.90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-43,225.90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2,939,902.04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2,939,902.04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4" w:space="489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39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18,260,736.76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18,260,736.76</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4,358,060.36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2,085,320.68</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548,398.84</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231,419.72</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108,533.62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208,445.50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25,252,516.64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本期计提坏账准备情况：</w:t>
      </w:r>
    </w:p>
    <w:p>
      <w:pPr>
        <w:pStyle w:val="BodyText"/>
        <w:spacing w:line="240" w:lineRule="auto" w:before="117"/>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339"/>
        <w:gridCol w:w="1332"/>
        <w:gridCol w:w="1333"/>
        <w:gridCol w:w="1325"/>
        <w:gridCol w:w="1726"/>
      </w:tblGrid>
      <w:tr>
        <w:trPr>
          <w:trHeight w:val="401"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：应收其他</w:t>
            </w:r>
            <w:r>
              <w:rPr>
                <w:rFonts w:ascii="宋体" w:hAnsi="宋体" w:cs="宋体" w:eastAsia="宋体" w:hint="default"/>
                <w:sz w:val="18"/>
                <w:szCs w:val="18"/>
              </w:rPr>
              <w:t> 客户</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2,836,236.95</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6" w:right="0"/>
              <w:jc w:val="left"/>
              <w:rPr>
                <w:rFonts w:ascii="Times New Roman" w:hAnsi="Times New Roman" w:cs="Times New Roman" w:eastAsia="Times New Roman" w:hint="default"/>
                <w:sz w:val="18"/>
                <w:szCs w:val="18"/>
              </w:rPr>
            </w:pPr>
            <w:r>
              <w:rPr>
                <w:rFonts w:ascii="Times New Roman"/>
                <w:sz w:val="18"/>
              </w:rPr>
              <w:t>146,890.99</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-43,225.90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2,939,902.04</w:t>
            </w:r>
          </w:p>
        </w:tc>
      </w:tr>
      <w:tr>
        <w:trPr>
          <w:trHeight w:val="404"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2,836,236.95</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6" w:right="0"/>
              <w:jc w:val="left"/>
              <w:rPr>
                <w:rFonts w:ascii="Times New Roman" w:hAnsi="Times New Roman" w:cs="Times New Roman" w:eastAsia="Times New Roman" w:hint="default"/>
                <w:sz w:val="18"/>
                <w:szCs w:val="18"/>
              </w:rPr>
            </w:pPr>
            <w:r>
              <w:rPr>
                <w:rFonts w:ascii="Times New Roman"/>
                <w:sz w:val="18"/>
              </w:rPr>
              <w:t>146,890.99</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3" w:right="0"/>
              <w:jc w:val="left"/>
              <w:rPr>
                <w:rFonts w:ascii="Times New Roman" w:hAnsi="Times New Roman" w:cs="Times New Roman" w:eastAsia="Times New Roman" w:hint="default"/>
                <w:sz w:val="18"/>
                <w:szCs w:val="18"/>
              </w:rPr>
            </w:pPr>
            <w:r>
              <w:rPr>
                <w:rFonts w:ascii="Times New Roman"/>
                <w:sz w:val="18"/>
              </w:rPr>
              <w:t>-43,225.90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2,939,902.04</w:t>
            </w:r>
          </w:p>
        </w:tc>
      </w:tr>
    </w:tbl>
    <w:p>
      <w:pPr>
        <w:pStyle w:val="BodyText"/>
        <w:spacing w:line="240" w:lineRule="auto" w:before="49"/>
        <w:ind w:right="0"/>
        <w:jc w:val="left"/>
      </w:pPr>
      <w:r>
        <w:rPr/>
        <w:t>其中本期坏账准备转回或收回金额重要的：</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0"/>
        <w:jc w:val="left"/>
      </w:pPr>
      <w:r>
        <w:rPr/>
        <w:t>其中重要的其他应收款核销情况：</w:t>
      </w:r>
    </w:p>
    <w:p>
      <w:pPr>
        <w:pStyle w:val="BodyText"/>
        <w:spacing w:line="240" w:lineRule="auto" w:before="117"/>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6"/>
      </w:tblGrid>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其他应收款核销说明：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荚斌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2,658,987.50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132,949.38</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云南南天电子信息 产业股份有限公司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993,000.00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96,660.00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江苏兴力建设集团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943,892.00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47,194.60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西安环普科技产业 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897,387.00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89,738.70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上海嘉丹立投资管 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783,516.38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205,984.02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6"/>
      </w:tblGrid>
      <w:tr>
        <w:trPr>
          <w:trHeight w:val="404"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6,276,782.88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24.85%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572,526.70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3"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9"/>
        <w:ind w:left="657" w:right="0"/>
        <w:jc w:val="left"/>
      </w:pPr>
      <w:r>
        <w:rPr/>
        <w:t>无。</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left="657" w:right="0"/>
        <w:jc w:val="left"/>
      </w:pPr>
      <w:r>
        <w:rPr/>
        <w:t>无。</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9853" w:firstLine="504"/>
        <w:jc w:val="left"/>
      </w:pPr>
      <w:r>
        <w:rPr/>
        <w:t>无。 其他说明：</w:t>
      </w:r>
    </w:p>
    <w:p>
      <w:pPr>
        <w:pStyle w:val="BodyText"/>
        <w:spacing w:line="240" w:lineRule="auto" w:before="25"/>
        <w:ind w:left="657" w:right="0"/>
        <w:jc w:val="left"/>
      </w:pPr>
      <w:r>
        <w:rPr/>
        <w:t>（</w:t>
      </w:r>
      <w:r>
        <w:rPr>
          <w:rFonts w:ascii="Times New Roman" w:hAnsi="Times New Roman" w:cs="Times New Roman" w:eastAsia="Times New Roman" w:hint="default"/>
        </w:rPr>
        <w:t>1</w:t>
      </w:r>
      <w:r>
        <w:rPr/>
        <w:t>）本期坏账准备计提金额的依据：按组合计提坏账准备的确认标准及说明见附注五、</w:t>
      </w:r>
      <w:r>
        <w:rPr>
          <w:rFonts w:ascii="Times New Roman" w:hAnsi="Times New Roman" w:cs="Times New Roman" w:eastAsia="Times New Roman" w:hint="default"/>
        </w:rPr>
        <w:t>10</w:t>
      </w:r>
      <w:r>
        <w:rPr/>
        <w:t>、金融工具。</w:t>
      </w:r>
    </w:p>
    <w:p>
      <w:pPr>
        <w:pStyle w:val="BodyText"/>
        <w:spacing w:line="240" w:lineRule="auto" w:before="63"/>
        <w:ind w:left="657" w:right="0"/>
        <w:jc w:val="left"/>
      </w:pPr>
      <w:r>
        <w:rPr/>
        <w:t>（</w:t>
      </w:r>
      <w:r>
        <w:rPr>
          <w:rFonts w:ascii="Times New Roman" w:hAnsi="Times New Roman" w:cs="Times New Roman" w:eastAsia="Times New Roman" w:hint="default"/>
        </w:rPr>
        <w:t>2</w:t>
      </w:r>
      <w:r>
        <w:rPr/>
        <w:t>）本期计提坏账准备情况之其他变动为处置子公司减少坏账准备金额。</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left"/>
      </w:pPr>
      <w:r>
        <w:rPr/>
        <w:t>是否已执行新收入准则</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4"/>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334" w:hRule="exact"/>
        </w:trPr>
        <w:tc>
          <w:tcPr>
            <w:tcW w:w="4783" w:type="dxa"/>
            <w:tcBorders>
              <w:top w:val="single" w:sz="6" w:space="0" w:color="000000"/>
              <w:left w:val="nil" w:sz="6" w:space="0" w:color="auto"/>
              <w:bottom w:val="single" w:sz="4" w:space="0" w:color="000000"/>
              <w:right w:val="nil" w:sz="6" w:space="0" w:color="auto"/>
            </w:tcBorders>
          </w:tcPr>
          <w:p>
            <w:pPr/>
          </w:p>
        </w:tc>
        <w:tc>
          <w:tcPr>
            <w:tcW w:w="4787" w:type="dxa"/>
            <w:tcBorders>
              <w:top w:val="single" w:sz="6" w:space="0" w:color="000000"/>
              <w:left w:val="nil" w:sz="6" w:space="0" w:color="auto"/>
              <w:bottom w:val="single" w:sz="4" w:space="0" w:color="000000"/>
              <w:right w:val="nil" w:sz="6" w:space="0" w:color="auto"/>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0"/>
        <w:ind w:left="113" w:right="4633"/>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left="113" w:right="4633"/>
        <w:jc w:val="left"/>
        <w:rPr>
          <w:b w:val="0"/>
          <w:bCs w:val="0"/>
        </w:rPr>
      </w:pPr>
      <w:r>
        <w:rPr>
          <w:rFonts w:ascii="Times New Roman" w:hAnsi="Times New Roman" w:cs="Times New Roman" w:eastAsia="Times New Roman" w:hint="default"/>
        </w:rPr>
        <w:t>10</w:t>
      </w:r>
      <w:r>
        <w:rPr/>
        <w:t>、合同资产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1"/>
        <w:gridCol w:w="1198"/>
        <w:gridCol w:w="1328"/>
        <w:gridCol w:w="1195"/>
        <w:gridCol w:w="1198"/>
        <w:gridCol w:w="1195"/>
        <w:gridCol w:w="1328"/>
      </w:tblGrid>
      <w:tr>
        <w:trPr>
          <w:trHeight w:val="401" w:hRule="exact"/>
        </w:trPr>
        <w:tc>
          <w:tcPr>
            <w:tcW w:w="21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2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131"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left="113" w:right="4633"/>
        <w:jc w:val="left"/>
      </w:pPr>
      <w:r>
        <w:rPr/>
        <w:t>合同资产的账面价值在本期内发生的重大变动金额和原因：</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05"/>
        <w:gridCol w:w="2420"/>
        <w:gridCol w:w="4945"/>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pStyle w:val="BodyText"/>
        <w:spacing w:line="240" w:lineRule="auto" w:before="49"/>
        <w:ind w:left="113" w:right="0"/>
        <w:jc w:val="left"/>
      </w:pPr>
      <w:r>
        <w:rPr/>
        <w:t>如是按照预期信用损失一般模型计提合同资产坏账准备，请参照其他应收款的披露方式披露坏账准备的相关信息：</w:t>
      </w:r>
    </w:p>
    <w:p>
      <w:pPr>
        <w:pStyle w:val="BodyText"/>
        <w:spacing w:line="338" w:lineRule="auto" w:before="117"/>
        <w:ind w:left="113" w:right="82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本期合同资产计提减值准备情况</w:t>
      </w:r>
    </w:p>
    <w:p>
      <w:pPr>
        <w:pStyle w:val="BodyText"/>
        <w:spacing w:line="240" w:lineRule="auto" w:before="43"/>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Times New Roman" w:hAnsi="Times New Roman" w:cs="Times New Roman" w:eastAsia="Times New Roman" w:hint="default"/>
                <w:sz w:val="18"/>
                <w:szCs w:val="18"/>
              </w:rPr>
              <w:t>/</w:t>
            </w:r>
            <w:r>
              <w:rPr>
                <w:rFonts w:ascii="宋体" w:hAnsi="宋体" w:cs="宋体" w:eastAsia="宋体" w:hint="default"/>
                <w:sz w:val="18"/>
                <w:szCs w:val="18"/>
              </w:rPr>
              <w:t>核销</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pStyle w:val="BodyText"/>
        <w:spacing w:line="240" w:lineRule="auto" w:before="49"/>
        <w:ind w:left="113" w:right="4633"/>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left="113" w:right="4633"/>
        <w:jc w:val="left"/>
        <w:rPr>
          <w:b w:val="0"/>
          <w:bCs w:val="0"/>
        </w:rPr>
      </w:pPr>
      <w:r>
        <w:rPr>
          <w:rFonts w:ascii="Times New Roman" w:hAnsi="Times New Roman" w:cs="Times New Roman" w:eastAsia="Times New Roman" w:hint="default"/>
        </w:rPr>
        <w:t>11</w:t>
      </w:r>
      <w:r>
        <w:rPr/>
        <w:t>、持有待售资产</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6"/>
        <w:gridCol w:w="1368"/>
        <w:gridCol w:w="1366"/>
        <w:gridCol w:w="1368"/>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49"/>
        <w:ind w:left="113" w:right="4633"/>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left="113" w:right="4633"/>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left="113" w:right="4633"/>
        <w:jc w:val="left"/>
      </w:pPr>
      <w:r>
        <w:rPr/>
        <w:t>重要的债权投资</w:t>
      </w:r>
      <w:r>
        <w:rPr>
          <w:rFonts w:ascii="Times New Roman" w:hAnsi="Times New Roman" w:cs="Times New Roman" w:eastAsia="Times New Roman" w:hint="default"/>
        </w:rPr>
        <w:t>/</w:t>
      </w:r>
      <w:r>
        <w:rPr/>
        <w:t>其他债权投资</w:t>
      </w:r>
    </w:p>
    <w:p>
      <w:pPr>
        <w:pStyle w:val="BodyText"/>
        <w:spacing w:line="240" w:lineRule="auto" w:before="103"/>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958"/>
        <w:gridCol w:w="958"/>
        <w:gridCol w:w="958"/>
        <w:gridCol w:w="955"/>
        <w:gridCol w:w="958"/>
        <w:gridCol w:w="955"/>
        <w:gridCol w:w="958"/>
        <w:gridCol w:w="958"/>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50"/>
        <w:ind w:left="113" w:right="4633"/>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left="113" w:right="4633"/>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1020" w:right="0"/>
        </w:sectPr>
      </w:pPr>
    </w:p>
    <w:p>
      <w:pPr>
        <w:pStyle w:val="BodyText"/>
        <w:spacing w:line="240" w:lineRule="auto" w:before="44"/>
        <w:ind w:left="113" w:right="-20"/>
        <w:jc w:val="left"/>
      </w:pPr>
      <w:r>
        <w:rPr/>
        <w:t>是否已执行新收入准则</w:t>
      </w:r>
    </w:p>
    <w:p>
      <w:pPr>
        <w:pStyle w:val="BodyText"/>
        <w:spacing w:line="240" w:lineRule="auto" w:before="115"/>
        <w:ind w:left="113"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3" w:right="0"/>
        <w:jc w:val="left"/>
      </w:pPr>
      <w:r>
        <w:rPr/>
        <w:t>单位：</w:t>
      </w:r>
      <w:r>
        <w:rPr>
          <w:spacing w:val="1"/>
        </w:rPr>
        <w:t> </w:t>
      </w:r>
      <w:r>
        <w:rPr/>
        <w:t>元</w:t>
      </w:r>
    </w:p>
    <w:p>
      <w:pPr>
        <w:spacing w:after="0" w:line="240" w:lineRule="auto"/>
        <w:jc w:val="left"/>
        <w:sectPr>
          <w:type w:val="continuous"/>
          <w:pgSz w:w="11910" w:h="16840"/>
          <w:pgMar w:top="1060" w:bottom="1160" w:left="1020" w:right="0"/>
          <w:cols w:num="2" w:equalWidth="0">
            <w:col w:w="1914" w:space="6915"/>
            <w:col w:w="2061"/>
          </w:cols>
        </w:sectPr>
      </w:pPr>
    </w:p>
    <w:p>
      <w:pPr>
        <w:spacing w:line="240" w:lineRule="auto" w:before="11"/>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待认证进项税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7,299,535.50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2,647,470.44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6,796,039.85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增值税进项留抵税额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3,290,549.32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5,664,037.96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17,386,124.67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8,311,508.40</w:t>
            </w:r>
          </w:p>
        </w:tc>
      </w:tr>
    </w:tbl>
    <w:p>
      <w:pPr>
        <w:pStyle w:val="BodyText"/>
        <w:spacing w:line="240" w:lineRule="auto" w:before="49"/>
        <w:ind w:right="0"/>
        <w:jc w:val="left"/>
      </w:pPr>
      <w:r>
        <w:rPr/>
        <w:t>其他说明：</w:t>
      </w:r>
    </w:p>
    <w:p>
      <w:pPr>
        <w:pStyle w:val="BodyText"/>
        <w:spacing w:line="300" w:lineRule="auto" w:before="115"/>
        <w:ind w:right="1199" w:firstLine="504"/>
        <w:jc w:val="left"/>
      </w:pPr>
      <w:r>
        <w:rPr/>
        <w:t>（</w:t>
      </w:r>
      <w:r>
        <w:rPr>
          <w:rFonts w:ascii="Times New Roman" w:hAnsi="Times New Roman" w:cs="Times New Roman" w:eastAsia="Times New Roman" w:hint="default"/>
        </w:rPr>
        <w:t>1</w:t>
      </w:r>
      <w:r>
        <w:rPr/>
        <w:t>）公司自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日执行新金融工具准则，将原在</w:t>
      </w:r>
      <w:r>
        <w:rPr>
          <w:rFonts w:ascii="Times New Roman" w:hAnsi="Times New Roman" w:cs="Times New Roman" w:eastAsia="Times New Roman" w:hint="default"/>
        </w:rPr>
        <w:t>“</w:t>
      </w:r>
      <w:r>
        <w:rPr/>
        <w:t>其他流动资产</w:t>
      </w:r>
      <w:r>
        <w:rPr>
          <w:rFonts w:ascii="Times New Roman" w:hAnsi="Times New Roman" w:cs="Times New Roman" w:eastAsia="Times New Roman" w:hint="default"/>
        </w:rPr>
        <w:t>”</w:t>
      </w:r>
      <w:r>
        <w:rPr/>
        <w:t>中列报的金融资产调整至</w:t>
      </w:r>
      <w:r>
        <w:rPr>
          <w:rFonts w:ascii="Times New Roman" w:hAnsi="Times New Roman" w:cs="Times New Roman" w:eastAsia="Times New Roman" w:hint="default"/>
        </w:rPr>
        <w:t>“</w:t>
      </w:r>
      <w:r>
        <w:rPr/>
        <w:t>交易性金融资产</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列报。</w:t>
      </w:r>
    </w:p>
    <w:p>
      <w:pPr>
        <w:pStyle w:val="BodyText"/>
        <w:spacing w:line="240" w:lineRule="auto" w:before="31"/>
        <w:ind w:left="657" w:right="0"/>
        <w:jc w:val="left"/>
      </w:pPr>
      <w:r>
        <w:rPr/>
        <w:t>（</w:t>
      </w:r>
      <w:r>
        <w:rPr>
          <w:rFonts w:ascii="Times New Roman" w:hAnsi="Times New Roman" w:cs="Times New Roman" w:eastAsia="Times New Roman" w:hint="default"/>
        </w:rPr>
        <w:t>2</w:t>
      </w:r>
      <w:r>
        <w:rPr/>
        <w:t>）其他流动资产期末余额较期初余额增长</w:t>
      </w:r>
      <w:r>
        <w:rPr>
          <w:rFonts w:ascii="Times New Roman" w:hAnsi="Times New Roman" w:cs="Times New Roman" w:eastAsia="Times New Roman" w:hint="default"/>
        </w:rPr>
        <w:t>109.18%</w:t>
      </w:r>
      <w:r>
        <w:rPr/>
        <w:t>，主要原因是报告期内预缴企业所得税、待认证增值税进项税增</w:t>
      </w:r>
    </w:p>
    <w:p>
      <w:pPr>
        <w:pStyle w:val="BodyText"/>
        <w:spacing w:line="240" w:lineRule="auto" w:before="63"/>
        <w:ind w:right="0"/>
        <w:jc w:val="left"/>
      </w:pPr>
      <w:r>
        <w:rPr/>
        <w:t>加。</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14</w:t>
      </w:r>
      <w:r>
        <w:rPr/>
        <w:t>、债权投资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0"/>
        <w:jc w:val="left"/>
      </w:pPr>
      <w:r>
        <w:rPr/>
        <w:t>重要的债权投资</w:t>
      </w:r>
    </w:p>
    <w:p>
      <w:pPr>
        <w:pStyle w:val="BodyText"/>
        <w:spacing w:line="240" w:lineRule="auto" w:before="117"/>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5"/>
        <w:gridCol w:w="958"/>
        <w:gridCol w:w="955"/>
        <w:gridCol w:w="958"/>
        <w:gridCol w:w="958"/>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50"/>
        <w:ind w:right="0"/>
        <w:jc w:val="left"/>
      </w:pPr>
      <w:r>
        <w:rPr/>
        <w:t>减值准备计提情况</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5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9"/>
        <w:ind w:right="0"/>
        <w:jc w:val="left"/>
      </w:pPr>
      <w:r>
        <w:rPr/>
        <w:t>损失准备本期变动金额重大的账面余额变动情况</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15</w:t>
      </w:r>
      <w:r>
        <w:rPr/>
        <w:t>、其他债权投资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95"/>
        <w:gridCol w:w="1035"/>
        <w:gridCol w:w="1034"/>
        <w:gridCol w:w="1035"/>
        <w:gridCol w:w="1034"/>
        <w:gridCol w:w="1035"/>
        <w:gridCol w:w="1032"/>
        <w:gridCol w:w="1035"/>
        <w:gridCol w:w="1037"/>
      </w:tblGrid>
      <w:tr>
        <w:trPr>
          <w:trHeight w:val="1338"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2" w:right="60" w:hanging="180"/>
              <w:jc w:val="left"/>
              <w:rPr>
                <w:rFonts w:ascii="宋体" w:hAnsi="宋体" w:cs="宋体" w:eastAsia="宋体" w:hint="default"/>
                <w:sz w:val="18"/>
                <w:szCs w:val="18"/>
              </w:rPr>
            </w:pPr>
            <w:r>
              <w:rPr>
                <w:rFonts w:ascii="宋体" w:hAnsi="宋体" w:cs="宋体" w:eastAsia="宋体" w:hint="default"/>
                <w:sz w:val="18"/>
                <w:szCs w:val="18"/>
              </w:rPr>
              <w:t>本期公允价 值变动</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2" w:right="59" w:hanging="180"/>
              <w:jc w:val="left"/>
              <w:rPr>
                <w:rFonts w:ascii="宋体" w:hAnsi="宋体" w:cs="宋体" w:eastAsia="宋体" w:hint="default"/>
                <w:sz w:val="18"/>
                <w:szCs w:val="18"/>
              </w:rPr>
            </w:pPr>
            <w:r>
              <w:rPr>
                <w:rFonts w:ascii="宋体" w:hAnsi="宋体" w:cs="宋体" w:eastAsia="宋体" w:hint="default"/>
                <w:sz w:val="18"/>
                <w:szCs w:val="18"/>
              </w:rPr>
              <w:t>累计公允价 值变动</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4" w:right="59"/>
              <w:jc w:val="center"/>
              <w:rPr>
                <w:rFonts w:ascii="宋体" w:hAnsi="宋体" w:cs="宋体" w:eastAsia="宋体" w:hint="default"/>
                <w:sz w:val="18"/>
                <w:szCs w:val="18"/>
              </w:rPr>
            </w:pPr>
            <w:r>
              <w:rPr>
                <w:rFonts w:ascii="宋体" w:hAnsi="宋体" w:cs="宋体" w:eastAsia="宋体" w:hint="default"/>
                <w:sz w:val="18"/>
                <w:szCs w:val="18"/>
              </w:rPr>
              <w:t>累计在其他 综合收益中 确认的损失 准备</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9"/>
        <w:ind w:right="0"/>
        <w:jc w:val="left"/>
      </w:pPr>
      <w:r>
        <w:rPr/>
        <w:t>重要的其他债权投资</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5"/>
        <w:gridCol w:w="958"/>
        <w:gridCol w:w="955"/>
        <w:gridCol w:w="958"/>
        <w:gridCol w:w="958"/>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9"/>
        <w:ind w:right="0"/>
        <w:jc w:val="left"/>
      </w:pPr>
      <w:r>
        <w:rPr/>
        <w:t>减值准备计提情况</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5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9"/>
        <w:ind w:right="0"/>
        <w:jc w:val="left"/>
      </w:pPr>
      <w:r>
        <w:rPr/>
        <w:t>损失准备本期变动金额重大的账面余额变动情况</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7"/>
        <w:gridCol w:w="1166"/>
        <w:gridCol w:w="1167"/>
        <w:gridCol w:w="1169"/>
        <w:gridCol w:w="1167"/>
        <w:gridCol w:w="1166"/>
        <w:gridCol w:w="1164"/>
      </w:tblGrid>
      <w:tr>
        <w:trPr>
          <w:trHeight w:val="404"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1"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0"/>
        <w:jc w:val="left"/>
      </w:pPr>
      <w:r>
        <w:rPr/>
        <w:t>坏账准备减值情况</w:t>
      </w:r>
    </w:p>
    <w:p>
      <w:pPr>
        <w:pStyle w:val="BodyText"/>
        <w:spacing w:line="240" w:lineRule="auto" w:before="117"/>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5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9"/>
        <w:ind w:right="0"/>
        <w:jc w:val="left"/>
      </w:pPr>
      <w:r>
        <w:rPr/>
        <w:t>损失准备本期变动金额重大的账面余额变动情况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800"/>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4"/>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苏州博纳 讯动软件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27,202,99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2.96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835,242.4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1,842,537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29,880,77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left"/>
              <w:rPr>
                <w:rFonts w:ascii="宋体" w:hAnsi="宋体" w:cs="宋体" w:eastAsia="宋体" w:hint="default"/>
                <w:sz w:val="18"/>
                <w:szCs w:val="18"/>
              </w:rPr>
            </w:pPr>
            <w:r>
              <w:rPr>
                <w:rFonts w:ascii="宋体" w:hAnsi="宋体" w:cs="宋体" w:eastAsia="宋体" w:hint="default"/>
                <w:sz w:val="18"/>
                <w:szCs w:val="18"/>
              </w:rPr>
              <w:t>奥特酷智 能科技</w:t>
            </w:r>
          </w:p>
          <w:p>
            <w:pPr>
              <w:pStyle w:val="TableParagraph"/>
              <w:spacing w:line="316" w:lineRule="auto" w:before="19"/>
              <w:ind w:left="24" w:right="41"/>
              <w:jc w:val="left"/>
              <w:rPr>
                <w:rFonts w:ascii="宋体" w:hAnsi="宋体" w:cs="宋体" w:eastAsia="宋体" w:hint="default"/>
                <w:sz w:val="18"/>
                <w:szCs w:val="18"/>
              </w:rPr>
            </w:pPr>
            <w:r>
              <w:rPr>
                <w:rFonts w:ascii="宋体" w:hAnsi="宋体" w:cs="宋体" w:eastAsia="宋体" w:hint="default"/>
                <w:sz w:val="18"/>
                <w:szCs w:val="18"/>
              </w:rPr>
              <w:t>（南京）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19,655,88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2.16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-480,807.</w:t>
            </w:r>
          </w:p>
          <w:p>
            <w:pPr>
              <w:pStyle w:val="TableParagraph"/>
              <w:spacing w:line="240" w:lineRule="auto" w:before="102"/>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19,175,07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5.05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南京润辰 科技有限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-1,699,26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554,490.7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5,775,000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4,630,229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新维数联</w:t>
            </w:r>
          </w:p>
          <w:p>
            <w:pPr>
              <w:pStyle w:val="TableParagraph"/>
              <w:spacing w:line="316" w:lineRule="auto" w:before="74"/>
              <w:ind w:left="24" w:right="41"/>
              <w:jc w:val="both"/>
              <w:rPr>
                <w:rFonts w:ascii="宋体" w:hAnsi="宋体" w:cs="宋体" w:eastAsia="宋体" w:hint="default"/>
                <w:sz w:val="18"/>
                <w:szCs w:val="18"/>
              </w:rPr>
            </w:pPr>
            <w:r>
              <w:rPr>
                <w:rFonts w:ascii="宋体" w:hAnsi="宋体" w:cs="宋体" w:eastAsia="宋体" w:hint="default"/>
                <w:sz w:val="18"/>
                <w:szCs w:val="18"/>
              </w:rPr>
              <w:t>（北京） 科技有限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-1,799,07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2.55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28,200,92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7.45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江苏鑫合 易家信息 技术有限 责任公司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158,651.0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7,428,920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7,587,572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46,858,87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-2,985,24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2,397,028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43,203,92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0.93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89,474,57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6.86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46,858,87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-2,985,24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2,397,028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43,203,92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0.93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89,474,57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6.86</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pStyle w:val="BodyText"/>
        <w:spacing w:line="240" w:lineRule="auto" w:before="115"/>
        <w:ind w:left="657" w:right="0"/>
        <w:jc w:val="left"/>
      </w:pPr>
      <w:r>
        <w:rPr/>
        <w:t>（</w:t>
      </w:r>
      <w:r>
        <w:rPr>
          <w:rFonts w:ascii="Times New Roman" w:hAnsi="Times New Roman" w:cs="Times New Roman" w:eastAsia="Times New Roman" w:hint="default"/>
        </w:rPr>
        <w:t>1</w:t>
      </w:r>
      <w:r>
        <w:rPr/>
        <w:t>）苏州博纳讯动软件有限公司其他权益变动系该公司本期增资扩股，本公司相应确认其他权益变动</w:t>
      </w:r>
      <w:r>
        <w:rPr>
          <w:rFonts w:ascii="Times New Roman" w:hAnsi="Times New Roman" w:cs="Times New Roman" w:eastAsia="Times New Roman" w:hint="default"/>
        </w:rPr>
        <w:t>1,842,537.78</w:t>
      </w:r>
      <w:r>
        <w:rPr/>
        <w:t>元。</w:t>
      </w:r>
    </w:p>
    <w:p>
      <w:pPr>
        <w:pStyle w:val="BodyText"/>
        <w:spacing w:line="300" w:lineRule="auto" w:before="63"/>
        <w:ind w:right="1123" w:firstLine="504"/>
        <w:jc w:val="left"/>
      </w:pPr>
      <w:r>
        <w:rPr>
          <w:spacing w:val="-1"/>
        </w:rPr>
        <w:t>（</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11</w:t>
      </w:r>
      <w:r>
        <w:rPr>
          <w:spacing w:val="-1"/>
        </w:rPr>
        <w:t>日，公司与南京润辰科技有限公司（以下简称</w:t>
      </w:r>
      <w:r>
        <w:rPr>
          <w:rFonts w:ascii="Times New Roman" w:hAnsi="Times New Roman" w:cs="Times New Roman" w:eastAsia="Times New Roman" w:hint="default"/>
          <w:spacing w:val="-1"/>
        </w:rPr>
        <w:t>“</w:t>
      </w:r>
      <w:r>
        <w:rPr>
          <w:spacing w:val="-1"/>
        </w:rPr>
        <w:t>润辰科技</w:t>
      </w:r>
      <w:r>
        <w:rPr>
          <w:rFonts w:ascii="Times New Roman" w:hAnsi="Times New Roman" w:cs="Times New Roman" w:eastAsia="Times New Roman" w:hint="default"/>
          <w:spacing w:val="-1"/>
        </w:rPr>
        <w:t>”</w:t>
      </w:r>
      <w:r>
        <w:rPr>
          <w:spacing w:val="-1"/>
        </w:rPr>
        <w:t>）股东南京润创信息科技合伙企业（有限</w:t>
      </w:r>
      <w:r>
        <w:rPr/>
        <w:t> </w:t>
      </w:r>
      <w:r>
        <w:rPr>
          <w:spacing w:val="-2"/>
        </w:rPr>
        <w:t>合伙）（以下简称</w:t>
      </w:r>
      <w:r>
        <w:rPr>
          <w:rFonts w:ascii="Times New Roman" w:hAnsi="Times New Roman" w:cs="Times New Roman" w:eastAsia="Times New Roman" w:hint="default"/>
          <w:spacing w:val="-2"/>
        </w:rPr>
        <w:t>“</w:t>
      </w:r>
      <w:r>
        <w:rPr>
          <w:spacing w:val="-2"/>
        </w:rPr>
        <w:t>润创信息</w:t>
      </w:r>
      <w:r>
        <w:rPr>
          <w:rFonts w:ascii="Times New Roman" w:hAnsi="Times New Roman" w:cs="Times New Roman" w:eastAsia="Times New Roman" w:hint="default"/>
          <w:spacing w:val="-2"/>
        </w:rPr>
        <w:t>”</w:t>
      </w:r>
      <w:r>
        <w:rPr>
          <w:spacing w:val="-2"/>
        </w:rPr>
        <w:t>）签署了《股权转让协议》，公司将持有的润辰科技的</w:t>
      </w:r>
      <w:r>
        <w:rPr>
          <w:rFonts w:ascii="Times New Roman" w:hAnsi="Times New Roman" w:cs="Times New Roman" w:eastAsia="Times New Roman" w:hint="default"/>
          <w:spacing w:val="-2"/>
        </w:rPr>
        <w:t>35.75%</w:t>
      </w:r>
      <w:r>
        <w:rPr>
          <w:spacing w:val="-2"/>
        </w:rPr>
        <w:t>股权转让给润创信息，同日公司</w:t>
      </w:r>
      <w:r>
        <w:rPr>
          <w:spacing w:val="-54"/>
        </w:rPr>
        <w:t> </w:t>
      </w:r>
      <w:r>
        <w:rPr>
          <w:spacing w:val="-54"/>
        </w:rPr>
      </w:r>
      <w:r>
        <w:rPr/>
        <w:t>召开第五届董事会第四十六次会议审议通过相关议案。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月已完成上述工商变更及股权交割手续。本次交易完成后， 公司持有润辰科技</w:t>
      </w:r>
      <w:r>
        <w:rPr>
          <w:rFonts w:ascii="Times New Roman" w:hAnsi="Times New Roman" w:cs="Times New Roman" w:eastAsia="Times New Roman" w:hint="default"/>
        </w:rPr>
        <w:t>19.25%</w:t>
      </w:r>
      <w:r>
        <w:rPr/>
        <w:t>的股权，润辰科技成为公司的参股公司。根据润辰科技章程规定，公司设立董事会，董事会成员 为</w:t>
      </w:r>
      <w:r>
        <w:rPr>
          <w:rFonts w:ascii="Times New Roman" w:hAnsi="Times New Roman" w:cs="Times New Roman" w:eastAsia="Times New Roman" w:hint="default"/>
        </w:rPr>
        <w:t>5</w:t>
      </w:r>
      <w:r>
        <w:rPr/>
        <w:t>人，润辰科技于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日召开董事会会议，选取本公司董事、高级副总裁刘延新为润辰科技董事长及法定代表人， 因此本公司对被投资单位生产经营决策有重大影响，对润辰科技的长期股权投资由成本法转为权益法核算。截止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31</w:t>
      </w:r>
      <w:r>
        <w:rPr/>
        <w:t>日，公司已出资</w:t>
      </w:r>
      <w:r>
        <w:rPr>
          <w:rFonts w:ascii="Times New Roman" w:hAnsi="Times New Roman" w:cs="Times New Roman" w:eastAsia="Times New Roman" w:hint="default"/>
        </w:rPr>
        <w:t>5,775,000.00</w:t>
      </w:r>
      <w:r>
        <w:rPr/>
        <w:t>元。</w:t>
      </w:r>
    </w:p>
    <w:p>
      <w:pPr>
        <w:pStyle w:val="BodyText"/>
        <w:spacing w:line="240" w:lineRule="auto" w:before="13"/>
        <w:ind w:left="657" w:right="0"/>
        <w:jc w:val="left"/>
      </w:pPr>
      <w:r>
        <w:rPr/>
        <w:t>（</w:t>
      </w:r>
      <w:r>
        <w:rPr>
          <w:rFonts w:ascii="Times New Roman" w:hAnsi="Times New Roman" w:cs="Times New Roman" w:eastAsia="Times New Roman" w:hint="default"/>
        </w:rPr>
        <w:t>3</w:t>
      </w:r>
      <w:r>
        <w:rPr/>
        <w:t>）润辰科技其他权益变动系该公司本期增资扩股，本公司相应确认其他权益变动</w:t>
      </w:r>
      <w:r>
        <w:rPr>
          <w:rFonts w:ascii="Times New Roman" w:hAnsi="Times New Roman" w:cs="Times New Roman" w:eastAsia="Times New Roman" w:hint="default"/>
        </w:rPr>
        <w:t>554,490.73</w:t>
      </w:r>
      <w:r>
        <w:rPr/>
        <w:t>元。</w:t>
      </w:r>
    </w:p>
    <w:p>
      <w:pPr>
        <w:pStyle w:val="BodyText"/>
        <w:spacing w:line="300" w:lineRule="auto" w:before="63"/>
        <w:ind w:right="0" w:firstLine="504"/>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日，根据新维数联股东王杰与本公司签订的解除表决权委托的协议，王杰不再将其持有的新维数联 </w:t>
      </w:r>
      <w:r>
        <w:rPr>
          <w:spacing w:val="-2"/>
        </w:rPr>
        <w:t>全部</w:t>
      </w:r>
      <w:r>
        <w:rPr>
          <w:rFonts w:ascii="Times New Roman" w:hAnsi="Times New Roman" w:cs="Times New Roman" w:eastAsia="Times New Roman" w:hint="default"/>
          <w:spacing w:val="-2"/>
        </w:rPr>
        <w:t>36.953%</w:t>
      </w:r>
      <w:r>
        <w:rPr>
          <w:spacing w:val="-2"/>
        </w:rPr>
        <w:t>股权对应股东会表决权委托予本公司。公司持有新维数联</w:t>
      </w:r>
      <w:r>
        <w:rPr>
          <w:rFonts w:ascii="Times New Roman" w:hAnsi="Times New Roman" w:cs="Times New Roman" w:eastAsia="Times New Roman" w:hint="default"/>
          <w:spacing w:val="-2"/>
        </w:rPr>
        <w:t>30%</w:t>
      </w:r>
      <w:r>
        <w:rPr>
          <w:spacing w:val="-2"/>
        </w:rPr>
        <w:t>股权，新维数联不再纳入公司合并财务报表范围，</w:t>
      </w:r>
      <w:r>
        <w:rPr>
          <w:spacing w:val="-40"/>
        </w:rPr>
        <w:t> </w:t>
      </w:r>
      <w:r>
        <w:rPr>
          <w:spacing w:val="-40"/>
        </w:rPr>
      </w:r>
      <w:r>
        <w:rPr/>
        <w:t>对新维数联的长期股权投资由成本法转为权益法核算。截止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日，公司已出资</w:t>
      </w:r>
      <w:r>
        <w:rPr>
          <w:rFonts w:ascii="Times New Roman" w:hAnsi="Times New Roman" w:cs="Times New Roman" w:eastAsia="Times New Roman" w:hint="default"/>
        </w:rPr>
        <w:t>30,000,000.00</w:t>
      </w:r>
      <w:r>
        <w:rPr/>
        <w:t>元。</w:t>
      </w:r>
    </w:p>
    <w:p>
      <w:pPr>
        <w:spacing w:after="0" w:line="30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9" w:lineRule="auto" w:before="44"/>
        <w:ind w:right="0" w:firstLine="504"/>
        <w:jc w:val="left"/>
      </w:pPr>
      <w:r>
        <w:rPr/>
        <w:t>（</w:t>
      </w:r>
      <w:r>
        <w:rPr>
          <w:rFonts w:ascii="Times New Roman" w:hAnsi="Times New Roman" w:cs="Times New Roman" w:eastAsia="Times New Roman" w:hint="default"/>
        </w:rPr>
        <w:t>5</w:t>
      </w:r>
      <w:r>
        <w:rPr/>
        <w:t>）根据江苏鑫合易家信息技术有限责任公司（以下简称</w:t>
      </w:r>
      <w:r>
        <w:rPr>
          <w:rFonts w:ascii="Times New Roman" w:hAnsi="Times New Roman" w:cs="Times New Roman" w:eastAsia="Times New Roman" w:hint="default"/>
        </w:rPr>
        <w:t>“</w:t>
      </w:r>
      <w:r>
        <w:rPr/>
        <w:t>鑫合易家</w:t>
      </w:r>
      <w:r>
        <w:rPr>
          <w:rFonts w:ascii="Times New Roman" w:hAnsi="Times New Roman" w:cs="Times New Roman" w:eastAsia="Times New Roman" w:hint="default"/>
        </w:rPr>
        <w:t>”</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日最新股东会决议，鑫合易家增 </w:t>
      </w:r>
      <w:r>
        <w:rPr>
          <w:spacing w:val="-2"/>
        </w:rPr>
        <w:t>设董事会，本公司董事会秘书胡传高先生为鑫合易家第一届董事会董事成员之一，本公司对鑫合易家具有重大影响，将对鑫</w:t>
      </w:r>
      <w:r>
        <w:rPr>
          <w:spacing w:val="-63"/>
        </w:rPr>
        <w:t> </w:t>
      </w:r>
      <w:r>
        <w:rPr>
          <w:spacing w:val="-63"/>
        </w:rPr>
      </w:r>
      <w:r>
        <w:rPr/>
        <w:t>合易家的股权投资由</w:t>
      </w:r>
      <w:r>
        <w:rPr>
          <w:rFonts w:ascii="Times New Roman" w:hAnsi="Times New Roman" w:cs="Times New Roman" w:eastAsia="Times New Roman" w:hint="default"/>
        </w:rPr>
        <w:t>“</w:t>
      </w:r>
      <w:r>
        <w:rPr/>
        <w:t>其他权益工具投资</w:t>
      </w:r>
      <w:r>
        <w:rPr>
          <w:rFonts w:ascii="Times New Roman" w:hAnsi="Times New Roman" w:cs="Times New Roman" w:eastAsia="Times New Roman" w:hint="default"/>
        </w:rPr>
        <w:t>”</w:t>
      </w:r>
      <w:r>
        <w:rPr/>
        <w:t>转列</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w:t>
      </w:r>
      <w:r>
        <w:rPr/>
        <w:t>核算。</w:t>
      </w:r>
    </w:p>
    <w:p>
      <w:pPr>
        <w:pStyle w:val="BodyText"/>
        <w:spacing w:line="312" w:lineRule="auto" w:before="5"/>
        <w:ind w:right="0" w:firstLine="504"/>
        <w:jc w:val="left"/>
      </w:pPr>
      <w:r>
        <w:rPr>
          <w:spacing w:val="-2"/>
        </w:rPr>
        <w:t>（</w:t>
      </w:r>
      <w:r>
        <w:rPr>
          <w:rFonts w:ascii="Times New Roman" w:hAnsi="Times New Roman" w:cs="Times New Roman" w:eastAsia="Times New Roman" w:hint="default"/>
          <w:spacing w:val="-2"/>
        </w:rPr>
        <w:t>6</w:t>
      </w:r>
      <w:r>
        <w:rPr>
          <w:spacing w:val="-2"/>
        </w:rPr>
        <w:t>）长期股权投资期末余额较期初余额增长</w:t>
      </w:r>
      <w:r>
        <w:rPr>
          <w:rFonts w:ascii="Times New Roman" w:hAnsi="Times New Roman" w:cs="Times New Roman" w:eastAsia="Times New Roman" w:hint="default"/>
          <w:spacing w:val="-2"/>
        </w:rPr>
        <w:t>90.94%</w:t>
      </w:r>
      <w:r>
        <w:rPr>
          <w:spacing w:val="-2"/>
        </w:rPr>
        <w:t>，主要原因是：①本期公司转让润辰科技部分股权后丧失控制权，</w:t>
      </w:r>
      <w:r>
        <w:rPr/>
        <w:t> </w:t>
      </w:r>
      <w:r>
        <w:rPr>
          <w:spacing w:val="-2"/>
        </w:rPr>
        <w:t>不再将其纳入合并财务报表范围；②本期公司对新维数联表决权发生变化，由原控制变化为重大影响，新维数联不再纳入合</w:t>
      </w:r>
      <w:r>
        <w:rPr>
          <w:spacing w:val="-63"/>
        </w:rPr>
        <w:t> </w:t>
      </w:r>
      <w:r>
        <w:rPr>
          <w:spacing w:val="-63"/>
        </w:rPr>
      </w:r>
      <w:r>
        <w:rPr>
          <w:spacing w:val="-2"/>
        </w:rPr>
        <w:t>并财务报表范围；③本期公司对鑫合易家的股权投资由原不具有控制、共同控制和重大影响变化为具有重大影响，该投资由</w:t>
      </w:r>
      <w:r>
        <w:rPr>
          <w:spacing w:val="-62"/>
        </w:rPr>
        <w:t> </w:t>
      </w:r>
      <w:r>
        <w:rPr>
          <w:spacing w:val="-62"/>
        </w:rPr>
      </w:r>
      <w:r>
        <w:rPr>
          <w:rFonts w:ascii="Times New Roman" w:hAnsi="Times New Roman" w:cs="Times New Roman" w:eastAsia="Times New Roman" w:hint="default"/>
        </w:rPr>
        <w:t>“</w:t>
      </w:r>
      <w:r>
        <w:rPr/>
        <w:t>其他权益工具投资</w:t>
      </w:r>
      <w:r>
        <w:rPr>
          <w:rFonts w:ascii="Times New Roman" w:hAnsi="Times New Roman" w:cs="Times New Roman" w:eastAsia="Times New Roman" w:hint="default"/>
        </w:rPr>
        <w:t>”</w:t>
      </w:r>
      <w:r>
        <w:rPr/>
        <w:t>转列</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w:t>
      </w:r>
      <w:r>
        <w:rPr/>
        <w:t>核算。以上三项均增加了</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w:t>
      </w:r>
      <w:r>
        <w:rPr/>
        <w:t>项目余额。</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18</w:t>
      </w:r>
      <w:r>
        <w:rPr/>
        <w:t>、其他权益工具投资</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江苏民营投资控股有限公司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江苏开拓信息与系统有限公司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6,508,355.32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6,508,355.32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4"/>
                <w:sz w:val="18"/>
              </w:rPr>
              <w:t>NEVADA </w:t>
            </w:r>
            <w:r>
              <w:rPr>
                <w:rFonts w:ascii="Times New Roman"/>
                <w:sz w:val="18"/>
              </w:rPr>
              <w:t>NANOTECH SYSTEMS</w:t>
            </w:r>
            <w:r>
              <w:rPr>
                <w:rFonts w:ascii="Times New Roman"/>
                <w:spacing w:val="-13"/>
                <w:sz w:val="18"/>
              </w:rPr>
              <w:t> </w:t>
            </w:r>
            <w:r>
              <w:rPr>
                <w:rFonts w:ascii="Times New Roman"/>
                <w:sz w:val="18"/>
              </w:rPr>
              <w:t>INC.</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7,129,167.14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6,884,029.81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江苏鑫合易家信息技术有限责任公司</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233,637,522.46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20,892,385.13</w:t>
            </w:r>
          </w:p>
        </w:tc>
      </w:tr>
    </w:tbl>
    <w:p>
      <w:pPr>
        <w:pStyle w:val="BodyText"/>
        <w:spacing w:line="240" w:lineRule="auto" w:before="49"/>
        <w:ind w:right="0"/>
        <w:jc w:val="left"/>
      </w:pPr>
      <w:r>
        <w:rPr/>
        <w:t>分项披露本期非交易性权益工具投资</w:t>
      </w:r>
    </w:p>
    <w:p>
      <w:pPr>
        <w:pStyle w:val="BodyText"/>
        <w:spacing w:line="240" w:lineRule="auto" w:before="117"/>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133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7" w:right="50"/>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7" w:right="47"/>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72"/>
              <w:jc w:val="left"/>
              <w:rPr>
                <w:rFonts w:ascii="宋体" w:hAnsi="宋体" w:cs="宋体" w:eastAsia="宋体" w:hint="default"/>
                <w:sz w:val="18"/>
                <w:szCs w:val="18"/>
              </w:rPr>
            </w:pPr>
            <w:r>
              <w:rPr>
                <w:rFonts w:ascii="宋体" w:hAnsi="宋体" w:cs="宋体" w:eastAsia="宋体" w:hint="default"/>
                <w:sz w:val="18"/>
                <w:szCs w:val="18"/>
              </w:rPr>
              <w:t>江苏民营投资控 股有限公司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管理层基于股权 投资业务模式和 未来现金流量特 征指定</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72"/>
              <w:jc w:val="left"/>
              <w:rPr>
                <w:rFonts w:ascii="宋体" w:hAnsi="宋体" w:cs="宋体" w:eastAsia="宋体" w:hint="default"/>
                <w:sz w:val="18"/>
                <w:szCs w:val="18"/>
              </w:rPr>
            </w:pPr>
            <w:r>
              <w:rPr>
                <w:rFonts w:ascii="宋体" w:hAnsi="宋体" w:cs="宋体" w:eastAsia="宋体" w:hint="default"/>
                <w:sz w:val="18"/>
                <w:szCs w:val="18"/>
              </w:rPr>
              <w:t>江苏开拓信息与 系统有限公司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both"/>
              <w:rPr>
                <w:rFonts w:ascii="宋体" w:hAnsi="宋体" w:cs="宋体" w:eastAsia="宋体" w:hint="default"/>
                <w:sz w:val="18"/>
                <w:szCs w:val="18"/>
              </w:rPr>
            </w:pPr>
            <w:r>
              <w:rPr>
                <w:rFonts w:ascii="宋体" w:hAnsi="宋体" w:cs="宋体" w:eastAsia="宋体" w:hint="default"/>
                <w:sz w:val="18"/>
                <w:szCs w:val="18"/>
              </w:rPr>
              <w:t>管理层基于股权 投资业务模式和 未来现金流量特 征指定</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4" w:right="121"/>
              <w:jc w:val="left"/>
              <w:rPr>
                <w:rFonts w:ascii="Times New Roman" w:hAnsi="Times New Roman" w:cs="Times New Roman" w:eastAsia="Times New Roman" w:hint="default"/>
                <w:sz w:val="18"/>
                <w:szCs w:val="18"/>
              </w:rPr>
            </w:pPr>
            <w:r>
              <w:rPr>
                <w:rFonts w:ascii="Times New Roman"/>
                <w:spacing w:val="-4"/>
                <w:sz w:val="18"/>
              </w:rPr>
              <w:t>NEVADA</w:t>
            </w:r>
            <w:r>
              <w:rPr>
                <w:rFonts w:ascii="Times New Roman"/>
                <w:w w:val="99"/>
                <w:sz w:val="18"/>
              </w:rPr>
              <w:t> </w:t>
            </w:r>
            <w:r>
              <w:rPr>
                <w:rFonts w:ascii="Times New Roman"/>
                <w:sz w:val="18"/>
              </w:rPr>
              <w:t>NANOTECH</w:t>
            </w:r>
            <w:r>
              <w:rPr>
                <w:rFonts w:ascii="Times New Roman"/>
                <w:sz w:val="18"/>
              </w:rPr>
              <w:t> SYSTEMS</w:t>
            </w:r>
            <w:r>
              <w:rPr>
                <w:rFonts w:ascii="Times New Roman"/>
                <w:spacing w:val="-4"/>
                <w:sz w:val="18"/>
              </w:rPr>
              <w:t> </w:t>
            </w:r>
            <w:r>
              <w:rPr>
                <w:rFonts w:ascii="Times New Roman"/>
                <w:sz w:val="18"/>
              </w:rPr>
              <w:t>INC.</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管理层基于股权 投资业务模式和 未来现金流量特 征指定</w:t>
            </w: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pStyle w:val="BodyText"/>
        <w:spacing w:line="300" w:lineRule="auto" w:before="115"/>
        <w:ind w:right="1135" w:firstLine="504"/>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日，公司第五届董事会第四十二次会议审议通过《关于公司增资参股江苏民营投资控股有限公司 的议案》，公司以自有资金共计</w:t>
      </w:r>
      <w:r>
        <w:rPr>
          <w:rFonts w:ascii="Times New Roman" w:hAnsi="Times New Roman" w:cs="Times New Roman" w:eastAsia="Times New Roman" w:hint="default"/>
        </w:rPr>
        <w:t>220,000,000.00</w:t>
      </w:r>
      <w:r>
        <w:rPr/>
        <w:t>元人民币向江苏民营投资控股有限公司（以下简称</w:t>
      </w:r>
      <w:r>
        <w:rPr>
          <w:rFonts w:ascii="Times New Roman" w:hAnsi="Times New Roman" w:cs="Times New Roman" w:eastAsia="Times New Roman" w:hint="default"/>
        </w:rPr>
        <w:t>“</w:t>
      </w:r>
      <w:r>
        <w:rPr/>
        <w:t>苏民投</w:t>
      </w:r>
      <w:r>
        <w:rPr>
          <w:rFonts w:ascii="Times New Roman" w:hAnsi="Times New Roman" w:cs="Times New Roman" w:eastAsia="Times New Roman" w:hint="default"/>
        </w:rPr>
        <w:t>”</w:t>
      </w:r>
      <w:r>
        <w:rPr/>
        <w:t>）增资。本次增 </w:t>
      </w:r>
      <w:r>
        <w:rPr>
          <w:spacing w:val="-1"/>
        </w:rPr>
        <w:t>资完成后，公司持有苏民投</w:t>
      </w:r>
      <w:r>
        <w:rPr>
          <w:rFonts w:ascii="Times New Roman" w:hAnsi="Times New Roman" w:cs="Times New Roman" w:eastAsia="Times New Roman" w:hint="default"/>
          <w:spacing w:val="-1"/>
        </w:rPr>
        <w:t>2%</w:t>
      </w:r>
      <w:r>
        <w:rPr>
          <w:spacing w:val="-1"/>
        </w:rPr>
        <w:t>的股权，苏民投成为公司的参股公司。截止</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日，公司已出资</w:t>
      </w:r>
      <w:r>
        <w:rPr>
          <w:rFonts w:ascii="Times New Roman" w:hAnsi="Times New Roman" w:cs="Times New Roman" w:eastAsia="Times New Roman" w:hint="default"/>
          <w:spacing w:val="-1"/>
        </w:rPr>
        <w:t>220,000,000.00</w:t>
      </w:r>
      <w:r>
        <w:rPr>
          <w:spacing w:val="-1"/>
        </w:rPr>
        <w:t>元人</w:t>
      </w:r>
      <w:r>
        <w:rPr>
          <w:spacing w:val="-49"/>
        </w:rPr>
        <w:t> </w:t>
      </w:r>
      <w:r>
        <w:rPr/>
        <w:t>民币。</w:t>
      </w:r>
    </w:p>
    <w:p>
      <w:pPr>
        <w:pStyle w:val="BodyText"/>
        <w:spacing w:line="240" w:lineRule="auto" w:before="31"/>
        <w:ind w:left="657" w:right="0"/>
        <w:jc w:val="left"/>
      </w:pPr>
      <w:r>
        <w:rPr/>
        <w:t>（</w:t>
      </w:r>
      <w:r>
        <w:rPr>
          <w:rFonts w:ascii="Times New Roman" w:hAnsi="Times New Roman" w:cs="Times New Roman" w:eastAsia="Times New Roman" w:hint="default"/>
        </w:rPr>
        <w:t>2</w:t>
      </w:r>
      <w:r>
        <w:rPr/>
        <w:t>）公司自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日执行新金融工具准则，将原在</w:t>
      </w:r>
      <w:r>
        <w:rPr>
          <w:rFonts w:ascii="Times New Roman" w:hAnsi="Times New Roman" w:cs="Times New Roman" w:eastAsia="Times New Roman" w:hint="default"/>
        </w:rPr>
        <w:t>“</w:t>
      </w:r>
      <w:r>
        <w:rPr/>
        <w:t>可供出售金融资产</w:t>
      </w:r>
      <w:r>
        <w:rPr>
          <w:rFonts w:ascii="Times New Roman" w:hAnsi="Times New Roman" w:cs="Times New Roman" w:eastAsia="Times New Roman" w:hint="default"/>
        </w:rPr>
        <w:t>”</w:t>
      </w:r>
      <w:r>
        <w:rPr/>
        <w:t>中列报的金融资产重分类至</w:t>
      </w:r>
      <w:r>
        <w:rPr>
          <w:rFonts w:ascii="Times New Roman" w:hAnsi="Times New Roman" w:cs="Times New Roman" w:eastAsia="Times New Roman" w:hint="default"/>
        </w:rPr>
        <w:t>“</w:t>
      </w:r>
      <w:r>
        <w:rPr/>
        <w:t>其他权益工</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具投资</w:t>
      </w:r>
      <w:r>
        <w:rPr>
          <w:rFonts w:ascii="Times New Roman" w:hAnsi="Times New Roman" w:cs="Times New Roman" w:eastAsia="Times New Roman" w:hint="default"/>
        </w:rPr>
        <w:t>”</w:t>
      </w:r>
      <w:r>
        <w:rPr/>
        <w:t>列报。</w:t>
      </w:r>
    </w:p>
    <w:p>
      <w:pPr>
        <w:pStyle w:val="BodyText"/>
        <w:spacing w:line="300" w:lineRule="auto" w:before="63"/>
        <w:ind w:right="1144" w:firstLine="504"/>
        <w:jc w:val="left"/>
      </w:pPr>
      <w:r>
        <w:rPr/>
        <w:t>（</w:t>
      </w:r>
      <w:r>
        <w:rPr>
          <w:rFonts w:ascii="Times New Roman" w:hAnsi="Times New Roman" w:cs="Times New Roman" w:eastAsia="Times New Roman" w:hint="default"/>
        </w:rPr>
        <w:t>3</w:t>
      </w:r>
      <w:r>
        <w:rPr/>
        <w:t>）其他权益工具投资期末余额较期初余额增长</w:t>
      </w:r>
      <w:r>
        <w:rPr>
          <w:rFonts w:ascii="Times New Roman" w:hAnsi="Times New Roman" w:cs="Times New Roman" w:eastAsia="Times New Roman" w:hint="default"/>
        </w:rPr>
        <w:t>1018.29%</w:t>
      </w:r>
      <w:r>
        <w:rPr/>
        <w:t>，主要原因是本期新增对江苏民营投资控股有限公司的股 权投资。</w:t>
      </w: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19</w:t>
      </w:r>
      <w:r>
        <w:rPr/>
        <w:t>、其他非流动金融资产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20</w:t>
      </w:r>
      <w:r>
        <w:rPr/>
        <w:t>、投资性房地产</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21</w:t>
      </w:r>
      <w:r>
        <w:rPr/>
        <w:t>、固定资产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613,875,908.21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630,185,392.19</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613,875,908.21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630,185,392.19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663,302,168.83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8,163,669.88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61,101,630.21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732,567,468.92</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1,960,517.86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1,165,514.67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8,641,541.94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11,767,574.47</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1,165,514.67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8,641,541.94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9,807,056.61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）在建工程转入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1,960,517.86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1,960,517.86</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2,421,264.99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685,019.26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4,367,824.06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7,474,108.31</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685,019.26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4,341,064.23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5,026,083.49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）处置子公司</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2,798.95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2,798.95</w:t>
            </w: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）外币报表折</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算差额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23,960.88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23,960.88</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2,421,264.99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2,421,264.99</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662,841,421.70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8,644,165.29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65,375,348.09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736,860,935.08</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60,809,205.74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5,468,155.42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36,104,715.57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102,382,076.73</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16,149,043.53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894,291.38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7,681,200.82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24,724,535.73</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16,149,043.53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894,291.38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7,681,200.82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24,724,535.73</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650,768.40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3,470,817.19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4,121,585.59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650,768.40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3,500,330.12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4,151,098.52</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）处置子公司</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310.24</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）外币报表折</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算</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-29,823.17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-29,823.17</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76,958,249.27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5,711,678.40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40,315,099.20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122,985,026.87</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585,883,172.43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2,932,486.89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25,060,248.89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613,875,908.21</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602,492,963.09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2,695,514.46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24,996,914.64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630,185,392.19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3"/>
        <w:rPr>
          <w:rFonts w:ascii="Times New Roman" w:hAnsi="Times New Roman" w:cs="Times New Roman" w:eastAsia="Times New Roman" w:hint="default"/>
          <w:sz w:val="28"/>
          <w:szCs w:val="28"/>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7"/>
        <w:gridCol w:w="1594"/>
        <w:gridCol w:w="1596"/>
        <w:gridCol w:w="1594"/>
        <w:gridCol w:w="1594"/>
      </w:tblGrid>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331,109,190.53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0"/>
        <w:jc w:val="left"/>
      </w:pPr>
      <w:r>
        <w:rPr/>
        <w:t>其他说明</w:t>
      </w:r>
    </w:p>
    <w:p>
      <w:pPr>
        <w:pStyle w:val="BodyText"/>
        <w:spacing w:line="240" w:lineRule="auto" w:before="115"/>
        <w:ind w:left="657" w:right="0"/>
        <w:jc w:val="left"/>
      </w:pPr>
      <w:r>
        <w:rPr/>
        <w:t>（</w:t>
      </w:r>
      <w:r>
        <w:rPr>
          <w:rFonts w:ascii="Times New Roman" w:hAnsi="Times New Roman" w:cs="Times New Roman" w:eastAsia="Times New Roman" w:hint="default"/>
        </w:rPr>
        <w:t>1</w:t>
      </w:r>
      <w:r>
        <w:rPr/>
        <w:t>）本公司子公司外包园公司固定资产</w:t>
      </w:r>
      <w:r>
        <w:rPr>
          <w:rFonts w:ascii="Times New Roman" w:hAnsi="Times New Roman" w:cs="Times New Roman" w:eastAsia="Times New Roman" w:hint="default"/>
        </w:rPr>
        <w:t>2019</w:t>
      </w:r>
      <w:r>
        <w:rPr/>
        <w:t>年末账面价值为</w:t>
      </w:r>
      <w:r>
        <w:rPr>
          <w:rFonts w:ascii="Times New Roman" w:hAnsi="Times New Roman" w:cs="Times New Roman" w:eastAsia="Times New Roman" w:hint="default"/>
        </w:rPr>
        <w:t>570,743,056.88</w:t>
      </w:r>
      <w:r>
        <w:rPr/>
        <w:t>元的房屋建筑物已用作银行借款的抵押</w:t>
      </w:r>
    </w:p>
    <w:p>
      <w:pPr>
        <w:pStyle w:val="BodyText"/>
        <w:spacing w:line="240" w:lineRule="auto" w:before="63"/>
        <w:ind w:right="0"/>
        <w:jc w:val="left"/>
      </w:pPr>
      <w:r>
        <w:rPr/>
        <w:t>物。</w:t>
      </w:r>
    </w:p>
    <w:p>
      <w:pPr>
        <w:pStyle w:val="BodyText"/>
        <w:spacing w:line="240" w:lineRule="auto" w:before="76"/>
        <w:ind w:left="657" w:right="0"/>
        <w:jc w:val="left"/>
      </w:pPr>
      <w:r>
        <w:rPr/>
        <w:t>（</w:t>
      </w:r>
      <w:r>
        <w:rPr>
          <w:rFonts w:ascii="Times New Roman" w:hAnsi="Times New Roman" w:cs="Times New Roman" w:eastAsia="Times New Roman" w:hint="default"/>
        </w:rPr>
        <w:t>2</w:t>
      </w:r>
      <w:r>
        <w:rPr/>
        <w:t>）年末固定资产没有发生减值的情形，故未计提固定资产减值准备。</w:t>
      </w:r>
    </w:p>
    <w:p>
      <w:pPr>
        <w:spacing w:line="240" w:lineRule="auto" w:before="5"/>
        <w:rPr>
          <w:rFonts w:ascii="宋体" w:hAnsi="宋体" w:cs="宋体" w:eastAsia="宋体" w:hint="default"/>
          <w:sz w:val="23"/>
          <w:szCs w:val="23"/>
        </w:rPr>
      </w:pPr>
    </w:p>
    <w:p>
      <w:pPr>
        <w:pStyle w:val="Heading3"/>
        <w:spacing w:line="335" w:lineRule="exact"/>
        <w:ind w:right="0"/>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22</w:t>
      </w:r>
      <w:r>
        <w:rPr/>
        <w:t>、在建工程</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55,045.87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59,537.93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55,045.87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59,537.93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装修、绿化工程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55,045.87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55,045.87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59,537.93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59,537.93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55,045.87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55,045.87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59,537.93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59,537.93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5"/>
        <w:gridCol w:w="737"/>
        <w:gridCol w:w="737"/>
        <w:gridCol w:w="735"/>
        <w:gridCol w:w="737"/>
        <w:gridCol w:w="737"/>
        <w:gridCol w:w="735"/>
        <w:gridCol w:w="737"/>
        <w:gridCol w:w="737"/>
        <w:gridCol w:w="735"/>
        <w:gridCol w:w="737"/>
      </w:tblGrid>
      <w:tr>
        <w:trPr>
          <w:trHeight w:val="1339"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11"/>
                <w:sz w:val="18"/>
                <w:szCs w:val="18"/>
              </w:rPr>
              <w:t>装修、绿</w:t>
            </w:r>
            <w:r>
              <w:rPr>
                <w:rFonts w:ascii="宋体" w:hAnsi="宋体" w:cs="宋体" w:eastAsia="宋体" w:hint="default"/>
                <w:sz w:val="18"/>
                <w:szCs w:val="18"/>
              </w:rPr>
              <w:t> 化工程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59,537.9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10,609,5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41.30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1,960,51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7.86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8,653,51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55,045.8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59,537.9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10,609,5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41.30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1,960,51</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7.86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8,653,51</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55,045.8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right="0"/>
        <w:jc w:val="left"/>
      </w:pPr>
      <w:r>
        <w:rPr/>
        <w:t>其他说明</w:t>
      </w:r>
    </w:p>
    <w:p>
      <w:pPr>
        <w:pStyle w:val="BodyText"/>
        <w:spacing w:line="240" w:lineRule="auto" w:before="115"/>
        <w:ind w:left="657" w:right="0"/>
        <w:jc w:val="left"/>
      </w:pPr>
      <w:r>
        <w:rPr/>
        <w:t>（</w:t>
      </w:r>
      <w:r>
        <w:rPr>
          <w:rFonts w:ascii="Times New Roman" w:hAnsi="Times New Roman" w:cs="Times New Roman" w:eastAsia="Times New Roman" w:hint="default"/>
        </w:rPr>
        <w:t>1</w:t>
      </w:r>
      <w:r>
        <w:rPr/>
        <w:t>）本期其他减少系在建工程完工后转入长期待摊费用予以摊销。</w:t>
      </w:r>
    </w:p>
    <w:p>
      <w:pPr>
        <w:pStyle w:val="BodyText"/>
        <w:spacing w:line="240" w:lineRule="auto" w:before="63"/>
        <w:ind w:left="657" w:right="0"/>
        <w:jc w:val="left"/>
      </w:pPr>
      <w:r>
        <w:rPr/>
        <w:t>（</w:t>
      </w:r>
      <w:r>
        <w:rPr>
          <w:rFonts w:ascii="Times New Roman" w:hAnsi="Times New Roman" w:cs="Times New Roman" w:eastAsia="Times New Roman" w:hint="default"/>
        </w:rPr>
        <w:t>2</w:t>
      </w:r>
      <w:r>
        <w:rPr/>
        <w:t>）年末在建工程没有发生减值的情形，故未计提在建工程减值准备。</w:t>
      </w:r>
    </w:p>
    <w:p>
      <w:pPr>
        <w:pStyle w:val="BodyText"/>
        <w:spacing w:line="240" w:lineRule="auto" w:before="63"/>
        <w:ind w:left="657" w:right="0"/>
        <w:jc w:val="left"/>
      </w:pPr>
      <w:r>
        <w:rPr/>
        <w:t>（</w:t>
      </w:r>
      <w:r>
        <w:rPr>
          <w:rFonts w:ascii="Times New Roman" w:hAnsi="Times New Roman" w:cs="Times New Roman" w:eastAsia="Times New Roman" w:hint="default"/>
        </w:rPr>
        <w:t>3</w:t>
      </w:r>
      <w:r>
        <w:rPr/>
        <w:t>）本公司在建工程无用于抵押、担保或其他所有权受到限制的情况。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1"/>
        <w:gridCol w:w="1330"/>
        <w:gridCol w:w="1328"/>
        <w:gridCol w:w="1198"/>
        <w:gridCol w:w="1196"/>
        <w:gridCol w:w="1195"/>
        <w:gridCol w:w="1196"/>
      </w:tblGrid>
      <w:tr>
        <w:trPr>
          <w:trHeight w:val="402" w:hRule="exact"/>
        </w:trPr>
        <w:tc>
          <w:tcPr>
            <w:tcW w:w="21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131"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0"/>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25</w:t>
      </w:r>
      <w:r>
        <w:rPr/>
        <w:t>、使用权资产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26</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46,082,310.66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138,251,199.03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184,333,509.69</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101,609,393.03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101,609,393.03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590,687.34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590,687.34</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101,018,705.69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101,018,705.69</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6"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468,339.90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468,339.90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468,889.65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468,889.65</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7" w:firstLine="633"/>
              <w:jc w:val="left"/>
              <w:rPr>
                <w:rFonts w:ascii="宋体" w:hAnsi="宋体" w:cs="宋体" w:eastAsia="宋体"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）外币报</w:t>
            </w:r>
            <w:r>
              <w:rPr>
                <w:rFonts w:ascii="宋体" w:hAnsi="宋体" w:cs="宋体" w:eastAsia="宋体" w:hint="default"/>
                <w:sz w:val="18"/>
                <w:szCs w:val="18"/>
              </w:rPr>
              <w:t> 表折算差额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-549.75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46,082,310.66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239,392,252.16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285,474,562.82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8,016,288.44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88,401,166.28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96,417,454.72</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983,203.12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55,673,397.42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56,656,600.54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4"/>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983,203.12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55,673,397.42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56,656,600.54</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22,636.88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22,636.88</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23,444.49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23,444.49</w:t>
            </w: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firstLine="633"/>
              <w:jc w:val="left"/>
              <w:rPr>
                <w:rFonts w:ascii="宋体" w:hAnsi="宋体" w:cs="宋体" w:eastAsia="宋体"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）外币报</w:t>
            </w:r>
            <w:r>
              <w:rPr>
                <w:rFonts w:ascii="宋体" w:hAnsi="宋体" w:cs="宋体" w:eastAsia="宋体" w:hint="default"/>
                <w:sz w:val="18"/>
                <w:szCs w:val="18"/>
              </w:rPr>
              <w:t> 表折算差额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-807.61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-807.61</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8,999,491.56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144,051,926.82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153,051,418.38</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37,082,819.10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95,340,325.34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132,423,144.44</w:t>
            </w: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38,066,022.22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49,850,032.75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87,916,054.97</w:t>
            </w:r>
          </w:p>
        </w:tc>
      </w:tr>
    </w:tbl>
    <w:p>
      <w:pPr>
        <w:pStyle w:val="BodyText"/>
        <w:spacing w:line="240" w:lineRule="auto" w:before="49"/>
        <w:ind w:right="0"/>
        <w:jc w:val="left"/>
      </w:pPr>
      <w:r>
        <w:rPr/>
        <w:t>本期末通过公司内部研发形成的无形资产占无形资产余额的比例</w:t>
      </w:r>
      <w:r>
        <w:rPr>
          <w:spacing w:val="-43"/>
        </w:rPr>
        <w:t> </w:t>
      </w:r>
      <w:r>
        <w:rPr>
          <w:rFonts w:ascii="Times New Roman" w:hAnsi="Times New Roman" w:cs="Times New Roman" w:eastAsia="Times New Roman" w:hint="default"/>
        </w:rPr>
        <w:t>60.04%</w:t>
      </w:r>
      <w:r>
        <w:rPr/>
        <w:t>。</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0"/>
        <w:jc w:val="left"/>
      </w:pPr>
      <w:r>
        <w:rPr/>
        <w:t>其他说明：</w:t>
      </w:r>
    </w:p>
    <w:p>
      <w:pPr>
        <w:pStyle w:val="BodyText"/>
        <w:spacing w:line="240" w:lineRule="auto" w:before="115"/>
        <w:ind w:left="657" w:right="0"/>
        <w:jc w:val="left"/>
      </w:pPr>
      <w:r>
        <w:rPr/>
        <w:t>（</w:t>
      </w:r>
      <w:r>
        <w:rPr>
          <w:rFonts w:ascii="Times New Roman" w:hAnsi="Times New Roman" w:cs="Times New Roman" w:eastAsia="Times New Roman" w:hint="default"/>
        </w:rPr>
        <w:t>1</w:t>
      </w:r>
      <w:r>
        <w:rPr/>
        <w:t>）本公司子公司外包园公司无形资产</w:t>
      </w:r>
      <w:r>
        <w:rPr>
          <w:rFonts w:ascii="Times New Roman" w:hAnsi="Times New Roman" w:cs="Times New Roman" w:eastAsia="Times New Roman" w:hint="default"/>
        </w:rPr>
        <w:t>2019</w:t>
      </w:r>
      <w:r>
        <w:rPr/>
        <w:t>年末账面价值为</w:t>
      </w:r>
      <w:r>
        <w:rPr>
          <w:rFonts w:ascii="Times New Roman" w:hAnsi="Times New Roman" w:cs="Times New Roman" w:eastAsia="Times New Roman" w:hint="default"/>
        </w:rPr>
        <w:t>37,082,819.10</w:t>
      </w:r>
      <w:r>
        <w:rPr/>
        <w:t>元的土地使用权已用作银行借款的抵押物。</w:t>
      </w:r>
    </w:p>
    <w:p>
      <w:pPr>
        <w:pStyle w:val="BodyText"/>
        <w:spacing w:line="300" w:lineRule="auto" w:before="63"/>
        <w:ind w:right="1119" w:firstLine="504"/>
        <w:jc w:val="left"/>
      </w:pPr>
      <w:r>
        <w:rPr>
          <w:spacing w:val="-1"/>
        </w:rPr>
        <w:t>（</w:t>
      </w:r>
      <w:r>
        <w:rPr>
          <w:rFonts w:ascii="Times New Roman" w:hAnsi="Times New Roman" w:cs="Times New Roman" w:eastAsia="Times New Roman" w:hint="default"/>
          <w:spacing w:val="-1"/>
        </w:rPr>
        <w:t>2</w:t>
      </w:r>
      <w:r>
        <w:rPr>
          <w:spacing w:val="-1"/>
        </w:rPr>
        <w:t>）无形资产期末账面原值较期初账面原值增加</w:t>
      </w:r>
      <w:r>
        <w:rPr>
          <w:rFonts w:ascii="Times New Roman" w:hAnsi="Times New Roman" w:cs="Times New Roman" w:eastAsia="Times New Roman" w:hint="default"/>
          <w:spacing w:val="-1"/>
        </w:rPr>
        <w:t>54.87%</w:t>
      </w:r>
      <w:r>
        <w:rPr>
          <w:spacing w:val="-1"/>
        </w:rPr>
        <w:t>，主要原因是本期公司的研发项目</w:t>
      </w:r>
      <w:r>
        <w:rPr>
          <w:rFonts w:ascii="Times New Roman" w:hAnsi="Times New Roman" w:cs="Times New Roman" w:eastAsia="Times New Roman" w:hint="default"/>
          <w:spacing w:val="-1"/>
        </w:rPr>
        <w:t>“</w:t>
      </w:r>
      <w:r>
        <w:rPr>
          <w:spacing w:val="-1"/>
        </w:rPr>
        <w:t>新一代分布式金融核心系</w:t>
      </w:r>
      <w:r>
        <w:rPr/>
        <w:t> 统</w:t>
      </w:r>
      <w:r>
        <w:rPr>
          <w:rFonts w:ascii="Times New Roman" w:hAnsi="Times New Roman" w:cs="Times New Roman" w:eastAsia="Times New Roman" w:hint="default"/>
        </w:rPr>
        <w:t>”</w:t>
      </w:r>
      <w:r>
        <w:rPr/>
        <w:t>已完成研发，由开发支出转入无形资产。</w:t>
      </w: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27</w:t>
      </w:r>
      <w:r>
        <w:rPr/>
        <w:t>、开发支出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3"/>
        <w:gridCol w:w="1064"/>
        <w:gridCol w:w="1063"/>
        <w:gridCol w:w="1064"/>
        <w:gridCol w:w="1063"/>
        <w:gridCol w:w="1063"/>
        <w:gridCol w:w="1061"/>
        <w:gridCol w:w="1063"/>
        <w:gridCol w:w="1064"/>
      </w:tblGrid>
      <w:tr>
        <w:trPr>
          <w:trHeight w:val="402" w:hRule="exact"/>
        </w:trPr>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2"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新一代分布 式金融核心 系统</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60,442,202.1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40,576,503.5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101,018,705.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能源信息化 平台项目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22,046,257.3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22,046,257.3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60,442,202.1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62,622,760.9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101,018,705.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22,046,257.3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bl>
    <w:p>
      <w:pPr>
        <w:pStyle w:val="BodyText"/>
        <w:spacing w:line="240" w:lineRule="auto" w:before="49"/>
        <w:ind w:right="0"/>
        <w:jc w:val="left"/>
      </w:pPr>
      <w:r>
        <w:rPr/>
        <w:t>其他说明</w:t>
      </w:r>
    </w:p>
    <w:p>
      <w:pPr>
        <w:pStyle w:val="BodyText"/>
        <w:spacing w:line="300" w:lineRule="auto" w:before="115"/>
        <w:ind w:right="1126" w:firstLine="504"/>
        <w:jc w:val="both"/>
      </w:pPr>
      <w:r>
        <w:rPr/>
        <w:t>（</w:t>
      </w:r>
      <w:r>
        <w:rPr>
          <w:rFonts w:ascii="Times New Roman" w:hAnsi="Times New Roman" w:cs="Times New Roman" w:eastAsia="Times New Roman" w:hint="default"/>
        </w:rPr>
        <w:t>1</w:t>
      </w:r>
      <w:r>
        <w:rPr/>
        <w:t>）根据公司研发资本化适用的会计政策规定（详见附注五、重要会计政策及会计估计之</w:t>
      </w:r>
      <w:r>
        <w:rPr>
          <w:rFonts w:ascii="Times New Roman" w:hAnsi="Times New Roman" w:cs="Times New Roman" w:eastAsia="Times New Roman" w:hint="default"/>
        </w:rPr>
        <w:t>30</w:t>
      </w:r>
      <w:r>
        <w:rPr/>
        <w:t>、无形资产），在《可 </w:t>
      </w:r>
      <w:r>
        <w:rPr>
          <w:spacing w:val="-2"/>
        </w:rPr>
        <w:t>行性研究报告》评审通过后至项目完成验收期间发生的研发费用计入开发支出。</w:t>
      </w:r>
      <w:r>
        <w:rPr>
          <w:rFonts w:ascii="Times New Roman" w:hAnsi="Times New Roman" w:cs="Times New Roman" w:eastAsia="Times New Roman" w:hint="default"/>
          <w:spacing w:val="-2"/>
        </w:rPr>
        <w:t>“</w:t>
      </w:r>
      <w:r>
        <w:rPr>
          <w:spacing w:val="-2"/>
        </w:rPr>
        <w:t>新一代分布式金融核心系统</w:t>
      </w:r>
      <w:r>
        <w:rPr>
          <w:rFonts w:ascii="Times New Roman" w:hAnsi="Times New Roman" w:cs="Times New Roman" w:eastAsia="Times New Roman" w:hint="default"/>
          <w:spacing w:val="-2"/>
        </w:rPr>
        <w:t>”</w:t>
      </w:r>
      <w:r>
        <w:rPr>
          <w:spacing w:val="-2"/>
        </w:rPr>
        <w:t>系公司启动的</w:t>
      </w:r>
      <w:r>
        <w:rPr>
          <w:spacing w:val="-45"/>
        </w:rPr>
        <w:t> </w:t>
      </w:r>
      <w:r>
        <w:rPr>
          <w:spacing w:val="-3"/>
        </w:rPr>
        <w:t>战略性研发项目，</w:t>
      </w:r>
      <w:r>
        <w:rPr>
          <w:rFonts w:ascii="Times New Roman" w:hAnsi="Times New Roman" w:cs="Times New Roman" w:eastAsia="Times New Roman" w:hint="default"/>
          <w:spacing w:val="-3"/>
        </w:rPr>
        <w:t>“</w:t>
      </w:r>
      <w:r>
        <w:rPr>
          <w:spacing w:val="-3"/>
        </w:rPr>
        <w:t>新一代分布式金融核心系统</w:t>
      </w:r>
      <w:r>
        <w:rPr>
          <w:rFonts w:ascii="Times New Roman" w:hAnsi="Times New Roman" w:cs="Times New Roman" w:eastAsia="Times New Roman" w:hint="default"/>
          <w:spacing w:val="-3"/>
        </w:rPr>
        <w:t>”</w:t>
      </w:r>
      <w:r>
        <w:rPr>
          <w:spacing w:val="-3"/>
        </w:rPr>
        <w:t>项目《可行性研究报告》于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月通过评审，</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月已完成研发。</w:t>
      </w:r>
      <w:r>
        <w:rPr>
          <w:rFonts w:ascii="Times New Roman" w:hAnsi="Times New Roman" w:cs="Times New Roman" w:eastAsia="Times New Roman" w:hint="default"/>
          <w:spacing w:val="-3"/>
        </w:rPr>
        <w:t>“</w:t>
      </w:r>
      <w:r>
        <w:rPr>
          <w:spacing w:val="-3"/>
        </w:rPr>
        <w:t>能</w:t>
      </w:r>
      <w:r>
        <w:rPr>
          <w:spacing w:val="-50"/>
        </w:rPr>
        <w:t> </w:t>
      </w:r>
      <w:r>
        <w:rPr/>
        <w:t>源信息化平台项目</w:t>
      </w:r>
      <w:r>
        <w:rPr>
          <w:rFonts w:ascii="Times New Roman" w:hAnsi="Times New Roman" w:cs="Times New Roman" w:eastAsia="Times New Roman" w:hint="default"/>
        </w:rPr>
        <w:t>”</w:t>
      </w:r>
      <w:r>
        <w:rPr/>
        <w:t>《可行性研究报告》于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月通过评审，截至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日，已发生成本</w:t>
      </w:r>
      <w:r>
        <w:rPr>
          <w:rFonts w:ascii="Times New Roman" w:hAnsi="Times New Roman" w:cs="Times New Roman" w:eastAsia="Times New Roman" w:hint="default"/>
        </w:rPr>
        <w:t>22,046,257.36</w:t>
      </w:r>
      <w:r>
        <w:rPr/>
        <w:t>元。</w:t>
      </w:r>
    </w:p>
    <w:p>
      <w:pPr>
        <w:pStyle w:val="BodyText"/>
        <w:spacing w:line="300" w:lineRule="auto" w:before="13"/>
        <w:ind w:right="1181" w:firstLine="504"/>
        <w:jc w:val="both"/>
      </w:pPr>
      <w:r>
        <w:rPr/>
        <w:t>（</w:t>
      </w:r>
      <w:r>
        <w:rPr>
          <w:rFonts w:ascii="Times New Roman" w:hAnsi="Times New Roman" w:cs="Times New Roman" w:eastAsia="Times New Roman" w:hint="default"/>
        </w:rPr>
        <w:t>2</w:t>
      </w:r>
      <w:r>
        <w:rPr/>
        <w:t>）开发支出期末余额较期初余额减少</w:t>
      </w:r>
      <w:r>
        <w:rPr>
          <w:rFonts w:ascii="Times New Roman" w:hAnsi="Times New Roman" w:cs="Times New Roman" w:eastAsia="Times New Roman" w:hint="default"/>
        </w:rPr>
        <w:t>63.53%</w:t>
      </w:r>
      <w:r>
        <w:rPr/>
        <w:t>，主要原因是本期公司研发项目</w:t>
      </w:r>
      <w:r>
        <w:rPr>
          <w:rFonts w:ascii="Times New Roman" w:hAnsi="Times New Roman" w:cs="Times New Roman" w:eastAsia="Times New Roman" w:hint="default"/>
        </w:rPr>
        <w:t>“</w:t>
      </w:r>
      <w:r>
        <w:rPr/>
        <w:t>新一代分布式金融核心系统</w:t>
      </w:r>
      <w:r>
        <w:rPr>
          <w:rFonts w:ascii="Times New Roman" w:hAnsi="Times New Roman" w:cs="Times New Roman" w:eastAsia="Times New Roman" w:hint="default"/>
        </w:rPr>
        <w:t>”</w:t>
      </w:r>
      <w:r>
        <w:rPr/>
        <w:t>已完成 研发，由开发支出转入无形资产。</w:t>
      </w: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28</w:t>
      </w:r>
      <w:r>
        <w:rPr/>
        <w:t>、商誉</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9"/>
        <w:gridCol w:w="1368"/>
        <w:gridCol w:w="1366"/>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联创智融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1,893,909,895.75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1,893,909,895.75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捷科智诚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655,923,170.20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655,923,170.20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菲耐得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66,014,888.55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66,014,888.55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东京润和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295,996.75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295,996.75</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新维数联</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22,176,701.16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22,176,701.16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2,638,320,652.41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22,176,701.16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2,616,143,951.25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9"/>
        <w:gridCol w:w="1368"/>
        <w:gridCol w:w="1366"/>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联创智融</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1,572,500,835.21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1,572,500,835.21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9"/>
        <w:gridCol w:w="1368"/>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菲耐得</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57,166,105.11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57,166,105.11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东京润和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295,996.75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295,996.75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295,996.75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1,629,666,940.32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1,629,962,937.07</w:t>
            </w:r>
          </w:p>
        </w:tc>
      </w:tr>
    </w:tbl>
    <w:p>
      <w:pPr>
        <w:pStyle w:val="BodyText"/>
        <w:spacing w:line="240" w:lineRule="auto" w:before="49"/>
        <w:ind w:right="0"/>
        <w:jc w:val="left"/>
      </w:pPr>
      <w:r>
        <w:rPr/>
        <w:t>商誉所在资产组或资产组组合的相关信息</w:t>
      </w:r>
    </w:p>
    <w:p>
      <w:pPr>
        <w:pStyle w:val="BodyText"/>
        <w:spacing w:line="309" w:lineRule="auto" w:before="115"/>
        <w:ind w:right="0" w:firstLine="504"/>
        <w:jc w:val="left"/>
      </w:pPr>
      <w:r>
        <w:rPr/>
        <w:t>①联创智融：本公司于</w:t>
      </w:r>
      <w:r>
        <w:rPr>
          <w:rFonts w:ascii="Times New Roman" w:hAnsi="Times New Roman" w:cs="Times New Roman" w:eastAsia="Times New Roman" w:hint="default"/>
        </w:rPr>
        <w:t>2015</w:t>
      </w:r>
      <w:r>
        <w:rPr/>
        <w:t>年收购联创智融</w:t>
      </w:r>
      <w:r>
        <w:rPr>
          <w:rFonts w:ascii="Times New Roman" w:hAnsi="Times New Roman" w:cs="Times New Roman" w:eastAsia="Times New Roman" w:hint="default"/>
        </w:rPr>
        <w:t>100%</w:t>
      </w:r>
      <w:r>
        <w:rPr/>
        <w:t>股权，形成商誉人民币</w:t>
      </w:r>
      <w:r>
        <w:rPr>
          <w:rFonts w:ascii="Times New Roman" w:hAnsi="Times New Roman" w:cs="Times New Roman" w:eastAsia="Times New Roman" w:hint="default"/>
        </w:rPr>
        <w:t>1,893,909,895.75</w:t>
      </w:r>
      <w:r>
        <w:rPr/>
        <w:t>元，并购后联创智融业务、 </w:t>
      </w:r>
      <w:r>
        <w:rPr>
          <w:spacing w:val="-2"/>
        </w:rPr>
        <w:t>技术及人员仍然相对独立，且独立产生现金流入，因此公司将该商誉分配至联创智融资产组，联创智融资产组与购买日、以</w:t>
      </w:r>
      <w:r>
        <w:rPr>
          <w:spacing w:val="-64"/>
        </w:rPr>
        <w:t> </w:t>
      </w:r>
      <w:r>
        <w:rPr>
          <w:spacing w:val="-64"/>
        </w:rPr>
      </w:r>
      <w:r>
        <w:rPr/>
        <w:t>前年度商誉减值测试时所确定的资产组一致；</w:t>
      </w:r>
    </w:p>
    <w:p>
      <w:pPr>
        <w:pStyle w:val="BodyText"/>
        <w:spacing w:line="309" w:lineRule="auto" w:before="24"/>
        <w:ind w:right="1130" w:firstLine="504"/>
        <w:jc w:val="both"/>
      </w:pPr>
      <w:r>
        <w:rPr/>
        <w:t>②捷科智诚：本公司于</w:t>
      </w:r>
      <w:r>
        <w:rPr>
          <w:rFonts w:ascii="Times New Roman" w:hAnsi="Times New Roman" w:cs="Times New Roman" w:eastAsia="Times New Roman" w:hint="default"/>
        </w:rPr>
        <w:t>2014</w:t>
      </w:r>
      <w:r>
        <w:rPr/>
        <w:t>年收购捷科智诚</w:t>
      </w:r>
      <w:r>
        <w:rPr>
          <w:rFonts w:ascii="Times New Roman" w:hAnsi="Times New Roman" w:cs="Times New Roman" w:eastAsia="Times New Roman" w:hint="default"/>
        </w:rPr>
        <w:t>100%</w:t>
      </w:r>
      <w:r>
        <w:rPr/>
        <w:t>股权，形成商誉人民币</w:t>
      </w:r>
      <w:r>
        <w:rPr>
          <w:rFonts w:ascii="Times New Roman" w:hAnsi="Times New Roman" w:cs="Times New Roman" w:eastAsia="Times New Roman" w:hint="default"/>
        </w:rPr>
        <w:t>655,923,170.20</w:t>
      </w:r>
      <w:r>
        <w:rPr/>
        <w:t>元，并购后捷科智诚业务、技 </w:t>
      </w:r>
      <w:r>
        <w:rPr>
          <w:spacing w:val="-2"/>
        </w:rPr>
        <w:t>术及人员仍然相对独立，且独立产生现金流入，因此公司将该商誉分配至捷科智诚资产组，捷科智诚资产组与购买日、以前</w:t>
      </w:r>
      <w:r>
        <w:rPr>
          <w:spacing w:val="-64"/>
        </w:rPr>
        <w:t> </w:t>
      </w:r>
      <w:r>
        <w:rPr>
          <w:spacing w:val="-64"/>
        </w:rPr>
      </w:r>
      <w:r>
        <w:rPr/>
        <w:t>年度商誉减值测试时所确定的资产组一致；</w:t>
      </w:r>
    </w:p>
    <w:p>
      <w:pPr>
        <w:pStyle w:val="BodyText"/>
        <w:spacing w:line="309" w:lineRule="auto" w:before="25"/>
        <w:ind w:right="1130" w:firstLine="504"/>
        <w:jc w:val="both"/>
      </w:pPr>
      <w:r>
        <w:rPr>
          <w:spacing w:val="-2"/>
        </w:rPr>
        <w:t>③菲耐得：本公司于</w:t>
      </w:r>
      <w:r>
        <w:rPr>
          <w:rFonts w:ascii="Times New Roman" w:hAnsi="Times New Roman" w:cs="Times New Roman" w:eastAsia="Times New Roman" w:hint="default"/>
          <w:spacing w:val="-2"/>
        </w:rPr>
        <w:t>2015</w:t>
      </w:r>
      <w:r>
        <w:rPr>
          <w:spacing w:val="-2"/>
        </w:rPr>
        <w:t>年收购菲耐得</w:t>
      </w:r>
      <w:r>
        <w:rPr>
          <w:rFonts w:ascii="Times New Roman" w:hAnsi="Times New Roman" w:cs="Times New Roman" w:eastAsia="Times New Roman" w:hint="default"/>
          <w:spacing w:val="-2"/>
        </w:rPr>
        <w:t>100%</w:t>
      </w:r>
      <w:r>
        <w:rPr>
          <w:spacing w:val="-2"/>
        </w:rPr>
        <w:t>股权产生商誉</w:t>
      </w:r>
      <w:r>
        <w:rPr>
          <w:rFonts w:ascii="Times New Roman" w:hAnsi="Times New Roman" w:cs="Times New Roman" w:eastAsia="Times New Roman" w:hint="default"/>
          <w:spacing w:val="-2"/>
        </w:rPr>
        <w:t>66,014,888.55</w:t>
      </w:r>
      <w:r>
        <w:rPr>
          <w:spacing w:val="-2"/>
        </w:rPr>
        <w:t>元，并购后菲耐得业务、技术及人员仍然相对</w:t>
      </w:r>
      <w:r>
        <w:rPr/>
        <w:t> </w:t>
      </w:r>
      <w:r>
        <w:rPr>
          <w:spacing w:val="-2"/>
        </w:rPr>
        <w:t>独立，且独立产生现金流入，因此公司将该商誉分配至菲耐得资产组，菲耐得资产组与购买日、以前年度商誉减值测试时所</w:t>
      </w:r>
      <w:r>
        <w:rPr>
          <w:spacing w:val="-64"/>
        </w:rPr>
        <w:t> </w:t>
      </w:r>
      <w:r>
        <w:rPr>
          <w:spacing w:val="-64"/>
        </w:rPr>
      </w:r>
      <w:r>
        <w:rPr/>
        <w:t>确定的资产组一致；</w:t>
      </w:r>
    </w:p>
    <w:p>
      <w:pPr>
        <w:pStyle w:val="BodyText"/>
        <w:spacing w:line="309" w:lineRule="auto" w:before="24"/>
        <w:ind w:right="1131" w:firstLine="504"/>
        <w:jc w:val="both"/>
      </w:pPr>
      <w:r>
        <w:rPr/>
        <w:t>④东京润和：本公司于</w:t>
      </w:r>
      <w:r>
        <w:rPr>
          <w:rFonts w:ascii="Times New Roman" w:hAnsi="Times New Roman" w:cs="Times New Roman" w:eastAsia="Times New Roman" w:hint="default"/>
        </w:rPr>
        <w:t>2008</w:t>
      </w:r>
      <w:r>
        <w:rPr/>
        <w:t>年收购东京润和</w:t>
      </w:r>
      <w:r>
        <w:rPr>
          <w:rFonts w:ascii="Times New Roman" w:hAnsi="Times New Roman" w:cs="Times New Roman" w:eastAsia="Times New Roman" w:hint="default"/>
        </w:rPr>
        <w:t>91.67%</w:t>
      </w:r>
      <w:r>
        <w:rPr/>
        <w:t>股权产生商誉</w:t>
      </w:r>
      <w:r>
        <w:rPr>
          <w:rFonts w:ascii="Times New Roman" w:hAnsi="Times New Roman" w:cs="Times New Roman" w:eastAsia="Times New Roman" w:hint="default"/>
        </w:rPr>
        <w:t>295,996.75</w:t>
      </w:r>
      <w:r>
        <w:rPr/>
        <w:t>元，并购后东京润和业务、技术及人员仍 </w:t>
      </w:r>
      <w:r>
        <w:rPr>
          <w:spacing w:val="-2"/>
        </w:rPr>
        <w:t>然相对独立，且独立产出现金流入，因此公司将该商誉分配至东京润和资产组，东京润和资产组与购买日、以前年度商誉减</w:t>
      </w:r>
      <w:r>
        <w:rPr>
          <w:spacing w:val="-65"/>
        </w:rPr>
        <w:t> </w:t>
      </w:r>
      <w:r>
        <w:rPr>
          <w:spacing w:val="-65"/>
        </w:rPr>
      </w:r>
      <w:r>
        <w:rPr/>
        <w:t>值测试时所确定的资产组一致。</w:t>
      </w:r>
    </w:p>
    <w:p>
      <w:pPr>
        <w:pStyle w:val="BodyText"/>
        <w:spacing w:line="316" w:lineRule="auto" w:before="65"/>
        <w:ind w:right="0"/>
        <w:jc w:val="left"/>
      </w:pPr>
      <w:r>
        <w:rPr>
          <w:spacing w:val="-2"/>
        </w:rPr>
        <w:t>说明商誉减值测试过程、关键参数（如预计未来现金流量现值时的预测期增长率、稳定期增长率、利润率、折现率、预测期</w:t>
      </w:r>
      <w:r>
        <w:rPr>
          <w:spacing w:val="-69"/>
        </w:rPr>
        <w:t> </w:t>
      </w:r>
      <w:r>
        <w:rPr>
          <w:spacing w:val="-69"/>
        </w:rPr>
      </w:r>
      <w:r>
        <w:rPr/>
        <w:t>等）及商誉减值损失的确认方法：</w:t>
      </w:r>
    </w:p>
    <w:p>
      <w:pPr>
        <w:pStyle w:val="BodyText"/>
        <w:spacing w:line="240" w:lineRule="auto" w:before="57"/>
        <w:ind w:right="0"/>
        <w:jc w:val="left"/>
      </w:pPr>
      <w:r>
        <w:rPr/>
        <w:t>①联创智融商誉减值测试过程</w:t>
      </w: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702"/>
        <w:gridCol w:w="7656"/>
      </w:tblGrid>
      <w:tr>
        <w:trPr>
          <w:trHeight w:val="350" w:hRule="exact"/>
        </w:trPr>
        <w:tc>
          <w:tcPr>
            <w:tcW w:w="1702"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656" w:type="dxa"/>
            <w:tcBorders>
              <w:top w:val="single" w:sz="6" w:space="0" w:color="000000"/>
              <w:left w:val="single" w:sz="6" w:space="0" w:color="000000"/>
              <w:bottom w:val="single" w:sz="8"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商誉减值过程</w:t>
            </w:r>
          </w:p>
        </w:tc>
      </w:tr>
      <w:tr>
        <w:trPr>
          <w:trHeight w:val="346"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商誉的形成</w:t>
            </w:r>
          </w:p>
        </w:tc>
        <w:tc>
          <w:tcPr>
            <w:tcW w:w="7656" w:type="dxa"/>
            <w:tcBorders>
              <w:top w:val="single" w:sz="8" w:space="0" w:color="000000"/>
              <w:left w:val="single" w:sz="6" w:space="0" w:color="000000"/>
              <w:bottom w:val="single" w:sz="8" w:space="0" w:color="000000"/>
              <w:right w:val="nil" w:sz="6" w:space="0" w:color="auto"/>
            </w:tcBorders>
          </w:tcPr>
          <w:p>
            <w:pPr>
              <w:pStyle w:val="TableParagraph"/>
              <w:spacing w:line="283" w:lineRule="exact"/>
              <w:ind w:left="2" w:right="0"/>
              <w:jc w:val="left"/>
              <w:rPr>
                <w:rFonts w:ascii="宋体" w:hAnsi="宋体" w:cs="宋体" w:eastAsia="宋体" w:hint="default"/>
                <w:sz w:val="21"/>
                <w:szCs w:val="21"/>
              </w:rPr>
            </w:pPr>
            <w:r>
              <w:rPr>
                <w:rFonts w:ascii="宋体" w:hAnsi="宋体" w:cs="宋体" w:eastAsia="宋体" w:hint="default"/>
                <w:sz w:val="21"/>
                <w:szCs w:val="21"/>
              </w:rPr>
              <w:t>本公司于</w:t>
            </w:r>
            <w:r>
              <w:rPr>
                <w:rFonts w:ascii="Times New Roman" w:hAnsi="Times New Roman" w:cs="Times New Roman" w:eastAsia="Times New Roman" w:hint="default"/>
                <w:sz w:val="21"/>
                <w:szCs w:val="21"/>
              </w:rPr>
              <w:t>2015</w:t>
            </w:r>
            <w:r>
              <w:rPr>
                <w:rFonts w:ascii="宋体" w:hAnsi="宋体" w:cs="宋体" w:eastAsia="宋体" w:hint="default"/>
                <w:sz w:val="21"/>
                <w:szCs w:val="21"/>
              </w:rPr>
              <w:t>年收购联创智融</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股权，形成商誉人民币</w:t>
            </w:r>
            <w:r>
              <w:rPr>
                <w:rFonts w:ascii="Times New Roman" w:hAnsi="Times New Roman" w:cs="Times New Roman" w:eastAsia="Times New Roman" w:hint="default"/>
                <w:sz w:val="21"/>
                <w:szCs w:val="21"/>
              </w:rPr>
              <w:t>1,893,909,895.75</w:t>
            </w:r>
            <w:r>
              <w:rPr>
                <w:rFonts w:ascii="宋体" w:hAnsi="宋体" w:cs="宋体" w:eastAsia="宋体" w:hint="default"/>
                <w:sz w:val="21"/>
                <w:szCs w:val="21"/>
              </w:rPr>
              <w:t>元。</w:t>
            </w:r>
          </w:p>
        </w:tc>
      </w:tr>
      <w:tr>
        <w:trPr>
          <w:trHeight w:val="660"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资产组的认定</w:t>
            </w:r>
          </w:p>
        </w:tc>
        <w:tc>
          <w:tcPr>
            <w:tcW w:w="7656" w:type="dxa"/>
            <w:tcBorders>
              <w:top w:val="single" w:sz="8" w:space="0" w:color="000000"/>
              <w:left w:val="single" w:sz="6" w:space="0" w:color="000000"/>
              <w:bottom w:val="single" w:sz="8" w:space="0" w:color="000000"/>
              <w:right w:val="nil" w:sz="6" w:space="0" w:color="auto"/>
            </w:tcBorders>
          </w:tcPr>
          <w:p>
            <w:pPr>
              <w:pStyle w:val="TableParagraph"/>
              <w:spacing w:line="273" w:lineRule="auto"/>
              <w:ind w:left="2" w:right="75"/>
              <w:jc w:val="left"/>
              <w:rPr>
                <w:rFonts w:ascii="宋体" w:hAnsi="宋体" w:cs="宋体" w:eastAsia="宋体" w:hint="default"/>
                <w:sz w:val="21"/>
                <w:szCs w:val="21"/>
              </w:rPr>
            </w:pPr>
            <w:r>
              <w:rPr>
                <w:rFonts w:ascii="宋体" w:hAnsi="宋体" w:cs="宋体" w:eastAsia="宋体" w:hint="default"/>
                <w:spacing w:val="-2"/>
                <w:sz w:val="21"/>
                <w:szCs w:val="21"/>
              </w:rPr>
              <w:t>并购后联创智融业务、技术及人员仍然相对独立，且独立产生现金流入，因此公司</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将该商誉分配至联创智融资产组。</w:t>
            </w:r>
          </w:p>
        </w:tc>
      </w:tr>
      <w:tr>
        <w:trPr>
          <w:trHeight w:val="1596"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z w:val="21"/>
                <w:szCs w:val="21"/>
              </w:rPr>
              <w:t>资产组的可收回金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7656" w:type="dxa"/>
            <w:tcBorders>
              <w:top w:val="single" w:sz="8" w:space="0" w:color="000000"/>
              <w:left w:val="single" w:sz="6" w:space="0" w:color="000000"/>
              <w:bottom w:val="single" w:sz="8" w:space="0" w:color="000000"/>
              <w:right w:val="nil" w:sz="6" w:space="0" w:color="auto"/>
            </w:tcBorders>
          </w:tcPr>
          <w:p>
            <w:pPr>
              <w:pStyle w:val="TableParagraph"/>
              <w:spacing w:line="264" w:lineRule="auto"/>
              <w:ind w:left="2" w:right="3"/>
              <w:jc w:val="left"/>
              <w:rPr>
                <w:rFonts w:ascii="宋体" w:hAnsi="宋体" w:cs="宋体" w:eastAsia="宋体" w:hint="default"/>
                <w:sz w:val="21"/>
                <w:szCs w:val="21"/>
              </w:rPr>
            </w:pPr>
            <w:r>
              <w:rPr>
                <w:rFonts w:ascii="宋体" w:hAnsi="宋体" w:cs="宋体" w:eastAsia="宋体" w:hint="default"/>
                <w:sz w:val="21"/>
                <w:szCs w:val="21"/>
              </w:rPr>
              <w:t>本公司对该资产组可收回金额是根据资产组的预计未来现金流量的现值来确定。预</w:t>
            </w:r>
            <w:r>
              <w:rPr>
                <w:rFonts w:ascii="宋体" w:hAnsi="宋体" w:cs="宋体" w:eastAsia="宋体" w:hint="default"/>
                <w:w w:val="100"/>
                <w:sz w:val="21"/>
                <w:szCs w:val="21"/>
              </w:rPr>
              <w:t> </w:t>
            </w:r>
            <w:r>
              <w:rPr>
                <w:rFonts w:ascii="宋体" w:hAnsi="宋体" w:cs="宋体" w:eastAsia="宋体" w:hint="default"/>
                <w:spacing w:val="-3"/>
                <w:sz w:val="21"/>
                <w:szCs w:val="21"/>
              </w:rPr>
              <w:t>计未来现金流量来源为管理层批准的</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年期财务预算中的现金流量预测数据，未来五</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年营业收入的年化增长率为</w:t>
            </w:r>
            <w:r>
              <w:rPr>
                <w:rFonts w:ascii="Times New Roman" w:hAnsi="Times New Roman" w:cs="Times New Roman" w:eastAsia="Times New Roman" w:hint="default"/>
                <w:sz w:val="21"/>
                <w:szCs w:val="21"/>
              </w:rPr>
              <w:t>-13%</w:t>
            </w:r>
            <w:r>
              <w:rPr>
                <w:rFonts w:ascii="宋体" w:hAnsi="宋体" w:cs="宋体" w:eastAsia="宋体" w:hint="default"/>
                <w:sz w:val="21"/>
                <w:szCs w:val="21"/>
              </w:rPr>
              <w:t>至</w:t>
            </w:r>
            <w:r>
              <w:rPr>
                <w:rFonts w:ascii="Times New Roman" w:hAnsi="Times New Roman" w:cs="Times New Roman" w:eastAsia="Times New Roman" w:hint="default"/>
                <w:sz w:val="21"/>
                <w:szCs w:val="21"/>
              </w:rPr>
              <w:t>15%</w:t>
            </w:r>
            <w:r>
              <w:rPr>
                <w:rFonts w:ascii="宋体" w:hAnsi="宋体" w:cs="宋体" w:eastAsia="宋体" w:hint="default"/>
                <w:sz w:val="21"/>
                <w:szCs w:val="21"/>
              </w:rPr>
              <w:t>不等。五年以后的永续现金流量按照详细预</w:t>
            </w:r>
            <w:r>
              <w:rPr>
                <w:rFonts w:ascii="宋体" w:hAnsi="宋体" w:cs="宋体" w:eastAsia="宋体" w:hint="default"/>
                <w:w w:val="100"/>
                <w:sz w:val="21"/>
                <w:szCs w:val="21"/>
              </w:rPr>
              <w:t> </w:t>
            </w:r>
            <w:r>
              <w:rPr>
                <w:rFonts w:ascii="宋体" w:hAnsi="宋体" w:cs="宋体" w:eastAsia="宋体" w:hint="default"/>
                <w:sz w:val="21"/>
                <w:szCs w:val="21"/>
              </w:rPr>
              <w:t>测期最后一年的水平，并结合行业发展趋势等因素后确定。计算现值的折现率为</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13.90%-13.92%</w:t>
            </w:r>
            <w:r>
              <w:rPr>
                <w:rFonts w:ascii="宋体" w:hAnsi="宋体" w:cs="宋体" w:eastAsia="宋体" w:hint="default"/>
                <w:sz w:val="21"/>
                <w:szCs w:val="21"/>
              </w:rPr>
              <w:t>，为反映相关资产组特定风险的税前折现率。</w:t>
            </w:r>
          </w:p>
        </w:tc>
      </w:tr>
      <w:tr>
        <w:trPr>
          <w:trHeight w:val="1285"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1"/>
              <w:jc w:val="left"/>
              <w:rPr>
                <w:rFonts w:ascii="宋体" w:hAnsi="宋体" w:cs="宋体" w:eastAsia="宋体" w:hint="default"/>
                <w:sz w:val="21"/>
                <w:szCs w:val="21"/>
              </w:rPr>
            </w:pPr>
            <w:r>
              <w:rPr>
                <w:rFonts w:ascii="宋体" w:hAnsi="宋体" w:cs="宋体" w:eastAsia="宋体" w:hint="default"/>
                <w:sz w:val="21"/>
                <w:szCs w:val="21"/>
              </w:rPr>
              <w:t>商誉减值测试结果</w:t>
            </w:r>
          </w:p>
        </w:tc>
        <w:tc>
          <w:tcPr>
            <w:tcW w:w="7656" w:type="dxa"/>
            <w:tcBorders>
              <w:top w:val="single" w:sz="8" w:space="0" w:color="000000"/>
              <w:left w:val="single" w:sz="6" w:space="0" w:color="000000"/>
              <w:bottom w:val="single" w:sz="8" w:space="0" w:color="000000"/>
              <w:right w:val="nil" w:sz="6" w:space="0" w:color="auto"/>
            </w:tcBorders>
          </w:tcPr>
          <w:p>
            <w:pPr>
              <w:pStyle w:val="TableParagraph"/>
              <w:spacing w:line="256" w:lineRule="auto"/>
              <w:ind w:left="2" w:right="24"/>
              <w:jc w:val="both"/>
              <w:rPr>
                <w:rFonts w:ascii="宋体" w:hAnsi="宋体" w:cs="宋体" w:eastAsia="宋体" w:hint="default"/>
                <w:sz w:val="21"/>
                <w:szCs w:val="21"/>
              </w:rPr>
            </w:pPr>
            <w:r>
              <w:rPr>
                <w:rFonts w:ascii="宋体" w:hAnsi="宋体" w:cs="宋体" w:eastAsia="宋体" w:hint="default"/>
                <w:sz w:val="21"/>
                <w:szCs w:val="21"/>
              </w:rPr>
              <w:t>以</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日为商誉减值测试基准日，在上述假设条件成立的前提下，本公司</w:t>
            </w:r>
            <w:r>
              <w:rPr>
                <w:rFonts w:ascii="宋体" w:hAnsi="宋体" w:cs="宋体" w:eastAsia="宋体" w:hint="default"/>
                <w:w w:val="100"/>
                <w:sz w:val="21"/>
                <w:szCs w:val="21"/>
              </w:rPr>
              <w:t> </w:t>
            </w:r>
            <w:r>
              <w:rPr>
                <w:rFonts w:ascii="宋体" w:hAnsi="宋体" w:cs="宋体" w:eastAsia="宋体" w:hint="default"/>
                <w:spacing w:val="-2"/>
                <w:sz w:val="21"/>
                <w:szCs w:val="21"/>
              </w:rPr>
              <w:t>所持有的联创智融与商誉相关的资产组可收回金额为人民币</w:t>
            </w:r>
            <w:r>
              <w:rPr>
                <w:rFonts w:ascii="Times New Roman" w:hAnsi="Times New Roman" w:cs="Times New Roman" w:eastAsia="Times New Roman" w:hint="default"/>
                <w:spacing w:val="-2"/>
                <w:sz w:val="21"/>
                <w:szCs w:val="21"/>
              </w:rPr>
              <w:t>70,440.00</w:t>
            </w:r>
            <w:r>
              <w:rPr>
                <w:rFonts w:ascii="宋体" w:hAnsi="宋体" w:cs="宋体" w:eastAsia="宋体" w:hint="default"/>
                <w:spacing w:val="-2"/>
                <w:sz w:val="21"/>
                <w:szCs w:val="21"/>
              </w:rPr>
              <w:t>万元</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本公司所</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持有的联创智融资产组账面价值为人民币</w:t>
            </w:r>
            <w:r>
              <w:rPr>
                <w:rFonts w:ascii="Times New Roman" w:hAnsi="Times New Roman" w:cs="Times New Roman" w:eastAsia="Times New Roman" w:hint="default"/>
                <w:sz w:val="21"/>
                <w:szCs w:val="21"/>
              </w:rPr>
              <w:t>38,299.09</w:t>
            </w:r>
            <w:r>
              <w:rPr>
                <w:rFonts w:ascii="宋体" w:hAnsi="宋体" w:cs="宋体" w:eastAsia="宋体" w:hint="default"/>
                <w:sz w:val="21"/>
                <w:szCs w:val="21"/>
              </w:rPr>
              <w:t>万元，全部商誉的账面价值为人</w:t>
            </w:r>
            <w:r>
              <w:rPr>
                <w:rFonts w:ascii="宋体" w:hAnsi="宋体" w:cs="宋体" w:eastAsia="宋体" w:hint="default"/>
                <w:w w:val="100"/>
                <w:sz w:val="21"/>
                <w:szCs w:val="21"/>
              </w:rPr>
              <w:t> </w:t>
            </w:r>
            <w:r>
              <w:rPr>
                <w:rFonts w:ascii="宋体" w:hAnsi="宋体" w:cs="宋体" w:eastAsia="宋体" w:hint="default"/>
                <w:sz w:val="21"/>
                <w:szCs w:val="21"/>
              </w:rPr>
              <w:t>民币</w:t>
            </w:r>
            <w:r>
              <w:rPr>
                <w:rFonts w:ascii="Times New Roman" w:hAnsi="Times New Roman" w:cs="Times New Roman" w:eastAsia="Times New Roman" w:hint="default"/>
                <w:sz w:val="21"/>
                <w:szCs w:val="21"/>
              </w:rPr>
              <w:t>189,390.99</w:t>
            </w:r>
            <w:r>
              <w:rPr>
                <w:rFonts w:ascii="宋体" w:hAnsi="宋体" w:cs="宋体" w:eastAsia="宋体" w:hint="default"/>
                <w:sz w:val="21"/>
                <w:szCs w:val="21"/>
              </w:rPr>
              <w:t>万元，需计提商誉减值准备人民币</w:t>
            </w:r>
            <w:r>
              <w:rPr>
                <w:rFonts w:ascii="Times New Roman" w:hAnsi="Times New Roman" w:cs="Times New Roman" w:eastAsia="Times New Roman" w:hint="default"/>
                <w:sz w:val="21"/>
                <w:szCs w:val="21"/>
              </w:rPr>
              <w:t>157,250.08</w:t>
            </w:r>
            <w:r>
              <w:rPr>
                <w:rFonts w:ascii="宋体" w:hAnsi="宋体" w:cs="宋体" w:eastAsia="宋体" w:hint="default"/>
                <w:sz w:val="21"/>
                <w:szCs w:val="21"/>
              </w:rPr>
              <w:t>万元。</w:t>
            </w:r>
          </w:p>
        </w:tc>
      </w:tr>
    </w:tbl>
    <w:p>
      <w:pPr>
        <w:pStyle w:val="BodyText"/>
        <w:spacing w:line="240" w:lineRule="auto" w:before="8"/>
        <w:ind w:right="0"/>
        <w:jc w:val="left"/>
      </w:pPr>
      <w:r>
        <w:rPr/>
        <w:t>②捷科智诚商誉减值测试过程</w:t>
      </w: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702"/>
        <w:gridCol w:w="7656"/>
      </w:tblGrid>
      <w:tr>
        <w:trPr>
          <w:trHeight w:val="348" w:hRule="exact"/>
        </w:trPr>
        <w:tc>
          <w:tcPr>
            <w:tcW w:w="1702"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656" w:type="dxa"/>
            <w:tcBorders>
              <w:top w:val="single" w:sz="6" w:space="0" w:color="000000"/>
              <w:left w:val="single" w:sz="6" w:space="0" w:color="000000"/>
              <w:bottom w:val="single" w:sz="8" w:space="0" w:color="000000"/>
              <w:right w:val="nil" w:sz="6" w:space="0" w:color="auto"/>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商誉减值过程</w:t>
            </w:r>
          </w:p>
        </w:tc>
      </w:tr>
      <w:tr>
        <w:trPr>
          <w:trHeight w:val="348"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商誉的形成</w:t>
            </w:r>
          </w:p>
        </w:tc>
        <w:tc>
          <w:tcPr>
            <w:tcW w:w="7656" w:type="dxa"/>
            <w:tcBorders>
              <w:top w:val="single" w:sz="8" w:space="0" w:color="000000"/>
              <w:left w:val="single" w:sz="6" w:space="0" w:color="000000"/>
              <w:bottom w:val="single" w:sz="8" w:space="0" w:color="000000"/>
              <w:right w:val="nil" w:sz="6" w:space="0" w:color="auto"/>
            </w:tcBorders>
          </w:tcPr>
          <w:p>
            <w:pPr>
              <w:pStyle w:val="TableParagraph"/>
              <w:spacing w:line="285" w:lineRule="exact"/>
              <w:ind w:left="2" w:right="0"/>
              <w:jc w:val="left"/>
              <w:rPr>
                <w:rFonts w:ascii="宋体" w:hAnsi="宋体" w:cs="宋体" w:eastAsia="宋体" w:hint="default"/>
                <w:sz w:val="21"/>
                <w:szCs w:val="21"/>
              </w:rPr>
            </w:pPr>
            <w:r>
              <w:rPr>
                <w:rFonts w:ascii="宋体" w:hAnsi="宋体" w:cs="宋体" w:eastAsia="宋体" w:hint="default"/>
                <w:sz w:val="21"/>
                <w:szCs w:val="21"/>
              </w:rPr>
              <w:t>本公司于</w:t>
            </w:r>
            <w:r>
              <w:rPr>
                <w:rFonts w:ascii="Times New Roman" w:hAnsi="Times New Roman" w:cs="Times New Roman" w:eastAsia="Times New Roman" w:hint="default"/>
                <w:sz w:val="21"/>
                <w:szCs w:val="21"/>
              </w:rPr>
              <w:t>2014</w:t>
            </w:r>
            <w:r>
              <w:rPr>
                <w:rFonts w:ascii="宋体" w:hAnsi="宋体" w:cs="宋体" w:eastAsia="宋体" w:hint="default"/>
                <w:sz w:val="21"/>
                <w:szCs w:val="21"/>
              </w:rPr>
              <w:t>年收购捷科智诚</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股权，形成商誉人民币</w:t>
            </w:r>
            <w:r>
              <w:rPr>
                <w:rFonts w:ascii="Times New Roman" w:hAnsi="Times New Roman" w:cs="Times New Roman" w:eastAsia="Times New Roman" w:hint="default"/>
                <w:sz w:val="21"/>
                <w:szCs w:val="21"/>
              </w:rPr>
              <w:t>655,923,170.20</w:t>
            </w:r>
            <w:r>
              <w:rPr>
                <w:rFonts w:ascii="宋体" w:hAnsi="宋体" w:cs="宋体" w:eastAsia="宋体" w:hint="default"/>
                <w:sz w:val="21"/>
                <w:szCs w:val="21"/>
              </w:rPr>
              <w:t>元。</w:t>
            </w:r>
          </w:p>
        </w:tc>
      </w:tr>
      <w:tr>
        <w:trPr>
          <w:trHeight w:val="658"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资产组的认定</w:t>
            </w:r>
          </w:p>
        </w:tc>
        <w:tc>
          <w:tcPr>
            <w:tcW w:w="7656" w:type="dxa"/>
            <w:tcBorders>
              <w:top w:val="single" w:sz="8" w:space="0" w:color="000000"/>
              <w:left w:val="single" w:sz="6" w:space="0" w:color="000000"/>
              <w:bottom w:val="single" w:sz="8" w:space="0" w:color="000000"/>
              <w:right w:val="nil" w:sz="6" w:space="0" w:color="auto"/>
            </w:tcBorders>
          </w:tcPr>
          <w:p>
            <w:pPr>
              <w:pStyle w:val="TableParagraph"/>
              <w:spacing w:line="273" w:lineRule="auto"/>
              <w:ind w:left="2" w:right="75"/>
              <w:jc w:val="left"/>
              <w:rPr>
                <w:rFonts w:ascii="宋体" w:hAnsi="宋体" w:cs="宋体" w:eastAsia="宋体" w:hint="default"/>
                <w:sz w:val="21"/>
                <w:szCs w:val="21"/>
              </w:rPr>
            </w:pPr>
            <w:r>
              <w:rPr>
                <w:rFonts w:ascii="宋体" w:hAnsi="宋体" w:cs="宋体" w:eastAsia="宋体" w:hint="default"/>
                <w:spacing w:val="-2"/>
                <w:sz w:val="21"/>
                <w:szCs w:val="21"/>
              </w:rPr>
              <w:t>并购后捷科智诚业务、技术及人员仍然相对独立，且独立产生现金流入，因此公司</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将该商誉分配至捷科智诚资产组。</w:t>
            </w:r>
          </w:p>
        </w:tc>
      </w:tr>
      <w:tr>
        <w:trPr>
          <w:trHeight w:val="1596"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z w:val="21"/>
                <w:szCs w:val="21"/>
              </w:rPr>
              <w:t>资产组的可收回金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7656" w:type="dxa"/>
            <w:tcBorders>
              <w:top w:val="single" w:sz="8" w:space="0" w:color="000000"/>
              <w:left w:val="single" w:sz="6" w:space="0" w:color="000000"/>
              <w:bottom w:val="single" w:sz="8" w:space="0" w:color="000000"/>
              <w:right w:val="nil" w:sz="6" w:space="0" w:color="auto"/>
            </w:tcBorders>
          </w:tcPr>
          <w:p>
            <w:pPr>
              <w:pStyle w:val="TableParagraph"/>
              <w:spacing w:line="261" w:lineRule="auto"/>
              <w:ind w:left="2" w:right="3"/>
              <w:jc w:val="both"/>
              <w:rPr>
                <w:rFonts w:ascii="宋体" w:hAnsi="宋体" w:cs="宋体" w:eastAsia="宋体" w:hint="default"/>
                <w:sz w:val="21"/>
                <w:szCs w:val="21"/>
              </w:rPr>
            </w:pPr>
            <w:r>
              <w:rPr>
                <w:rFonts w:ascii="宋体" w:hAnsi="宋体" w:cs="宋体" w:eastAsia="宋体" w:hint="default"/>
                <w:sz w:val="21"/>
                <w:szCs w:val="21"/>
              </w:rPr>
              <w:t>本公司对该资产组可收回金额是根据资产组的预计未来现金流量的现值来确定。预</w:t>
            </w:r>
            <w:r>
              <w:rPr>
                <w:rFonts w:ascii="宋体" w:hAnsi="宋体" w:cs="宋体" w:eastAsia="宋体" w:hint="default"/>
                <w:w w:val="100"/>
                <w:sz w:val="21"/>
                <w:szCs w:val="21"/>
              </w:rPr>
              <w:t> </w:t>
            </w:r>
            <w:r>
              <w:rPr>
                <w:rFonts w:ascii="宋体" w:hAnsi="宋体" w:cs="宋体" w:eastAsia="宋体" w:hint="default"/>
                <w:spacing w:val="-3"/>
                <w:sz w:val="21"/>
                <w:szCs w:val="21"/>
              </w:rPr>
              <w:t>计未来现金流量来源为管理层批准的</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年期财务预算中的现金流量预测数据，未来五</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4"/>
                <w:sz w:val="21"/>
                <w:szCs w:val="21"/>
              </w:rPr>
              <w:t>年营业收入的年化增长率为</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至</w:t>
            </w:r>
            <w:r>
              <w:rPr>
                <w:rFonts w:ascii="Times New Roman" w:hAnsi="Times New Roman" w:cs="Times New Roman" w:eastAsia="Times New Roman" w:hint="default"/>
                <w:spacing w:val="-4"/>
                <w:sz w:val="21"/>
                <w:szCs w:val="21"/>
              </w:rPr>
              <w:t>9%</w:t>
            </w:r>
            <w:r>
              <w:rPr>
                <w:rFonts w:ascii="宋体" w:hAnsi="宋体" w:cs="宋体" w:eastAsia="宋体" w:hint="default"/>
                <w:spacing w:val="-4"/>
                <w:sz w:val="21"/>
                <w:szCs w:val="21"/>
              </w:rPr>
              <w:t>不等。五年以后的永续现金流量按照详细预测期</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最后一年的水平，并结合行业发展趋势等因素后确定。计算现值的折现率为</w:t>
            </w:r>
          </w:p>
          <w:p>
            <w:pPr>
              <w:pStyle w:val="TableParagraph"/>
              <w:spacing w:line="240" w:lineRule="auto" w:before="18"/>
              <w:ind w:left="2"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12.02%-12.08%</w:t>
            </w:r>
            <w:r>
              <w:rPr>
                <w:rFonts w:ascii="宋体" w:hAnsi="宋体" w:cs="宋体" w:eastAsia="宋体" w:hint="default"/>
                <w:sz w:val="21"/>
                <w:szCs w:val="21"/>
              </w:rPr>
              <w:t>，为反映相关资产组特定风险的税前折现率。</w:t>
            </w:r>
          </w:p>
        </w:tc>
      </w:tr>
    </w:tbl>
    <w:p>
      <w:pPr>
        <w:spacing w:after="0" w:line="240" w:lineRule="auto"/>
        <w:jc w:val="both"/>
        <w:rPr>
          <w:rFonts w:ascii="宋体" w:hAnsi="宋体" w:cs="宋体" w:eastAsia="宋体" w:hint="default"/>
          <w:sz w:val="21"/>
          <w:szCs w:val="21"/>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702"/>
        <w:gridCol w:w="7656"/>
      </w:tblGrid>
      <w:tr>
        <w:trPr>
          <w:trHeight w:val="1599" w:hRule="exact"/>
        </w:trPr>
        <w:tc>
          <w:tcPr>
            <w:tcW w:w="1702"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4" w:right="-1"/>
              <w:jc w:val="left"/>
              <w:rPr>
                <w:rFonts w:ascii="宋体" w:hAnsi="宋体" w:cs="宋体" w:eastAsia="宋体" w:hint="default"/>
                <w:sz w:val="21"/>
                <w:szCs w:val="21"/>
              </w:rPr>
            </w:pPr>
            <w:r>
              <w:rPr>
                <w:rFonts w:ascii="宋体" w:hAnsi="宋体" w:cs="宋体" w:eastAsia="宋体" w:hint="default"/>
                <w:sz w:val="21"/>
                <w:szCs w:val="21"/>
              </w:rPr>
              <w:t>商誉减值测试结果</w:t>
            </w:r>
          </w:p>
        </w:tc>
        <w:tc>
          <w:tcPr>
            <w:tcW w:w="7656" w:type="dxa"/>
            <w:tcBorders>
              <w:top w:val="single" w:sz="6" w:space="0" w:color="000000"/>
              <w:left w:val="single" w:sz="6" w:space="0" w:color="000000"/>
              <w:bottom w:val="single" w:sz="8" w:space="0" w:color="000000"/>
              <w:right w:val="nil" w:sz="6" w:space="0" w:color="auto"/>
            </w:tcBorders>
          </w:tcPr>
          <w:p>
            <w:pPr>
              <w:pStyle w:val="TableParagraph"/>
              <w:spacing w:line="256" w:lineRule="auto"/>
              <w:ind w:left="2" w:right="74"/>
              <w:jc w:val="both"/>
              <w:rPr>
                <w:rFonts w:ascii="宋体" w:hAnsi="宋体" w:cs="宋体" w:eastAsia="宋体" w:hint="default"/>
                <w:sz w:val="21"/>
                <w:szCs w:val="21"/>
              </w:rPr>
            </w:pPr>
            <w:r>
              <w:rPr>
                <w:rFonts w:ascii="宋体" w:hAnsi="宋体" w:cs="宋体" w:eastAsia="宋体" w:hint="default"/>
                <w:spacing w:val="-2"/>
                <w:sz w:val="21"/>
                <w:szCs w:val="21"/>
              </w:rPr>
              <w:t>以</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日为商誉减值测试基准日，在上述假设条件成立的前提下，本公司</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2"/>
                <w:sz w:val="21"/>
                <w:szCs w:val="21"/>
              </w:rPr>
              <w:t>所持有的捷科智诚与商誉相关的资产组可收回金额为人民币</w:t>
            </w:r>
            <w:r>
              <w:rPr>
                <w:rFonts w:ascii="Times New Roman" w:hAnsi="Times New Roman" w:cs="Times New Roman" w:eastAsia="Times New Roman" w:hint="default"/>
                <w:spacing w:val="-2"/>
                <w:sz w:val="21"/>
                <w:szCs w:val="21"/>
              </w:rPr>
              <w:t>98,127.00</w:t>
            </w:r>
            <w:r>
              <w:rPr>
                <w:rFonts w:ascii="宋体" w:hAnsi="宋体" w:cs="宋体" w:eastAsia="宋体" w:hint="default"/>
                <w:spacing w:val="-2"/>
                <w:sz w:val="21"/>
                <w:szCs w:val="21"/>
              </w:rPr>
              <w:t>元，本公司所</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2"/>
                <w:sz w:val="21"/>
                <w:szCs w:val="21"/>
              </w:rPr>
              <w:t>持有的捷科智诚资产组账面价值为人民币</w:t>
            </w:r>
            <w:r>
              <w:rPr>
                <w:rFonts w:ascii="Times New Roman" w:hAnsi="Times New Roman" w:cs="Times New Roman" w:eastAsia="Times New Roman" w:hint="default"/>
                <w:spacing w:val="-2"/>
                <w:sz w:val="21"/>
                <w:szCs w:val="21"/>
              </w:rPr>
              <w:t>29,559.41</w:t>
            </w:r>
            <w:r>
              <w:rPr>
                <w:rFonts w:ascii="宋体" w:hAnsi="宋体" w:cs="宋体" w:eastAsia="宋体" w:hint="default"/>
                <w:spacing w:val="-2"/>
                <w:sz w:val="21"/>
                <w:szCs w:val="21"/>
              </w:rPr>
              <w:t>万元，全部商誉的账面价值为人</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2"/>
                <w:sz w:val="21"/>
                <w:szCs w:val="21"/>
              </w:rPr>
              <w:t>民币</w:t>
            </w:r>
            <w:r>
              <w:rPr>
                <w:rFonts w:ascii="Times New Roman" w:hAnsi="Times New Roman" w:cs="Times New Roman" w:eastAsia="Times New Roman" w:hint="default"/>
                <w:spacing w:val="-2"/>
                <w:sz w:val="21"/>
                <w:szCs w:val="21"/>
              </w:rPr>
              <w:t>65,592.32</w:t>
            </w:r>
            <w:r>
              <w:rPr>
                <w:rFonts w:ascii="宋体" w:hAnsi="宋体" w:cs="宋体" w:eastAsia="宋体" w:hint="default"/>
                <w:spacing w:val="-2"/>
                <w:sz w:val="21"/>
                <w:szCs w:val="21"/>
              </w:rPr>
              <w:t>万元，由于与商誉相关的资产组可收回金额大于捷科智诚资产组账面</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价值和全部商誉账面价值之和，本期无需计提商誉减值准备。</w:t>
            </w:r>
          </w:p>
        </w:tc>
      </w:tr>
    </w:tbl>
    <w:p>
      <w:pPr>
        <w:pStyle w:val="BodyText"/>
        <w:spacing w:line="240" w:lineRule="auto" w:before="8"/>
        <w:ind w:right="0"/>
        <w:jc w:val="left"/>
      </w:pPr>
      <w:r>
        <w:rPr/>
        <w:t>③菲耐得商誉减值测试过程</w:t>
      </w: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702"/>
        <w:gridCol w:w="7656"/>
      </w:tblGrid>
      <w:tr>
        <w:trPr>
          <w:trHeight w:val="348" w:hRule="exact"/>
        </w:trPr>
        <w:tc>
          <w:tcPr>
            <w:tcW w:w="1702"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656" w:type="dxa"/>
            <w:tcBorders>
              <w:top w:val="single" w:sz="6" w:space="0" w:color="000000"/>
              <w:left w:val="single" w:sz="6" w:space="0" w:color="000000"/>
              <w:bottom w:val="single" w:sz="8" w:space="0" w:color="000000"/>
              <w:right w:val="nil" w:sz="6" w:space="0" w:color="auto"/>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商誉减值过程</w:t>
            </w:r>
          </w:p>
        </w:tc>
      </w:tr>
      <w:tr>
        <w:trPr>
          <w:trHeight w:val="348"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商誉的形成</w:t>
            </w:r>
          </w:p>
        </w:tc>
        <w:tc>
          <w:tcPr>
            <w:tcW w:w="7656" w:type="dxa"/>
            <w:tcBorders>
              <w:top w:val="single" w:sz="8" w:space="0" w:color="000000"/>
              <w:left w:val="single" w:sz="6" w:space="0" w:color="000000"/>
              <w:bottom w:val="single" w:sz="8" w:space="0" w:color="000000"/>
              <w:right w:val="nil" w:sz="6" w:space="0" w:color="auto"/>
            </w:tcBorders>
          </w:tcPr>
          <w:p>
            <w:pPr>
              <w:pStyle w:val="TableParagraph"/>
              <w:spacing w:line="285" w:lineRule="exact"/>
              <w:ind w:left="2" w:right="0"/>
              <w:jc w:val="left"/>
              <w:rPr>
                <w:rFonts w:ascii="宋体" w:hAnsi="宋体" w:cs="宋体" w:eastAsia="宋体" w:hint="default"/>
                <w:sz w:val="21"/>
                <w:szCs w:val="21"/>
              </w:rPr>
            </w:pPr>
            <w:r>
              <w:rPr>
                <w:rFonts w:ascii="宋体" w:hAnsi="宋体" w:cs="宋体" w:eastAsia="宋体" w:hint="default"/>
                <w:sz w:val="21"/>
                <w:szCs w:val="21"/>
              </w:rPr>
              <w:t>本公司于</w:t>
            </w:r>
            <w:r>
              <w:rPr>
                <w:rFonts w:ascii="Times New Roman" w:hAnsi="Times New Roman" w:cs="Times New Roman" w:eastAsia="Times New Roman" w:hint="default"/>
                <w:sz w:val="21"/>
                <w:szCs w:val="21"/>
              </w:rPr>
              <w:t>2015</w:t>
            </w:r>
            <w:r>
              <w:rPr>
                <w:rFonts w:ascii="宋体" w:hAnsi="宋体" w:cs="宋体" w:eastAsia="宋体" w:hint="default"/>
                <w:sz w:val="21"/>
                <w:szCs w:val="21"/>
              </w:rPr>
              <w:t>年收购菲耐得</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股权产生商誉</w:t>
            </w:r>
            <w:r>
              <w:rPr>
                <w:rFonts w:ascii="Times New Roman" w:hAnsi="Times New Roman" w:cs="Times New Roman" w:eastAsia="Times New Roman" w:hint="default"/>
                <w:sz w:val="21"/>
                <w:szCs w:val="21"/>
              </w:rPr>
              <w:t>66,014,888.55</w:t>
            </w:r>
            <w:r>
              <w:rPr>
                <w:rFonts w:ascii="宋体" w:hAnsi="宋体" w:cs="宋体" w:eastAsia="宋体" w:hint="default"/>
                <w:sz w:val="21"/>
                <w:szCs w:val="21"/>
              </w:rPr>
              <w:t>元。</w:t>
            </w:r>
          </w:p>
        </w:tc>
      </w:tr>
      <w:tr>
        <w:trPr>
          <w:trHeight w:val="660"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资产组的认定</w:t>
            </w:r>
          </w:p>
        </w:tc>
        <w:tc>
          <w:tcPr>
            <w:tcW w:w="7656" w:type="dxa"/>
            <w:tcBorders>
              <w:top w:val="single" w:sz="8" w:space="0" w:color="000000"/>
              <w:left w:val="single" w:sz="6" w:space="0" w:color="000000"/>
              <w:bottom w:val="single" w:sz="8" w:space="0" w:color="000000"/>
              <w:right w:val="nil" w:sz="6" w:space="0" w:color="auto"/>
            </w:tcBorders>
          </w:tcPr>
          <w:p>
            <w:pPr>
              <w:pStyle w:val="TableParagraph"/>
              <w:spacing w:line="273" w:lineRule="auto"/>
              <w:ind w:left="2" w:right="75"/>
              <w:jc w:val="left"/>
              <w:rPr>
                <w:rFonts w:ascii="宋体" w:hAnsi="宋体" w:cs="宋体" w:eastAsia="宋体" w:hint="default"/>
                <w:sz w:val="21"/>
                <w:szCs w:val="21"/>
              </w:rPr>
            </w:pPr>
            <w:r>
              <w:rPr>
                <w:rFonts w:ascii="宋体" w:hAnsi="宋体" w:cs="宋体" w:eastAsia="宋体" w:hint="default"/>
                <w:spacing w:val="-2"/>
                <w:sz w:val="21"/>
                <w:szCs w:val="21"/>
              </w:rPr>
              <w:t>并购后菲耐得业务、技术及人员仍然相对独立，且独立产生现金流入，因此公司将</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该商誉分配至菲耐得资产组。</w:t>
            </w:r>
          </w:p>
        </w:tc>
      </w:tr>
      <w:tr>
        <w:trPr>
          <w:trHeight w:val="1594"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z w:val="21"/>
                <w:szCs w:val="21"/>
              </w:rPr>
              <w:t>资产组的可收回金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7656" w:type="dxa"/>
            <w:tcBorders>
              <w:top w:val="single" w:sz="8" w:space="0" w:color="000000"/>
              <w:left w:val="single" w:sz="6" w:space="0" w:color="000000"/>
              <w:bottom w:val="single" w:sz="8" w:space="0" w:color="000000"/>
              <w:right w:val="nil" w:sz="6" w:space="0" w:color="auto"/>
            </w:tcBorders>
          </w:tcPr>
          <w:p>
            <w:pPr>
              <w:pStyle w:val="TableParagraph"/>
              <w:spacing w:line="264" w:lineRule="auto"/>
              <w:ind w:left="2" w:right="2"/>
              <w:jc w:val="left"/>
              <w:rPr>
                <w:rFonts w:ascii="宋体" w:hAnsi="宋体" w:cs="宋体" w:eastAsia="宋体" w:hint="default"/>
                <w:sz w:val="21"/>
                <w:szCs w:val="21"/>
              </w:rPr>
            </w:pPr>
            <w:r>
              <w:rPr>
                <w:rFonts w:ascii="宋体" w:hAnsi="宋体" w:cs="宋体" w:eastAsia="宋体" w:hint="default"/>
                <w:sz w:val="21"/>
                <w:szCs w:val="21"/>
              </w:rPr>
              <w:t>本公司对该资产组可收回金额是根据资产组的预计未来现金流量的现值来确定。预</w:t>
            </w:r>
            <w:r>
              <w:rPr>
                <w:rFonts w:ascii="宋体" w:hAnsi="宋体" w:cs="宋体" w:eastAsia="宋体" w:hint="default"/>
                <w:w w:val="100"/>
                <w:sz w:val="21"/>
                <w:szCs w:val="21"/>
              </w:rPr>
              <w:t> </w:t>
            </w:r>
            <w:r>
              <w:rPr>
                <w:rFonts w:ascii="宋体" w:hAnsi="宋体" w:cs="宋体" w:eastAsia="宋体" w:hint="default"/>
                <w:spacing w:val="-3"/>
                <w:sz w:val="21"/>
                <w:szCs w:val="21"/>
              </w:rPr>
              <w:t>计未来现金流量来源为管理层批准的</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年期财务预算中的现金流量预测数据，未来五</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3"/>
                <w:sz w:val="21"/>
                <w:szCs w:val="21"/>
              </w:rPr>
              <w:t>年营业收入的年化增长率为</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至</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不等。五年以后的永续现金流量按照详细预测</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期最后一年的水平，并结合行业发展趋势等因素后确定。计算现值的折现率为</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13.52%</w:t>
            </w:r>
            <w:r>
              <w:rPr>
                <w:rFonts w:ascii="宋体" w:hAnsi="宋体" w:cs="宋体" w:eastAsia="宋体" w:hint="default"/>
                <w:sz w:val="21"/>
                <w:szCs w:val="21"/>
              </w:rPr>
              <w:t>，为反映相关资产组特定风险的税前折现率。</w:t>
            </w:r>
          </w:p>
        </w:tc>
      </w:tr>
      <w:tr>
        <w:trPr>
          <w:trHeight w:val="1284"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1"/>
              <w:jc w:val="left"/>
              <w:rPr>
                <w:rFonts w:ascii="宋体" w:hAnsi="宋体" w:cs="宋体" w:eastAsia="宋体" w:hint="default"/>
                <w:sz w:val="21"/>
                <w:szCs w:val="21"/>
              </w:rPr>
            </w:pPr>
            <w:r>
              <w:rPr>
                <w:rFonts w:ascii="宋体" w:hAnsi="宋体" w:cs="宋体" w:eastAsia="宋体" w:hint="default"/>
                <w:sz w:val="21"/>
                <w:szCs w:val="21"/>
              </w:rPr>
              <w:t>商誉减值测试结果</w:t>
            </w:r>
          </w:p>
        </w:tc>
        <w:tc>
          <w:tcPr>
            <w:tcW w:w="7656" w:type="dxa"/>
            <w:tcBorders>
              <w:top w:val="single" w:sz="8" w:space="0" w:color="000000"/>
              <w:left w:val="single" w:sz="6" w:space="0" w:color="000000"/>
              <w:bottom w:val="single" w:sz="8" w:space="0" w:color="000000"/>
              <w:right w:val="nil" w:sz="6" w:space="0" w:color="auto"/>
            </w:tcBorders>
          </w:tcPr>
          <w:p>
            <w:pPr>
              <w:pStyle w:val="TableParagraph"/>
              <w:spacing w:line="256" w:lineRule="auto"/>
              <w:ind w:left="2" w:right="3"/>
              <w:jc w:val="left"/>
              <w:rPr>
                <w:rFonts w:ascii="宋体" w:hAnsi="宋体" w:cs="宋体" w:eastAsia="宋体" w:hint="default"/>
                <w:sz w:val="21"/>
                <w:szCs w:val="21"/>
              </w:rPr>
            </w:pPr>
            <w:r>
              <w:rPr>
                <w:rFonts w:ascii="宋体" w:hAnsi="宋体" w:cs="宋体" w:eastAsia="宋体" w:hint="default"/>
                <w:sz w:val="21"/>
                <w:szCs w:val="21"/>
              </w:rPr>
              <w:t>以</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日为商誉减值测试基准日，在上述假设条件成立的前提下，本公司</w:t>
            </w:r>
            <w:r>
              <w:rPr>
                <w:rFonts w:ascii="宋体" w:hAnsi="宋体" w:cs="宋体" w:eastAsia="宋体" w:hint="default"/>
                <w:w w:val="100"/>
                <w:sz w:val="21"/>
                <w:szCs w:val="21"/>
              </w:rPr>
              <w:t> </w:t>
            </w:r>
            <w:r>
              <w:rPr>
                <w:rFonts w:ascii="宋体" w:hAnsi="宋体" w:cs="宋体" w:eastAsia="宋体" w:hint="default"/>
                <w:spacing w:val="-2"/>
                <w:sz w:val="21"/>
                <w:szCs w:val="21"/>
              </w:rPr>
              <w:t>所持有的菲耐得与商誉相关的资产组可收回金额为人民币</w:t>
            </w:r>
            <w:r>
              <w:rPr>
                <w:rFonts w:ascii="Times New Roman" w:hAnsi="Times New Roman" w:cs="Times New Roman" w:eastAsia="Times New Roman" w:hint="default"/>
                <w:spacing w:val="-2"/>
                <w:sz w:val="21"/>
                <w:szCs w:val="21"/>
              </w:rPr>
              <w:t>5,957.00</w:t>
            </w:r>
            <w:r>
              <w:rPr>
                <w:rFonts w:ascii="宋体" w:hAnsi="宋体" w:cs="宋体" w:eastAsia="宋体" w:hint="default"/>
                <w:spacing w:val="-2"/>
                <w:sz w:val="21"/>
                <w:szCs w:val="21"/>
              </w:rPr>
              <w:t>万元，本公司所持</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有的菲耐得资产组账面价值为人民币</w:t>
            </w:r>
            <w:r>
              <w:rPr>
                <w:rFonts w:ascii="Times New Roman" w:hAnsi="Times New Roman" w:cs="Times New Roman" w:eastAsia="Times New Roman" w:hint="default"/>
                <w:sz w:val="21"/>
                <w:szCs w:val="21"/>
              </w:rPr>
              <w:t>5,072.12</w:t>
            </w:r>
            <w:r>
              <w:rPr>
                <w:rFonts w:ascii="宋体" w:hAnsi="宋体" w:cs="宋体" w:eastAsia="宋体" w:hint="default"/>
                <w:sz w:val="21"/>
                <w:szCs w:val="21"/>
              </w:rPr>
              <w:t>万元，全部商誉的账面价值为人民币</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6,601.49</w:t>
            </w:r>
            <w:r>
              <w:rPr>
                <w:rFonts w:ascii="宋体" w:hAnsi="宋体" w:cs="宋体" w:eastAsia="宋体" w:hint="default"/>
                <w:sz w:val="21"/>
                <w:szCs w:val="21"/>
              </w:rPr>
              <w:t>万元，需计提商誉减值准备人民币</w:t>
            </w:r>
            <w:r>
              <w:rPr>
                <w:rFonts w:ascii="Times New Roman" w:hAnsi="Times New Roman" w:cs="Times New Roman" w:eastAsia="Times New Roman" w:hint="default"/>
                <w:sz w:val="21"/>
                <w:szCs w:val="21"/>
              </w:rPr>
              <w:t>5,716.61</w:t>
            </w:r>
            <w:r>
              <w:rPr>
                <w:rFonts w:ascii="宋体" w:hAnsi="宋体" w:cs="宋体" w:eastAsia="宋体" w:hint="default"/>
                <w:sz w:val="21"/>
                <w:szCs w:val="21"/>
              </w:rPr>
              <w:t>万元。</w:t>
            </w:r>
          </w:p>
        </w:tc>
      </w:tr>
    </w:tbl>
    <w:p>
      <w:pPr>
        <w:spacing w:line="240" w:lineRule="auto" w:before="2"/>
        <w:rPr>
          <w:rFonts w:ascii="宋体" w:hAnsi="宋体" w:cs="宋体" w:eastAsia="宋体" w:hint="default"/>
          <w:sz w:val="24"/>
          <w:szCs w:val="24"/>
        </w:rPr>
      </w:pPr>
    </w:p>
    <w:p>
      <w:pPr>
        <w:pStyle w:val="BodyText"/>
        <w:spacing w:line="357" w:lineRule="auto" w:before="44"/>
        <w:ind w:right="9133"/>
        <w:jc w:val="left"/>
      </w:pPr>
      <w:r>
        <w:rPr/>
        <w:t>商誉减值测试的影响 其他说明</w:t>
      </w:r>
    </w:p>
    <w:p>
      <w:pPr>
        <w:pStyle w:val="BodyText"/>
        <w:spacing w:line="300" w:lineRule="auto" w:before="29"/>
        <w:ind w:right="0" w:firstLine="432"/>
        <w:jc w:val="left"/>
      </w:pPr>
      <w:r>
        <w:rPr>
          <w:spacing w:val="-1"/>
        </w:rPr>
        <w:t>（</w:t>
      </w:r>
      <w:r>
        <w:rPr>
          <w:rFonts w:ascii="Times New Roman" w:hAnsi="Times New Roman" w:cs="Times New Roman" w:eastAsia="Times New Roman" w:hint="default"/>
          <w:spacing w:val="-1"/>
        </w:rPr>
        <w:t>1</w:t>
      </w:r>
      <w:r>
        <w:rPr>
          <w:spacing w:val="-1"/>
        </w:rPr>
        <w:t>）本期商誉减少系新维数联丧失控制，不再纳入公司合并财务报表范围，对应减少商誉</w:t>
      </w:r>
      <w:r>
        <w:rPr>
          <w:rFonts w:ascii="Times New Roman" w:hAnsi="Times New Roman" w:cs="Times New Roman" w:eastAsia="Times New Roman" w:hint="default"/>
          <w:spacing w:val="-1"/>
        </w:rPr>
        <w:t>22,176,701.16</w:t>
      </w:r>
      <w:r>
        <w:rPr>
          <w:spacing w:val="-1"/>
        </w:rPr>
        <w:t>元，具体说明</w:t>
      </w:r>
      <w:r>
        <w:rPr/>
        <w:t> 详见附注七、合并财务报表项目注释之</w:t>
      </w:r>
      <w:r>
        <w:rPr>
          <w:rFonts w:ascii="Times New Roman" w:hAnsi="Times New Roman" w:cs="Times New Roman" w:eastAsia="Times New Roman" w:hint="default"/>
        </w:rPr>
        <w:t>17</w:t>
      </w:r>
      <w:r>
        <w:rPr/>
        <w:t>、长期股权投资。</w:t>
      </w:r>
    </w:p>
    <w:p>
      <w:pPr>
        <w:pStyle w:val="BodyText"/>
        <w:spacing w:line="240" w:lineRule="auto" w:before="13"/>
        <w:ind w:left="585" w:right="0"/>
        <w:jc w:val="left"/>
      </w:pPr>
      <w:r>
        <w:rPr/>
        <w:t>（</w:t>
      </w:r>
      <w:r>
        <w:rPr>
          <w:rFonts w:ascii="Times New Roman" w:hAnsi="Times New Roman" w:cs="Times New Roman" w:eastAsia="Times New Roman" w:hint="default"/>
        </w:rPr>
        <w:t>2</w:t>
      </w:r>
      <w:r>
        <w:rPr/>
        <w:t>）商誉期末余额较期初余额减少</w:t>
      </w:r>
      <w:r>
        <w:rPr>
          <w:rFonts w:ascii="Times New Roman" w:hAnsi="Times New Roman" w:cs="Times New Roman" w:eastAsia="Times New Roman" w:hint="default"/>
        </w:rPr>
        <w:t>62.62%</w:t>
      </w:r>
      <w:r>
        <w:rPr/>
        <w:t>，主要原因是本期对联创智融及菲耐得商誉资产组计提商誉减值准备。</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29</w:t>
      </w:r>
      <w:r>
        <w:rPr/>
        <w:t>、长期待摊费用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借款顾问费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2,168,774.71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1,179,245.28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2,836,324.85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511,695.14</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7,351,196.73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11,066,278.83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5,681,315.20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167,562.58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12,568,597.78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60,283.02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60,283.02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9,580,254.46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12,245,524.11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8,517,640.05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227,845.60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13,080,292.92</w:t>
            </w:r>
          </w:p>
        </w:tc>
      </w:tr>
    </w:tbl>
    <w:p>
      <w:pPr>
        <w:pStyle w:val="BodyText"/>
        <w:spacing w:line="240" w:lineRule="auto" w:before="49"/>
        <w:ind w:right="0"/>
        <w:jc w:val="left"/>
      </w:pPr>
      <w:r>
        <w:rPr/>
        <w:t>其他说明</w:t>
      </w:r>
    </w:p>
    <w:p>
      <w:pPr>
        <w:pStyle w:val="BodyText"/>
        <w:spacing w:line="240" w:lineRule="auto" w:before="115"/>
        <w:ind w:left="657" w:right="0"/>
        <w:jc w:val="left"/>
      </w:pPr>
      <w:r>
        <w:rPr/>
        <w:t>（</w:t>
      </w:r>
      <w:r>
        <w:rPr>
          <w:rFonts w:ascii="Times New Roman" w:hAnsi="Times New Roman" w:cs="Times New Roman" w:eastAsia="Times New Roman" w:hint="default"/>
        </w:rPr>
        <w:t>1</w:t>
      </w:r>
      <w:r>
        <w:rPr/>
        <w:t>）本期其他减少系处置子公司以及处置摊销资产所致。</w:t>
      </w:r>
    </w:p>
    <w:p>
      <w:pPr>
        <w:pStyle w:val="BodyText"/>
        <w:spacing w:line="300" w:lineRule="auto" w:before="63"/>
        <w:ind w:right="1144" w:firstLine="504"/>
        <w:jc w:val="left"/>
      </w:pPr>
      <w:r>
        <w:rPr/>
        <w:t>（</w:t>
      </w:r>
      <w:r>
        <w:rPr>
          <w:rFonts w:ascii="Times New Roman" w:hAnsi="Times New Roman" w:cs="Times New Roman" w:eastAsia="Times New Roman" w:hint="default"/>
        </w:rPr>
        <w:t>2</w:t>
      </w:r>
      <w:r>
        <w:rPr/>
        <w:t>）长期待摊费用期末余额较期初余额增长</w:t>
      </w:r>
      <w:r>
        <w:rPr>
          <w:rFonts w:ascii="Times New Roman" w:hAnsi="Times New Roman" w:cs="Times New Roman" w:eastAsia="Times New Roman" w:hint="default"/>
        </w:rPr>
        <w:t>36.53%</w:t>
      </w:r>
      <w:r>
        <w:rPr/>
        <w:t>，主要原因是子公司西安润和、外包园公司及武汉宁润办公场所 装修完成，由在建工程转入长期待摊费用核算。</w:t>
      </w:r>
    </w:p>
    <w:p>
      <w:pPr>
        <w:spacing w:after="0" w:line="30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151,570,949.48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18,073,901.30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92,379,193.71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11,065,915.08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1,740,851.80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261,127.77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5,407,294.58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811,094.19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236,836,330.52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36,861,894.06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301,590,108.24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49,865,527.38</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无形资产摊销会计与税 法差异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59,706,020.01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8,867,346.40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17,627,241.61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2,542,350.71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1,938,106.91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290,716.04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1,938,106.91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290,716.04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1,125,000.00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460,292,258.72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65,629,985.57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426,441,945.05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65,700,603.40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15,632.56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3,908.14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12,138,273.61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1,220,862.16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15,632.56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3,908.14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12,138,273.61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1,220,862.16</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13" w:right="51"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65,629,985.57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65,700,603.40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3,908.14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1,220,862.16</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5" w:right="0"/>
              <w:jc w:val="left"/>
              <w:rPr>
                <w:rFonts w:ascii="Times New Roman" w:hAnsi="Times New Roman" w:cs="Times New Roman" w:eastAsia="Times New Roman" w:hint="default"/>
                <w:sz w:val="18"/>
                <w:szCs w:val="18"/>
              </w:rPr>
            </w:pPr>
            <w:r>
              <w:rPr>
                <w:rFonts w:ascii="Times New Roman"/>
                <w:sz w:val="18"/>
              </w:rPr>
              <w:t>139,200,727.62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1,727,536.34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3"/>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215,141,186.96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32,306,064.53</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354,341,914.58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34,033,600.87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88,283.66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2,554,314.36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2,554,314.36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3,595,236.26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5,147,852.94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3,434,744.92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3,876,621.31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14,634,166.16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20,638,992.26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32,395,083.08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49,834,070.41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2029 </w:t>
            </w:r>
            <w:r>
              <w:rPr>
                <w:rFonts w:ascii="宋体" w:hAnsi="宋体" w:cs="宋体" w:eastAsia="宋体" w:hint="default"/>
                <w:sz w:val="18"/>
                <w:szCs w:val="18"/>
              </w:rPr>
              <w:t>年  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108,693,571.77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215,141,186.96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32,306,064.53</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pStyle w:val="BodyText"/>
        <w:spacing w:line="300" w:lineRule="auto" w:before="115"/>
        <w:ind w:right="1037" w:firstLine="504"/>
        <w:jc w:val="left"/>
      </w:pPr>
      <w:r>
        <w:rPr>
          <w:spacing w:val="-1"/>
        </w:rPr>
        <w:t>注</w:t>
      </w:r>
      <w:r>
        <w:rPr>
          <w:rFonts w:ascii="Times New Roman" w:hAnsi="Times New Roman" w:cs="Times New Roman" w:eastAsia="Times New Roman" w:hint="default"/>
          <w:spacing w:val="-1"/>
        </w:rPr>
        <w:t>1</w:t>
      </w:r>
      <w:r>
        <w:rPr>
          <w:spacing w:val="-1"/>
        </w:rPr>
        <w:t>：根据财税〔</w:t>
      </w:r>
      <w:r>
        <w:rPr>
          <w:rFonts w:ascii="Times New Roman" w:hAnsi="Times New Roman" w:cs="Times New Roman" w:eastAsia="Times New Roman" w:hint="default"/>
          <w:spacing w:val="-1"/>
        </w:rPr>
        <w:t>2018</w:t>
      </w:r>
      <w:r>
        <w:rPr>
          <w:spacing w:val="-1"/>
        </w:rPr>
        <w:t>〕</w:t>
      </w:r>
      <w:r>
        <w:rPr>
          <w:rFonts w:ascii="Times New Roman" w:hAnsi="Times New Roman" w:cs="Times New Roman" w:eastAsia="Times New Roman" w:hint="default"/>
          <w:spacing w:val="-1"/>
        </w:rPr>
        <w:t>76</w:t>
      </w:r>
      <w:r>
        <w:rPr>
          <w:spacing w:val="-1"/>
        </w:rPr>
        <w:t>号《关于延长高新技术企业和科技型中小企业亏损结转年限的通知》，自</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w:t>
      </w:r>
      <w:r>
        <w:rPr/>
        <w:t> 当年具备高新技术企业或科技型中小企业资格（以下统称资格）的企业，其具备资格年度之前</w:t>
      </w:r>
      <w:r>
        <w:rPr>
          <w:rFonts w:ascii="Times New Roman" w:hAnsi="Times New Roman" w:cs="Times New Roman" w:eastAsia="Times New Roman" w:hint="default"/>
        </w:rPr>
        <w:t>5</w:t>
      </w:r>
      <w:r>
        <w:rPr/>
        <w:t>个年度发生的尚未弥补完的 亏损，准予结转以后年度弥补，最长结转年限由</w:t>
      </w:r>
      <w:r>
        <w:rPr>
          <w:rFonts w:ascii="Times New Roman" w:hAnsi="Times New Roman" w:cs="Times New Roman" w:eastAsia="Times New Roman" w:hint="default"/>
        </w:rPr>
        <w:t>5</w:t>
      </w:r>
      <w:r>
        <w:rPr/>
        <w:t>年延长至</w:t>
      </w:r>
      <w:r>
        <w:rPr>
          <w:rFonts w:ascii="Times New Roman" w:hAnsi="Times New Roman" w:cs="Times New Roman" w:eastAsia="Times New Roman" w:hint="default"/>
        </w:rPr>
        <w:t>10</w:t>
      </w:r>
      <w:r>
        <w:rPr/>
        <w:t>年。本公司及子公司西安润和符合上述规定，对应可弥补亏损 结转年限由</w:t>
      </w:r>
      <w:r>
        <w:rPr>
          <w:rFonts w:ascii="Times New Roman" w:hAnsi="Times New Roman" w:cs="Times New Roman" w:eastAsia="Times New Roman" w:hint="default"/>
        </w:rPr>
        <w:t>5</w:t>
      </w:r>
      <w:r>
        <w:rPr/>
        <w:t>年延长至</w:t>
      </w:r>
      <w:r>
        <w:rPr>
          <w:rFonts w:ascii="Times New Roman" w:hAnsi="Times New Roman" w:cs="Times New Roman" w:eastAsia="Times New Roman" w:hint="default"/>
        </w:rPr>
        <w:t>10</w:t>
      </w:r>
      <w:r>
        <w:rPr/>
        <w:t>年。</w:t>
      </w:r>
    </w:p>
    <w:p>
      <w:pPr>
        <w:pStyle w:val="BodyText"/>
        <w:spacing w:line="240" w:lineRule="auto" w:before="13"/>
        <w:ind w:left="657" w:right="0"/>
        <w:jc w:val="left"/>
      </w:pPr>
      <w:r>
        <w:rPr/>
        <w:t>（</w:t>
      </w:r>
      <w:r>
        <w:rPr>
          <w:rFonts w:ascii="Times New Roman" w:hAnsi="Times New Roman" w:cs="Times New Roman" w:eastAsia="Times New Roman" w:hint="default"/>
        </w:rPr>
        <w:t>1</w:t>
      </w:r>
      <w:r>
        <w:rPr/>
        <w:t>）本期新维数联不纳入合并报表范围减少递延所得税资产</w:t>
      </w:r>
      <w:r>
        <w:rPr>
          <w:rFonts w:ascii="Times New Roman" w:hAnsi="Times New Roman" w:cs="Times New Roman" w:eastAsia="Times New Roman" w:hint="default"/>
        </w:rPr>
        <w:t>4,607,537.42</w:t>
      </w:r>
      <w:r>
        <w:rPr/>
        <w:t>元。</w:t>
      </w:r>
    </w:p>
    <w:p>
      <w:pPr>
        <w:pStyle w:val="BodyText"/>
        <w:spacing w:line="300" w:lineRule="auto" w:before="63"/>
        <w:ind w:right="1144" w:firstLine="504"/>
        <w:jc w:val="left"/>
      </w:pPr>
      <w:r>
        <w:rPr/>
        <w:t>（</w:t>
      </w:r>
      <w:r>
        <w:rPr>
          <w:rFonts w:ascii="Times New Roman" w:hAnsi="Times New Roman" w:cs="Times New Roman" w:eastAsia="Times New Roman" w:hint="default"/>
        </w:rPr>
        <w:t>2</w:t>
      </w:r>
      <w:r>
        <w:rPr/>
        <w:t>）递延所得税负债期末余额较期初余额减少</w:t>
      </w:r>
      <w:r>
        <w:rPr>
          <w:rFonts w:ascii="Times New Roman" w:hAnsi="Times New Roman" w:cs="Times New Roman" w:eastAsia="Times New Roman" w:hint="default"/>
        </w:rPr>
        <w:t>99.68%</w:t>
      </w:r>
      <w:r>
        <w:rPr/>
        <w:t>，主要原因是本期计提非同一控制下企业合并形成的资产评估 增值摊销，相应确认的递延所得税负债转回。</w:t>
      </w: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31</w:t>
      </w:r>
      <w:r>
        <w:rPr/>
        <w:t>、其他非流动资产</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4" w:space="687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0"/>
        <w:jc w:val="left"/>
      </w:pPr>
      <w:r>
        <w:rPr/>
        <w:t>其他说明：</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32</w:t>
      </w:r>
      <w:r>
        <w:rPr/>
        <w:t>、短期借款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短期借款应计利息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1,413,393.43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825,413,393.43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890,000,000.00</w:t>
            </w:r>
          </w:p>
        </w:tc>
      </w:tr>
    </w:tbl>
    <w:p>
      <w:pPr>
        <w:pStyle w:val="BodyText"/>
        <w:spacing w:line="240" w:lineRule="auto" w:before="49"/>
        <w:ind w:right="0"/>
        <w:jc w:val="left"/>
      </w:pPr>
      <w:r>
        <w:rPr/>
        <w:t>短期借款分类的说明：</w:t>
      </w:r>
    </w:p>
    <w:p>
      <w:pPr>
        <w:pStyle w:val="BodyText"/>
        <w:spacing w:line="240" w:lineRule="auto" w:before="117"/>
        <w:ind w:left="657" w:right="0"/>
        <w:jc w:val="left"/>
      </w:pPr>
      <w:r>
        <w:rPr/>
        <w:t>①保证借款期末余额的担保情况如下：</w:t>
      </w: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277"/>
        <w:gridCol w:w="3543"/>
        <w:gridCol w:w="2269"/>
        <w:gridCol w:w="2268"/>
      </w:tblGrid>
      <w:tr>
        <w:trPr>
          <w:trHeight w:val="348" w:hRule="exact"/>
        </w:trPr>
        <w:tc>
          <w:tcPr>
            <w:tcW w:w="1277"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213"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3543"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担保方</w:t>
            </w:r>
          </w:p>
        </w:tc>
        <w:tc>
          <w:tcPr>
            <w:tcW w:w="2269"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707" w:right="0"/>
              <w:jc w:val="left"/>
              <w:rPr>
                <w:rFonts w:ascii="宋体" w:hAnsi="宋体" w:cs="宋体" w:eastAsia="宋体" w:hint="default"/>
                <w:sz w:val="21"/>
                <w:szCs w:val="21"/>
              </w:rPr>
            </w:pPr>
            <w:r>
              <w:rPr>
                <w:rFonts w:ascii="宋体" w:hAnsi="宋体" w:cs="宋体" w:eastAsia="宋体" w:hint="default"/>
                <w:sz w:val="21"/>
                <w:szCs w:val="21"/>
              </w:rPr>
              <w:t>借款银行</w:t>
            </w:r>
          </w:p>
        </w:tc>
        <w:tc>
          <w:tcPr>
            <w:tcW w:w="2268" w:type="dxa"/>
            <w:tcBorders>
              <w:top w:val="single" w:sz="6" w:space="0" w:color="000000"/>
              <w:left w:val="single" w:sz="6" w:space="0" w:color="000000"/>
              <w:bottom w:val="single" w:sz="8" w:space="0" w:color="000000"/>
              <w:right w:val="nil" w:sz="6" w:space="0" w:color="auto"/>
            </w:tcBorders>
          </w:tcPr>
          <w:p>
            <w:pPr>
              <w:pStyle w:val="TableParagraph"/>
              <w:spacing w:line="272" w:lineRule="exact"/>
              <w:ind w:left="707" w:right="0"/>
              <w:jc w:val="left"/>
              <w:rPr>
                <w:rFonts w:ascii="宋体" w:hAnsi="宋体" w:cs="宋体" w:eastAsia="宋体" w:hint="default"/>
                <w:sz w:val="21"/>
                <w:szCs w:val="21"/>
              </w:rPr>
            </w:pPr>
            <w:r>
              <w:rPr>
                <w:rFonts w:ascii="宋体" w:hAnsi="宋体" w:cs="宋体" w:eastAsia="宋体" w:hint="default"/>
                <w:sz w:val="21"/>
                <w:szCs w:val="21"/>
              </w:rPr>
              <w:t>借款金额</w:t>
            </w:r>
          </w:p>
        </w:tc>
      </w:tr>
      <w:tr>
        <w:trPr>
          <w:trHeight w:val="660" w:hRule="exact"/>
        </w:trPr>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3543"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4" w:right="-2"/>
              <w:jc w:val="left"/>
              <w:rPr>
                <w:rFonts w:ascii="宋体" w:hAnsi="宋体" w:cs="宋体" w:eastAsia="宋体" w:hint="default"/>
                <w:sz w:val="21"/>
                <w:szCs w:val="21"/>
              </w:rPr>
            </w:pPr>
            <w:r>
              <w:rPr>
                <w:rFonts w:ascii="宋体" w:hAnsi="宋体" w:cs="宋体" w:eastAsia="宋体" w:hint="default"/>
                <w:spacing w:val="-5"/>
                <w:sz w:val="21"/>
                <w:szCs w:val="21"/>
              </w:rPr>
              <w:t>江苏润和科技投资集团有限公司、周红</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卫、束岚、姚宁、朱彤</w:t>
            </w:r>
          </w:p>
        </w:tc>
        <w:tc>
          <w:tcPr>
            <w:tcW w:w="226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江苏银行城西支行</w:t>
            </w:r>
          </w:p>
        </w:tc>
        <w:tc>
          <w:tcPr>
            <w:tcW w:w="22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3"/>
              <w:jc w:val="right"/>
              <w:rPr>
                <w:rFonts w:ascii="Times New Roman" w:hAnsi="Times New Roman" w:cs="Times New Roman" w:eastAsia="Times New Roman" w:hint="default"/>
                <w:sz w:val="21"/>
                <w:szCs w:val="21"/>
              </w:rPr>
            </w:pPr>
            <w:r>
              <w:rPr>
                <w:rFonts w:ascii="Times New Roman"/>
                <w:spacing w:val="-1"/>
                <w:sz w:val="21"/>
              </w:rPr>
              <w:t>40,000,000.00</w:t>
            </w:r>
          </w:p>
        </w:tc>
      </w:tr>
      <w:tr>
        <w:trPr>
          <w:trHeight w:val="658" w:hRule="exact"/>
        </w:trPr>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3543"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4" w:right="-2"/>
              <w:jc w:val="left"/>
              <w:rPr>
                <w:rFonts w:ascii="宋体" w:hAnsi="宋体" w:cs="宋体" w:eastAsia="宋体" w:hint="default"/>
                <w:sz w:val="21"/>
                <w:szCs w:val="21"/>
              </w:rPr>
            </w:pPr>
            <w:r>
              <w:rPr>
                <w:rFonts w:ascii="宋体" w:hAnsi="宋体" w:cs="宋体" w:eastAsia="宋体" w:hint="default"/>
                <w:spacing w:val="-5"/>
                <w:sz w:val="21"/>
                <w:szCs w:val="21"/>
              </w:rPr>
              <w:t>江苏润和科技投资集团有限公司、周红</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卫、姚宁</w:t>
            </w:r>
          </w:p>
        </w:tc>
        <w:tc>
          <w:tcPr>
            <w:tcW w:w="2269"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民生银行城东支行</w:t>
            </w:r>
          </w:p>
        </w:tc>
        <w:tc>
          <w:tcPr>
            <w:tcW w:w="22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70,000,000.00</w:t>
            </w:r>
          </w:p>
        </w:tc>
      </w:tr>
      <w:tr>
        <w:trPr>
          <w:trHeight w:val="660" w:hRule="exact"/>
        </w:trPr>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3543"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4" w:right="-2"/>
              <w:jc w:val="left"/>
              <w:rPr>
                <w:rFonts w:ascii="宋体" w:hAnsi="宋体" w:cs="宋体" w:eastAsia="宋体" w:hint="default"/>
                <w:sz w:val="21"/>
                <w:szCs w:val="21"/>
              </w:rPr>
            </w:pPr>
            <w:r>
              <w:rPr>
                <w:rFonts w:ascii="宋体" w:hAnsi="宋体" w:cs="宋体" w:eastAsia="宋体" w:hint="default"/>
                <w:spacing w:val="-5"/>
                <w:sz w:val="21"/>
                <w:szCs w:val="21"/>
              </w:rPr>
              <w:t>江苏润和科技投资集团有限公司、周红</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卫</w:t>
            </w:r>
          </w:p>
        </w:tc>
        <w:tc>
          <w:tcPr>
            <w:tcW w:w="226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南京银行城南支行</w:t>
            </w:r>
          </w:p>
        </w:tc>
        <w:tc>
          <w:tcPr>
            <w:tcW w:w="22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3"/>
              <w:jc w:val="right"/>
              <w:rPr>
                <w:rFonts w:ascii="Times New Roman" w:hAnsi="Times New Roman" w:cs="Times New Roman" w:eastAsia="Times New Roman" w:hint="default"/>
                <w:sz w:val="21"/>
                <w:szCs w:val="21"/>
              </w:rPr>
            </w:pPr>
            <w:r>
              <w:rPr>
                <w:rFonts w:ascii="Times New Roman"/>
                <w:spacing w:val="-1"/>
                <w:sz w:val="21"/>
              </w:rPr>
              <w:t>130,000,000.00</w:t>
            </w:r>
          </w:p>
        </w:tc>
      </w:tr>
      <w:tr>
        <w:trPr>
          <w:trHeight w:val="660" w:hRule="exact"/>
        </w:trPr>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3543"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4" w:right="-2"/>
              <w:jc w:val="left"/>
              <w:rPr>
                <w:rFonts w:ascii="宋体" w:hAnsi="宋体" w:cs="宋体" w:eastAsia="宋体" w:hint="default"/>
                <w:sz w:val="21"/>
                <w:szCs w:val="21"/>
              </w:rPr>
            </w:pPr>
            <w:r>
              <w:rPr>
                <w:rFonts w:ascii="宋体" w:hAnsi="宋体" w:cs="宋体" w:eastAsia="宋体" w:hint="default"/>
                <w:spacing w:val="-5"/>
                <w:sz w:val="21"/>
                <w:szCs w:val="21"/>
              </w:rPr>
              <w:t>江苏润和科技投资集团有限公司、周红</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卫、姚宁</w:t>
            </w:r>
          </w:p>
        </w:tc>
        <w:tc>
          <w:tcPr>
            <w:tcW w:w="2269"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平安银行</w:t>
            </w:r>
          </w:p>
        </w:tc>
        <w:tc>
          <w:tcPr>
            <w:tcW w:w="22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100,000,000.00</w:t>
            </w:r>
          </w:p>
        </w:tc>
      </w:tr>
      <w:tr>
        <w:trPr>
          <w:trHeight w:val="658" w:hRule="exact"/>
        </w:trPr>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3543"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4" w:right="-2"/>
              <w:jc w:val="left"/>
              <w:rPr>
                <w:rFonts w:ascii="宋体" w:hAnsi="宋体" w:cs="宋体" w:eastAsia="宋体" w:hint="default"/>
                <w:sz w:val="21"/>
                <w:szCs w:val="21"/>
              </w:rPr>
            </w:pPr>
            <w:r>
              <w:rPr>
                <w:rFonts w:ascii="宋体" w:hAnsi="宋体" w:cs="宋体" w:eastAsia="宋体" w:hint="default"/>
                <w:spacing w:val="-5"/>
                <w:sz w:val="21"/>
                <w:szCs w:val="21"/>
              </w:rPr>
              <w:t>江苏润和科技投资集团有限公司、周红</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卫</w:t>
            </w:r>
          </w:p>
        </w:tc>
        <w:tc>
          <w:tcPr>
            <w:tcW w:w="2269"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中行江宁开发区支行</w:t>
            </w:r>
          </w:p>
        </w:tc>
        <w:tc>
          <w:tcPr>
            <w:tcW w:w="22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49,000,000.00</w:t>
            </w:r>
          </w:p>
        </w:tc>
      </w:tr>
      <w:tr>
        <w:trPr>
          <w:trHeight w:val="660" w:hRule="exact"/>
        </w:trPr>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3543"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4" w:right="-2"/>
              <w:jc w:val="left"/>
              <w:rPr>
                <w:rFonts w:ascii="宋体" w:hAnsi="宋体" w:cs="宋体" w:eastAsia="宋体" w:hint="default"/>
                <w:sz w:val="21"/>
                <w:szCs w:val="21"/>
              </w:rPr>
            </w:pPr>
            <w:r>
              <w:rPr>
                <w:rFonts w:ascii="宋体" w:hAnsi="宋体" w:cs="宋体" w:eastAsia="宋体" w:hint="default"/>
                <w:spacing w:val="-5"/>
                <w:sz w:val="21"/>
                <w:szCs w:val="21"/>
              </w:rPr>
              <w:t>江苏润和科技投资集团有限公司、周红</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卫、姚宁</w:t>
            </w:r>
          </w:p>
        </w:tc>
        <w:tc>
          <w:tcPr>
            <w:tcW w:w="226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农业银行四平路支行</w:t>
            </w:r>
          </w:p>
        </w:tc>
        <w:tc>
          <w:tcPr>
            <w:tcW w:w="22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3"/>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346" w:hRule="exact"/>
        </w:trPr>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捷科智诚</w:t>
            </w:r>
          </w:p>
        </w:tc>
        <w:tc>
          <w:tcPr>
            <w:tcW w:w="3543"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江苏润和软件股份有限公司</w:t>
            </w:r>
          </w:p>
        </w:tc>
        <w:tc>
          <w:tcPr>
            <w:tcW w:w="2269"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北京银行中关村支行</w:t>
            </w:r>
          </w:p>
        </w:tc>
        <w:tc>
          <w:tcPr>
            <w:tcW w:w="22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90,000,000.00</w:t>
            </w:r>
          </w:p>
        </w:tc>
      </w:tr>
      <w:tr>
        <w:trPr>
          <w:trHeight w:val="660" w:hRule="exact"/>
        </w:trPr>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联创智融</w:t>
            </w:r>
          </w:p>
        </w:tc>
        <w:tc>
          <w:tcPr>
            <w:tcW w:w="3543"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周帮建、江苏润和软件股份有限公司</w:t>
            </w:r>
          </w:p>
        </w:tc>
        <w:tc>
          <w:tcPr>
            <w:tcW w:w="2269"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pacing w:val="12"/>
                <w:sz w:val="21"/>
                <w:szCs w:val="21"/>
              </w:rPr>
              <w:t>北京银行中关村海淀园</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中行</w:t>
            </w:r>
          </w:p>
        </w:tc>
        <w:tc>
          <w:tcPr>
            <w:tcW w:w="22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3"/>
              <w:jc w:val="right"/>
              <w:rPr>
                <w:rFonts w:ascii="Times New Roman" w:hAnsi="Times New Roman" w:cs="Times New Roman" w:eastAsia="Times New Roman" w:hint="default"/>
                <w:sz w:val="21"/>
                <w:szCs w:val="21"/>
              </w:rPr>
            </w:pPr>
            <w:r>
              <w:rPr>
                <w:rFonts w:ascii="Times New Roman"/>
                <w:spacing w:val="-1"/>
                <w:sz w:val="21"/>
              </w:rPr>
              <w:t>100,000,000.00</w:t>
            </w:r>
          </w:p>
        </w:tc>
      </w:tr>
      <w:tr>
        <w:trPr>
          <w:trHeight w:val="349" w:hRule="exact"/>
        </w:trPr>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68" w:lineRule="exact"/>
              <w:ind w:left="4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543" w:type="dxa"/>
            <w:tcBorders>
              <w:top w:val="single" w:sz="8" w:space="0" w:color="000000"/>
              <w:left w:val="single" w:sz="6" w:space="0" w:color="000000"/>
              <w:bottom w:val="single" w:sz="8" w:space="0" w:color="000000"/>
              <w:right w:val="single" w:sz="6" w:space="0" w:color="000000"/>
            </w:tcBorders>
          </w:tcPr>
          <w:p>
            <w:pPr/>
          </w:p>
        </w:tc>
        <w:tc>
          <w:tcPr>
            <w:tcW w:w="2269" w:type="dxa"/>
            <w:tcBorders>
              <w:top w:val="single" w:sz="8" w:space="0" w:color="000000"/>
              <w:left w:val="single" w:sz="6" w:space="0" w:color="000000"/>
              <w:bottom w:val="single" w:sz="8" w:space="0" w:color="000000"/>
              <w:right w:val="single" w:sz="6" w:space="0" w:color="000000"/>
            </w:tcBorders>
          </w:tcPr>
          <w:p>
            <w:pPr/>
          </w:p>
        </w:tc>
        <w:tc>
          <w:tcPr>
            <w:tcW w:w="22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629,000,000.00</w:t>
            </w:r>
          </w:p>
        </w:tc>
      </w:tr>
    </w:tbl>
    <w:p>
      <w:pPr>
        <w:pStyle w:val="BodyText"/>
        <w:spacing w:line="300" w:lineRule="auto" w:before="8"/>
        <w:ind w:right="1114" w:firstLine="504"/>
        <w:jc w:val="left"/>
      </w:pPr>
      <w:r>
        <w:rPr/>
        <w:t>②抵押借款</w:t>
      </w:r>
      <w:r>
        <w:rPr>
          <w:rFonts w:ascii="Times New Roman" w:hAnsi="Times New Roman" w:cs="Times New Roman" w:eastAsia="Times New Roman" w:hint="default"/>
        </w:rPr>
        <w:t>90,000,000.00</w:t>
      </w:r>
      <w:r>
        <w:rPr/>
        <w:t>元系本公司向中国工商银行南京玄武支行取得的借款，由董事长周红卫夫妇进行担保、江苏 润和南京软件外包园投资有限公司以房产和土地设定抵押。截止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日，该抵押合同未到期。</w:t>
      </w:r>
    </w:p>
    <w:p>
      <w:pPr>
        <w:pStyle w:val="BodyText"/>
        <w:spacing w:line="300" w:lineRule="auto" w:before="13"/>
        <w:ind w:right="1204" w:firstLine="504"/>
        <w:jc w:val="left"/>
      </w:pPr>
      <w:r>
        <w:rPr/>
        <w:t>③质押借款</w:t>
      </w:r>
      <w:r>
        <w:rPr>
          <w:rFonts w:ascii="Times New Roman" w:hAnsi="Times New Roman" w:cs="Times New Roman" w:eastAsia="Times New Roman" w:hint="default"/>
        </w:rPr>
        <w:t>5,000,000.00</w:t>
      </w:r>
      <w:r>
        <w:rPr/>
        <w:t>元系本公司向中国银行南京江宁支行取得的借款，由董事长周红卫、江苏润和科技投资集团 有限公司进行担保，北京捷科智诚科技有限公司以应收账款进行质押担保。截止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日，该质押合同未到期。</w:t>
      </w: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本期末已逾期未偿还的短期借款总额为元，其中重要的已逾期未偿还的短期借款情况如下：</w:t>
      </w:r>
    </w:p>
    <w:p>
      <w:pPr>
        <w:pStyle w:val="BodyText"/>
        <w:spacing w:line="240" w:lineRule="auto" w:before="117"/>
        <w:ind w:left="0" w:right="1130"/>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0"/>
        <w:ind w:right="0"/>
        <w:jc w:val="left"/>
      </w:pPr>
      <w:r>
        <w:rPr/>
        <w:t>其他说明：</w:t>
      </w:r>
    </w:p>
    <w:p>
      <w:pPr>
        <w:pStyle w:val="BodyText"/>
        <w:spacing w:line="240" w:lineRule="auto" w:before="115"/>
        <w:ind w:left="657" w:right="0"/>
        <w:jc w:val="left"/>
      </w:pPr>
      <w:r>
        <w:rPr/>
        <w:t>短期借款期末余额中无已逾期未偿还的借款。</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33</w:t>
      </w:r>
      <w:r>
        <w:rPr/>
        <w:t>、交易性金融负债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34</w:t>
      </w:r>
      <w:r>
        <w:rPr/>
        <w:t>、衍生金融负债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35</w:t>
      </w:r>
      <w:r>
        <w:rPr/>
        <w:t>、应付票据</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本期末已到期未支付的应付票据总额为元。</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36</w:t>
      </w:r>
      <w:r>
        <w:rPr/>
        <w:t>、应付账款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89,343,244.55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28,712,038.91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1,187,487.15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3,856,334.83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90,530,731.70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32,568,373.74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年的重要应付账款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0"/>
        <w:jc w:val="left"/>
      </w:pPr>
      <w:r>
        <w:rPr/>
        <w:t>其他说明：</w:t>
      </w:r>
    </w:p>
    <w:p>
      <w:pPr>
        <w:pStyle w:val="BodyText"/>
        <w:spacing w:line="240" w:lineRule="auto" w:before="117"/>
        <w:ind w:left="657" w:right="0"/>
        <w:jc w:val="left"/>
      </w:pPr>
      <w:r>
        <w:rPr/>
        <w:t>（</w:t>
      </w:r>
      <w:r>
        <w:rPr>
          <w:rFonts w:ascii="Times New Roman" w:hAnsi="Times New Roman" w:cs="Times New Roman" w:eastAsia="Times New Roman" w:hint="default"/>
        </w:rPr>
        <w:t>1</w:t>
      </w:r>
      <w:r>
        <w:rPr/>
        <w:t>）应付账款期末余额中无账龄超过</w:t>
      </w:r>
      <w:r>
        <w:rPr>
          <w:rFonts w:ascii="Times New Roman" w:hAnsi="Times New Roman" w:cs="Times New Roman" w:eastAsia="Times New Roman" w:hint="default"/>
        </w:rPr>
        <w:t>1</w:t>
      </w:r>
      <w:r>
        <w:rPr/>
        <w:t>年的大额应付款项。</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657" w:right="0"/>
        <w:jc w:val="left"/>
      </w:pPr>
      <w:r>
        <w:rPr/>
        <w:t>（</w:t>
      </w:r>
      <w:r>
        <w:rPr>
          <w:rFonts w:ascii="Times New Roman" w:hAnsi="Times New Roman" w:cs="Times New Roman" w:eastAsia="Times New Roman" w:hint="default"/>
        </w:rPr>
        <w:t>2</w:t>
      </w:r>
      <w:r>
        <w:rPr/>
        <w:t>）应付账款期末余额较期初余额增长</w:t>
      </w:r>
      <w:r>
        <w:rPr>
          <w:rFonts w:ascii="Times New Roman" w:hAnsi="Times New Roman" w:cs="Times New Roman" w:eastAsia="Times New Roman" w:hint="default"/>
        </w:rPr>
        <w:t>177.97%</w:t>
      </w:r>
      <w:r>
        <w:rPr/>
        <w:t>，主要原因是本期末公司应付外协及分包款增多所致。</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37</w:t>
      </w:r>
      <w:r>
        <w:rPr/>
        <w:t>、预收款项</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8,692,766.75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5,098,770.22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8,692,766.75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5,098,770.22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年的重要预收款项</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其他说明：</w:t>
      </w:r>
    </w:p>
    <w:p>
      <w:pPr>
        <w:pStyle w:val="BodyText"/>
        <w:spacing w:line="240" w:lineRule="auto" w:before="115"/>
        <w:ind w:left="657" w:right="0"/>
        <w:jc w:val="left"/>
      </w:pPr>
      <w:r>
        <w:rPr/>
        <w:t>（</w:t>
      </w:r>
      <w:r>
        <w:rPr>
          <w:rFonts w:ascii="Times New Roman" w:hAnsi="Times New Roman" w:cs="Times New Roman" w:eastAsia="Times New Roman" w:hint="default"/>
        </w:rPr>
        <w:t>1</w:t>
      </w:r>
      <w:r>
        <w:rPr/>
        <w:t>）预收款项期末余额中无账龄超过</w:t>
      </w:r>
      <w:r>
        <w:rPr>
          <w:rFonts w:ascii="Times New Roman" w:hAnsi="Times New Roman" w:cs="Times New Roman" w:eastAsia="Times New Roman" w:hint="default"/>
        </w:rPr>
        <w:t>1</w:t>
      </w:r>
      <w:r>
        <w:rPr/>
        <w:t>年的重要预收款项。</w:t>
      </w:r>
    </w:p>
    <w:p>
      <w:pPr>
        <w:pStyle w:val="BodyText"/>
        <w:spacing w:line="240" w:lineRule="auto" w:before="63"/>
        <w:ind w:left="657" w:right="0"/>
        <w:jc w:val="left"/>
      </w:pPr>
      <w:r>
        <w:rPr/>
        <w:t>（</w:t>
      </w:r>
      <w:r>
        <w:rPr>
          <w:rFonts w:ascii="Times New Roman" w:hAnsi="Times New Roman" w:cs="Times New Roman" w:eastAsia="Times New Roman" w:hint="default"/>
        </w:rPr>
        <w:t>2</w:t>
      </w:r>
      <w:r>
        <w:rPr/>
        <w:t>）预收款项期末余额较期初余额增长</w:t>
      </w:r>
      <w:r>
        <w:rPr>
          <w:rFonts w:ascii="Times New Roman" w:hAnsi="Times New Roman" w:cs="Times New Roman" w:eastAsia="Times New Roman" w:hint="default"/>
        </w:rPr>
        <w:t>70.49%</w:t>
      </w:r>
      <w:r>
        <w:rPr/>
        <w:t>，主要原因是本期末公司基于合同约定预收款项增加。</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38</w:t>
      </w:r>
      <w:r>
        <w:rPr/>
        <w:t>、合同负债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报告期内账面价值发生重大变动的金额和原因</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20"/>
        <w:gridCol w:w="4945"/>
      </w:tblGrid>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39</w:t>
      </w:r>
      <w:r>
        <w:rPr/>
        <w:t>、应付职工薪酬</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115,938,913.01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1,494,872,118.61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1,440,350,704.94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170,460,326.68</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3,775,862.58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83,196,596.35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83,663,154.36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3,309,304.57</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1,244,936.06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1,224,936.06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119,714,775.59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1,579,313,651.02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1,525,238,795.36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173,789,631.25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110,754,354.83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1,373,429,373.48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1,319,570,544.70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164,613,183.61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21,396.00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15,621,323.64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15,642,719.64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2,437,521.79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55,051,126.00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54,853,113.28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2,635,534.51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2,180,090.53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49,498,715.72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49,360,752.16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2,318,054.09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64,903.66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1,139,120.34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1,138,857.55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65,166.45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192,527.60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4,413,289.94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4,353,503.57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252,313.97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757,164.00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41,701,099.16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41,700,830.16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757,433.00</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1,968,476.39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9,069,196.33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8,583,497.16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2,454,175.56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115,938,913.01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1,494,872,118.61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1,440,350,704.94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170,460,326.68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3,651,496.07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80,349,261.27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80,819,049.30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3,181,708.04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124,366.51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2,847,335.08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2,844,105.06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127,596.53</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3,775,862.58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83,196,596.35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83,663,154.36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3,309,304.57</w:t>
            </w:r>
          </w:p>
        </w:tc>
      </w:tr>
    </w:tbl>
    <w:p>
      <w:pPr>
        <w:pStyle w:val="BodyText"/>
        <w:spacing w:line="240" w:lineRule="auto" w:before="49"/>
        <w:ind w:right="0"/>
        <w:jc w:val="left"/>
      </w:pPr>
      <w:r>
        <w:rPr/>
        <w:t>其他说明：</w:t>
      </w:r>
    </w:p>
    <w:p>
      <w:pPr>
        <w:pStyle w:val="BodyText"/>
        <w:spacing w:line="240" w:lineRule="auto" w:before="115"/>
        <w:ind w:left="657" w:right="0"/>
        <w:jc w:val="left"/>
      </w:pPr>
      <w:r>
        <w:rPr/>
        <w:t>（</w:t>
      </w:r>
      <w:r>
        <w:rPr>
          <w:rFonts w:ascii="Times New Roman" w:hAnsi="Times New Roman" w:cs="Times New Roman" w:eastAsia="Times New Roman" w:hint="default"/>
        </w:rPr>
        <w:t>1</w:t>
      </w:r>
      <w:r>
        <w:rPr/>
        <w:t>）本期处置子公司减少应付职工薪酬</w:t>
      </w:r>
      <w:r>
        <w:rPr>
          <w:rFonts w:ascii="Times New Roman" w:hAnsi="Times New Roman" w:cs="Times New Roman" w:eastAsia="Times New Roman" w:hint="default"/>
        </w:rPr>
        <w:t>5,811,991.72</w:t>
      </w:r>
      <w:r>
        <w:rPr/>
        <w:t>元。</w:t>
      </w:r>
    </w:p>
    <w:p>
      <w:pPr>
        <w:pStyle w:val="BodyText"/>
        <w:spacing w:line="300" w:lineRule="auto" w:before="63"/>
        <w:ind w:right="1144" w:firstLine="504"/>
        <w:jc w:val="left"/>
      </w:pPr>
      <w:r>
        <w:rPr/>
        <w:t>（</w:t>
      </w:r>
      <w:r>
        <w:rPr>
          <w:rFonts w:ascii="Times New Roman" w:hAnsi="Times New Roman" w:cs="Times New Roman" w:eastAsia="Times New Roman" w:hint="default"/>
        </w:rPr>
        <w:t>2</w:t>
      </w:r>
      <w:r>
        <w:rPr/>
        <w:t>）应付职工薪酬期末余额较期初余额增长</w:t>
      </w:r>
      <w:r>
        <w:rPr>
          <w:rFonts w:ascii="Times New Roman" w:hAnsi="Times New Roman" w:cs="Times New Roman" w:eastAsia="Times New Roman" w:hint="default"/>
        </w:rPr>
        <w:t>45.17%</w:t>
      </w:r>
      <w:r>
        <w:rPr/>
        <w:t>，主要原因是伴随公司业务规模扩张，员工数量及人均工资较上 年均有所增加，导致期末应付职工薪酬增加。</w:t>
      </w: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40</w:t>
      </w:r>
      <w:r>
        <w:rPr/>
        <w:t>、应交税费</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19,926,581.86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20,438,777.25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309,838.13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9,812,547.74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7,241,120.93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4,543,152.09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2,500,432.60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2,590,183.26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1,548,739.61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1,565,937.09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1,373,220.02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1,140,481.73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97,390.70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94,724.19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32,997,323.85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40,185,803.35</w:t>
            </w:r>
          </w:p>
        </w:tc>
      </w:tr>
    </w:tbl>
    <w:p>
      <w:pPr>
        <w:pStyle w:val="BodyText"/>
        <w:spacing w:line="240" w:lineRule="auto" w:before="49"/>
        <w:ind w:right="0"/>
        <w:jc w:val="left"/>
      </w:pPr>
      <w:r>
        <w:rPr/>
        <w:t>其他说明：</w:t>
      </w:r>
    </w:p>
    <w:p>
      <w:pPr>
        <w:pStyle w:val="BodyText"/>
        <w:spacing w:line="240" w:lineRule="auto" w:before="115"/>
        <w:ind w:left="657" w:right="0"/>
        <w:jc w:val="left"/>
      </w:pPr>
      <w:r>
        <w:rPr/>
        <w:t>东京润和消费税类似国内增值税，列示时并入增值税。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2,034,038.71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22,335,464.56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19,738,907.14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22,335,464.56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21,772,945.85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2,034,038.71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2,034,038.71</w:t>
            </w:r>
          </w:p>
        </w:tc>
      </w:tr>
    </w:tbl>
    <w:p>
      <w:pPr>
        <w:pStyle w:val="BodyText"/>
        <w:spacing w:line="240" w:lineRule="auto" w:before="49"/>
        <w:ind w:right="0"/>
        <w:jc w:val="left"/>
      </w:pPr>
      <w:r>
        <w:rPr/>
        <w:t>重要的已逾期未支付的利息情况：</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6,292,614.05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7,803,450.42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6,270,456.11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7,610,538.62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9,772,394.40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4,324,918.10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22,335,464.56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19,738,907.14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年的重要其他应付款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0"/>
        <w:jc w:val="left"/>
      </w:pPr>
      <w:r>
        <w:rPr/>
        <w:t>其他说明</w:t>
      </w:r>
    </w:p>
    <w:p>
      <w:pPr>
        <w:pStyle w:val="BodyText"/>
        <w:spacing w:line="240" w:lineRule="auto" w:before="117"/>
        <w:ind w:left="657" w:right="0"/>
        <w:jc w:val="left"/>
      </w:pPr>
      <w:r>
        <w:rPr/>
        <w:t>期末无账龄超过</w:t>
      </w:r>
      <w:r>
        <w:rPr>
          <w:rFonts w:ascii="Times New Roman" w:hAnsi="Times New Roman" w:cs="Times New Roman" w:eastAsia="Times New Roman" w:hint="default"/>
        </w:rPr>
        <w:t>1</w:t>
      </w:r>
      <w:r>
        <w:rPr/>
        <w:t>年的重要其他应付款。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42</w:t>
      </w:r>
      <w:r>
        <w:rPr/>
        <w:t>、持有待售负债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121,813,265.89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一年内到期的长期借款应计利息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163,587.74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121,976,853.63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410,000,000.00</w:t>
            </w:r>
          </w:p>
        </w:tc>
      </w:tr>
    </w:tbl>
    <w:p>
      <w:pPr>
        <w:pStyle w:val="BodyText"/>
        <w:spacing w:line="240" w:lineRule="auto" w:before="49"/>
        <w:ind w:right="0"/>
        <w:jc w:val="left"/>
      </w:pPr>
      <w:r>
        <w:rPr/>
        <w:t>其他说明：</w:t>
      </w:r>
    </w:p>
    <w:p>
      <w:pPr>
        <w:pStyle w:val="BodyText"/>
        <w:spacing w:line="300" w:lineRule="auto" w:before="115"/>
        <w:ind w:right="1129" w:firstLine="504"/>
        <w:jc w:val="both"/>
      </w:pPr>
      <w:r>
        <w:rPr/>
        <w:t>（</w:t>
      </w:r>
      <w:r>
        <w:rPr>
          <w:rFonts w:ascii="Times New Roman" w:hAnsi="Times New Roman" w:cs="Times New Roman" w:eastAsia="Times New Roman" w:hint="default"/>
        </w:rPr>
        <w:t>1</w:t>
      </w:r>
      <w:r>
        <w:rPr/>
        <w:t>）本公司子公司外包园公司质押借款余额</w:t>
      </w:r>
      <w:r>
        <w:rPr>
          <w:rFonts w:ascii="Times New Roman" w:hAnsi="Times New Roman" w:cs="Times New Roman" w:eastAsia="Times New Roman" w:hint="default"/>
        </w:rPr>
        <w:t>439,450,902.32</w:t>
      </w:r>
      <w:r>
        <w:rPr/>
        <w:t>元，系向中国工商银行南京玄武支行取得的固定资产支持 融资借款，周红卫、束岚夫妇以及姚宁、朱彤夫妇为该笔借款提供个人担保，外包园公司以位于软件大道</w:t>
      </w:r>
      <w:r>
        <w:rPr>
          <w:rFonts w:ascii="Times New Roman" w:hAnsi="Times New Roman" w:cs="Times New Roman" w:eastAsia="Times New Roman" w:hint="default"/>
        </w:rPr>
        <w:t>168</w:t>
      </w:r>
      <w:r>
        <w:rPr/>
        <w:t>号的房屋及建 筑物为该笔借款提供抵押担保、以位于软件大道</w:t>
      </w:r>
      <w:r>
        <w:rPr>
          <w:rFonts w:ascii="Times New Roman" w:hAnsi="Times New Roman" w:cs="Times New Roman" w:eastAsia="Times New Roman" w:hint="default"/>
        </w:rPr>
        <w:t>168</w:t>
      </w:r>
      <w:r>
        <w:rPr/>
        <w:t>号的特定资产的经营收入权利为该笔借款提供质押担保；截至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31</w:t>
      </w:r>
      <w:r>
        <w:rPr/>
        <w:t>日止，该长期借款年末余额</w:t>
      </w:r>
      <w:r>
        <w:rPr>
          <w:rFonts w:ascii="Times New Roman" w:hAnsi="Times New Roman" w:cs="Times New Roman" w:eastAsia="Times New Roman" w:hint="default"/>
        </w:rPr>
        <w:t>16,813,265.89</w:t>
      </w:r>
      <w:r>
        <w:rPr/>
        <w:t>元将于一年内到期，重分类至一年内到期的非流动负债。</w:t>
      </w:r>
    </w:p>
    <w:p>
      <w:pPr>
        <w:pStyle w:val="BodyText"/>
        <w:spacing w:line="300" w:lineRule="auto" w:before="13"/>
        <w:ind w:right="1131" w:firstLine="504"/>
        <w:jc w:val="both"/>
      </w:pPr>
      <w:r>
        <w:rPr>
          <w:spacing w:val="-1"/>
        </w:rPr>
        <w:t>（</w:t>
      </w:r>
      <w:r>
        <w:rPr>
          <w:rFonts w:ascii="Times New Roman" w:hAnsi="Times New Roman" w:cs="Times New Roman" w:eastAsia="Times New Roman" w:hint="default"/>
          <w:spacing w:val="-1"/>
        </w:rPr>
        <w:t>2</w:t>
      </w:r>
      <w:r>
        <w:rPr>
          <w:spacing w:val="-1"/>
        </w:rPr>
        <w:t>）本公司质押借款余额</w:t>
      </w:r>
      <w:r>
        <w:rPr>
          <w:rFonts w:ascii="Times New Roman" w:hAnsi="Times New Roman" w:cs="Times New Roman" w:eastAsia="Times New Roman" w:hint="default"/>
          <w:spacing w:val="-1"/>
        </w:rPr>
        <w:t>30,000,000.00</w:t>
      </w:r>
      <w:r>
        <w:rPr>
          <w:spacing w:val="-1"/>
        </w:rPr>
        <w:t>元，系向中国银行南京江宁支行取得的</w:t>
      </w:r>
      <w:r>
        <w:rPr>
          <w:rFonts w:ascii="Times New Roman" w:hAnsi="Times New Roman" w:cs="Times New Roman" w:eastAsia="Times New Roman" w:hint="default"/>
          <w:spacing w:val="-1"/>
        </w:rPr>
        <w:t>40,000,000.00</w:t>
      </w:r>
      <w:r>
        <w:rPr>
          <w:spacing w:val="-1"/>
        </w:rPr>
        <w:t>元流动资金借款，江苏润</w:t>
      </w:r>
      <w:r>
        <w:rPr/>
        <w:t> </w:t>
      </w:r>
      <w:r>
        <w:rPr>
          <w:spacing w:val="-1"/>
        </w:rPr>
        <w:t>和科技投资集团有限公司、周红卫为该笔借款提供保证担保，北京捷科智诚科技有限公司以合同编号为</w:t>
      </w:r>
      <w:r>
        <w:rPr>
          <w:rFonts w:ascii="Times New Roman" w:hAnsi="Times New Roman" w:cs="Times New Roman" w:eastAsia="Times New Roman" w:hint="default"/>
          <w:spacing w:val="-1"/>
        </w:rPr>
        <w:t>JKYW182016</w:t>
      </w:r>
      <w:r>
        <w:rPr>
          <w:spacing w:val="-1"/>
        </w:rPr>
        <w:t>的两年</w:t>
      </w:r>
      <w:r>
        <w:rPr>
          <w:spacing w:val="-79"/>
        </w:rPr>
        <w:t> </w:t>
      </w:r>
      <w:r>
        <w:rPr>
          <w:spacing w:val="-79"/>
        </w:rPr>
      </w:r>
      <w:r>
        <w:rPr/>
        <w:t>合同应收权利为该笔借款提供质押担保；截至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日止，该长期借款年末余额</w:t>
      </w:r>
      <w:r>
        <w:rPr>
          <w:rFonts w:ascii="Times New Roman" w:hAnsi="Times New Roman" w:cs="Times New Roman" w:eastAsia="Times New Roman" w:hint="default"/>
        </w:rPr>
        <w:t>5,000,000.00</w:t>
      </w:r>
      <w:r>
        <w:rPr/>
        <w:t>元将于一年内到期，重 分类至一年内到期的非流动负债。</w:t>
      </w:r>
    </w:p>
    <w:p>
      <w:pPr>
        <w:spacing w:after="0" w:line="300"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29" w:firstLine="504"/>
        <w:jc w:val="both"/>
      </w:pPr>
      <w:r>
        <w:rPr/>
        <w:t>（</w:t>
      </w:r>
      <w:r>
        <w:rPr>
          <w:rFonts w:ascii="Times New Roman" w:hAnsi="Times New Roman" w:cs="Times New Roman" w:eastAsia="Times New Roman" w:hint="default"/>
        </w:rPr>
        <w:t>3</w:t>
      </w:r>
      <w:r>
        <w:rPr/>
        <w:t>）本公司质押借款期末余额</w:t>
      </w:r>
      <w:r>
        <w:rPr>
          <w:rFonts w:ascii="Times New Roman" w:hAnsi="Times New Roman" w:cs="Times New Roman" w:eastAsia="Times New Roman" w:hint="default"/>
        </w:rPr>
        <w:t>100,000,000.00</w:t>
      </w:r>
      <w:r>
        <w:rPr/>
        <w:t>元，系向中国工商银行南京玄武支行取得并购资金借款，以子公司联创 智融</w:t>
      </w:r>
      <w:r>
        <w:rPr>
          <w:rFonts w:ascii="Times New Roman" w:hAnsi="Times New Roman" w:cs="Times New Roman" w:eastAsia="Times New Roman" w:hint="default"/>
        </w:rPr>
        <w:t>100%</w:t>
      </w:r>
      <w:r>
        <w:rPr/>
        <w:t>股权作为质押物，以苏（</w:t>
      </w:r>
      <w:r>
        <w:rPr>
          <w:rFonts w:ascii="Times New Roman" w:hAnsi="Times New Roman" w:cs="Times New Roman" w:eastAsia="Times New Roman" w:hint="default"/>
        </w:rPr>
        <w:t>2018</w:t>
      </w:r>
      <w:r>
        <w:rPr/>
        <w:t>）宁雨不动产权第</w:t>
      </w:r>
      <w:r>
        <w:rPr>
          <w:rFonts w:ascii="Times New Roman" w:hAnsi="Times New Roman" w:cs="Times New Roman" w:eastAsia="Times New Roman" w:hint="default"/>
        </w:rPr>
        <w:t>0013728</w:t>
      </w:r>
      <w:r>
        <w:rPr/>
        <w:t>号权证中的第</w:t>
      </w:r>
      <w:r>
        <w:rPr>
          <w:rFonts w:ascii="Times New Roman" w:hAnsi="Times New Roman" w:cs="Times New Roman" w:eastAsia="Times New Roman" w:hint="default"/>
        </w:rPr>
        <w:t>2</w:t>
      </w:r>
      <w:r>
        <w:rPr/>
        <w:t>幢房屋及建筑物作为抵押，同时江苏润和 科技投资集团有限公司为该笔借款提供担保，截至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日止，该长期借款年末余额</w:t>
      </w:r>
      <w:r>
        <w:rPr>
          <w:rFonts w:ascii="Times New Roman" w:hAnsi="Times New Roman" w:cs="Times New Roman" w:eastAsia="Times New Roman" w:hint="default"/>
        </w:rPr>
        <w:t>100,000,000.00</w:t>
      </w:r>
      <w:r>
        <w:rPr/>
        <w:t>元将于一年内到 期，重分类至一年内到期的非流动负债。</w:t>
      </w:r>
    </w:p>
    <w:p>
      <w:pPr>
        <w:pStyle w:val="BodyText"/>
        <w:spacing w:line="240" w:lineRule="auto" w:before="31"/>
        <w:ind w:left="657" w:right="0"/>
        <w:jc w:val="left"/>
      </w:pPr>
      <w:r>
        <w:rPr/>
        <w:t>（</w:t>
      </w:r>
      <w:r>
        <w:rPr>
          <w:rFonts w:ascii="Times New Roman" w:hAnsi="Times New Roman" w:cs="Times New Roman" w:eastAsia="Times New Roman" w:hint="default"/>
        </w:rPr>
        <w:t>4</w:t>
      </w:r>
      <w:r>
        <w:rPr/>
        <w:t>）一年内到期的非流动负债期末余额较期初余额减少</w:t>
      </w:r>
      <w:r>
        <w:rPr>
          <w:rFonts w:ascii="Times New Roman" w:hAnsi="Times New Roman" w:cs="Times New Roman" w:eastAsia="Times New Roman" w:hint="default"/>
        </w:rPr>
        <w:t>70.25%</w:t>
      </w:r>
      <w:r>
        <w:rPr/>
        <w:t>，主要原因是公司一年内到期的长期借款减少。</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4" w:space="6875"/>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应交税费</w:t>
            </w:r>
            <w:r>
              <w:rPr>
                <w:rFonts w:ascii="Times New Roman" w:hAnsi="Times New Roman" w:cs="Times New Roman" w:eastAsia="Times New Roman" w:hint="default"/>
                <w:sz w:val="18"/>
                <w:szCs w:val="18"/>
              </w:rPr>
              <w:t>---</w:t>
            </w:r>
            <w:r>
              <w:rPr>
                <w:rFonts w:ascii="宋体" w:hAnsi="宋体" w:cs="宋体" w:eastAsia="宋体" w:hint="default"/>
                <w:sz w:val="18"/>
                <w:szCs w:val="18"/>
              </w:rPr>
              <w:t>待转销项税额贷方余额重分 类</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68,091,813.51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71,874,092.70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68,091,813.51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71,874,092.70</w:t>
            </w:r>
          </w:p>
        </w:tc>
      </w:tr>
    </w:tbl>
    <w:p>
      <w:pPr>
        <w:pStyle w:val="BodyText"/>
        <w:spacing w:line="240" w:lineRule="auto" w:before="49"/>
        <w:ind w:right="0"/>
        <w:jc w:val="left"/>
      </w:pPr>
      <w:r>
        <w:rPr/>
        <w:t>短期应付债券的增减变动：</w:t>
      </w:r>
    </w:p>
    <w:p>
      <w:pPr>
        <w:pStyle w:val="BodyText"/>
        <w:spacing w:line="240" w:lineRule="auto" w:before="117"/>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800"/>
        <w:gridCol w:w="797"/>
        <w:gridCol w:w="799"/>
        <w:gridCol w:w="797"/>
        <w:gridCol w:w="799"/>
        <w:gridCol w:w="797"/>
        <w:gridCol w:w="799"/>
        <w:gridCol w:w="797"/>
        <w:gridCol w:w="800"/>
        <w:gridCol w:w="797"/>
      </w:tblGrid>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447,637,636.43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667,841.76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448,305,478.19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r>
    </w:tbl>
    <w:p>
      <w:pPr>
        <w:pStyle w:val="BodyText"/>
        <w:spacing w:line="240" w:lineRule="auto" w:before="49"/>
        <w:ind w:right="0"/>
        <w:jc w:val="left"/>
      </w:pPr>
      <w:r>
        <w:rPr/>
        <w:t>长期借款分类的说明：</w:t>
      </w:r>
    </w:p>
    <w:p>
      <w:pPr>
        <w:pStyle w:val="BodyText"/>
        <w:spacing w:line="300" w:lineRule="auto" w:before="117"/>
        <w:ind w:right="1123" w:firstLine="504"/>
        <w:jc w:val="left"/>
      </w:pPr>
      <w:r>
        <w:rPr/>
        <w:t>①本公司子公司外包园公司质押借款余额</w:t>
      </w:r>
      <w:r>
        <w:rPr>
          <w:rFonts w:ascii="Times New Roman" w:hAnsi="Times New Roman" w:cs="Times New Roman" w:eastAsia="Times New Roman" w:hint="default"/>
        </w:rPr>
        <w:t>439,450,902.32</w:t>
      </w:r>
      <w:r>
        <w:rPr/>
        <w:t>元，系向中国工商银行南京玄武支行取得的固定资产支持融 资借款，周红卫、束岚夫妇以及姚宁、朱彤夫妇为该笔借款提供个人担保，本公司以位于软件大道</w:t>
      </w:r>
      <w:r>
        <w:rPr>
          <w:rFonts w:ascii="Times New Roman" w:hAnsi="Times New Roman" w:cs="Times New Roman" w:eastAsia="Times New Roman" w:hint="default"/>
        </w:rPr>
        <w:t>168</w:t>
      </w:r>
      <w:r>
        <w:rPr/>
        <w:t>号的房屋及建筑物为 该笔提供抵押担保，以位于软件大道</w:t>
      </w:r>
      <w:r>
        <w:rPr>
          <w:rFonts w:ascii="Times New Roman" w:hAnsi="Times New Roman" w:cs="Times New Roman" w:eastAsia="Times New Roman" w:hint="default"/>
        </w:rPr>
        <w:t>168</w:t>
      </w:r>
      <w:r>
        <w:rPr/>
        <w:t>号的特定资产的经营收入权利为该笔借款提供质押担保；截至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 该长期借款年末余额中</w:t>
      </w:r>
      <w:r>
        <w:rPr>
          <w:rFonts w:ascii="Times New Roman" w:hAnsi="Times New Roman" w:cs="Times New Roman" w:eastAsia="Times New Roman" w:hint="default"/>
        </w:rPr>
        <w:t>16,813,265.89</w:t>
      </w:r>
      <w:r>
        <w:rPr/>
        <w:t>元将于一年内到期，重分类至一年内到期的非流动负债。</w:t>
      </w:r>
    </w:p>
    <w:p>
      <w:pPr>
        <w:pStyle w:val="BodyText"/>
        <w:spacing w:line="300" w:lineRule="auto" w:before="13"/>
        <w:ind w:right="1133" w:firstLine="504"/>
        <w:jc w:val="both"/>
      </w:pPr>
      <w:r>
        <w:rPr/>
        <w:t>②本公司质押借款余额</w:t>
      </w:r>
      <w:r>
        <w:rPr>
          <w:rFonts w:ascii="Times New Roman" w:hAnsi="Times New Roman" w:cs="Times New Roman" w:eastAsia="Times New Roman" w:hint="default"/>
        </w:rPr>
        <w:t>30,000,000.00</w:t>
      </w:r>
      <w:r>
        <w:rPr/>
        <w:t>元，系向中国银行南京江宁支行取得的</w:t>
      </w:r>
      <w:r>
        <w:rPr>
          <w:rFonts w:ascii="Times New Roman" w:hAnsi="Times New Roman" w:cs="Times New Roman" w:eastAsia="Times New Roman" w:hint="default"/>
        </w:rPr>
        <w:t>40,000,000.00</w:t>
      </w:r>
      <w:r>
        <w:rPr/>
        <w:t>元流动资金借款，江苏润和 </w:t>
      </w:r>
      <w:r>
        <w:rPr>
          <w:spacing w:val="-1"/>
        </w:rPr>
        <w:t>科技投资集团有限公司、周红卫为该笔借款提供保证担保，北京捷科智诚科技有限公司以合同编号为</w:t>
      </w:r>
      <w:r>
        <w:rPr>
          <w:rFonts w:ascii="Times New Roman" w:hAnsi="Times New Roman" w:cs="Times New Roman" w:eastAsia="Times New Roman" w:hint="default"/>
          <w:spacing w:val="-1"/>
        </w:rPr>
        <w:t>JKYW182016</w:t>
      </w:r>
      <w:r>
        <w:rPr>
          <w:spacing w:val="-1"/>
        </w:rPr>
        <w:t>的两年合</w:t>
      </w:r>
      <w:r>
        <w:rPr>
          <w:spacing w:val="-79"/>
        </w:rPr>
        <w:t> </w:t>
      </w:r>
      <w:r>
        <w:rPr>
          <w:spacing w:val="-79"/>
        </w:rPr>
      </w:r>
      <w:r>
        <w:rPr/>
        <w:t>同应收权利为该笔借款提供质押担保；截至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日止，该长期借款年末余额中</w:t>
      </w:r>
      <w:r>
        <w:rPr>
          <w:rFonts w:ascii="Times New Roman" w:hAnsi="Times New Roman" w:cs="Times New Roman" w:eastAsia="Times New Roman" w:hint="default"/>
        </w:rPr>
        <w:t>5,000,000.00</w:t>
      </w:r>
      <w:r>
        <w:rPr/>
        <w:t>元将于一年内到期，重 分类至一年内到期的非流动负债。</w:t>
      </w:r>
    </w:p>
    <w:p>
      <w:pPr>
        <w:pStyle w:val="BodyText"/>
        <w:spacing w:line="240" w:lineRule="auto" w:before="72"/>
        <w:ind w:right="0"/>
        <w:jc w:val="left"/>
      </w:pPr>
      <w:r>
        <w:rPr/>
        <w:t>其他说明，包括利率区间：</w:t>
      </w:r>
    </w:p>
    <w:p>
      <w:pPr>
        <w:pStyle w:val="BodyText"/>
        <w:spacing w:line="240" w:lineRule="auto" w:before="115"/>
        <w:ind w:left="657" w:right="0"/>
        <w:jc w:val="left"/>
      </w:pPr>
      <w:r>
        <w:rPr/>
        <w:t>（</w:t>
      </w:r>
      <w:r>
        <w:rPr>
          <w:rFonts w:ascii="Times New Roman" w:hAnsi="Times New Roman" w:cs="Times New Roman" w:eastAsia="Times New Roman" w:hint="default"/>
        </w:rPr>
        <w:t>1</w:t>
      </w:r>
      <w:r>
        <w:rPr/>
        <w:t>）长期借款期末余额较期初余额增长</w:t>
      </w:r>
      <w:r>
        <w:rPr>
          <w:rFonts w:ascii="Times New Roman" w:hAnsi="Times New Roman" w:cs="Times New Roman" w:eastAsia="Times New Roman" w:hint="default"/>
        </w:rPr>
        <w:t>348.31%</w:t>
      </w:r>
      <w:r>
        <w:rPr/>
        <w:t>，主要原因是本期公司向银行取得固定资产支持融资借款。</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657" w:right="0"/>
        <w:jc w:val="left"/>
      </w:pPr>
      <w:r>
        <w:rPr/>
        <w:t>（</w:t>
      </w:r>
      <w:r>
        <w:rPr>
          <w:rFonts w:ascii="Times New Roman" w:hAnsi="Times New Roman" w:cs="Times New Roman" w:eastAsia="Times New Roman" w:hint="default"/>
        </w:rPr>
        <w:t>2</w:t>
      </w:r>
      <w:r>
        <w:rPr/>
        <w:t>）长期借款利率期间为浮动利率。</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800"/>
        <w:gridCol w:w="797"/>
        <w:gridCol w:w="799"/>
        <w:gridCol w:w="797"/>
        <w:gridCol w:w="799"/>
        <w:gridCol w:w="797"/>
        <w:gridCol w:w="799"/>
        <w:gridCol w:w="797"/>
        <w:gridCol w:w="800"/>
        <w:gridCol w:w="797"/>
      </w:tblGrid>
      <w:tr>
        <w:trPr>
          <w:trHeight w:val="713"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0"/>
        </w:sectPr>
      </w:pPr>
    </w:p>
    <w:p>
      <w:pPr>
        <w:pStyle w:val="BodyText"/>
        <w:spacing w:line="360" w:lineRule="auto" w:before="44"/>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654" w:space="4175"/>
            <w:col w:w="210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3"/>
        <w:gridCol w:w="1064"/>
        <w:gridCol w:w="1063"/>
        <w:gridCol w:w="1064"/>
        <w:gridCol w:w="1061"/>
        <w:gridCol w:w="1063"/>
        <w:gridCol w:w="1061"/>
      </w:tblGrid>
      <w:tr>
        <w:trPr>
          <w:trHeight w:val="402"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0"/>
        <w:ind w:right="7513"/>
        <w:jc w:val="left"/>
      </w:pPr>
      <w:r>
        <w:rPr/>
        <w:t>其他金融工具划分为金融负债的依据说明 其他说明</w:t>
      </w:r>
    </w:p>
    <w:p>
      <w:pPr>
        <w:spacing w:line="240" w:lineRule="auto" w:before="5"/>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47</w:t>
      </w:r>
      <w:r>
        <w:rPr/>
        <w:t>、租赁负债</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48</w:t>
      </w:r>
      <w:r>
        <w:rPr/>
        <w:t>、长期应付款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7"/>
        <w:gridCol w:w="1594"/>
        <w:gridCol w:w="1596"/>
        <w:gridCol w:w="1594"/>
        <w:gridCol w:w="1594"/>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49</w:t>
      </w:r>
      <w:r>
        <w:rPr/>
        <w:t>、长期应付职工薪酬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设定受益计划义务现值：</w:t>
      </w:r>
    </w:p>
    <w:p>
      <w:pPr>
        <w:pStyle w:val="BodyText"/>
        <w:spacing w:line="240" w:lineRule="auto" w:before="117"/>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计划资产：</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设定受益计划净负债（净资产）</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49"/>
        <w:ind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5"/>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4" w:space="687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其他说明，包括重要预计负债的相关重要假设、估计说明：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16,172,500.00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16,932,500.00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16,172,500.00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16,932,500.00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9"/>
        <w:gridCol w:w="1010"/>
        <w:gridCol w:w="1011"/>
        <w:gridCol w:w="1010"/>
        <w:gridCol w:w="1008"/>
        <w:gridCol w:w="1011"/>
        <w:gridCol w:w="1248"/>
        <w:gridCol w:w="1010"/>
      </w:tblGrid>
      <w:tr>
        <w:trPr>
          <w:trHeight w:val="1025"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1"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0" w:right="48"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润和国际软 件外包研发 总部基地项 目</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7,735,000.00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7,525,000.00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雨花润和软 件外包园项 目</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937,500.00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907,500.00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能源信息化 平台建设项 目</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基于互联网 及大数据技 术的金融云 平台研发及 产业化</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JITRI-</w:t>
            </w:r>
            <w:r>
              <w:rPr>
                <w:rFonts w:ascii="宋体" w:hAnsi="宋体" w:cs="宋体" w:eastAsia="宋体" w:hint="default"/>
                <w:sz w:val="18"/>
                <w:szCs w:val="18"/>
              </w:rPr>
              <w:t>润和</w:t>
            </w:r>
          </w:p>
          <w:p>
            <w:pPr>
              <w:pStyle w:val="TableParagraph"/>
              <w:spacing w:line="316" w:lineRule="auto" w:before="60"/>
              <w:ind w:left="24" w:right="77"/>
              <w:jc w:val="left"/>
              <w:rPr>
                <w:rFonts w:ascii="宋体" w:hAnsi="宋体" w:cs="宋体" w:eastAsia="宋体" w:hint="default"/>
                <w:sz w:val="18"/>
                <w:szCs w:val="18"/>
              </w:rPr>
            </w:pPr>
            <w:r>
              <w:rPr>
                <w:rFonts w:ascii="宋体" w:hAnsi="宋体" w:cs="宋体" w:eastAsia="宋体" w:hint="default"/>
                <w:sz w:val="18"/>
                <w:szCs w:val="18"/>
              </w:rPr>
              <w:t>软件联合创 新中心</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16,172,500.00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16,932,500.00</w:t>
            </w:r>
          </w:p>
        </w:tc>
        <w:tc>
          <w:tcPr>
            <w:tcW w:w="101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pStyle w:val="BodyText"/>
        <w:spacing w:line="240" w:lineRule="auto" w:before="115"/>
        <w:ind w:left="657" w:right="0"/>
        <w:jc w:val="left"/>
      </w:pPr>
      <w:r>
        <w:rPr/>
        <w:t>（</w:t>
      </w:r>
      <w:r>
        <w:rPr>
          <w:rFonts w:ascii="Times New Roman" w:hAnsi="Times New Roman" w:cs="Times New Roman" w:eastAsia="Times New Roman" w:hint="default"/>
        </w:rPr>
        <w:t>1</w:t>
      </w:r>
      <w:r>
        <w:rPr/>
        <w:t>）与资产有关的政府补助：</w:t>
      </w:r>
    </w:p>
    <w:p>
      <w:pPr>
        <w:pStyle w:val="BodyText"/>
        <w:spacing w:line="240" w:lineRule="auto" w:before="63"/>
        <w:ind w:left="657"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年润和国际软件外包研发总部基地项目完工，递延收益随资产折旧的计提而分摊计入</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项目金额为</w:t>
      </w:r>
    </w:p>
    <w:p>
      <w:pPr>
        <w:pStyle w:val="BodyText"/>
        <w:spacing w:line="240" w:lineRule="auto" w:before="63"/>
        <w:ind w:right="0"/>
        <w:jc w:val="left"/>
      </w:pPr>
      <w:r>
        <w:rPr>
          <w:rFonts w:ascii="Times New Roman" w:hAnsi="Times New Roman" w:cs="Times New Roman" w:eastAsia="Times New Roman" w:hint="default"/>
        </w:rPr>
        <w:t>210,000.00</w:t>
      </w:r>
      <w:r>
        <w:rPr/>
        <w:t>元，期末余额为</w:t>
      </w:r>
      <w:r>
        <w:rPr>
          <w:rFonts w:ascii="Times New Roman" w:hAnsi="Times New Roman" w:cs="Times New Roman" w:eastAsia="Times New Roman" w:hint="default"/>
        </w:rPr>
        <w:t>7,525,000.00</w:t>
      </w:r>
      <w:r>
        <w:rPr/>
        <w:t>元。</w:t>
      </w:r>
    </w:p>
    <w:p>
      <w:pPr>
        <w:pStyle w:val="BodyText"/>
        <w:spacing w:line="300" w:lineRule="auto" w:before="63"/>
        <w:ind w:right="1129" w:firstLine="504"/>
        <w:jc w:val="left"/>
      </w:pPr>
      <w:r>
        <w:rPr>
          <w:rFonts w:ascii="Times New Roman" w:hAnsi="Times New Roman" w:cs="Times New Roman" w:eastAsia="Times New Roman" w:hint="default"/>
        </w:rPr>
        <w:t>2</w:t>
      </w:r>
      <w:r>
        <w:rPr/>
        <w:t>）根据南京市发展和改革委员会、南京市财政局苏发改服务字</w:t>
      </w:r>
      <w:r>
        <w:rPr>
          <w:rFonts w:ascii="Times New Roman" w:hAnsi="Times New Roman" w:cs="Times New Roman" w:eastAsia="Times New Roman" w:hint="default"/>
        </w:rPr>
        <w:t>[2008]600</w:t>
      </w:r>
      <w:r>
        <w:rPr/>
        <w:t>号《关于下达</w:t>
      </w:r>
      <w:r>
        <w:rPr>
          <w:rFonts w:ascii="Times New Roman" w:hAnsi="Times New Roman" w:cs="Times New Roman" w:eastAsia="Times New Roman" w:hint="default"/>
        </w:rPr>
        <w:t>2007</w:t>
      </w:r>
      <w:r>
        <w:rPr/>
        <w:t>年度省级服务业发展引导 资金投资计划的通知》，本公司于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月收到南京市雨花台区财政局拨付的雨花润和软件外包园项目资金</w:t>
      </w:r>
      <w:r>
        <w:rPr>
          <w:rFonts w:ascii="Times New Roman" w:hAnsi="Times New Roman" w:cs="Times New Roman" w:eastAsia="Times New Roman" w:hint="default"/>
        </w:rPr>
        <w:t>1,200,000.00 </w:t>
      </w:r>
      <w:r>
        <w:rPr/>
        <w:t>元，本公司确定为与资产相关的政府补助，随资产折旧的计提而分摊。</w:t>
      </w:r>
      <w:r>
        <w:rPr>
          <w:rFonts w:ascii="Times New Roman" w:hAnsi="Times New Roman" w:cs="Times New Roman" w:eastAsia="Times New Roman" w:hint="default"/>
        </w:rPr>
        <w:t>2019</w:t>
      </w:r>
      <w:r>
        <w:rPr/>
        <w:t>年度随折旧的计提转入</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项目金额为 </w:t>
      </w:r>
      <w:r>
        <w:rPr>
          <w:rFonts w:ascii="Times New Roman" w:hAnsi="Times New Roman" w:cs="Times New Roman" w:eastAsia="Times New Roman" w:hint="default"/>
        </w:rPr>
        <w:t>30,000.00</w:t>
      </w:r>
      <w:r>
        <w:rPr/>
        <w:t>元，累计转入损益金额为</w:t>
      </w:r>
      <w:r>
        <w:rPr>
          <w:rFonts w:ascii="Times New Roman" w:hAnsi="Times New Roman" w:cs="Times New Roman" w:eastAsia="Times New Roman" w:hint="default"/>
        </w:rPr>
        <w:t>292,500.00</w:t>
      </w:r>
      <w:r>
        <w:rPr/>
        <w:t>元，期末余额为</w:t>
      </w:r>
      <w:r>
        <w:rPr>
          <w:rFonts w:ascii="Times New Roman" w:hAnsi="Times New Roman" w:cs="Times New Roman" w:eastAsia="Times New Roman" w:hint="default"/>
        </w:rPr>
        <w:t>907,500.00</w:t>
      </w:r>
      <w:r>
        <w:rPr/>
        <w:t>元。</w:t>
      </w:r>
    </w:p>
    <w:p>
      <w:pPr>
        <w:spacing w:after="0" w:line="30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657" w:right="0"/>
        <w:jc w:val="left"/>
      </w:pPr>
      <w:r>
        <w:rPr/>
        <w:t>（</w:t>
      </w:r>
      <w:r>
        <w:rPr>
          <w:rFonts w:ascii="Times New Roman" w:hAnsi="Times New Roman" w:cs="Times New Roman" w:eastAsia="Times New Roman" w:hint="default"/>
        </w:rPr>
        <w:t>2</w:t>
      </w:r>
      <w:r>
        <w:rPr/>
        <w:t>）与收益有关的政府补助：</w:t>
      </w:r>
    </w:p>
    <w:p>
      <w:pPr>
        <w:pStyle w:val="BodyText"/>
        <w:spacing w:line="300" w:lineRule="auto" w:before="63"/>
        <w:ind w:right="1123" w:firstLine="504"/>
        <w:jc w:val="left"/>
      </w:pPr>
      <w:r>
        <w:rPr>
          <w:rFonts w:ascii="Times New Roman" w:hAnsi="Times New Roman" w:cs="Times New Roman" w:eastAsia="Times New Roman" w:hint="default"/>
        </w:rPr>
        <w:t>1</w:t>
      </w:r>
      <w:r>
        <w:rPr/>
        <w:t>）根据江苏省发展和改革委员会、江苏省财政厅苏发改高技发</w:t>
      </w:r>
      <w:r>
        <w:rPr>
          <w:rFonts w:ascii="Times New Roman" w:hAnsi="Times New Roman" w:cs="Times New Roman" w:eastAsia="Times New Roman" w:hint="default"/>
        </w:rPr>
        <w:t>[2017]1594</w:t>
      </w:r>
      <w:r>
        <w:rPr/>
        <w:t>号、苏财建</w:t>
      </w:r>
      <w:r>
        <w:rPr>
          <w:rFonts w:ascii="Times New Roman" w:hAnsi="Times New Roman" w:cs="Times New Roman" w:eastAsia="Times New Roman" w:hint="default"/>
        </w:rPr>
        <w:t>[2017]295</w:t>
      </w:r>
      <w:r>
        <w:rPr/>
        <w:t>号《关于下达</w:t>
      </w:r>
      <w:r>
        <w:rPr>
          <w:rFonts w:ascii="Times New Roman" w:hAnsi="Times New Roman" w:cs="Times New Roman" w:eastAsia="Times New Roman" w:hint="default"/>
        </w:rPr>
        <w:t>2017</w:t>
      </w:r>
      <w:r>
        <w:rPr/>
        <w:t>年 度省级战略性新兴产业发展专项资金及项目投资计划的通知》，本公司于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月收到中国（南京）软件谷管理委员会拨 付的能源信息化平台建设项目资金</w:t>
      </w:r>
      <w:r>
        <w:rPr>
          <w:rFonts w:ascii="Times New Roman" w:hAnsi="Times New Roman" w:cs="Times New Roman" w:eastAsia="Times New Roman" w:hint="default"/>
        </w:rPr>
        <w:t>6,300,000.00</w:t>
      </w:r>
      <w:r>
        <w:rPr/>
        <w:t>元。</w:t>
      </w:r>
    </w:p>
    <w:p>
      <w:pPr>
        <w:pStyle w:val="BodyText"/>
        <w:spacing w:line="300" w:lineRule="auto" w:before="13"/>
        <w:ind w:right="1131" w:firstLine="504"/>
        <w:jc w:val="both"/>
      </w:pPr>
      <w:r>
        <w:rPr>
          <w:rFonts w:ascii="Times New Roman" w:hAnsi="Times New Roman" w:cs="Times New Roman" w:eastAsia="Times New Roman" w:hint="default"/>
          <w:spacing w:val="-1"/>
        </w:rPr>
        <w:t>2</w:t>
      </w:r>
      <w:r>
        <w:rPr>
          <w:spacing w:val="-1"/>
        </w:rPr>
        <w:t>）根据南京市科学技术委员会、南京市财政局宁科</w:t>
      </w:r>
      <w:r>
        <w:rPr>
          <w:rFonts w:ascii="Times New Roman" w:hAnsi="Times New Roman" w:cs="Times New Roman" w:eastAsia="Times New Roman" w:hint="default"/>
          <w:spacing w:val="-1"/>
        </w:rPr>
        <w:t>[2018]307</w:t>
      </w:r>
      <w:r>
        <w:rPr>
          <w:spacing w:val="-1"/>
        </w:rPr>
        <w:t>号、宁财教</w:t>
      </w:r>
      <w:r>
        <w:rPr>
          <w:rFonts w:ascii="Times New Roman" w:hAnsi="Times New Roman" w:cs="Times New Roman" w:eastAsia="Times New Roman" w:hint="default"/>
          <w:spacing w:val="-1"/>
        </w:rPr>
        <w:t>[2018]743</w:t>
      </w:r>
      <w:r>
        <w:rPr>
          <w:spacing w:val="-1"/>
        </w:rPr>
        <w:t>号《关于下达南京市</w:t>
      </w:r>
      <w:r>
        <w:rPr>
          <w:rFonts w:ascii="Times New Roman" w:hAnsi="Times New Roman" w:cs="Times New Roman" w:eastAsia="Times New Roman" w:hint="default"/>
          <w:spacing w:val="-1"/>
        </w:rPr>
        <w:t>2018</w:t>
      </w:r>
      <w:r>
        <w:rPr>
          <w:spacing w:val="-1"/>
        </w:rPr>
        <w:t>年度科技</w:t>
      </w:r>
      <w:r>
        <w:rPr/>
        <w:t> </w:t>
      </w:r>
      <w:r>
        <w:rPr>
          <w:spacing w:val="-2"/>
        </w:rPr>
        <w:t>发展计划及科技经费指标的通知（第十四批）》，本公司于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月收到中国（南京）软件谷管理委员会拨付的基于互联</w:t>
      </w:r>
      <w:r>
        <w:rPr>
          <w:spacing w:val="-64"/>
        </w:rPr>
        <w:t> </w:t>
      </w:r>
      <w:r>
        <w:rPr>
          <w:spacing w:val="-64"/>
        </w:rPr>
      </w:r>
      <w:r>
        <w:rPr/>
        <w:t>网及大数据技术的金融云平台研发及产业化项目资金</w:t>
      </w:r>
      <w:r>
        <w:rPr>
          <w:rFonts w:ascii="Times New Roman" w:hAnsi="Times New Roman" w:cs="Times New Roman" w:eastAsia="Times New Roman" w:hint="default"/>
        </w:rPr>
        <w:t>1,200,000.00</w:t>
      </w:r>
      <w:r>
        <w:rPr/>
        <w:t>元。</w:t>
      </w:r>
    </w:p>
    <w:p>
      <w:pPr>
        <w:pStyle w:val="BodyText"/>
        <w:spacing w:line="300" w:lineRule="auto" w:before="13"/>
        <w:ind w:right="1133" w:firstLine="504"/>
        <w:jc w:val="left"/>
      </w:pPr>
      <w:r>
        <w:rPr>
          <w:rFonts w:ascii="Times New Roman" w:hAnsi="Times New Roman" w:cs="Times New Roman" w:eastAsia="Times New Roman" w:hint="default"/>
          <w:spacing w:val="-2"/>
        </w:rPr>
        <w:t>3</w:t>
      </w:r>
      <w:r>
        <w:rPr>
          <w:spacing w:val="-2"/>
        </w:rPr>
        <w:t>）根据公司与江苏省产业技术研究院签署的《共建</w:t>
      </w:r>
      <w:r>
        <w:rPr>
          <w:rFonts w:ascii="Times New Roman" w:hAnsi="Times New Roman" w:cs="Times New Roman" w:eastAsia="Times New Roman" w:hint="default"/>
          <w:spacing w:val="-2"/>
        </w:rPr>
        <w:t>JITRI-</w:t>
      </w:r>
      <w:r>
        <w:rPr>
          <w:spacing w:val="-2"/>
        </w:rPr>
        <w:t>润和软件联合创新中心合作协议》，本公司于</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23"/>
        </w:rPr>
        <w:t> </w:t>
      </w:r>
      <w:r>
        <w:rPr>
          <w:spacing w:val="-2"/>
        </w:rPr>
        <w:t>年</w:t>
      </w:r>
      <w:r>
        <w:rPr>
          <w:rFonts w:ascii="Times New Roman" w:hAnsi="Times New Roman" w:cs="Times New Roman" w:eastAsia="Times New Roman" w:hint="default"/>
          <w:spacing w:val="-2"/>
        </w:rPr>
        <w:t>9</w:t>
      </w:r>
      <w:r>
        <w:rPr>
          <w:spacing w:val="-2"/>
        </w:rPr>
        <w:t>月收</w:t>
      </w:r>
      <w:r>
        <w:rPr>
          <w:spacing w:val="-3"/>
        </w:rPr>
        <w:t> </w:t>
      </w:r>
      <w:r>
        <w:rPr/>
        <w:t>到江苏省产业技术研究院拨付的</w:t>
      </w:r>
      <w:r>
        <w:rPr>
          <w:rFonts w:ascii="Times New Roman" w:hAnsi="Times New Roman" w:cs="Times New Roman" w:eastAsia="Times New Roman" w:hint="default"/>
        </w:rPr>
        <w:t>JITRI-</w:t>
      </w:r>
      <w:r>
        <w:rPr/>
        <w:t>润和软件联合创新中心建设运营经费</w:t>
      </w:r>
      <w:r>
        <w:rPr>
          <w:rFonts w:ascii="Times New Roman" w:hAnsi="Times New Roman" w:cs="Times New Roman" w:eastAsia="Times New Roman" w:hint="default"/>
        </w:rPr>
        <w:t>1,000,000.00</w:t>
      </w:r>
      <w:r>
        <w:rPr/>
        <w:t>元。</w:t>
      </w: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footerReference w:type="default" r:id="rId21"/>
          <w:pgSz w:w="11910" w:h="16840"/>
          <w:pgMar w:footer="979" w:header="745" w:top="1060" w:bottom="1160" w:left="980" w:right="0"/>
          <w:pgNumType w:start="20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4" w:space="687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5"/>
        <w:gridCol w:w="1196"/>
        <w:gridCol w:w="1198"/>
        <w:gridCol w:w="1196"/>
        <w:gridCol w:w="1196"/>
        <w:gridCol w:w="1197"/>
      </w:tblGrid>
      <w:tr>
        <w:trPr>
          <w:trHeight w:val="404"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796,410,841.00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796,410,841.00</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3"/>
        <w:gridCol w:w="1064"/>
        <w:gridCol w:w="1063"/>
        <w:gridCol w:w="1064"/>
        <w:gridCol w:w="1061"/>
        <w:gridCol w:w="1063"/>
        <w:gridCol w:w="1061"/>
      </w:tblGrid>
      <w:tr>
        <w:trPr>
          <w:trHeight w:val="401"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49"/>
        <w:ind w:right="4633"/>
        <w:jc w:val="left"/>
      </w:pPr>
      <w:r>
        <w:rPr/>
        <w:t>其他权益工具本期增减变动情况、变动原因说明，以及相关会计处理的依据： 其他说明：</w:t>
      </w:r>
    </w:p>
    <w:p>
      <w:pPr>
        <w:spacing w:line="240" w:lineRule="auto" w:before="5"/>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2,865,456,938.55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901,762.19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1,233,173.28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2,865,125,527.46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12,371,356.58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2,397,028.51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14,768,385.09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2,877,828,295.13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3,298,790.70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1,233,173.28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2,879,893,912.55</w:t>
            </w:r>
          </w:p>
        </w:tc>
      </w:tr>
    </w:tbl>
    <w:p>
      <w:pPr>
        <w:pStyle w:val="BodyText"/>
        <w:spacing w:line="240" w:lineRule="auto" w:before="49"/>
        <w:ind w:right="0"/>
        <w:jc w:val="left"/>
      </w:pPr>
      <w:r>
        <w:rPr/>
        <w:t>其他说明，包括本期增减变动情况、变动原因说明：</w:t>
      </w:r>
    </w:p>
    <w:p>
      <w:pPr>
        <w:pStyle w:val="BodyText"/>
        <w:spacing w:line="304" w:lineRule="auto" w:before="115"/>
        <w:ind w:right="1132" w:firstLine="504"/>
        <w:jc w:val="both"/>
      </w:pPr>
      <w:r>
        <w:rPr/>
        <w:t>（</w:t>
      </w:r>
      <w:r>
        <w:rPr>
          <w:rFonts w:ascii="Times New Roman" w:hAnsi="Times New Roman" w:cs="Times New Roman" w:eastAsia="Times New Roman" w:hint="default"/>
        </w:rPr>
        <w:t>1</w:t>
      </w:r>
      <w:r>
        <w:rPr/>
        <w:t>）股本溢价本期增加：本公司、润和智融与南京瑞思创科技有限公司（以下简称</w:t>
      </w:r>
      <w:r>
        <w:rPr>
          <w:rFonts w:ascii="Times New Roman" w:hAnsi="Times New Roman" w:cs="Times New Roman" w:eastAsia="Times New Roman" w:hint="default"/>
        </w:rPr>
        <w:t>“</w:t>
      </w:r>
      <w:r>
        <w:rPr/>
        <w:t>瑞思创</w:t>
      </w:r>
      <w:r>
        <w:rPr>
          <w:rFonts w:ascii="Times New Roman" w:hAnsi="Times New Roman" w:cs="Times New Roman" w:eastAsia="Times New Roman" w:hint="default"/>
        </w:rPr>
        <w:t>”</w:t>
      </w:r>
      <w:r>
        <w:rPr/>
        <w:t>）签署了《江苏润和智 融科技有限公司增资协议》，瑞思创以</w:t>
      </w:r>
      <w:r>
        <w:rPr>
          <w:rFonts w:ascii="Times New Roman" w:hAnsi="Times New Roman" w:cs="Times New Roman" w:eastAsia="Times New Roman" w:hint="default"/>
        </w:rPr>
        <w:t>2,000.00</w:t>
      </w:r>
      <w:r>
        <w:rPr/>
        <w:t>万元人民币现金向润和智融增资，公司同意本次增资并放弃对本次增资的优 先认缴权。本次增资完成后，公司持有润和智融 </w:t>
      </w:r>
      <w:r>
        <w:rPr>
          <w:rFonts w:ascii="Times New Roman" w:hAnsi="Times New Roman" w:cs="Times New Roman" w:eastAsia="Times New Roman" w:hint="default"/>
        </w:rPr>
        <w:t>60%</w:t>
      </w:r>
      <w:r>
        <w:rPr/>
        <w:t>的股权，瑞思创将持有润和智融</w:t>
      </w:r>
      <w:r>
        <w:rPr>
          <w:spacing w:val="-35"/>
        </w:rPr>
        <w:t> </w:t>
      </w:r>
      <w:r>
        <w:rPr>
          <w:rFonts w:ascii="Times New Roman" w:hAnsi="Times New Roman" w:cs="Times New Roman" w:eastAsia="Times New Roman" w:hint="default"/>
        </w:rPr>
        <w:t>40%</w:t>
      </w:r>
      <w:r>
        <w:rPr/>
        <w:t>股权，润和智融成为公司的控股 </w:t>
      </w:r>
      <w:r>
        <w:rPr>
          <w:spacing w:val="-2"/>
        </w:rPr>
        <w:t>子公司。同日，公司召开的第五届董事会第四十四次会议审议通过了《关于同意全资子公司增资暨放弃对其增资优先认缴权</w:t>
      </w:r>
      <w:r>
        <w:rPr>
          <w:spacing w:val="-66"/>
        </w:rPr>
        <w:t> </w:t>
      </w:r>
      <w:r>
        <w:rPr>
          <w:spacing w:val="-66"/>
        </w:rPr>
      </w:r>
      <w:r>
        <w:rPr/>
        <w:t>的议案》。润和智融因引入新的投资者公司合并报表层面增加资本公积</w:t>
      </w:r>
      <w:r>
        <w:rPr>
          <w:rFonts w:ascii="Times New Roman" w:hAnsi="Times New Roman" w:cs="Times New Roman" w:eastAsia="Times New Roman" w:hint="default"/>
        </w:rPr>
        <w:t>901,762.19</w:t>
      </w:r>
      <w:r>
        <w:rPr/>
        <w:t>元。</w:t>
      </w:r>
    </w:p>
    <w:p>
      <w:pPr>
        <w:pStyle w:val="BodyText"/>
        <w:spacing w:line="309" w:lineRule="auto" w:before="9"/>
        <w:ind w:right="1131" w:firstLine="504"/>
        <w:jc w:val="both"/>
      </w:pPr>
      <w:r>
        <w:rPr/>
        <w:t>（</w:t>
      </w:r>
      <w:r>
        <w:rPr>
          <w:rFonts w:ascii="Times New Roman" w:hAnsi="Times New Roman" w:cs="Times New Roman" w:eastAsia="Times New Roman" w:hint="default"/>
        </w:rPr>
        <w:t>2</w:t>
      </w:r>
      <w:r>
        <w:rPr/>
        <w:t>）股本溢价本期减少：公司与广州润和股东王永、戴强华、沈智签署了《股权转让协议》，以自有资金共计</w:t>
      </w:r>
      <w:r>
        <w:rPr>
          <w:rFonts w:ascii="Times New Roman" w:hAnsi="Times New Roman" w:cs="Times New Roman" w:eastAsia="Times New Roman" w:hint="default"/>
        </w:rPr>
        <w:t>38</w:t>
      </w:r>
      <w:r>
        <w:rPr/>
        <w:t>万 </w:t>
      </w:r>
      <w:r>
        <w:rPr>
          <w:spacing w:val="-1"/>
        </w:rPr>
        <w:t>元人民币收购王永、戴强华、沈智合计持有的</w:t>
      </w:r>
      <w:r>
        <w:rPr>
          <w:rFonts w:ascii="Times New Roman" w:hAnsi="Times New Roman" w:cs="Times New Roman" w:eastAsia="Times New Roman" w:hint="default"/>
          <w:spacing w:val="-1"/>
        </w:rPr>
        <w:t>19%</w:t>
      </w:r>
      <w:r>
        <w:rPr>
          <w:spacing w:val="-1"/>
        </w:rPr>
        <w:t>的股权，本次交易完成后，公司持有广州润和</w:t>
      </w:r>
      <w:r>
        <w:rPr>
          <w:rFonts w:ascii="Times New Roman" w:hAnsi="Times New Roman" w:cs="Times New Roman" w:eastAsia="Times New Roman" w:hint="default"/>
          <w:spacing w:val="-1"/>
        </w:rPr>
        <w:t>70%</w:t>
      </w:r>
      <w:r>
        <w:rPr>
          <w:spacing w:val="-1"/>
        </w:rPr>
        <w:t>的股权，广州润和仍为</w:t>
      </w:r>
      <w:r>
        <w:rPr>
          <w:spacing w:val="-58"/>
        </w:rPr>
        <w:t> </w:t>
      </w:r>
      <w:r>
        <w:rPr>
          <w:spacing w:val="-58"/>
        </w:rPr>
      </w:r>
      <w:r>
        <w:rPr>
          <w:spacing w:val="-2"/>
        </w:rPr>
        <w:t>公司控股子公司。同日，公司召开的第五届董事会第四十四次会议审议通过了《关于收购控股子公司部分少数股东股权的议</w:t>
      </w:r>
      <w:r>
        <w:rPr>
          <w:spacing w:val="-66"/>
        </w:rPr>
        <w:t> </w:t>
      </w:r>
      <w:r>
        <w:rPr>
          <w:spacing w:val="-66"/>
        </w:rPr>
      </w:r>
      <w:r>
        <w:rPr>
          <w:spacing w:val="-2"/>
        </w:rPr>
        <w:t>案》。公司因购买少数股权新取得的长期股权投资与按照新增持股比例计算应享有广州润和自合并日开始持续计算的净资产</w:t>
      </w:r>
      <w:r>
        <w:rPr>
          <w:spacing w:val="-64"/>
        </w:rPr>
        <w:t> </w:t>
      </w:r>
      <w:r>
        <w:rPr>
          <w:spacing w:val="-64"/>
        </w:rPr>
      </w:r>
      <w:r>
        <w:rPr/>
        <w:t>份额之间的差额，冲减资本公积</w:t>
      </w:r>
      <w:r>
        <w:rPr>
          <w:rFonts w:ascii="Times New Roman" w:hAnsi="Times New Roman" w:cs="Times New Roman" w:eastAsia="Times New Roman" w:hint="default"/>
        </w:rPr>
        <w:t>1,233,173.28</w:t>
      </w:r>
      <w:r>
        <w:rPr/>
        <w:t>元。</w:t>
      </w:r>
    </w:p>
    <w:p>
      <w:pPr>
        <w:pStyle w:val="BodyText"/>
        <w:spacing w:line="240" w:lineRule="auto" w:before="5"/>
        <w:ind w:left="657" w:right="0"/>
        <w:jc w:val="left"/>
      </w:pPr>
      <w:r>
        <w:rPr/>
        <w:t>（</w:t>
      </w:r>
      <w:r>
        <w:rPr>
          <w:rFonts w:ascii="Times New Roman" w:hAnsi="Times New Roman" w:cs="Times New Roman" w:eastAsia="Times New Roman" w:hint="default"/>
        </w:rPr>
        <w:t>3</w:t>
      </w:r>
      <w:r>
        <w:rPr/>
        <w:t>）其他资本公积变动详见附注七、合并财务报表项目注释之</w:t>
      </w:r>
      <w:r>
        <w:rPr>
          <w:rFonts w:ascii="Times New Roman" w:hAnsi="Times New Roman" w:cs="Times New Roman" w:eastAsia="Times New Roman" w:hint="default"/>
        </w:rPr>
        <w:t>17</w:t>
      </w:r>
      <w:r>
        <w:rPr/>
        <w:t>、长期股权投资。</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股权激励回购</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148,976,163.45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14,012,777.75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162,988,941.20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148,976,163.45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14,012,777.75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162,988,941.20</w:t>
            </w:r>
          </w:p>
        </w:tc>
      </w:tr>
    </w:tbl>
    <w:p>
      <w:pPr>
        <w:pStyle w:val="BodyText"/>
        <w:spacing w:line="360" w:lineRule="auto" w:before="49"/>
        <w:ind w:left="657" w:right="1249" w:hanging="504"/>
        <w:jc w:val="left"/>
      </w:pPr>
      <w:r>
        <w:rPr/>
        <w:t>其他说明，包括本期增减变动情况、变动原因说明： 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日召开的第五届董事会第四十次会议及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日召开的</w:t>
      </w:r>
      <w:r>
        <w:rPr>
          <w:rFonts w:ascii="Times New Roman" w:hAnsi="Times New Roman" w:cs="Times New Roman" w:eastAsia="Times New Roman" w:hint="default"/>
        </w:rPr>
        <w:t>2018</w:t>
      </w:r>
      <w:r>
        <w:rPr/>
        <w:t>年第四次临时股东大会审议通</w:t>
      </w:r>
    </w:p>
    <w:p>
      <w:pPr>
        <w:pStyle w:val="BodyText"/>
        <w:spacing w:line="199" w:lineRule="exact"/>
        <w:ind w:right="0"/>
        <w:jc w:val="left"/>
      </w:pPr>
      <w:r>
        <w:rPr/>
        <w:t>过了《关于回购公司股份预案的议案》、《关于提请股东大会授权董事会全权办理本次回购股份工作相关事宜的议案》等有</w:t>
      </w:r>
    </w:p>
    <w:p>
      <w:pPr>
        <w:pStyle w:val="BodyText"/>
        <w:spacing w:line="316" w:lineRule="auto" w:before="76"/>
        <w:ind w:right="0"/>
        <w:jc w:val="left"/>
      </w:pPr>
      <w:r>
        <w:rPr>
          <w:spacing w:val="-2"/>
        </w:rPr>
        <w:t>关股票回购事项的相关议案，公司使用自有资金通过二级市场以集中竞价交易方式回购公司部分社会公众股份，用于实施股</w:t>
      </w:r>
      <w:r>
        <w:rPr>
          <w:spacing w:val="-64"/>
        </w:rPr>
        <w:t> </w:t>
      </w:r>
      <w:r>
        <w:rPr>
          <w:spacing w:val="-64"/>
        </w:rPr>
      </w:r>
      <w:r>
        <w:rPr>
          <w:spacing w:val="-2"/>
        </w:rPr>
        <w:t>权激励计划、员工持股计划或注销以减少公司注册资本。公司于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w:t>
      </w:r>
      <w:r>
        <w:rPr>
          <w:spacing w:val="-2"/>
        </w:rPr>
        <w:t>日召开第五届董事会第四十四次会议审议通过了</w:t>
      </w:r>
    </w:p>
    <w:p>
      <w:pPr>
        <w:pStyle w:val="BodyText"/>
        <w:spacing w:line="316" w:lineRule="auto"/>
        <w:ind w:right="0"/>
        <w:jc w:val="left"/>
      </w:pPr>
      <w:r>
        <w:rPr>
          <w:spacing w:val="-2"/>
        </w:rPr>
        <w:t>《关于确定回购公司股份用途的议案》，并于同日披露了《关于确定回购公司股份用途的公告》，决定以自有资金回购部分</w:t>
      </w:r>
      <w:r>
        <w:rPr>
          <w:spacing w:val="-65"/>
        </w:rPr>
        <w:t> </w:t>
      </w:r>
      <w:r>
        <w:rPr>
          <w:spacing w:val="-65"/>
        </w:rPr>
      </w:r>
      <w:r>
        <w:rPr/>
        <w:t>社会公众股的股份全部用于实施股权激励。本期公司股份回购金额为</w:t>
      </w:r>
      <w:r>
        <w:rPr>
          <w:rFonts w:ascii="Times New Roman" w:hAnsi="Times New Roman" w:cs="Times New Roman" w:eastAsia="Times New Roman" w:hint="default"/>
        </w:rPr>
        <w:t>14,012,777.75</w:t>
      </w:r>
      <w:r>
        <w:rPr/>
        <w:t>元。</w:t>
      </w:r>
    </w:p>
    <w:p>
      <w:pPr>
        <w:spacing w:line="240" w:lineRule="auto" w:before="3"/>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8"/>
        <w:gridCol w:w="974"/>
        <w:gridCol w:w="851"/>
        <w:gridCol w:w="1051"/>
        <w:gridCol w:w="852"/>
        <w:gridCol w:w="853"/>
        <w:gridCol w:w="852"/>
        <w:gridCol w:w="854"/>
        <w:gridCol w:w="726"/>
      </w:tblGrid>
      <w:tr>
        <w:trPr>
          <w:trHeight w:val="402" w:hRule="exact"/>
        </w:trPr>
        <w:tc>
          <w:tcPr>
            <w:tcW w:w="2558" w:type="dxa"/>
            <w:vMerge w:val="restart"/>
            <w:tcBorders>
              <w:top w:val="single" w:sz="4" w:space="0" w:color="000000"/>
              <w:left w:val="single" w:sz="4" w:space="0" w:color="000000"/>
              <w:right w:val="single" w:sz="4" w:space="0" w:color="000000"/>
            </w:tcBorders>
            <w:shd w:val="clear" w:color="auto" w:fill="D2D2D2"/>
          </w:tcPr>
          <w:p>
            <w:pPr/>
          </w:p>
        </w:tc>
        <w:tc>
          <w:tcPr>
            <w:tcW w:w="9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4" w:lineRule="auto"/>
              <w:ind w:left="267"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428" w:hRule="exact"/>
        </w:trPr>
        <w:tc>
          <w:tcPr>
            <w:tcW w:w="2558" w:type="dxa"/>
            <w:vMerge/>
            <w:tcBorders>
              <w:left w:val="single" w:sz="4" w:space="0" w:color="000000"/>
              <w:bottom w:val="nil" w:sz="6" w:space="0" w:color="auto"/>
              <w:right w:val="single" w:sz="4" w:space="0" w:color="000000"/>
            </w:tcBorders>
            <w:shd w:val="clear" w:color="auto" w:fill="D2D2D2"/>
          </w:tcPr>
          <w:p>
            <w:pPr/>
          </w:p>
        </w:tc>
        <w:tc>
          <w:tcPr>
            <w:tcW w:w="974" w:type="dxa"/>
            <w:vMerge/>
            <w:tcBorders>
              <w:left w:val="single" w:sz="4" w:space="0" w:color="000000"/>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1" w:right="58"/>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 w:right="23"/>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151" w:right="58" w:hanging="90"/>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62" w:right="5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6" w:type="dxa"/>
            <w:vMerge/>
            <w:tcBorders>
              <w:left w:val="single" w:sz="4" w:space="0" w:color="000000"/>
              <w:right w:val="single" w:sz="4" w:space="0" w:color="000000"/>
            </w:tcBorders>
            <w:shd w:val="clear" w:color="auto" w:fill="D2D2D2"/>
          </w:tcPr>
          <w:p>
            <w:pPr/>
          </w:p>
        </w:tc>
      </w:tr>
      <w:tr>
        <w:trPr>
          <w:trHeight w:val="391" w:hRule="exact"/>
        </w:trPr>
        <w:tc>
          <w:tcPr>
            <w:tcW w:w="25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051"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4" w:type="dxa"/>
            <w:vMerge/>
            <w:tcBorders>
              <w:left w:val="single" w:sz="4" w:space="0" w:color="000000"/>
              <w:right w:val="single" w:sz="4" w:space="0" w:color="000000"/>
            </w:tcBorders>
            <w:shd w:val="clear" w:color="auto" w:fill="D2D2D2"/>
          </w:tcPr>
          <w:p>
            <w:pPr/>
          </w:p>
        </w:tc>
        <w:tc>
          <w:tcPr>
            <w:tcW w:w="726" w:type="dxa"/>
            <w:vMerge/>
            <w:tcBorders>
              <w:left w:val="single" w:sz="4" w:space="0" w:color="000000"/>
              <w:right w:val="single" w:sz="4" w:space="0" w:color="000000"/>
            </w:tcBorders>
            <w:shd w:val="clear" w:color="auto" w:fill="D2D2D2"/>
          </w:tcPr>
          <w:p>
            <w:pPr/>
          </w:p>
        </w:tc>
      </w:tr>
      <w:tr>
        <w:trPr>
          <w:trHeight w:val="830" w:hRule="exact"/>
        </w:trPr>
        <w:tc>
          <w:tcPr>
            <w:tcW w:w="2558" w:type="dxa"/>
            <w:tcBorders>
              <w:top w:val="nil" w:sz="6" w:space="0" w:color="auto"/>
              <w:left w:val="single" w:sz="4" w:space="0" w:color="000000"/>
              <w:bottom w:val="single" w:sz="4" w:space="0" w:color="000000"/>
              <w:right w:val="single" w:sz="4" w:space="0" w:color="000000"/>
            </w:tcBorders>
            <w:shd w:val="clear" w:color="auto" w:fill="D2D2D2"/>
          </w:tcPr>
          <w:p>
            <w:pPr/>
          </w:p>
        </w:tc>
        <w:tc>
          <w:tcPr>
            <w:tcW w:w="974"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4" w:type="dxa"/>
            <w:vMerge/>
            <w:tcBorders>
              <w:left w:val="single" w:sz="4" w:space="0" w:color="000000"/>
              <w:bottom w:val="single" w:sz="4" w:space="0" w:color="000000"/>
              <w:right w:val="single" w:sz="4" w:space="0" w:color="000000"/>
            </w:tcBorders>
            <w:shd w:val="clear" w:color="auto" w:fill="D2D2D2"/>
          </w:tcPr>
          <w:p>
            <w:pPr/>
          </w:p>
        </w:tc>
        <w:tc>
          <w:tcPr>
            <w:tcW w:w="72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7" w:right="0"/>
              <w:jc w:val="left"/>
              <w:rPr>
                <w:rFonts w:ascii="Times New Roman" w:hAnsi="Times New Roman" w:cs="Times New Roman" w:eastAsia="Times New Roman" w:hint="default"/>
                <w:sz w:val="18"/>
                <w:szCs w:val="18"/>
              </w:rPr>
            </w:pPr>
            <w:r>
              <w:rPr>
                <w:rFonts w:ascii="Times New Roman"/>
                <w:sz w:val="18"/>
              </w:rPr>
              <w:t>-1,757,368.6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4" w:right="0"/>
              <w:jc w:val="left"/>
              <w:rPr>
                <w:rFonts w:ascii="Times New Roman" w:hAnsi="Times New Roman" w:cs="Times New Roman" w:eastAsia="Times New Roman" w:hint="default"/>
                <w:sz w:val="18"/>
                <w:szCs w:val="18"/>
              </w:rPr>
            </w:pPr>
            <w:r>
              <w:rPr>
                <w:rFonts w:ascii="Times New Roman"/>
                <w:sz w:val="18"/>
              </w:rPr>
              <w:t>1,169,485.</w:t>
            </w:r>
          </w:p>
        </w:tc>
        <w:tc>
          <w:tcPr>
            <w:tcW w:w="10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2" w:right="0"/>
              <w:jc w:val="left"/>
              <w:rPr>
                <w:rFonts w:ascii="Times New Roman" w:hAnsi="Times New Roman" w:cs="Times New Roman" w:eastAsia="Times New Roman" w:hint="default"/>
                <w:sz w:val="18"/>
                <w:szCs w:val="18"/>
              </w:rPr>
            </w:pPr>
            <w:r>
              <w:rPr>
                <w:rFonts w:ascii="Times New Roman"/>
                <w:sz w:val="18"/>
              </w:rPr>
              <w:t>1,151,711.</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17,774.38</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6" w:right="0"/>
              <w:jc w:val="left"/>
              <w:rPr>
                <w:rFonts w:ascii="Times New Roman" w:hAnsi="Times New Roman" w:cs="Times New Roman" w:eastAsia="Times New Roman" w:hint="default"/>
                <w:sz w:val="18"/>
                <w:szCs w:val="18"/>
              </w:rPr>
            </w:pPr>
            <w:r>
              <w:rPr>
                <w:rFonts w:ascii="Times New Roman"/>
                <w:sz w:val="18"/>
              </w:rPr>
              <w:t>-605,657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55"/>
        <w:gridCol w:w="974"/>
        <w:gridCol w:w="852"/>
        <w:gridCol w:w="1051"/>
        <w:gridCol w:w="852"/>
        <w:gridCol w:w="853"/>
        <w:gridCol w:w="852"/>
        <w:gridCol w:w="852"/>
        <w:gridCol w:w="727"/>
      </w:tblGrid>
      <w:tr>
        <w:trPr>
          <w:trHeight w:val="363"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80</w:t>
            </w:r>
          </w:p>
        </w:tc>
        <w:tc>
          <w:tcPr>
            <w:tcW w:w="10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42</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7" w:right="0"/>
              <w:jc w:val="left"/>
              <w:rPr>
                <w:rFonts w:ascii="Times New Roman" w:hAnsi="Times New Roman" w:cs="Times New Roman" w:eastAsia="Times New Roman" w:hint="default"/>
                <w:sz w:val="18"/>
                <w:szCs w:val="18"/>
              </w:rPr>
            </w:pPr>
            <w:r>
              <w:rPr>
                <w:rFonts w:ascii="Times New Roman"/>
                <w:sz w:val="18"/>
              </w:rPr>
              <w:t>.19</w:t>
            </w:r>
          </w:p>
        </w:tc>
      </w:tr>
      <w:tr>
        <w:trPr>
          <w:trHeight w:val="713"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-1,757,368.6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1,169,485.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10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1,151,711.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17,774.38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-605,657</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.19</w:t>
            </w:r>
          </w:p>
        </w:tc>
      </w:tr>
      <w:tr>
        <w:trPr>
          <w:trHeight w:val="715"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-1,757,368.6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1,169,485.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10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1,151,711.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17,774.38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-605,657</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.19</w:t>
            </w:r>
          </w:p>
        </w:tc>
      </w:tr>
    </w:tbl>
    <w:p>
      <w:pPr>
        <w:pStyle w:val="BodyText"/>
        <w:spacing w:line="357" w:lineRule="auto" w:before="49"/>
        <w:ind w:left="657" w:right="1234" w:hanging="504"/>
        <w:jc w:val="left"/>
      </w:pPr>
      <w:r>
        <w:rPr/>
        <w:t>其他说明，包括对现金流量套期损益的有效部分转为被套期项目初始确认金额调整： 其他综合收益期末余额较期初余额增长</w:t>
      </w:r>
      <w:r>
        <w:rPr>
          <w:rFonts w:ascii="Times New Roman" w:hAnsi="Times New Roman" w:cs="Times New Roman" w:eastAsia="Times New Roman" w:hint="default"/>
        </w:rPr>
        <w:t>65.54%</w:t>
      </w:r>
      <w:r>
        <w:rPr/>
        <w:t>，主要原因是期末汇率变动对境外子公司财务报表折算差额的影响。</w:t>
      </w:r>
    </w:p>
    <w:p>
      <w:pPr>
        <w:spacing w:line="240" w:lineRule="auto" w:before="8"/>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其他说明，包括本期增减变动情况、变动原因说明：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79,632,498.72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79,632,498.72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79,632,498.72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79,632,498.72</w:t>
            </w:r>
          </w:p>
        </w:tc>
      </w:tr>
    </w:tbl>
    <w:p>
      <w:pPr>
        <w:pStyle w:val="BodyText"/>
        <w:spacing w:line="240" w:lineRule="auto" w:before="49"/>
        <w:ind w:right="0"/>
        <w:jc w:val="left"/>
      </w:pPr>
      <w:r>
        <w:rPr/>
        <w:t>盈余公积说明，包括本期增减变动情况、变动原因说明：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5"/>
        <w:gridCol w:w="2924"/>
        <w:gridCol w:w="2919"/>
      </w:tblGrid>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1,022,608,372.38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804,550,016.65</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1,022,608,372.38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804,550,016.65</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-1,794,232,923.06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314,377,918.28</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16,678,478.45</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79,641,084.10</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-771,624,550.68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1,022,608,372.38</w:t>
            </w:r>
          </w:p>
        </w:tc>
      </w:tr>
    </w:tbl>
    <w:p>
      <w:pPr>
        <w:pStyle w:val="BodyText"/>
        <w:spacing w:line="240" w:lineRule="auto" w:before="49"/>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1"/>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1"/>
        <w:ind w:right="0"/>
        <w:jc w:val="left"/>
      </w:pPr>
      <w:r>
        <w:rPr>
          <w:rFonts w:ascii="Times New Roman" w:hAnsi="Times New Roman" w:cs="Times New Roman" w:eastAsia="Times New Roman" w:hint="default"/>
        </w:rPr>
        <w:t>5)</w:t>
      </w:r>
      <w:r>
        <w:rPr/>
        <w:t>、其他调整合计影响期初未分配利润元。</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2,076,395,255.70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1,523,698,448.23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1,998,901,842.48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1,176,303,304.84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44,778,464.96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31,241,834.81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38,812,093.85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26,502,882.42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2,121,173,720.66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1,554,940,283.04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2,037,713,936.33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1,202,806,187.26</w:t>
            </w:r>
          </w:p>
        </w:tc>
      </w:tr>
    </w:tbl>
    <w:p>
      <w:pPr>
        <w:pStyle w:val="BodyText"/>
        <w:spacing w:line="240" w:lineRule="auto" w:before="49"/>
        <w:ind w:right="0"/>
        <w:jc w:val="left"/>
      </w:pPr>
      <w:r>
        <w:rPr/>
        <w:t>是否已执行新收入准则</w:t>
      </w:r>
    </w:p>
    <w:p>
      <w:pPr>
        <w:pStyle w:val="BodyText"/>
        <w:spacing w:line="340" w:lineRule="auto" w:before="115"/>
        <w:ind w:right="98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 其他说明</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6,656,878.04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6,144,100.12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4,765,327.96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4,329,723.61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7,593,012.84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6,296,653.67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236,588.08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234,323.54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1,408,905.45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881,859.17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4,442,886.66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4,250,531.24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25,103,599.03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22,137,191.35</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工资、福利、社保费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59,080,240.71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41,029,102.43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12,322,692.46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21,915,649.38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2,339,324.03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2,667,339.80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3,163,581.57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3,171,437.60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1,632,575.76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223,278.04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2,430,567.76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996,154.44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80,968,982.29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70,002,961.69</w:t>
            </w:r>
          </w:p>
        </w:tc>
      </w:tr>
    </w:tbl>
    <w:p>
      <w:pPr>
        <w:pStyle w:val="BodyText"/>
        <w:spacing w:line="240" w:lineRule="auto" w:before="49"/>
        <w:ind w:right="0"/>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工资、福利、社保费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66,430,940.50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55,786,586.19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64,959,916.23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42,078,426.14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21,279,798.43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19,133,728.42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7,461,377.02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9,132,417.00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3,305,247.48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7,123,970.36</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2,891,970.88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3,525,323.92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4,004,322.91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2,545,158.39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6,484,574.27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10,832,814.88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176,818,147.72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150,158,425.30</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65</w:t>
      </w:r>
      <w:r>
        <w:rPr/>
        <w:t>、研发费用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工资、福利、社保费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218,097,538.44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207,007,071.57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委外及其他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8,386,615.57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24,243,733.63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516,349.22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548,375.19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227,000,503.23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231,799,180.39</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66</w:t>
      </w:r>
      <w:r>
        <w:rPr/>
        <w:t>、财务费用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83,653,895.61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81,443,987.59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4,314,018.06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6,071,749.14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79,339,877.55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75,372,238.45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2,166,913.22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4,041,111.45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2,671,640.11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13,418,295.96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汇兑净损失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-504,726.89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-9,377,184.51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338,415.68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273,146.65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79,173,566.34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66,268,200.59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67</w:t>
      </w:r>
      <w:r>
        <w:rPr/>
        <w:t>、其他收益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9,612,790.05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11,518,098.13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增值税加计扣除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5,372,873.47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研发费用专项补贴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2,142,000.00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1,333,502.37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115,996.74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国际服务外包业务贴息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润和国际软件外包研发总部基地项目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雨花润和软件外包园项目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增值税附加税退税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6,290.89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68"/>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年重大专项扶持</w:t>
            </w:r>
            <w:r>
              <w:rPr>
                <w:rFonts w:ascii="Times New Roman" w:hAnsi="Times New Roman" w:cs="Times New Roman" w:eastAsia="Times New Roman" w:hint="default"/>
                <w:sz w:val="18"/>
                <w:szCs w:val="18"/>
              </w:rPr>
              <w:t>-</w:t>
            </w:r>
            <w:r>
              <w:rPr>
                <w:rFonts w:ascii="宋体" w:hAnsi="宋体" w:cs="宋体" w:eastAsia="宋体" w:hint="default"/>
                <w:sz w:val="18"/>
                <w:szCs w:val="18"/>
              </w:rPr>
              <w:t>金融云服务平台 建设项目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金融云服务平台建设项目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2,450,000.00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润和金融解决方案及产业化项目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19,017,456.78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18,524,094.87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1"/>
        <w:gridCol w:w="3191"/>
        <w:gridCol w:w="2919"/>
      </w:tblGrid>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-2,985,247.70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82,530.00</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7,573,138.73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应收款项融资贴现利息支出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-61,033.60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-71,079.07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金融机构理财产品投资收益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14,951,296.36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11,811,925.33</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19,407,074.72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11,894,455.33</w:t>
            </w:r>
          </w:p>
        </w:tc>
      </w:tr>
    </w:tbl>
    <w:p>
      <w:pPr>
        <w:pStyle w:val="BodyText"/>
        <w:spacing w:line="240" w:lineRule="auto" w:before="49"/>
        <w:ind w:right="0"/>
        <w:jc w:val="left"/>
      </w:pPr>
      <w:r>
        <w:rPr/>
        <w:t>其他说明：</w:t>
      </w:r>
    </w:p>
    <w:p>
      <w:pPr>
        <w:pStyle w:val="BodyText"/>
        <w:spacing w:line="300" w:lineRule="auto" w:before="115"/>
        <w:ind w:right="0" w:firstLine="504"/>
        <w:jc w:val="left"/>
      </w:pPr>
      <w:r>
        <w:rPr>
          <w:spacing w:val="-2"/>
        </w:rPr>
        <w:t>投资收益本期发生额较上期发生额增长</w:t>
      </w:r>
      <w:r>
        <w:rPr>
          <w:rFonts w:ascii="Times New Roman" w:hAnsi="Times New Roman" w:cs="Times New Roman" w:eastAsia="Times New Roman" w:hint="default"/>
          <w:spacing w:val="-2"/>
        </w:rPr>
        <w:t>63.16%</w:t>
      </w:r>
      <w:r>
        <w:rPr>
          <w:spacing w:val="-2"/>
        </w:rPr>
        <w:t>，主要原因是本期处置原控股子公司润辰科技产生的处置收益，以及构</w:t>
      </w:r>
      <w:r>
        <w:rPr/>
        <w:t> 买金融机构理财产品产生的收益较上年同期增加。</w:t>
      </w: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69</w:t>
      </w:r>
      <w:r>
        <w:rPr/>
        <w:t>、净敞口套期收益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70</w:t>
      </w:r>
      <w:r>
        <w:rPr/>
        <w:t>、公允价值变动收益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71</w:t>
      </w:r>
      <w:r>
        <w:rPr/>
        <w:t>、信用减值损失</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-146,890.99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-197,107,209.53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-197,254,100.52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pStyle w:val="BodyText"/>
        <w:spacing w:line="300" w:lineRule="auto" w:before="115"/>
        <w:ind w:right="1129" w:firstLine="504"/>
        <w:jc w:val="left"/>
      </w:pPr>
      <w:r>
        <w:rPr/>
        <w:t>（</w:t>
      </w:r>
      <w:r>
        <w:rPr>
          <w:rFonts w:ascii="Times New Roman" w:hAnsi="Times New Roman" w:cs="Times New Roman" w:eastAsia="Times New Roman" w:hint="default"/>
        </w:rPr>
        <w:t>1</w:t>
      </w:r>
      <w:r>
        <w:rPr/>
        <w:t>）按照《企业会计准则第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金融工具确认和计量》（财会</w:t>
      </w:r>
      <w:r>
        <w:rPr>
          <w:rFonts w:ascii="Times New Roman" w:hAnsi="Times New Roman" w:cs="Times New Roman" w:eastAsia="Times New Roman" w:hint="default"/>
        </w:rPr>
        <w:t>[2017]7</w:t>
      </w:r>
      <w:r>
        <w:rPr/>
        <w:t>号）的要求，公司将本期计提的应收款项 坏账损失计入</w:t>
      </w:r>
      <w:r>
        <w:rPr>
          <w:rFonts w:ascii="Times New Roman" w:hAnsi="Times New Roman" w:cs="Times New Roman" w:eastAsia="Times New Roman" w:hint="default"/>
        </w:rPr>
        <w:t>“</w:t>
      </w:r>
      <w:r>
        <w:rPr/>
        <w:t>信用减值损失</w:t>
      </w:r>
      <w:r>
        <w:rPr>
          <w:rFonts w:ascii="Times New Roman" w:hAnsi="Times New Roman" w:cs="Times New Roman" w:eastAsia="Times New Roman" w:hint="default"/>
        </w:rPr>
        <w:t>”</w:t>
      </w:r>
      <w:r>
        <w:rPr/>
        <w:t>。</w:t>
      </w:r>
    </w:p>
    <w:p>
      <w:pPr>
        <w:pStyle w:val="BodyText"/>
        <w:spacing w:line="240" w:lineRule="auto" w:before="13"/>
        <w:ind w:left="657" w:right="0"/>
        <w:jc w:val="left"/>
      </w:pPr>
      <w:r>
        <w:rPr/>
        <w:t>（</w:t>
      </w:r>
      <w:r>
        <w:rPr>
          <w:rFonts w:ascii="Times New Roman" w:hAnsi="Times New Roman" w:cs="Times New Roman" w:eastAsia="Times New Roman" w:hint="default"/>
        </w:rPr>
        <w:t>2</w:t>
      </w:r>
      <w:r>
        <w:rPr/>
        <w:t>）信用减值损失本期发生额较上期发生额大幅增加，主要原因是本期单项计提应收账款坏账准备所致。</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72</w:t>
      </w:r>
      <w:r>
        <w:rPr/>
        <w:t>、资产减值损失</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4" w:space="6875"/>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-9,010,653.06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-1,629,666,940.32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-1,629,666,940.32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-9,010,653.06</w:t>
            </w:r>
          </w:p>
        </w:tc>
      </w:tr>
    </w:tbl>
    <w:p>
      <w:pPr>
        <w:pStyle w:val="BodyText"/>
        <w:spacing w:line="240" w:lineRule="auto" w:before="49"/>
        <w:ind w:right="0"/>
        <w:jc w:val="left"/>
      </w:pPr>
      <w:r>
        <w:rPr/>
        <w:t>其他说明：</w:t>
      </w:r>
    </w:p>
    <w:p>
      <w:pPr>
        <w:pStyle w:val="BodyText"/>
        <w:spacing w:line="240" w:lineRule="auto" w:before="115"/>
        <w:ind w:left="657" w:right="0"/>
        <w:jc w:val="left"/>
      </w:pPr>
      <w:r>
        <w:rPr/>
        <w:t>资产减值损失本期发生额较上期发生额大幅增加，主要原因是本期计提大额商誉减值准备。</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73</w:t>
      </w:r>
      <w:r>
        <w:rPr/>
        <w:t>、资产处置收益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处置未划分为持有待售的固定资产、在 建工程、生产性生物资产及无形资产的 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-238,724.50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585,062.18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-238,724.50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585,062.18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-238,724.50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585,062.18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74</w:t>
      </w:r>
      <w:r>
        <w:rPr/>
        <w:t>、营业外收入</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9"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11,188,992.65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8,760,940.18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11,188,992.65</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罚息收入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918,000.00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2,027,000.00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918,000.00</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871,929.21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243,369.53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871,929.21</w:t>
            </w:r>
          </w:p>
        </w:tc>
      </w:tr>
      <w:tr>
        <w:trPr>
          <w:trHeight w:val="40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12,978,921.86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11,031,309.71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12,978,921.86</w:t>
            </w:r>
          </w:p>
        </w:tc>
      </w:tr>
    </w:tbl>
    <w:p>
      <w:pPr>
        <w:pStyle w:val="BodyText"/>
        <w:spacing w:line="240" w:lineRule="auto" w:before="49"/>
        <w:ind w:right="0"/>
        <w:jc w:val="left"/>
      </w:pPr>
      <w:r>
        <w:rPr/>
        <w:t>计入当期损益的政府补助：</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4"/>
        <w:gridCol w:w="1063"/>
        <w:gridCol w:w="1064"/>
        <w:gridCol w:w="1061"/>
        <w:gridCol w:w="1063"/>
        <w:gridCol w:w="1064"/>
        <w:gridCol w:w="1063"/>
        <w:gridCol w:w="1064"/>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77"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软件及服务 外包产业发 展扶持资金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4,283,532.00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2,495,620.00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科技经费补 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1,502,000.00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服务贸易创 新发展专项 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591,000.00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现代服务业 发展专项引 导资金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1,245,000.00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877,141.99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866,648.15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国际服务外 包专项引导 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年度西 安市外向型 经济发展专 项资金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496,318.66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361,672.03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11,188,992.6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8,760,940.18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40" w:lineRule="auto" w:before="49"/>
        <w:ind w:right="0"/>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75</w:t>
      </w:r>
      <w:r>
        <w:rPr/>
        <w:t>、营业外支出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9"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750,000.00</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21,890.64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1,689.99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21,890.64</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599,612.61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228,797.38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599,612.61</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1,371,503.25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1,630,487.37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1,371,503.25</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76</w:t>
      </w:r>
      <w:r>
        <w:rPr/>
        <w:t>、所得税费用</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7,452,870.20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31,280,156.15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-5,753,873.61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-13,255,191.53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1,698,996.59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18,024,964.62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9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-1,799,959,176.22</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-269,993,876.43</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1,125,253.71</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87,439.45</w:t>
            </w:r>
          </w:p>
        </w:tc>
      </w:tr>
      <w:tr>
        <w:trPr>
          <w:trHeight w:val="40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245,191,814.59</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-411,481.68</w:t>
            </w:r>
          </w:p>
        </w:tc>
      </w:tr>
      <w:tr>
        <w:trPr>
          <w:trHeight w:val="715"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49,564,342.03</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-23,864,495.08</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1,698,996.59</w:t>
            </w:r>
          </w:p>
        </w:tc>
      </w:tr>
    </w:tbl>
    <w:p>
      <w:pPr>
        <w:pStyle w:val="BodyText"/>
        <w:spacing w:line="240" w:lineRule="auto" w:before="49"/>
        <w:ind w:right="0"/>
        <w:jc w:val="left"/>
      </w:pPr>
      <w:r>
        <w:rPr/>
        <w:t>其他说明</w:t>
      </w:r>
    </w:p>
    <w:p>
      <w:pPr>
        <w:pStyle w:val="BodyText"/>
        <w:spacing w:line="300" w:lineRule="auto" w:before="115"/>
        <w:ind w:right="1117" w:firstLine="504"/>
        <w:jc w:val="left"/>
      </w:pPr>
      <w:r>
        <w:rPr>
          <w:spacing w:val="-2"/>
        </w:rPr>
        <w:t>所得税费用本期发生额较上期发生额减少</w:t>
      </w:r>
      <w:r>
        <w:rPr>
          <w:rFonts w:ascii="Times New Roman" w:hAnsi="Times New Roman" w:cs="Times New Roman" w:eastAsia="Times New Roman" w:hint="default"/>
          <w:spacing w:val="-2"/>
        </w:rPr>
        <w:t>90.57%</w:t>
      </w:r>
      <w:r>
        <w:rPr>
          <w:spacing w:val="-2"/>
        </w:rPr>
        <w:t>，主要原因是子公司联创智融应纳税所得额减少，导致当期所得税费</w:t>
      </w:r>
      <w:r>
        <w:rPr/>
        <w:t> 用下降。</w:t>
      </w:r>
    </w:p>
    <w:p>
      <w:pPr>
        <w:spacing w:after="0" w:line="30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77</w:t>
      </w:r>
      <w:r>
        <w:rPr/>
        <w:t>、其他综合收益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详见附注七、</w:t>
      </w:r>
      <w:r>
        <w:rPr>
          <w:rFonts w:ascii="Times New Roman" w:hAnsi="Times New Roman" w:cs="Times New Roman" w:eastAsia="Times New Roman" w:hint="default"/>
        </w:rPr>
        <w:t>57</w:t>
      </w:r>
      <w:r>
        <w:rPr/>
        <w:t>、其他综合收益。</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78</w:t>
      </w:r>
      <w:r>
        <w:rPr/>
        <w:t>、现金流量表项目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15,980,785.91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20,576,936.92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2,119,691.82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763,873.40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4,752,875.40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6,053,578.25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5,745,118.50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4,560,784.26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24,609,469.63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35,944,174.83</w:t>
            </w:r>
          </w:p>
        </w:tc>
      </w:tr>
    </w:tbl>
    <w:p>
      <w:pPr>
        <w:pStyle w:val="BodyText"/>
        <w:spacing w:line="240" w:lineRule="auto" w:before="49"/>
        <w:ind w:right="0"/>
        <w:jc w:val="left"/>
      </w:pPr>
      <w:r>
        <w:rPr/>
        <w:t>收到的其他与经营活动有关的现金说明：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21,279,798.43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19,133,728.42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12,322,692.46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21,915,649.38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7,461,377.02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9,132,417.00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6,468,829.05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10,295,407.96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5,231,294.91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6,192,663.72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4,004,322.91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2,545,158.39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1,624,199.89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5,775,158.00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1,632,575.76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223,278.04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17,343,634.15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18,728,734.03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77,368,724.58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93,942,194.94</w:t>
            </w:r>
          </w:p>
        </w:tc>
      </w:tr>
    </w:tbl>
    <w:p>
      <w:pPr>
        <w:pStyle w:val="BodyText"/>
        <w:spacing w:line="240" w:lineRule="auto" w:before="49"/>
        <w:ind w:right="0"/>
        <w:jc w:val="left"/>
      </w:pPr>
      <w:r>
        <w:rPr/>
        <w:t>支付的其他与经营活动有关的现金说明：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4,705,129.17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5,680,638.03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股权转让款罚息收入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7,650,129.17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5,680,638.03</w:t>
            </w:r>
          </w:p>
        </w:tc>
      </w:tr>
    </w:tbl>
    <w:p>
      <w:pPr>
        <w:pStyle w:val="BodyText"/>
        <w:spacing w:line="240" w:lineRule="auto" w:before="49"/>
        <w:ind w:right="0"/>
        <w:jc w:val="left"/>
      </w:pPr>
      <w:r>
        <w:rPr/>
        <w:t>收到的其他与投资活动有关的现金说明：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支付的其他与投资活动有关的现金说明：</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为借款质押的银行存单</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r>
    </w:tbl>
    <w:p>
      <w:pPr>
        <w:pStyle w:val="BodyText"/>
        <w:spacing w:line="240" w:lineRule="auto" w:before="49"/>
        <w:ind w:right="0"/>
        <w:jc w:val="left"/>
      </w:pPr>
      <w:r>
        <w:rPr/>
        <w:t>收到的其他与筹资活动有关的现金说明：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融资顾问费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3,128,000.00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回购股份支付款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14,012,777.75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151,355,223.45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购买少数股东股权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为再融资支付的审计咨询费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1,660,571.43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36,142,777.75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156,143,794.88</w:t>
            </w:r>
          </w:p>
        </w:tc>
      </w:tr>
    </w:tbl>
    <w:p>
      <w:pPr>
        <w:pStyle w:val="BodyText"/>
        <w:spacing w:line="240" w:lineRule="auto" w:before="49"/>
        <w:ind w:right="0"/>
        <w:jc w:val="left"/>
      </w:pPr>
      <w:r>
        <w:rPr/>
        <w:t>支付的其他与筹资活动有关的现金说明：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79</w:t>
      </w:r>
      <w:r>
        <w:rPr/>
        <w:t>、现金流量表补充资料</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9"/>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4" w:right="0"/>
              <w:jc w:val="left"/>
              <w:rPr>
                <w:rFonts w:ascii="Times New Roman" w:hAnsi="Times New Roman" w:cs="Times New Roman" w:eastAsia="Times New Roman" w:hint="default"/>
                <w:sz w:val="18"/>
                <w:szCs w:val="18"/>
              </w:rPr>
            </w:pPr>
            <w:r>
              <w:rPr>
                <w:rFonts w:ascii="Times New Roman"/>
                <w:sz w:val="18"/>
              </w:rPr>
              <w:t>-1,801,658,172.81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5" w:right="0"/>
              <w:jc w:val="left"/>
              <w:rPr>
                <w:rFonts w:ascii="Times New Roman" w:hAnsi="Times New Roman" w:cs="Times New Roman" w:eastAsia="Times New Roman" w:hint="default"/>
                <w:sz w:val="18"/>
                <w:szCs w:val="18"/>
              </w:rPr>
            </w:pPr>
            <w:r>
              <w:rPr>
                <w:rFonts w:ascii="Times New Roman"/>
                <w:sz w:val="18"/>
              </w:rPr>
              <w:t>307,910,606.79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7"/>
        <w:gridCol w:w="3059"/>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1,826,921,040.84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9,010,653.06</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24,724,535.73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24,392,527.75</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56,315,929.69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34,084,020.67</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5,681,315.20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2,608,187.68</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238,724.50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-585,062.18</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71" w:firstLine="72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0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17,196.14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1,689.99</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78,835,150.66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65,995,053.94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2"/>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-19,468,108.32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-11,894,455.33</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-4,536,919.59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-11,855,491.90</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-1,216,954.02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-1,399,699.63</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-182,272,273.80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-176,645,539.47</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126,274,288.85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33,641,140.30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109,855,753.07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275,263,631.67</w:t>
            </w:r>
          </w:p>
        </w:tc>
      </w:tr>
      <w:tr>
        <w:trPr>
          <w:trHeight w:val="162"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6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6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756,946,083.09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1,246,576,668.69</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1,246,576,668.69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880,390,258.78</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-489,630,585.60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366,186,409.91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39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0"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2,475,000.00</w:t>
            </w:r>
          </w:p>
        </w:tc>
      </w:tr>
      <w:tr>
        <w:trPr>
          <w:trHeight w:val="39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润辰科技</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2,475,000.00</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5,004,318.15</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润辰科技</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2,904,537.63</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新维数联</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2,099,780.52</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6,800,000.00</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江苏开拓</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6,800,000.00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4,270,681.85</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9"/>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756,946,083.09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1,246,576,668.69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144,664.47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78,054.28</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747,884,377.80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986,473,500.37</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8,917,040.82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260,025,114.04</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756,946,083.09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1,246,576,668.69</w:t>
            </w:r>
          </w:p>
        </w:tc>
      </w:tr>
    </w:tbl>
    <w:p>
      <w:pPr>
        <w:pStyle w:val="BodyText"/>
        <w:spacing w:line="240" w:lineRule="auto" w:before="49"/>
        <w:ind w:right="0"/>
        <w:jc w:val="left"/>
      </w:pPr>
      <w:r>
        <w:rPr/>
        <w:t>其他说明：</w:t>
      </w:r>
    </w:p>
    <w:p>
      <w:pPr>
        <w:spacing w:line="240" w:lineRule="auto" w:before="2"/>
        <w:rPr>
          <w:rFonts w:ascii="宋体" w:hAnsi="宋体" w:cs="宋体" w:eastAsia="宋体" w:hint="default"/>
          <w:sz w:val="22"/>
          <w:szCs w:val="22"/>
        </w:rPr>
      </w:pPr>
    </w:p>
    <w:p>
      <w:pPr>
        <w:spacing w:line="482" w:lineRule="auto" w:before="0"/>
        <w:ind w:left="153" w:right="537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80</w:t>
      </w:r>
      <w:r>
        <w:rPr>
          <w:rFonts w:ascii="Microsoft JhengHei" w:hAnsi="Microsoft JhengHei" w:cs="Microsoft JhengHei" w:eastAsia="Microsoft JhengHei" w:hint="default"/>
          <w:b/>
          <w:bCs/>
          <w:sz w:val="21"/>
          <w:szCs w:val="21"/>
        </w:rPr>
        <w:t>、所有者权益变动表项目注释</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81</w:t>
      </w:r>
      <w:r>
        <w:rPr>
          <w:rFonts w:ascii="Microsoft JhengHei" w:hAnsi="Microsoft JhengHei" w:cs="Microsoft JhengHei" w:eastAsia="Microsoft JhengHei" w:hint="default"/>
          <w:b/>
          <w:bCs/>
          <w:sz w:val="21"/>
          <w:szCs w:val="21"/>
        </w:rPr>
        <w:t>、所有权或使用权受到限制的资产</w:t>
      </w:r>
      <w:r>
        <w:rPr>
          <w:rFonts w:ascii="Microsoft JhengHei" w:hAnsi="Microsoft JhengHei" w:cs="Microsoft JhengHei" w:eastAsia="Microsoft JhengHei" w:hint="default"/>
          <w:sz w:val="21"/>
          <w:szCs w:val="21"/>
        </w:rPr>
      </w:r>
    </w:p>
    <w:p>
      <w:pPr>
        <w:pStyle w:val="BodyText"/>
        <w:spacing w:line="240" w:lineRule="auto" w:before="5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9"/>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3,655,466.18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570,743,056.88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银行借款抵押物</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7"/>
        <w:gridCol w:w="3059"/>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37,082,819.10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银行借款抵押物</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本公司所持联创智融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银行借款质押物</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特定资产的经营收入权  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银行借款质押物</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捷科智诚对应合同</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JKYW182016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的两年应 收权  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银行借款质押物</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611,481,342.16</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pStyle w:val="BodyText"/>
        <w:spacing w:line="300" w:lineRule="auto" w:before="115"/>
        <w:ind w:right="1117" w:firstLine="504"/>
        <w:jc w:val="left"/>
      </w:pPr>
      <w:r>
        <w:rPr/>
        <w:t>注</w:t>
      </w:r>
      <w:r>
        <w:rPr>
          <w:rFonts w:ascii="Times New Roman" w:hAnsi="Times New Roman" w:cs="Times New Roman" w:eastAsia="Times New Roman" w:hint="default"/>
        </w:rPr>
        <w:t>1</w:t>
      </w:r>
      <w:r>
        <w:rPr/>
        <w:t>：本公司以子公司联创智融</w:t>
      </w:r>
      <w:r>
        <w:rPr>
          <w:rFonts w:ascii="Times New Roman" w:hAnsi="Times New Roman" w:cs="Times New Roman" w:eastAsia="Times New Roman" w:hint="default"/>
        </w:rPr>
        <w:t>100%</w:t>
      </w:r>
      <w:r>
        <w:rPr/>
        <w:t>股权作为质押物向中国工商银行南京玄武支行取得并购资金借款，借款总额 </w:t>
      </w:r>
      <w:r>
        <w:rPr>
          <w:rFonts w:ascii="Times New Roman" w:hAnsi="Times New Roman" w:cs="Times New Roman" w:eastAsia="Times New Roman" w:hint="default"/>
          <w:spacing w:val="-1"/>
        </w:rPr>
        <w:t>400,000,000.00</w:t>
      </w:r>
      <w:r>
        <w:rPr>
          <w:spacing w:val="-1"/>
        </w:rPr>
        <w:t>元，截止</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日，已归还借款</w:t>
      </w:r>
      <w:r>
        <w:rPr>
          <w:rFonts w:ascii="Times New Roman" w:hAnsi="Times New Roman" w:cs="Times New Roman" w:eastAsia="Times New Roman" w:hint="default"/>
          <w:spacing w:val="-1"/>
        </w:rPr>
        <w:t>300,000,000.00</w:t>
      </w:r>
      <w:r>
        <w:rPr>
          <w:spacing w:val="-1"/>
        </w:rPr>
        <w:t>元，借款余额</w:t>
      </w:r>
      <w:r>
        <w:rPr>
          <w:rFonts w:ascii="Times New Roman" w:hAnsi="Times New Roman" w:cs="Times New Roman" w:eastAsia="Times New Roman" w:hint="default"/>
          <w:spacing w:val="-1"/>
        </w:rPr>
        <w:t>100,000,000.00</w:t>
      </w:r>
      <w:r>
        <w:rPr>
          <w:spacing w:val="-1"/>
        </w:rPr>
        <w:t>元，重分类至一年内到期的</w:t>
      </w:r>
      <w:r>
        <w:rPr>
          <w:spacing w:val="-66"/>
        </w:rPr>
        <w:t> </w:t>
      </w:r>
      <w:r>
        <w:rPr>
          <w:spacing w:val="-66"/>
        </w:rPr>
      </w:r>
      <w:r>
        <w:rPr/>
        <w:t>非流动负债。</w:t>
      </w:r>
    </w:p>
    <w:p>
      <w:pPr>
        <w:pStyle w:val="BodyText"/>
        <w:spacing w:line="300" w:lineRule="auto" w:before="32"/>
        <w:ind w:right="1122" w:firstLine="504"/>
        <w:jc w:val="left"/>
      </w:pPr>
      <w:r>
        <w:rPr>
          <w:spacing w:val="-1"/>
        </w:rPr>
        <w:t>注</w:t>
      </w:r>
      <w:r>
        <w:rPr>
          <w:rFonts w:ascii="Times New Roman" w:hAnsi="Times New Roman" w:cs="Times New Roman" w:eastAsia="Times New Roman" w:hint="default"/>
          <w:spacing w:val="-1"/>
        </w:rPr>
        <w:t>2</w:t>
      </w:r>
      <w:r>
        <w:rPr>
          <w:spacing w:val="-1"/>
        </w:rPr>
        <w:t>：本公司子公司外包园公司以位于软件大道</w:t>
      </w:r>
      <w:r>
        <w:rPr>
          <w:rFonts w:ascii="Times New Roman" w:hAnsi="Times New Roman" w:cs="Times New Roman" w:eastAsia="Times New Roman" w:hint="default"/>
          <w:spacing w:val="-1"/>
        </w:rPr>
        <w:t>168</w:t>
      </w:r>
      <w:r>
        <w:rPr>
          <w:spacing w:val="-1"/>
        </w:rPr>
        <w:t>号的特定资产的经营收入权利作为质押物向中国工商银行南京玄武</w:t>
      </w:r>
      <w:r>
        <w:rPr/>
        <w:t> 支行取得的固定资产支持融资借款，截至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日止，质押借款余额</w:t>
      </w:r>
      <w:r>
        <w:rPr>
          <w:rFonts w:ascii="Times New Roman" w:hAnsi="Times New Roman" w:cs="Times New Roman" w:eastAsia="Times New Roman" w:hint="default"/>
        </w:rPr>
        <w:t>439,450,902.32</w:t>
      </w:r>
      <w:r>
        <w:rPr/>
        <w:t>元，该长期借款年末余额中 </w:t>
      </w:r>
      <w:r>
        <w:rPr>
          <w:rFonts w:ascii="Times New Roman" w:hAnsi="Times New Roman" w:cs="Times New Roman" w:eastAsia="Times New Roman" w:hint="default"/>
        </w:rPr>
        <w:t>16,813,265.89</w:t>
      </w:r>
      <w:r>
        <w:rPr/>
        <w:t>元将于一年内到期，重分类至一年内到期的非流动负债。</w:t>
      </w:r>
    </w:p>
    <w:p>
      <w:pPr>
        <w:pStyle w:val="BodyText"/>
        <w:spacing w:line="300" w:lineRule="auto" w:before="13"/>
        <w:ind w:right="1131" w:firstLine="504"/>
        <w:jc w:val="both"/>
      </w:pPr>
      <w:r>
        <w:rPr>
          <w:spacing w:val="-1"/>
        </w:rPr>
        <w:t>注</w:t>
      </w:r>
      <w:r>
        <w:rPr>
          <w:rFonts w:ascii="Times New Roman" w:hAnsi="Times New Roman" w:cs="Times New Roman" w:eastAsia="Times New Roman" w:hint="default"/>
          <w:spacing w:val="-1"/>
        </w:rPr>
        <w:t>3</w:t>
      </w:r>
      <w:r>
        <w:rPr>
          <w:spacing w:val="-1"/>
        </w:rPr>
        <w:t>：本公司质押借款余额</w:t>
      </w:r>
      <w:r>
        <w:rPr>
          <w:rFonts w:ascii="Times New Roman" w:hAnsi="Times New Roman" w:cs="Times New Roman" w:eastAsia="Times New Roman" w:hint="default"/>
          <w:spacing w:val="-1"/>
        </w:rPr>
        <w:t>35,000,000.00</w:t>
      </w:r>
      <w:r>
        <w:rPr>
          <w:spacing w:val="-1"/>
        </w:rPr>
        <w:t>元，系向中国银行南京江宁支行取得的</w:t>
      </w:r>
      <w:r>
        <w:rPr>
          <w:rFonts w:ascii="Times New Roman" w:hAnsi="Times New Roman" w:cs="Times New Roman" w:eastAsia="Times New Roman" w:hint="default"/>
          <w:spacing w:val="-1"/>
        </w:rPr>
        <w:t>40,000,000.00</w:t>
      </w:r>
      <w:r>
        <w:rPr>
          <w:spacing w:val="-1"/>
        </w:rPr>
        <w:t>元流动资金借款，捷科智</w:t>
      </w:r>
      <w:r>
        <w:rPr/>
        <w:t> </w:t>
      </w:r>
      <w:r>
        <w:rPr>
          <w:spacing w:val="-1"/>
        </w:rPr>
        <w:t>诚以合同编号为</w:t>
      </w:r>
      <w:r>
        <w:rPr>
          <w:rFonts w:ascii="Times New Roman" w:hAnsi="Times New Roman" w:cs="Times New Roman" w:eastAsia="Times New Roman" w:hint="default"/>
          <w:spacing w:val="-1"/>
        </w:rPr>
        <w:t>JKYW182016</w:t>
      </w:r>
      <w:r>
        <w:rPr>
          <w:spacing w:val="-1"/>
        </w:rPr>
        <w:t>的两年合同应收权利为该笔借款提供质押担保，合同对应客户为中国银行股份有限公司，截至</w:t>
      </w:r>
      <w:r>
        <w:rPr>
          <w:spacing w:val="-81"/>
        </w:rPr>
        <w:t> </w:t>
      </w:r>
      <w:r>
        <w:rPr>
          <w:spacing w:val="-81"/>
        </w:rPr>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日止，对应合同应收账款余额为</w:t>
      </w:r>
      <w:r>
        <w:rPr>
          <w:rFonts w:ascii="Times New Roman" w:hAnsi="Times New Roman" w:cs="Times New Roman" w:eastAsia="Times New Roman" w:hint="default"/>
          <w:spacing w:val="-1"/>
        </w:rPr>
        <w:t>36,602,223.66</w:t>
      </w:r>
      <w:r>
        <w:rPr>
          <w:spacing w:val="-1"/>
        </w:rPr>
        <w:t>元。截至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日止，此项借款中借款期限少于一年的借</w:t>
      </w:r>
      <w:r>
        <w:rPr>
          <w:spacing w:val="-73"/>
        </w:rPr>
        <w:t> </w:t>
      </w:r>
      <w:r>
        <w:rPr>
          <w:spacing w:val="-73"/>
        </w:rPr>
      </w:r>
      <w:r>
        <w:rPr>
          <w:spacing w:val="-2"/>
        </w:rPr>
        <w:t>款年末余额为</w:t>
      </w:r>
      <w:r>
        <w:rPr>
          <w:rFonts w:ascii="Times New Roman" w:hAnsi="Times New Roman" w:cs="Times New Roman" w:eastAsia="Times New Roman" w:hint="default"/>
          <w:spacing w:val="-2"/>
        </w:rPr>
        <w:t>5,000,000.00</w:t>
      </w:r>
      <w:r>
        <w:rPr>
          <w:spacing w:val="-2"/>
        </w:rPr>
        <w:t>元，在短期借款科目列式，借款期限大于一年的借款余额为</w:t>
      </w:r>
      <w:r>
        <w:rPr>
          <w:rFonts w:ascii="Times New Roman" w:hAnsi="Times New Roman" w:cs="Times New Roman" w:eastAsia="Times New Roman" w:hint="default"/>
          <w:spacing w:val="-2"/>
        </w:rPr>
        <w:t>30,000,000.00</w:t>
      </w:r>
      <w:r>
        <w:rPr>
          <w:spacing w:val="-2"/>
        </w:rPr>
        <w:t>元，对应长期借款年末余</w:t>
      </w:r>
      <w:r>
        <w:rPr>
          <w:spacing w:val="-45"/>
        </w:rPr>
        <w:t> </w:t>
      </w:r>
      <w:r>
        <w:rPr>
          <w:spacing w:val="-45"/>
        </w:rPr>
      </w:r>
      <w:r>
        <w:rPr/>
        <w:t>额中</w:t>
      </w:r>
      <w:r>
        <w:rPr>
          <w:rFonts w:ascii="Times New Roman" w:hAnsi="Times New Roman" w:cs="Times New Roman" w:eastAsia="Times New Roman" w:hint="default"/>
        </w:rPr>
        <w:t>5,000,000.00</w:t>
      </w:r>
      <w:r>
        <w:rPr/>
        <w:t>元将于一年内到期，重分类至一年内到期的非流动负债。</w:t>
      </w: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82</w:t>
      </w:r>
      <w:r>
        <w:rPr/>
        <w:t>、外币货币性项目</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76,500,130.80</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8,377,505.76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58,443,155.68</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1,038.32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0.89578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930.11</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2"/>
              <w:jc w:val="center"/>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267,545,086.00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0.064086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17,145,894.38</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38"/>
              <w:jc w:val="right"/>
              <w:rPr>
                <w:rFonts w:ascii="宋体" w:hAnsi="宋体" w:cs="宋体" w:eastAsia="宋体" w:hint="default"/>
                <w:sz w:val="18"/>
                <w:szCs w:val="18"/>
              </w:rPr>
            </w:pPr>
            <w:r>
              <w:rPr>
                <w:rFonts w:ascii="宋体" w:hAnsi="宋体" w:cs="宋体" w:eastAsia="宋体" w:hint="default"/>
                <w:sz w:val="18"/>
                <w:szCs w:val="18"/>
              </w:rPr>
              <w:t>新加坡元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175,911.91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5.1739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910,150.63</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10,767,400.89</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172,480.59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1,203,259.09</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2"/>
              <w:jc w:val="center"/>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114,427,026.22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0.064086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7,333,170.40</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38"/>
              <w:jc w:val="right"/>
              <w:rPr>
                <w:rFonts w:ascii="宋体" w:hAnsi="宋体" w:cs="宋体" w:eastAsia="宋体" w:hint="default"/>
                <w:sz w:val="18"/>
                <w:szCs w:val="18"/>
              </w:rPr>
            </w:pPr>
            <w:r>
              <w:rPr>
                <w:rFonts w:ascii="宋体" w:hAnsi="宋体" w:cs="宋体" w:eastAsia="宋体" w:hint="default"/>
                <w:sz w:val="18"/>
                <w:szCs w:val="18"/>
              </w:rPr>
              <w:t>新加坡元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431,197.24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5.1739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2,230,971.40</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366,264.38</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55,809.60</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2"/>
              <w:jc w:val="center"/>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2,178,245.00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0.064086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139,595.01</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38"/>
              <w:jc w:val="right"/>
              <w:rPr>
                <w:rFonts w:ascii="宋体" w:hAnsi="宋体" w:cs="宋体" w:eastAsia="宋体" w:hint="default"/>
                <w:sz w:val="18"/>
                <w:szCs w:val="18"/>
              </w:rPr>
            </w:pPr>
            <w:r>
              <w:rPr>
                <w:rFonts w:ascii="宋体" w:hAnsi="宋体" w:cs="宋体" w:eastAsia="宋体" w:hint="default"/>
                <w:sz w:val="18"/>
                <w:szCs w:val="18"/>
              </w:rPr>
              <w:t>新加坡元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33,023.40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5.1739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170,859.77</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1,165,963.45</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2,232.38</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72"/>
              <w:jc w:val="center"/>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18,158,897.00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0.064086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1,163,731.07</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690,123.01</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21,180.59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147,760.03</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2"/>
              <w:jc w:val="center"/>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3,509,141.00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0.064086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224,886.81</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8"/>
              <w:jc w:val="right"/>
              <w:rPr>
                <w:rFonts w:ascii="宋体" w:hAnsi="宋体" w:cs="宋体" w:eastAsia="宋体" w:hint="default"/>
                <w:sz w:val="18"/>
                <w:szCs w:val="18"/>
              </w:rPr>
            </w:pPr>
            <w:r>
              <w:rPr>
                <w:rFonts w:ascii="宋体" w:hAnsi="宋体" w:cs="宋体" w:eastAsia="宋体" w:hint="default"/>
                <w:sz w:val="18"/>
                <w:szCs w:val="18"/>
              </w:rPr>
              <w:t>新加坡元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6,962.27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5.1739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36,022.09</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2"/>
              <w:jc w:val="center"/>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314,200.00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0.89578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281,454.08</w:t>
            </w:r>
          </w:p>
        </w:tc>
      </w:tr>
    </w:tbl>
    <w:p>
      <w:pPr>
        <w:pStyle w:val="BodyText"/>
        <w:spacing w:line="240" w:lineRule="auto" w:before="49"/>
        <w:ind w:right="0"/>
        <w:jc w:val="left"/>
      </w:pPr>
      <w:r>
        <w:rPr/>
        <w:t>其他说明：</w:t>
      </w:r>
    </w:p>
    <w:p>
      <w:pPr>
        <w:spacing w:line="240" w:lineRule="auto" w:before="7"/>
        <w:rPr>
          <w:rFonts w:ascii="宋体" w:hAnsi="宋体" w:cs="宋体" w:eastAsia="宋体" w:hint="default"/>
          <w:sz w:val="26"/>
          <w:szCs w:val="26"/>
        </w:rPr>
      </w:pPr>
    </w:p>
    <w:p>
      <w:pPr>
        <w:pStyle w:val="Heading3"/>
        <w:spacing w:line="314" w:lineRule="exact"/>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26"/>
        </w:rPr>
        <w:t> </w:t>
      </w:r>
      <w:r>
        <w:rPr>
          <w:spacing w:val="26"/>
        </w:rPr>
      </w:r>
      <w:r>
        <w:rPr/>
        <w:t>依据，记账本位币发生变化的还应披露原因。</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3970"/>
        <w:gridCol w:w="2552"/>
        <w:gridCol w:w="2835"/>
      </w:tblGrid>
      <w:tr>
        <w:trPr>
          <w:trHeight w:val="350" w:hRule="exact"/>
        </w:trPr>
        <w:tc>
          <w:tcPr>
            <w:tcW w:w="3970"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2552"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主要经营地</w:t>
            </w:r>
          </w:p>
        </w:tc>
        <w:tc>
          <w:tcPr>
            <w:tcW w:w="2835" w:type="dxa"/>
            <w:tcBorders>
              <w:top w:val="single" w:sz="6" w:space="0" w:color="000000"/>
              <w:left w:val="single" w:sz="6" w:space="0" w:color="000000"/>
              <w:bottom w:val="single" w:sz="8" w:space="0" w:color="000000"/>
              <w:right w:val="nil" w:sz="6" w:space="0" w:color="auto"/>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sz w:val="21"/>
                <w:szCs w:val="21"/>
              </w:rPr>
              <w:t>记账本位币</w:t>
            </w:r>
          </w:p>
        </w:tc>
      </w:tr>
      <w:tr>
        <w:trPr>
          <w:trHeight w:val="346" w:hRule="exact"/>
        </w:trPr>
        <w:tc>
          <w:tcPr>
            <w:tcW w:w="3970"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株式会社ホープラン東京</w:t>
            </w:r>
          </w:p>
        </w:tc>
        <w:tc>
          <w:tcPr>
            <w:tcW w:w="2552"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日本东京</w:t>
            </w:r>
          </w:p>
        </w:tc>
        <w:tc>
          <w:tcPr>
            <w:tcW w:w="2835" w:type="dxa"/>
            <w:tcBorders>
              <w:top w:val="single" w:sz="8" w:space="0" w:color="000000"/>
              <w:left w:val="single" w:sz="6" w:space="0" w:color="000000"/>
              <w:bottom w:val="single" w:sz="8" w:space="0" w:color="000000"/>
              <w:right w:val="nil" w:sz="6" w:space="0" w:color="auto"/>
            </w:tcBorders>
          </w:tcPr>
          <w:p>
            <w:pPr>
              <w:pStyle w:val="TableParagraph"/>
              <w:spacing w:line="267" w:lineRule="exact"/>
              <w:ind w:right="3"/>
              <w:jc w:val="center"/>
              <w:rPr>
                <w:rFonts w:ascii="宋体" w:hAnsi="宋体" w:cs="宋体" w:eastAsia="宋体" w:hint="default"/>
                <w:sz w:val="21"/>
                <w:szCs w:val="21"/>
              </w:rPr>
            </w:pPr>
            <w:r>
              <w:rPr>
                <w:rFonts w:ascii="宋体" w:hAnsi="宋体" w:cs="宋体" w:eastAsia="宋体" w:hint="default"/>
                <w:sz w:val="21"/>
                <w:szCs w:val="21"/>
              </w:rPr>
              <w:t>日元</w:t>
            </w:r>
          </w:p>
        </w:tc>
      </w:tr>
      <w:tr>
        <w:trPr>
          <w:trHeight w:val="660" w:hRule="exact"/>
        </w:trPr>
        <w:tc>
          <w:tcPr>
            <w:tcW w:w="3970" w:type="dxa"/>
            <w:tcBorders>
              <w:top w:val="single" w:sz="8" w:space="0" w:color="000000"/>
              <w:left w:val="single" w:sz="6" w:space="0" w:color="000000"/>
              <w:bottom w:val="single" w:sz="8" w:space="0" w:color="000000"/>
              <w:right w:val="single" w:sz="6" w:space="0" w:color="000000"/>
            </w:tcBorders>
          </w:tcPr>
          <w:p>
            <w:pPr>
              <w:pStyle w:val="TableParagraph"/>
              <w:spacing w:line="309" w:lineRule="auto" w:before="41"/>
              <w:ind w:left="4" w:right="1"/>
              <w:jc w:val="left"/>
              <w:rPr>
                <w:rFonts w:ascii="Times New Roman" w:hAnsi="Times New Roman" w:cs="Times New Roman" w:eastAsia="Times New Roman" w:hint="default"/>
                <w:sz w:val="21"/>
                <w:szCs w:val="21"/>
              </w:rPr>
            </w:pPr>
            <w:r>
              <w:rPr>
                <w:rFonts w:ascii="Times New Roman"/>
                <w:sz w:val="21"/>
              </w:rPr>
              <w:t>HOPERUN SOFTWARE SINGAPORE</w:t>
            </w:r>
            <w:r>
              <w:rPr>
                <w:rFonts w:ascii="Times New Roman"/>
                <w:spacing w:val="51"/>
                <w:sz w:val="21"/>
              </w:rPr>
              <w:t> </w:t>
            </w:r>
            <w:r>
              <w:rPr>
                <w:rFonts w:ascii="Times New Roman"/>
                <w:sz w:val="21"/>
              </w:rPr>
              <w:t>PTE.</w:t>
            </w:r>
            <w:r>
              <w:rPr>
                <w:rFonts w:ascii="Times New Roman"/>
                <w:w w:val="100"/>
                <w:sz w:val="21"/>
              </w:rPr>
              <w:t> </w:t>
            </w:r>
            <w:r>
              <w:rPr>
                <w:rFonts w:ascii="Times New Roman"/>
                <w:sz w:val="21"/>
              </w:rPr>
              <w:t>LTD.</w:t>
            </w:r>
          </w:p>
        </w:tc>
        <w:tc>
          <w:tcPr>
            <w:tcW w:w="2552"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新加坡</w:t>
            </w:r>
          </w:p>
        </w:tc>
        <w:tc>
          <w:tcPr>
            <w:tcW w:w="2835"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z w:val="21"/>
                <w:szCs w:val="21"/>
              </w:rPr>
              <w:t>新加坡元</w:t>
            </w:r>
          </w:p>
        </w:tc>
      </w:tr>
      <w:tr>
        <w:trPr>
          <w:trHeight w:val="348" w:hRule="exact"/>
        </w:trPr>
        <w:tc>
          <w:tcPr>
            <w:tcW w:w="39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1"/>
                <w:szCs w:val="21"/>
              </w:rPr>
            </w:pPr>
            <w:r>
              <w:rPr>
                <w:rFonts w:ascii="Times New Roman"/>
                <w:sz w:val="21"/>
              </w:rPr>
              <w:t>HopeRun Technology Co.,</w:t>
            </w:r>
            <w:r>
              <w:rPr>
                <w:rFonts w:ascii="Times New Roman"/>
                <w:spacing w:val="-9"/>
                <w:sz w:val="21"/>
              </w:rPr>
              <w:t> </w:t>
            </w:r>
            <w:r>
              <w:rPr>
                <w:rFonts w:ascii="Times New Roman"/>
                <w:sz w:val="21"/>
              </w:rPr>
              <w:t>Ltd.</w:t>
            </w:r>
          </w:p>
        </w:tc>
        <w:tc>
          <w:tcPr>
            <w:tcW w:w="2552"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美国特拉华州</w:t>
            </w:r>
          </w:p>
        </w:tc>
        <w:tc>
          <w:tcPr>
            <w:tcW w:w="2835" w:type="dxa"/>
            <w:tcBorders>
              <w:top w:val="single" w:sz="8" w:space="0" w:color="000000"/>
              <w:left w:val="single" w:sz="6" w:space="0" w:color="000000"/>
              <w:bottom w:val="single" w:sz="8" w:space="0" w:color="000000"/>
              <w:right w:val="nil" w:sz="6" w:space="0" w:color="auto"/>
            </w:tcBorders>
          </w:tcPr>
          <w:p>
            <w:pPr>
              <w:pStyle w:val="TableParagraph"/>
              <w:spacing w:line="267" w:lineRule="exact"/>
              <w:ind w:right="3"/>
              <w:jc w:val="center"/>
              <w:rPr>
                <w:rFonts w:ascii="宋体" w:hAnsi="宋体" w:cs="宋体" w:eastAsia="宋体" w:hint="default"/>
                <w:sz w:val="21"/>
                <w:szCs w:val="21"/>
              </w:rPr>
            </w:pPr>
            <w:r>
              <w:rPr>
                <w:rFonts w:ascii="宋体" w:hAnsi="宋体" w:cs="宋体" w:eastAsia="宋体" w:hint="default"/>
                <w:sz w:val="21"/>
                <w:szCs w:val="21"/>
              </w:rPr>
              <w:t>美元</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335" w:lineRule="exact"/>
        <w:ind w:right="0"/>
        <w:jc w:val="left"/>
        <w:rPr>
          <w:b w:val="0"/>
          <w:bCs w:val="0"/>
        </w:rPr>
      </w:pPr>
      <w:r>
        <w:rPr>
          <w:rFonts w:ascii="Times New Roman" w:hAnsi="Times New Roman" w:cs="Times New Roman" w:eastAsia="Times New Roman" w:hint="default"/>
        </w:rPr>
        <w:t>83</w:t>
      </w:r>
      <w:r>
        <w:rPr/>
        <w:t>、套期</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left"/>
      </w:pPr>
      <w:r>
        <w:rPr/>
        <w:t>按照套期类别披露套期项目及相关套期工具、被套期风险的定性和定量信息：</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84</w:t>
      </w:r>
      <w:r>
        <w:rPr/>
        <w:t>、政府补助</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9,612,790.05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9,612,790.05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增值税加计扣除</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5,372,873.47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5,372,873.47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研发费用专项补贴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2,142,000.00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1,333,502.37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1,333,502.37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国际服务外包业务贴息</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润和国际软件外包研发总部 基地项目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雨花润和软件外包园项目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增值税附加税退税</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6,290.89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6,290.89</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软件及服务外包产业发展扶 持资金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4,283,532.00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4,283,532.00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科技经费补助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2,812,000.00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服务贸易创新发展专项资金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现代服务业发展专项引导资 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877,141.99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877,141.99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496,318.66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496,318.66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30,206,449.43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30,206,449.43</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6"/>
        <w:rPr>
          <w:rFonts w:ascii="宋体" w:hAnsi="宋体" w:cs="宋体" w:eastAsia="宋体" w:hint="default"/>
          <w:sz w:val="16"/>
          <w:szCs w:val="16"/>
        </w:rPr>
      </w:pPr>
    </w:p>
    <w:p>
      <w:pPr>
        <w:spacing w:line="376" w:lineRule="auto" w:before="0"/>
        <w:ind w:left="153" w:right="8338"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85</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4"/>
          <w:szCs w:val="24"/>
        </w:rPr>
        <w:t>八、合并范围的变更</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、非同一控制下企业合并</w:t>
      </w:r>
      <w:r>
        <w:rPr>
          <w:rFonts w:ascii="Microsoft JhengHei" w:hAnsi="Microsoft JhengHei" w:cs="Microsoft JhengHei" w:eastAsia="Microsoft JhengHei" w:hint="default"/>
          <w:sz w:val="21"/>
          <w:szCs w:val="21"/>
        </w:rPr>
      </w:r>
    </w:p>
    <w:p>
      <w:pPr>
        <w:pStyle w:val="Heading3"/>
        <w:spacing w:line="240" w:lineRule="auto" w:before="89"/>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4"/>
        <w:gridCol w:w="1066"/>
        <w:gridCol w:w="1064"/>
        <w:gridCol w:w="1063"/>
        <w:gridCol w:w="1066"/>
        <w:gridCol w:w="1061"/>
        <w:gridCol w:w="1063"/>
        <w:gridCol w:w="1061"/>
      </w:tblGrid>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5"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2"/>
        <w:rPr>
          <w:rFonts w:ascii="宋体" w:hAnsi="宋体" w:cs="宋体" w:eastAsia="宋体" w:hint="default"/>
          <w:sz w:val="28"/>
          <w:szCs w:val="28"/>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763;top:14;width:24;height:392" coordorigin="4763,14" coordsize="24,392">
              <v:shape style="position:absolute;left:4763;top:14;width:24;height:392" coordorigin="4763,14" coordsize="24,392" path="m4763,406l4787,406,4787,14,4763,14,4763,406xe" filled="true" fillcolor="#d2d2d2"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2d2d2" stroked="false">
                <v:path arrowok="t"/>
                <v:fill type="solid"/>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796;top:14;width:22;height:392" coordorigin="4796,14" coordsize="22,392">
              <v:shape style="position:absolute;left:4796;top:14;width:22;height:392" coordorigin="4796,14" coordsize="22,392" path="m4796,406l4818,406,4818,14,4796,14,4796,406xe" filled="true" fillcolor="#d2d2d2" stroked="false">
                <v:path arrowok="t"/>
                <v:fill type="solid"/>
              </v:shape>
            </v:group>
            <v:group style="position:absolute;left:9547;top:14;width:24;height:392" coordorigin="9547,14" coordsize="24,392">
              <v:shape style="position:absolute;left:9547;top:14;width:24;height:392" coordorigin="9547,14" coordsize="24,392" path="m9547,406l9571,406,9571,14,9547,14,9547,406xe" filled="true" fillcolor="#d2d2d2" stroked="false">
                <v:path arrowok="t"/>
                <v:fill type="solid"/>
              </v:shape>
            </v:group>
            <v:group style="position:absolute;left:4818;top:14;width:4729;height:392" coordorigin="4818,14" coordsize="4729,392">
              <v:shape style="position:absolute;left:4818;top:14;width:4729;height:392" coordorigin="4818,14" coordsize="4729,392" path="m4818,406l9547,406,9547,14,4818,14,4818,406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pt" strokecolor="#000000">
                <v:path arrowok="t"/>
              </v:shape>
            </v:group>
            <v:group style="position:absolute;left:4789;top:5;width:2;height:414" coordorigin="4789,5" coordsize="2,414">
              <v:shape style="position:absolute;left:4789;top:5;width:2;height:414" coordorigin="4789,5" coordsize="0,414"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pt" strokecolor="#000000">
                <v:path arrowok="t"/>
              </v:shape>
            </v:group>
            <v:group style="position:absolute;left:9576;top:5;width:2;height:414" coordorigin="9576,5" coordsize="2,414">
              <v:shape style="position:absolute;left:9576;top:5;width:2;height:414" coordorigin="9576,5" coordsize="0,414" path="m9576,5l9576,418e" filled="false" stroked="true" strokeweight=".47998pt" strokecolor="#000000">
                <v:path arrowok="t"/>
              </v:shape>
              <v:shape style="position:absolute;left:6;top:10;width:4783;height:403"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5"/>
        <w:ind w:right="6073"/>
        <w:jc w:val="left"/>
      </w:pPr>
      <w:r>
        <w:rPr/>
        <w:t>合并成本公允价值的确定方法、或有对价及其变动的说明： 大额商誉形成的主要原因：</w:t>
      </w:r>
    </w:p>
    <w:p>
      <w:pPr>
        <w:pStyle w:val="BodyText"/>
        <w:spacing w:line="240" w:lineRule="auto" w:before="2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57" w:lineRule="auto" w:before="49"/>
        <w:ind w:right="7531"/>
        <w:jc w:val="both"/>
      </w:pPr>
      <w:r>
        <w:rPr/>
        <w:t>可辨认资产、负债公允价值的确定方法： 企业合并中承担的被购买方的或有负债： 其他说明：</w:t>
      </w:r>
    </w:p>
    <w:p>
      <w:pPr>
        <w:spacing w:line="240" w:lineRule="auto" w:before="5"/>
        <w:rPr>
          <w:rFonts w:ascii="宋体" w:hAnsi="宋体" w:cs="宋体" w:eastAsia="宋体" w:hint="default"/>
          <w:sz w:val="15"/>
          <w:szCs w:val="15"/>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5"/>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3"/>
        <w:gridCol w:w="1064"/>
        <w:gridCol w:w="1066"/>
        <w:gridCol w:w="1063"/>
        <w:gridCol w:w="1064"/>
        <w:gridCol w:w="1066"/>
        <w:gridCol w:w="1064"/>
      </w:tblGrid>
      <w:tr>
        <w:trPr>
          <w:trHeight w:val="1340"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5"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4"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7"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4763;top:14;width:24;height:392" coordorigin="4763,14" coordsize="24,392">
              <v:shape style="position:absolute;left:4763;top:14;width:24;height:392" coordorigin="4763,14" coordsize="24,392" path="m4763,406l4787,406,4787,14,4763,14,4763,406xe" filled="true" fillcolor="#d2d2d2"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2d2d2" stroked="false">
                <v:path arrowok="t"/>
                <v:fill type="solid"/>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796;top:14;width:22;height:392" coordorigin="4796,14" coordsize="22,392">
              <v:shape style="position:absolute;left:4796;top:14;width:22;height:392" coordorigin="4796,14" coordsize="22,392" path="m4796,406l4818,406,4818,14,4796,14,4796,406xe" filled="true" fillcolor="#d2d2d2" stroked="false">
                <v:path arrowok="t"/>
                <v:fill type="solid"/>
              </v:shape>
            </v:group>
            <v:group style="position:absolute;left:9547;top:14;width:24;height:392" coordorigin="9547,14" coordsize="24,392">
              <v:shape style="position:absolute;left:9547;top:14;width:24;height:392" coordorigin="9547,14" coordsize="24,392" path="m9547,406l9571,406,9571,14,9547,14,9547,406xe" filled="true" fillcolor="#d2d2d2" stroked="false">
                <v:path arrowok="t"/>
                <v:fill type="solid"/>
              </v:shape>
            </v:group>
            <v:group style="position:absolute;left:4818;top:14;width:4729;height:392" coordorigin="4818,14" coordsize="4729,392">
              <v:shape style="position:absolute;left:4818;top:14;width:4729;height:392" coordorigin="4818,14" coordsize="4729,392" path="m4818,406l9547,406,9547,14,4818,14,4818,406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4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4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5;height:2" coordorigin="10,410" coordsize="4775,2">
              <v:shape style="position:absolute;left:10;top:410;width:4775;height:2" coordorigin="10,410" coordsize="4775,0" path="m10,410l4784,410e" filled="false" stroked="true" strokeweight=".47998pt" strokecolor="#000000">
                <v:path arrowok="t"/>
              </v:shape>
            </v:group>
            <v:group style="position:absolute;left:4789;top:5;width:2;height:411" coordorigin="4789,5" coordsize="2,411">
              <v:shape style="position:absolute;left:4789;top:5;width:2;height:411" coordorigin="4789,5" coordsize="0,411" path="m4789,5l4789,415e" filled="false" stroked="true" strokeweight=".48001pt" strokecolor="#000000">
                <v:path arrowok="t"/>
              </v:shape>
            </v:group>
            <v:group style="position:absolute;left:4794;top:410;width:4777;height:2" coordorigin="4794,410" coordsize="4777,2">
              <v:shape style="position:absolute;left:4794;top:410;width:4777;height:2" coordorigin="4794,410" coordsize="4777,0" path="m4794,410l9571,410e" filled="false" stroked="true" strokeweight=".47998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shape style="position:absolute;left:6;top:10;width:4783;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4"/>
        <w:ind w:right="8593"/>
        <w:jc w:val="left"/>
      </w:pPr>
      <w:r>
        <w:rPr/>
        <w:t>或有对价及其变动的说明： 其他说明：</w:t>
      </w:r>
    </w:p>
    <w:p>
      <w:pPr>
        <w:spacing w:after="0" w:line="36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3168;top:14;width:24;height:394" coordorigin="3168,14" coordsize="24,394">
              <v:shape style="position:absolute;left:3168;top:14;width:24;height:394" coordorigin="3168,14" coordsize="24,394" path="m3168,408l3192,408,3192,14,3168,14,3168,408xe" filled="true" fillcolor="#d2d2d2" stroked="false">
                <v:path arrowok="t"/>
                <v:fill type="solid"/>
              </v:shape>
            </v:group>
            <v:group style="position:absolute;left:12;top:14;width:22;height:394" coordorigin="12,14" coordsize="22,394">
              <v:shape style="position:absolute;left:12;top:14;width:22;height:394" coordorigin="12,14" coordsize="22,394" path="m12,408l34,408,34,14,12,14,12,408xe" filled="true" fillcolor="#d2d2d2" stroked="false">
                <v:path arrowok="t"/>
                <v:fill type="solid"/>
              </v:shape>
            </v:group>
            <v:group style="position:absolute;left:34;top:14;width:3135;height:394" coordorigin="34,14" coordsize="3135,394">
              <v:shape style="position:absolute;left:34;top:14;width:3135;height:394" coordorigin="34,14" coordsize="3135,394" path="m34,408l3168,408,3168,14,34,14,34,408xe" filled="true" fillcolor="#d2d2d2" stroked="false">
                <v:path arrowok="t"/>
                <v:fill type="solid"/>
              </v:shape>
            </v:group>
            <v:group style="position:absolute;left:3202;top:14;width:22;height:394" coordorigin="3202,14" coordsize="22,394">
              <v:shape style="position:absolute;left:3202;top:14;width:22;height:394" coordorigin="3202,14" coordsize="22,394" path="m3202,408l3224,408,3224,14,3202,14,3202,408xe" filled="true" fillcolor="#d2d2d2" stroked="false">
                <v:path arrowok="t"/>
                <v:fill type="solid"/>
              </v:shape>
            </v:group>
            <v:group style="position:absolute;left:9549;top:14;width:24;height:394" coordorigin="9549,14" coordsize="24,394">
              <v:shape style="position:absolute;left:9549;top:14;width:24;height:394" coordorigin="9549,14" coordsize="24,394" path="m9549,408l9573,408,9573,14,9549,14,9549,408xe" filled="true" fillcolor="#d2d2d2" stroked="false">
                <v:path arrowok="t"/>
                <v:fill type="solid"/>
              </v:shape>
            </v:group>
            <v:group style="position:absolute;left:3224;top:14;width:6326;height:394" coordorigin="3224,14" coordsize="6326,394">
              <v:shape style="position:absolute;left:3224;top:14;width:6326;height:394" coordorigin="3224,14" coordsize="6326,394" path="m3224,408l9549,408,9549,14,3224,14,3224,408xe" filled="true" fillcolor="#d2d2d2"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4;height:2" coordorigin="3200,10" coordsize="6374,2">
              <v:shape style="position:absolute;left:3200;top:10;width:6374;height:2" coordorigin="3200,10" coordsize="6374,0" path="m3200,10l9573,10e" filled="false" stroked="true" strokeweight=".48pt" strokecolor="#000000">
                <v:path arrowok="t"/>
              </v:shape>
            </v:group>
            <v:group style="position:absolute;left:3168;top:418;width:24;height:392" coordorigin="3168,418" coordsize="24,392">
              <v:shape style="position:absolute;left:3168;top:418;width:24;height:392" coordorigin="3168,418" coordsize="24,392" path="m3168,809l3192,809,3192,418,3168,418,3168,809xe" filled="true" fillcolor="#d2d2d2" stroked="false">
                <v:path arrowok="t"/>
                <v:fill type="solid"/>
              </v:shape>
            </v:group>
            <v:group style="position:absolute;left:12;top:418;width:22;height:392" coordorigin="12,418" coordsize="22,392">
              <v:shape style="position:absolute;left:12;top:418;width:22;height:392" coordorigin="12,418" coordsize="22,392" path="m12,809l34,809,34,418,12,418,12,809xe" filled="true" fillcolor="#d2d2d2" stroked="false">
                <v:path arrowok="t"/>
                <v:fill type="solid"/>
              </v:shape>
            </v:group>
            <v:group style="position:absolute;left:34;top:418;width:3135;height:392" coordorigin="34,418" coordsize="3135,392">
              <v:shape style="position:absolute;left:34;top:418;width:3135;height:392" coordorigin="34,418" coordsize="3135,392" path="m34,809l3168,809,3168,418,34,418,34,809xe" filled="true" fillcolor="#d2d2d2" stroked="false">
                <v:path arrowok="t"/>
                <v:fill type="solid"/>
              </v:shape>
            </v:group>
            <v:group style="position:absolute;left:6359;top:418;width:25;height:392" coordorigin="6359,418" coordsize="25,392">
              <v:shape style="position:absolute;left:6359;top:418;width:25;height:392" coordorigin="6359,418" coordsize="25,392" path="m6359,809l6383,809,6383,418,6359,418,6359,809xe" filled="true" fillcolor="#d2d2d2" stroked="false">
                <v:path arrowok="t"/>
                <v:fill type="solid"/>
              </v:shape>
            </v:group>
            <v:group style="position:absolute;left:3202;top:418;width:22;height:392" coordorigin="3202,418" coordsize="22,392">
              <v:shape style="position:absolute;left:3202;top:418;width:22;height:392" coordorigin="3202,418" coordsize="22,392" path="m3202,809l3224,809,3224,418,3202,418,3202,809xe" filled="true" fillcolor="#d2d2d2" stroked="false">
                <v:path arrowok="t"/>
                <v:fill type="solid"/>
              </v:shape>
            </v:group>
            <v:group style="position:absolute;left:3224;top:418;width:3135;height:392" coordorigin="3224,418" coordsize="3135,392">
              <v:shape style="position:absolute;left:3224;top:418;width:3135;height:392" coordorigin="3224,418" coordsize="3135,392" path="m3224,809l6359,809,6359,418,3224,418,3224,809xe" filled="true" fillcolor="#d2d2d2" stroked="false">
                <v:path arrowok="t"/>
                <v:fill type="solid"/>
              </v:shape>
            </v:group>
            <v:group style="position:absolute;left:9549;top:418;width:24;height:392" coordorigin="9549,418" coordsize="24,392">
              <v:shape style="position:absolute;left:9549;top:418;width:24;height:392" coordorigin="9549,418" coordsize="24,392" path="m9549,809l9573,809,9573,418,9549,418,9549,809xe" filled="true" fillcolor="#d2d2d2" stroked="false">
                <v:path arrowok="t"/>
                <v:fill type="solid"/>
              </v:shape>
            </v:group>
            <v:group style="position:absolute;left:6393;top:418;width:22;height:392" coordorigin="6393,418" coordsize="22,392">
              <v:shape style="position:absolute;left:6393;top:418;width:22;height:392" coordorigin="6393,418" coordsize="22,392" path="m6393,809l6414,809,6414,418,6393,418,6393,809xe" filled="true" fillcolor="#d2d2d2" stroked="false">
                <v:path arrowok="t"/>
                <v:fill type="solid"/>
              </v:shape>
            </v:group>
            <v:group style="position:absolute;left:6414;top:418;width:3135;height:392" coordorigin="6414,418" coordsize="3135,392">
              <v:shape style="position:absolute;left:6414;top:418;width:3135;height:392" coordorigin="6414,418" coordsize="3135,392" path="m6414,809l9549,809,9549,418,6414,418,6414,809xe" filled="true" fillcolor="#d2d2d2" stroked="false">
                <v:path arrowok="t"/>
                <v:fill type="solid"/>
              </v:shape>
            </v:group>
            <v:group style="position:absolute;left:10;top:413;width:3181;height:2" coordorigin="10,413" coordsize="3181,2">
              <v:shape style="position:absolute;left:10;top:413;width:3181;height:2" coordorigin="10,413" coordsize="3181,0" path="m10,413l3190,413e" filled="false" stroked="true" strokeweight=".48001pt" strokecolor="#000000">
                <v:path arrowok="t"/>
              </v:shape>
            </v:group>
            <v:group style="position:absolute;left:3200;top:413;width:3181;height:2" coordorigin="3200,413" coordsize="3181,2">
              <v:shape style="position:absolute;left:3200;top:413;width:3181;height:2" coordorigin="3200,413" coordsize="3181,0" path="m3200,413l6380,413e" filled="false" stroked="true" strokeweight=".48001pt" strokecolor="#000000">
                <v:path arrowok="t"/>
              </v:shape>
            </v:group>
            <v:group style="position:absolute;left:6390;top:413;width:3183;height:2" coordorigin="6390,413" coordsize="3183,2">
              <v:shape style="position:absolute;left:6390;top:413;width:3183;height:2" coordorigin="6390,413" coordsize="3183,0" path="m6390,413l9573,413e" filled="false" stroked="true" strokeweight=".48001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0,814e" filled="false" stroked="true" strokeweight=".48pt" strokecolor="#000000">
                <v:path arrowok="t"/>
              </v:shape>
            </v:group>
            <v:group style="position:absolute;left:6385;top:408;width:2;height:411" coordorigin="6385,408" coordsize="2,411">
              <v:shape style="position:absolute;left:6385;top:408;width:2;height:411" coordorigin="6385,408" coordsize="0,411" path="m6385,408l6385,818e" filled="false" stroked="true" strokeweight=".504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8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95;top:413;width:3191;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3;width:3193;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4"/>
        <w:ind w:right="7513"/>
        <w:jc w:val="left"/>
      </w:pPr>
      <w:r>
        <w:rPr/>
        <w:t>企业合并中承担的被合并方的或有负债： 其他说明：</w:t>
      </w:r>
    </w:p>
    <w:p>
      <w:pPr>
        <w:spacing w:line="240" w:lineRule="auto" w:before="0"/>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9" w:lineRule="auto"/>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7"/>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0"/>
        </w:sectPr>
      </w:pPr>
    </w:p>
    <w:p>
      <w:pPr>
        <w:pStyle w:val="BodyText"/>
        <w:spacing w:line="240" w:lineRule="auto" w:before="44"/>
        <w:ind w:right="-20"/>
        <w:jc w:val="left"/>
      </w:pPr>
      <w:r>
        <w:rPr/>
        <w:t>是否存在单次处置对子公司投资即丧失控制权的情形</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4" w:space="4535"/>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4"/>
        <w:gridCol w:w="737"/>
        <w:gridCol w:w="735"/>
        <w:gridCol w:w="734"/>
        <w:gridCol w:w="734"/>
        <w:gridCol w:w="737"/>
        <w:gridCol w:w="737"/>
        <w:gridCol w:w="737"/>
        <w:gridCol w:w="735"/>
        <w:gridCol w:w="737"/>
      </w:tblGrid>
      <w:tr>
        <w:trPr>
          <w:trHeight w:val="3833"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93" w:right="92"/>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93" w:right="89"/>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93" w:right="92"/>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383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4" w:right="161"/>
              <w:jc w:val="both"/>
              <w:rPr>
                <w:rFonts w:ascii="宋体" w:hAnsi="宋体" w:cs="宋体" w:eastAsia="宋体" w:hint="default"/>
                <w:sz w:val="18"/>
                <w:szCs w:val="18"/>
              </w:rPr>
            </w:pPr>
            <w:r>
              <w:rPr>
                <w:rFonts w:ascii="宋体" w:hAnsi="宋体" w:cs="宋体" w:eastAsia="宋体" w:hint="default"/>
                <w:sz w:val="18"/>
                <w:szCs w:val="18"/>
              </w:rPr>
              <w:t>南京润 辰科技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10,725,0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48" w:right="0"/>
              <w:jc w:val="left"/>
              <w:rPr>
                <w:rFonts w:ascii="Times New Roman" w:hAnsi="Times New Roman" w:cs="Times New Roman" w:eastAsia="Times New Roman" w:hint="default"/>
                <w:sz w:val="18"/>
                <w:szCs w:val="18"/>
              </w:rPr>
            </w:pPr>
            <w:r>
              <w:rPr>
                <w:rFonts w:ascii="Times New Roman"/>
                <w:sz w:val="18"/>
              </w:rPr>
              <w:t>35.75%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截止</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4</w:t>
            </w:r>
          </w:p>
          <w:p>
            <w:pPr>
              <w:pStyle w:val="TableParagraph"/>
              <w:spacing w:line="312" w:lineRule="exact" w:before="23"/>
              <w:ind w:left="24"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已收到 转让总 价款的 </w:t>
            </w:r>
            <w:r>
              <w:rPr>
                <w:rFonts w:ascii="Times New Roman" w:hAnsi="Times New Roman" w:cs="Times New Roman" w:eastAsia="Times New Roman" w:hint="default"/>
                <w:sz w:val="18"/>
                <w:szCs w:val="18"/>
              </w:rPr>
              <w:t>50%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4,922,52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7.45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48" w:right="0"/>
              <w:jc w:val="left"/>
              <w:rPr>
                <w:rFonts w:ascii="Times New Roman" w:hAnsi="Times New Roman" w:cs="Times New Roman" w:eastAsia="Times New Roman" w:hint="default"/>
                <w:sz w:val="18"/>
                <w:szCs w:val="18"/>
              </w:rPr>
            </w:pPr>
            <w:r>
              <w:rPr>
                <w:rFonts w:ascii="Times New Roman"/>
                <w:sz w:val="18"/>
              </w:rPr>
              <w:t>19.25%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3,124,40</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8.29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5,775,00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2,650,59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1.71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按照处 置股权 比例对 应的处 置价款 与尚未 缴纳的 出资额 之和乘 以剩余 持股比 例</w:t>
            </w: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其他说明：</w:t>
      </w:r>
    </w:p>
    <w:p>
      <w:pPr>
        <w:pStyle w:val="BodyText"/>
        <w:spacing w:line="300" w:lineRule="auto" w:before="117"/>
        <w:ind w:right="1132" w:firstLine="504"/>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日，本公司与润辰科技股东润创信息签署了《股权转让协议》，公司将持有的润辰科技的</w:t>
      </w:r>
      <w:r>
        <w:rPr>
          <w:rFonts w:ascii="Times New Roman" w:hAnsi="Times New Roman" w:cs="Times New Roman" w:eastAsia="Times New Roman" w:hint="default"/>
        </w:rPr>
        <w:t>35.75%</w:t>
      </w:r>
      <w:r>
        <w:rPr/>
        <w:t>股权转 让给南京润创信息科技合伙企业（有限合伙），同日公司召开第五届董事会第四十六次会议审议通过相关议案，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 </w:t>
      </w:r>
      <w:r>
        <w:rPr>
          <w:rFonts w:ascii="Times New Roman" w:hAnsi="Times New Roman" w:cs="Times New Roman" w:eastAsia="Times New Roman" w:hint="default"/>
          <w:spacing w:val="-1"/>
        </w:rPr>
        <w:t>25</w:t>
      </w:r>
      <w:r>
        <w:rPr>
          <w:spacing w:val="-1"/>
        </w:rPr>
        <w:t>日已收到转让总价款的</w:t>
      </w:r>
      <w:r>
        <w:rPr>
          <w:rFonts w:ascii="Times New Roman" w:hAnsi="Times New Roman" w:cs="Times New Roman" w:eastAsia="Times New Roman" w:hint="default"/>
          <w:spacing w:val="-1"/>
        </w:rPr>
        <w:t>50%</w:t>
      </w:r>
      <w:r>
        <w:rPr>
          <w:spacing w:val="-1"/>
        </w:rPr>
        <w:t>并完成股权交割，北京润链科技有限公司为润辰科技本期投资的控股子公司，润辰科技及北京</w:t>
      </w:r>
      <w:r>
        <w:rPr/>
        <w:t> 润链自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月不再纳入合并范围。</w:t>
      </w:r>
    </w:p>
    <w:p>
      <w:pPr>
        <w:pStyle w:val="BodyText"/>
        <w:spacing w:line="240" w:lineRule="auto" w:before="53"/>
        <w:ind w:right="0"/>
        <w:jc w:val="left"/>
      </w:pPr>
      <w:r>
        <w:rPr/>
        <w:t>是否存在通过多次交易分步处置对子公司投资且在本期丧失控制权的情形</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说明其他原因导致的合并范围变动（如，新设子公司、清算子公司等）及其相关情况：</w:t>
      </w:r>
    </w:p>
    <w:p>
      <w:pPr>
        <w:pStyle w:val="BodyText"/>
        <w:spacing w:line="300" w:lineRule="auto" w:before="115"/>
        <w:ind w:right="1132" w:firstLine="504"/>
        <w:jc w:val="both"/>
      </w:pPr>
      <w:r>
        <w:rPr/>
        <w:t>（</w:t>
      </w:r>
      <w:r>
        <w:rPr>
          <w:rFonts w:ascii="Times New Roman" w:hAnsi="Times New Roman" w:cs="Times New Roman" w:eastAsia="Times New Roman" w:hint="default"/>
        </w:rPr>
        <w:t>1</w:t>
      </w:r>
      <w:r>
        <w:rPr/>
        <w:t>）润和云是</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日本公司新设成立的全资子公司，润和云自</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年以来已不开展实际经营业务，</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3</w:t>
      </w:r>
      <w:r>
        <w:rPr/>
        <w:t>日润和云工商注销手续已办理完毕，报告期内本公司对润和云的合并期间为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1-5</w:t>
      </w:r>
      <w:r>
        <w:rPr/>
        <w:t>月。</w:t>
      </w:r>
    </w:p>
    <w:p>
      <w:pPr>
        <w:pStyle w:val="BodyText"/>
        <w:spacing w:line="300" w:lineRule="auto" w:before="13"/>
        <w:ind w:right="1129" w:firstLine="504"/>
        <w:jc w:val="both"/>
      </w:pPr>
      <w:r>
        <w:rPr>
          <w:spacing w:val="-1"/>
        </w:rPr>
        <w:t>（</w:t>
      </w:r>
      <w:r>
        <w:rPr>
          <w:rFonts w:ascii="Times New Roman" w:hAnsi="Times New Roman" w:cs="Times New Roman" w:eastAsia="Times New Roman" w:hint="default"/>
          <w:spacing w:val="-1"/>
        </w:rPr>
        <w:t>2</w:t>
      </w:r>
      <w:r>
        <w:rPr>
          <w:spacing w:val="-1"/>
        </w:rPr>
        <w:t>）新维数联是</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日本公司非同一控制企业合并增加的子公司，</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26</w:t>
      </w:r>
      <w:r>
        <w:rPr>
          <w:spacing w:val="-1"/>
        </w:rPr>
        <w:t>日，本公司与新维数联股东</w:t>
      </w:r>
      <w:r>
        <w:rPr/>
        <w:t> </w:t>
      </w:r>
      <w:r>
        <w:rPr>
          <w:spacing w:val="-1"/>
        </w:rPr>
        <w:t>之一王杰签署了解除表决权委托的协议，自协议签署之日起，不再将王杰持有的新维数联</w:t>
      </w:r>
      <w:r>
        <w:rPr>
          <w:rFonts w:ascii="Times New Roman" w:hAnsi="Times New Roman" w:cs="Times New Roman" w:eastAsia="Times New Roman" w:hint="default"/>
          <w:spacing w:val="-1"/>
        </w:rPr>
        <w:t>36.963%</w:t>
      </w:r>
      <w:r>
        <w:rPr>
          <w:spacing w:val="-1"/>
        </w:rPr>
        <w:t>股权对应股东会表决权委</w:t>
      </w:r>
      <w:r>
        <w:rPr>
          <w:spacing w:val="-43"/>
        </w:rPr>
        <w:t> </w:t>
      </w:r>
      <w:r>
        <w:rPr>
          <w:spacing w:val="-43"/>
        </w:rPr>
      </w:r>
      <w:r>
        <w:rPr>
          <w:spacing w:val="-1"/>
        </w:rPr>
        <w:t>托给本公司行使，王杰同意解除股东会表决权委托。公司持有新维数联</w:t>
      </w:r>
      <w:r>
        <w:rPr>
          <w:rFonts w:ascii="Times New Roman" w:hAnsi="Times New Roman" w:cs="Times New Roman" w:eastAsia="Times New Roman" w:hint="default"/>
          <w:spacing w:val="-1"/>
        </w:rPr>
        <w:t>30%</w:t>
      </w:r>
      <w:r>
        <w:rPr>
          <w:spacing w:val="-1"/>
        </w:rPr>
        <w:t>股权，上述协议签署后，新维数联自本期期初不</w:t>
      </w:r>
      <w:r>
        <w:rPr/>
        <w:t> 纳入公司合并财务报表范围。</w:t>
      </w:r>
    </w:p>
    <w:p>
      <w:pPr>
        <w:spacing w:line="240" w:lineRule="auto" w:before="8"/>
        <w:rPr>
          <w:rFonts w:ascii="宋体" w:hAnsi="宋体" w:cs="宋体" w:eastAsia="宋体" w:hint="default"/>
          <w:sz w:val="18"/>
          <w:szCs w:val="18"/>
        </w:rPr>
      </w:pPr>
    </w:p>
    <w:p>
      <w:pPr>
        <w:spacing w:line="376" w:lineRule="auto" w:before="0"/>
        <w:ind w:left="153" w:right="811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九、在其他主体中的权益</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、在子公司中的权益</w:t>
      </w:r>
      <w:r>
        <w:rPr>
          <w:rFonts w:ascii="Microsoft JhengHei" w:hAnsi="Microsoft JhengHei" w:cs="Microsoft JhengHei" w:eastAsia="Microsoft JhengHei" w:hint="default"/>
          <w:sz w:val="21"/>
          <w:szCs w:val="21"/>
        </w:rPr>
      </w:r>
    </w:p>
    <w:p>
      <w:pPr>
        <w:pStyle w:val="Heading3"/>
        <w:spacing w:line="240" w:lineRule="auto" w:before="89"/>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4"/>
              <w:jc w:val="both"/>
              <w:rPr>
                <w:rFonts w:ascii="宋体" w:hAnsi="宋体" w:cs="宋体" w:eastAsia="宋体" w:hint="default"/>
                <w:sz w:val="18"/>
                <w:szCs w:val="18"/>
              </w:rPr>
            </w:pPr>
            <w:r>
              <w:rPr>
                <w:rFonts w:ascii="宋体" w:hAnsi="宋体" w:cs="宋体" w:eastAsia="宋体" w:hint="default"/>
                <w:sz w:val="18"/>
                <w:szCs w:val="18"/>
              </w:rPr>
              <w:t>江苏润和南京软 件外包园投资有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江苏软信和熙信 息科技有限公司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西安润和软件信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中国西安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北京润和汇智信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深圳润和汇智信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上海润和信息技 术服务有限公司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株式会社ホープ ラン東京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日本东京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日本东京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324"/>
              <w:jc w:val="left"/>
              <w:rPr>
                <w:rFonts w:ascii="Times New Roman" w:hAnsi="Times New Roman" w:cs="Times New Roman" w:eastAsia="Times New Roman" w:hint="default"/>
                <w:sz w:val="18"/>
                <w:szCs w:val="18"/>
              </w:rPr>
            </w:pPr>
            <w:r>
              <w:rPr>
                <w:rFonts w:ascii="Times New Roman"/>
                <w:sz w:val="18"/>
              </w:rPr>
              <w:t>HOPERUN</w:t>
            </w:r>
            <w:r>
              <w:rPr>
                <w:rFonts w:ascii="Times New Roman"/>
                <w:w w:val="99"/>
                <w:sz w:val="18"/>
              </w:rPr>
              <w:t> </w:t>
            </w:r>
            <w:r>
              <w:rPr>
                <w:rFonts w:ascii="Times New Roman"/>
                <w:spacing w:val="-3"/>
                <w:sz w:val="18"/>
              </w:rPr>
              <w:t>SOFTWARE</w:t>
            </w:r>
            <w:r>
              <w:rPr>
                <w:rFonts w:ascii="Times New Roman"/>
                <w:sz w:val="18"/>
              </w:rPr>
              <w:t> SINGAPORE</w:t>
            </w:r>
            <w:r>
              <w:rPr>
                <w:rFonts w:ascii="Times New Roman"/>
                <w:w w:val="99"/>
                <w:sz w:val="18"/>
              </w:rPr>
              <w:t> </w:t>
            </w:r>
            <w:r>
              <w:rPr>
                <w:rFonts w:ascii="Times New Roman"/>
                <w:sz w:val="18"/>
              </w:rPr>
              <w:t>PTE.</w:t>
            </w:r>
            <w:r>
              <w:rPr>
                <w:rFonts w:ascii="Times New Roman"/>
                <w:spacing w:val="3"/>
                <w:sz w:val="18"/>
              </w:rPr>
              <w:t> </w:t>
            </w:r>
            <w:r>
              <w:rPr>
                <w:rFonts w:ascii="Times New Roman"/>
                <w:spacing w:val="-6"/>
                <w:sz w:val="18"/>
              </w:rPr>
              <w:t>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6"/>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43"/>
              <w:jc w:val="left"/>
              <w:rPr>
                <w:rFonts w:ascii="Times New Roman" w:hAnsi="Times New Roman" w:cs="Times New Roman" w:eastAsia="Times New Roman" w:hint="default"/>
                <w:sz w:val="18"/>
                <w:szCs w:val="18"/>
              </w:rPr>
            </w:pPr>
            <w:r>
              <w:rPr>
                <w:rFonts w:ascii="Times New Roman"/>
                <w:sz w:val="18"/>
              </w:rPr>
              <w:t>HopeRun Technology</w:t>
            </w:r>
            <w:r>
              <w:rPr>
                <w:rFonts w:ascii="Times New Roman"/>
                <w:spacing w:val="-14"/>
                <w:sz w:val="18"/>
              </w:rPr>
              <w:t> </w:t>
            </w:r>
            <w:r>
              <w:rPr>
                <w:rFonts w:ascii="Times New Roman"/>
                <w:sz w:val="18"/>
              </w:rPr>
              <w:t>Co.,</w:t>
            </w:r>
            <w:r>
              <w:rPr>
                <w:rFonts w:ascii="Times New Roman"/>
                <w:sz w:val="18"/>
              </w:rPr>
              <w:t> 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美国特拉华州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美国特拉华州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北京捷科智诚科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上海捷科智诚科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福州捷科智诚信 息科技有限公司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北京联创智融信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重庆度融信息技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中国重庆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中国重庆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成都联创智融信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合肥汇聚智融信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中国合肥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中国合肥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南京汇聚智融信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深圳联创智融信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香港润和信息技 术投资有限公司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上海菲耐得信息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广州润和颐能软 件技术有限公司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江苏润和智融科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武汉宁润软件信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中国武汉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中国武汉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67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江苏润和捷诚科 技产业投资有限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3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南京润和润云科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pStyle w:val="BodyText"/>
        <w:spacing w:line="360" w:lineRule="auto" w:before="49"/>
        <w:ind w:left="657" w:right="1129" w:hanging="504"/>
        <w:jc w:val="left"/>
      </w:pPr>
      <w:r>
        <w:rPr/>
        <w:t>在子公司的持股比例不同于表决权比例的说明： 本公司直接拥有东京润和</w:t>
      </w:r>
      <w:r>
        <w:rPr>
          <w:rFonts w:ascii="Times New Roman" w:hAnsi="Times New Roman" w:cs="Times New Roman" w:eastAsia="Times New Roman" w:hint="default"/>
        </w:rPr>
        <w:t>91.67%</w:t>
      </w:r>
      <w:r>
        <w:rPr/>
        <w:t>的股权，东京润和持有</w:t>
      </w:r>
      <w:r>
        <w:rPr>
          <w:rFonts w:ascii="Times New Roman" w:hAnsi="Times New Roman" w:cs="Times New Roman" w:eastAsia="Times New Roman" w:hint="default"/>
        </w:rPr>
        <w:t>8.33%</w:t>
      </w:r>
      <w:r>
        <w:rPr/>
        <w:t>的库存股股权，该库存股股权不仅没有表决权，也没有</w:t>
      </w:r>
    </w:p>
    <w:p>
      <w:pPr>
        <w:pStyle w:val="BodyText"/>
        <w:spacing w:line="212" w:lineRule="exact"/>
        <w:ind w:right="0"/>
        <w:jc w:val="left"/>
      </w:pPr>
      <w:r>
        <w:rPr/>
        <w:t>分红请求权和剩余财产分配请求权等其他权利，因此本公司实际拥有东京润和</w:t>
      </w:r>
      <w:r>
        <w:rPr>
          <w:rFonts w:ascii="Times New Roman" w:hAnsi="Times New Roman" w:cs="Times New Roman" w:eastAsia="Times New Roman" w:hint="default"/>
        </w:rPr>
        <w:t>100%</w:t>
      </w:r>
      <w:r>
        <w:rPr/>
        <w:t>权益。</w:t>
      </w:r>
    </w:p>
    <w:p>
      <w:pPr>
        <w:pStyle w:val="BodyText"/>
        <w:spacing w:line="357" w:lineRule="auto" w:before="103"/>
        <w:ind w:right="2833"/>
        <w:jc w:val="left"/>
      </w:pPr>
      <w:r>
        <w:rPr/>
        <w:t>持有半数或以下表决权但仍控制被投资单位、以及持有半数以上表决权但不控制被投资单位的依据： 对于纳入合并范围的重要的结构化主体，控制的依据：</w:t>
      </w:r>
    </w:p>
    <w:p>
      <w:pPr>
        <w:pStyle w:val="BodyText"/>
        <w:spacing w:line="357" w:lineRule="auto" w:before="29"/>
        <w:ind w:right="7693"/>
        <w:jc w:val="left"/>
      </w:pPr>
      <w:r>
        <w:rPr/>
        <w:t>确定公司是代理人还是委托人的依据： 其他说明：</w:t>
      </w:r>
    </w:p>
    <w:p>
      <w:pPr>
        <w:spacing w:line="240" w:lineRule="auto" w:before="5"/>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6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73" w:right="48" w:hanging="721"/>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2"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60" w:lineRule="auto" w:before="49"/>
        <w:ind w:right="6433"/>
        <w:jc w:val="left"/>
      </w:pPr>
      <w:r>
        <w:rPr/>
        <w:t>子公司少数股东的持股比例不同于表决权比例的说明： 其他说明：</w:t>
      </w:r>
    </w:p>
    <w:p>
      <w:pPr>
        <w:spacing w:line="240" w:lineRule="auto" w:before="0"/>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4"/>
        <w:gridCol w:w="735"/>
        <w:gridCol w:w="737"/>
        <w:gridCol w:w="737"/>
        <w:gridCol w:w="735"/>
        <w:gridCol w:w="737"/>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2"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3"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49"/>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3"/>
        <w:gridCol w:w="1064"/>
        <w:gridCol w:w="1066"/>
        <w:gridCol w:w="1063"/>
        <w:gridCol w:w="1064"/>
        <w:gridCol w:w="1063"/>
        <w:gridCol w:w="1066"/>
      </w:tblGrid>
      <w:tr>
        <w:trPr>
          <w:trHeight w:val="403"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49"/>
        <w:ind w:right="0"/>
        <w:jc w:val="left"/>
      </w:pPr>
      <w:r>
        <w:rPr/>
        <w:t>其他说明：</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07" w:lineRule="auto"/>
        <w:ind w:right="1132" w:firstLine="576"/>
        <w:jc w:val="both"/>
      </w:pPr>
      <w:r>
        <w:rPr/>
        <w:t>①</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日，本公司、润和智融与瑞思创签署了《江苏润和智融科技有限公司增资协议》，瑞思创以 </w:t>
      </w:r>
      <w:r>
        <w:rPr>
          <w:rFonts w:ascii="Times New Roman" w:hAnsi="Times New Roman" w:cs="Times New Roman" w:eastAsia="Times New Roman" w:hint="default"/>
        </w:rPr>
        <w:t>2,000</w:t>
      </w:r>
      <w:r>
        <w:rPr>
          <w:rFonts w:ascii="Times New Roman" w:hAnsi="Times New Roman" w:cs="Times New Roman" w:eastAsia="Times New Roman" w:hint="default"/>
          <w:spacing w:val="9"/>
        </w:rPr>
        <w:t> </w:t>
      </w:r>
      <w:r>
        <w:rPr/>
        <w:t>万 元人民币现金向润和智融增资，公司同意本次增资并放弃对本次增资的优先认缴权。本次增资完成后，公司持有润和智融 </w:t>
      </w:r>
      <w:r>
        <w:rPr>
          <w:rFonts w:ascii="Times New Roman" w:hAnsi="Times New Roman" w:cs="Times New Roman" w:eastAsia="Times New Roman" w:hint="default"/>
          <w:spacing w:val="-1"/>
        </w:rPr>
        <w:t>60%</w:t>
      </w:r>
      <w:r>
        <w:rPr>
          <w:spacing w:val="-1"/>
        </w:rPr>
        <w:t>的股权，瑞思创将持有润和智融</w:t>
      </w:r>
      <w:r>
        <w:rPr>
          <w:rFonts w:ascii="Times New Roman" w:hAnsi="Times New Roman" w:cs="Times New Roman" w:eastAsia="Times New Roman" w:hint="default"/>
          <w:spacing w:val="-1"/>
        </w:rPr>
        <w:t>40%</w:t>
      </w:r>
      <w:r>
        <w:rPr>
          <w:spacing w:val="-1"/>
        </w:rPr>
        <w:t>股权，润和智融成为公司的控股子公司。同日，公司召开的第五届董事会第四十四</w:t>
      </w:r>
      <w:r>
        <w:rPr>
          <w:spacing w:val="-60"/>
        </w:rPr>
        <w:t> </w:t>
      </w:r>
      <w:r>
        <w:rPr>
          <w:spacing w:val="-60"/>
        </w:rPr>
      </w:r>
      <w:r>
        <w:rPr/>
        <w:t>次会议审议通过了《关于同意全资子公司增资暨放弃对其增资优先认缴权的议案》。</w:t>
      </w:r>
    </w:p>
    <w:p>
      <w:pPr>
        <w:pStyle w:val="BodyText"/>
        <w:spacing w:line="300" w:lineRule="auto" w:before="26"/>
        <w:ind w:right="1051" w:firstLine="504"/>
        <w:jc w:val="both"/>
      </w:pPr>
      <w:r>
        <w:rPr/>
        <w:t>②</w:t>
      </w:r>
      <w:r>
        <w:rPr>
          <w:rFonts w:ascii="Times New Roman" w:hAnsi="Times New Roman" w:cs="Times New Roman" w:eastAsia="Times New Roman" w:hint="default"/>
        </w:rPr>
        <w:t>2019</w:t>
      </w:r>
      <w:r>
        <w:rPr>
          <w:rFonts w:ascii="Times New Roman" w:hAnsi="Times New Roman" w:cs="Times New Roman" w:eastAsia="Times New Roman" w:hint="default"/>
          <w:spacing w:val="27"/>
        </w:rPr>
        <w:t>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日，公司与广州润和股东王永、戴强华、沈智签署了《股权转让协议》，以自有资金共计</w:t>
      </w:r>
      <w:r>
        <w:rPr>
          <w:rFonts w:ascii="Times New Roman" w:hAnsi="Times New Roman" w:cs="Times New Roman" w:eastAsia="Times New Roman" w:hint="default"/>
        </w:rPr>
        <w:t>38</w:t>
      </w:r>
      <w:r>
        <w:rPr/>
        <w:t>万元人民 币收购王永、戴强华、沈智合计持有的</w:t>
      </w:r>
      <w:r>
        <w:rPr>
          <w:rFonts w:ascii="Times New Roman" w:hAnsi="Times New Roman" w:cs="Times New Roman" w:eastAsia="Times New Roman" w:hint="default"/>
        </w:rPr>
        <w:t>19%</w:t>
      </w:r>
      <w:r>
        <w:rPr/>
        <w:t>的股权，本次交易完成后，公司持有广州润和</w:t>
      </w:r>
      <w:r>
        <w:rPr>
          <w:rFonts w:ascii="Times New Roman" w:hAnsi="Times New Roman" w:cs="Times New Roman" w:eastAsia="Times New Roman" w:hint="default"/>
        </w:rPr>
        <w:t>70%</w:t>
      </w:r>
      <w:r>
        <w:rPr/>
        <w:t>的股权，广州润和仍为公司控 股子公司。同日，公司召开的第五届董事会第四十四次会议审议通过了《关于收购控股子公司部分少数股东股权的议案》。</w:t>
      </w:r>
    </w:p>
    <w:p>
      <w:pPr>
        <w:spacing w:line="240" w:lineRule="auto" w:before="9"/>
        <w:rPr>
          <w:rFonts w:ascii="宋体" w:hAnsi="宋体" w:cs="宋体" w:eastAsia="宋体" w:hint="default"/>
          <w:sz w:val="18"/>
          <w:szCs w:val="18"/>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3"/>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润和智融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广州润和</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380,000.00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44"/>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 司净资产份额</w:t>
            </w:r>
          </w:p>
        </w:tc>
        <w:tc>
          <w:tcPr>
            <w:tcW w:w="3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-901,762.19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-853,173.28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901,762.19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-1,233,173.28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901,762.19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-1,233,173.28</w:t>
            </w:r>
          </w:p>
        </w:tc>
      </w:tr>
    </w:tbl>
    <w:p>
      <w:pPr>
        <w:pStyle w:val="BodyText"/>
        <w:spacing w:line="240" w:lineRule="auto" w:before="49"/>
        <w:ind w:right="0"/>
        <w:jc w:val="left"/>
      </w:pPr>
      <w:r>
        <w:rPr/>
        <w:t>其他说明</w:t>
      </w:r>
    </w:p>
    <w:p>
      <w:pPr>
        <w:pStyle w:val="BodyText"/>
        <w:spacing w:line="240" w:lineRule="auto" w:before="115"/>
        <w:ind w:left="657" w:right="0"/>
        <w:jc w:val="left"/>
      </w:pPr>
      <w:r>
        <w:rPr/>
        <w:t>①报告期内子公司润和智融引入新的投资者，属于处置股权，上述处置股权差额调增资本公积</w:t>
      </w:r>
      <w:r>
        <w:rPr>
          <w:rFonts w:ascii="Times New Roman" w:hAnsi="Times New Roman" w:cs="Times New Roman" w:eastAsia="Times New Roman" w:hint="default"/>
        </w:rPr>
        <w:t>901,762.19</w:t>
      </w:r>
      <w:r>
        <w:rPr/>
        <w:t>元。</w:t>
      </w:r>
    </w:p>
    <w:p>
      <w:pPr>
        <w:pStyle w:val="BodyText"/>
        <w:spacing w:line="240" w:lineRule="auto" w:before="63"/>
        <w:ind w:left="657" w:right="0"/>
        <w:jc w:val="left"/>
      </w:pPr>
      <w:r>
        <w:rPr/>
        <w:t>②报告期内公司购买广州润和少数股权，属于购买股权，上述购买股权差额调减资本公积</w:t>
      </w:r>
      <w:r>
        <w:rPr>
          <w:rFonts w:ascii="Times New Roman" w:hAnsi="Times New Roman" w:cs="Times New Roman" w:eastAsia="Times New Roman" w:hint="default"/>
        </w:rPr>
        <w:t>1,233,173.28</w:t>
      </w:r>
      <w:r>
        <w:rPr/>
        <w:t>元。</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369"/>
        <w:gridCol w:w="1369"/>
        <w:gridCol w:w="1366"/>
        <w:gridCol w:w="1368"/>
        <w:gridCol w:w="1369"/>
        <w:gridCol w:w="1366"/>
        <w:gridCol w:w="1366"/>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314"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47" w:right="46"/>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5"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0"/>
        <w:jc w:val="left"/>
      </w:pPr>
      <w:r>
        <w:rPr/>
        <w:t>在合营企业或联营企业的持股比例不同于表决权比例的说明：</w:t>
      </w:r>
    </w:p>
    <w:p>
      <w:pPr>
        <w:pStyle w:val="BodyText"/>
        <w:spacing w:line="240" w:lineRule="auto" w:before="115"/>
        <w:ind w:right="0"/>
        <w:jc w:val="left"/>
      </w:pPr>
      <w:r>
        <w:rPr/>
        <w:t>持有</w:t>
      </w:r>
      <w:r>
        <w:rPr>
          <w:spacing w:val="-48"/>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0"/>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1"/>
        <w:gridCol w:w="3185"/>
      </w:tblGrid>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89,474,576.86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46,858,875.12</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-2,985,247.70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82,530.00</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2,397,028.51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12,371,356.58</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-588,219.19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12,453,886.58</w:t>
            </w:r>
          </w:p>
        </w:tc>
      </w:tr>
    </w:tbl>
    <w:p>
      <w:pPr>
        <w:pStyle w:val="BodyText"/>
        <w:spacing w:line="240" w:lineRule="auto" w:before="49"/>
        <w:ind w:right="0"/>
        <w:jc w:val="left"/>
      </w:pPr>
      <w:r>
        <w:rPr/>
        <w:t>其他说明</w:t>
      </w:r>
    </w:p>
    <w:p>
      <w:pPr>
        <w:pStyle w:val="BodyText"/>
        <w:spacing w:line="240" w:lineRule="auto" w:before="115"/>
        <w:ind w:left="657" w:right="0"/>
        <w:jc w:val="left"/>
      </w:pPr>
      <w:r>
        <w:rPr/>
        <w:t>上表数据为联营企业博纳讯动、奥特酷、鑫合易家、润辰科技及新维数联财务信息。</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累积未确认前期累计的损失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0"/>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240" w:lineRule="auto" w:before="49"/>
        <w:ind w:right="0"/>
        <w:jc w:val="left"/>
      </w:pPr>
      <w:r>
        <w:rPr/>
        <w:t>在共同经营中的持股比例或享有的份额不同于表决权比例的说明：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60" w:lineRule="auto" w:before="44"/>
        <w:ind w:right="6793"/>
        <w:jc w:val="left"/>
      </w:pPr>
      <w:r>
        <w:rPr/>
        <w:t>共同经营为单独主体的，分类为共同经营的依据： 其他说明</w:t>
      </w:r>
    </w:p>
    <w:p>
      <w:pPr>
        <w:spacing w:line="240" w:lineRule="auto" w:before="0"/>
        <w:rPr>
          <w:rFonts w:ascii="宋体" w:hAnsi="宋体" w:cs="宋体" w:eastAsia="宋体" w:hint="default"/>
          <w:sz w:val="15"/>
          <w:szCs w:val="15"/>
        </w:rPr>
      </w:pPr>
    </w:p>
    <w:p>
      <w:pPr>
        <w:pStyle w:val="Heading3"/>
        <w:spacing w:line="240" w:lineRule="auto"/>
        <w:ind w:right="0"/>
        <w:jc w:val="both"/>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t>未纳入合并财务报表范围的结构化主体的相关说明：</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6</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2"/>
        <w:spacing w:line="240" w:lineRule="auto"/>
        <w:ind w:right="0"/>
        <w:jc w:val="both"/>
        <w:rPr>
          <w:b w:val="0"/>
          <w:bCs w:val="0"/>
        </w:rPr>
      </w:pPr>
      <w:r>
        <w:rPr/>
        <w:t>十、与金融工具相关的风险</w:t>
      </w:r>
      <w:r>
        <w:rPr>
          <w:b w:val="0"/>
          <w:bCs w:val="0"/>
        </w:rPr>
      </w:r>
    </w:p>
    <w:p>
      <w:pPr>
        <w:spacing w:line="240" w:lineRule="auto" w:before="4"/>
        <w:rPr>
          <w:rFonts w:ascii="Microsoft JhengHei" w:hAnsi="Microsoft JhengHei" w:cs="Microsoft JhengHei" w:eastAsia="Microsoft JhengHei" w:hint="default"/>
          <w:b/>
          <w:bCs/>
          <w:sz w:val="18"/>
          <w:szCs w:val="18"/>
        </w:rPr>
      </w:pPr>
    </w:p>
    <w:p>
      <w:pPr>
        <w:pStyle w:val="BodyText"/>
        <w:spacing w:line="316" w:lineRule="auto"/>
        <w:ind w:right="1133" w:firstLine="504"/>
        <w:jc w:val="both"/>
      </w:pPr>
      <w:r>
        <w:rPr>
          <w:spacing w:val="-1"/>
        </w:rPr>
        <w:t>本公司与金融工具相关的风险源于本公司在经营过程中所确认的各类金融资产和金融负债，包括：信用风险、流动性</w:t>
      </w:r>
      <w:r>
        <w:rPr/>
        <w:t> 风险和市场风险。</w:t>
      </w:r>
    </w:p>
    <w:p>
      <w:pPr>
        <w:pStyle w:val="BodyText"/>
        <w:spacing w:line="316" w:lineRule="auto" w:before="19"/>
        <w:ind w:right="1132" w:firstLine="504"/>
        <w:jc w:val="both"/>
      </w:pPr>
      <w:r>
        <w:rPr>
          <w:spacing w:val="-1"/>
        </w:rPr>
        <w:t>本公司与金融工具相关的各类风险的管理目标和政策的制度由本公司管理层负责。经营管理层通过职能部门负责日常</w:t>
      </w:r>
      <w:r>
        <w:rPr/>
        <w:t> </w:t>
      </w:r>
      <w:r>
        <w:rPr>
          <w:spacing w:val="-2"/>
        </w:rPr>
        <w:t>的风险管理（例如本公司信用管理部对公司发生的赊销业务进行逐笔进行审核）。本公司内部审计部门对公司风险管理的政</w:t>
      </w:r>
      <w:r>
        <w:rPr>
          <w:spacing w:val="-66"/>
        </w:rPr>
        <w:t> </w:t>
      </w:r>
      <w:r>
        <w:rPr>
          <w:spacing w:val="-66"/>
        </w:rPr>
      </w:r>
      <w:r>
        <w:rPr/>
        <w:t>策和程序的执行情况进行日常监督，并且将有关发现及时报告给本公司审计委员会。</w:t>
      </w:r>
    </w:p>
    <w:p>
      <w:pPr>
        <w:pStyle w:val="BodyText"/>
        <w:spacing w:line="316" w:lineRule="auto" w:before="19"/>
        <w:ind w:right="1132" w:firstLine="504"/>
        <w:jc w:val="both"/>
      </w:pPr>
      <w:r>
        <w:rPr>
          <w:spacing w:val="-1"/>
        </w:rPr>
        <w:t>本公司风险管理的总体目标是在不过度影响公司竞争力和应变力的情况下，制定尽可能降低各类与金融工具相关风险</w:t>
      </w:r>
      <w:r>
        <w:rPr/>
        <w:t> 的风险管理政策。</w:t>
      </w:r>
    </w:p>
    <w:p>
      <w:pPr>
        <w:pStyle w:val="BodyText"/>
        <w:spacing w:line="300" w:lineRule="auto" w:before="19"/>
        <w:ind w:left="657" w:right="1120"/>
        <w:jc w:val="left"/>
      </w:pPr>
      <w:r>
        <w:rPr>
          <w:rFonts w:ascii="Times New Roman" w:hAnsi="Times New Roman" w:cs="Times New Roman" w:eastAsia="Times New Roman" w:hint="default"/>
        </w:rPr>
        <w:t>1.</w:t>
      </w:r>
      <w:r>
        <w:rPr/>
        <w:t>信用风险 </w:t>
      </w:r>
      <w:r>
        <w:rPr>
          <w:spacing w:val="-1"/>
        </w:rPr>
        <w:t>信用风险，是指金融工具的一方未能履行义务从而导致另一方发生财务损失的风险。本公司的信用风险主要产生于货</w:t>
      </w:r>
    </w:p>
    <w:p>
      <w:pPr>
        <w:pStyle w:val="BodyText"/>
        <w:spacing w:line="316" w:lineRule="auto" w:before="31"/>
        <w:ind w:right="1134"/>
        <w:jc w:val="both"/>
      </w:pPr>
      <w:r>
        <w:rPr>
          <w:spacing w:val="-2"/>
        </w:rPr>
        <w:t>币资金、应收票据、应收账款、其他应收款以及长期应收款等，这些金融资产的信用风险源自交易对手违约，最大的风险敞</w:t>
      </w:r>
      <w:r>
        <w:rPr>
          <w:spacing w:val="-67"/>
        </w:rPr>
        <w:t> </w:t>
      </w:r>
      <w:r>
        <w:rPr>
          <w:spacing w:val="-67"/>
        </w:rPr>
      </w:r>
      <w:r>
        <w:rPr/>
        <w:t>口等于这些工具的账面金额。</w:t>
      </w:r>
    </w:p>
    <w:p>
      <w:pPr>
        <w:pStyle w:val="BodyText"/>
        <w:spacing w:line="319" w:lineRule="auto" w:before="19"/>
        <w:ind w:right="1132" w:firstLine="504"/>
        <w:jc w:val="both"/>
      </w:pPr>
      <w:r>
        <w:rPr>
          <w:spacing w:val="-1"/>
        </w:rPr>
        <w:t>本公司货币资金主要存放于商业银行等金融机构，本公司认为这些商业银行具备较高信誉和资产状况，存在较低的信</w:t>
      </w:r>
      <w:r>
        <w:rPr/>
        <w:t> 用风险。</w:t>
      </w:r>
    </w:p>
    <w:p>
      <w:pPr>
        <w:pStyle w:val="BodyText"/>
        <w:spacing w:line="316" w:lineRule="auto" w:before="17"/>
        <w:ind w:right="0" w:firstLine="504"/>
        <w:jc w:val="left"/>
      </w:pPr>
      <w:r>
        <w:rPr/>
        <w:t>对于应收票据、应收账款、其他应收款及长期应收款，本公司设定相关政策以控制信用风险敞口。本公司基于对客户 </w:t>
      </w:r>
      <w:r>
        <w:rPr>
          <w:spacing w:val="-4"/>
        </w:rPr>
        <w:t>的财务状况、从第三方获取担保的可能性、信用记录及其他因素诸如目前市场状况等评估客户的信用资质并设置相应信用期。</w:t>
      </w:r>
      <w:r>
        <w:rPr>
          <w:spacing w:val="-44"/>
        </w:rPr>
        <w:t> </w:t>
      </w:r>
      <w:r>
        <w:rPr>
          <w:spacing w:val="-44"/>
        </w:rPr>
      </w:r>
      <w:r>
        <w:rPr>
          <w:spacing w:val="-2"/>
        </w:rPr>
        <w:t>本公司会定期对客户信用记录进行监控，对于信用记录不良的客户，本公司会采用书面催款、缩短信用期或取消信用期等方</w:t>
      </w:r>
      <w:r>
        <w:rPr>
          <w:spacing w:val="-63"/>
        </w:rPr>
        <w:t> </w:t>
      </w:r>
      <w:r>
        <w:rPr>
          <w:spacing w:val="-63"/>
        </w:rPr>
      </w:r>
      <w:r>
        <w:rPr/>
        <w:t>式，以确保本公司的整体信用风险在可控的范围内。</w:t>
      </w:r>
    </w:p>
    <w:p>
      <w:pPr>
        <w:pStyle w:val="BodyText"/>
        <w:spacing w:line="300" w:lineRule="auto" w:before="19"/>
        <w:ind w:left="657" w:right="1120"/>
        <w:jc w:val="left"/>
      </w:pPr>
      <w:r>
        <w:rPr/>
        <w:t>（</w:t>
      </w:r>
      <w:r>
        <w:rPr>
          <w:rFonts w:ascii="Times New Roman" w:hAnsi="Times New Roman" w:cs="Times New Roman" w:eastAsia="Times New Roman" w:hint="default"/>
        </w:rPr>
        <w:t>1</w:t>
      </w:r>
      <w:r>
        <w:rPr/>
        <w:t>）信用风险显著增加判断标准 </w:t>
      </w:r>
      <w:r>
        <w:rPr>
          <w:spacing w:val="-1"/>
        </w:rPr>
        <w:t>本公司在每个资产负债表日评估相关金融工具的信用风险自初始确认后是否已显著增加。在确定信用风险自初始确认</w:t>
      </w:r>
    </w:p>
    <w:p>
      <w:pPr>
        <w:pStyle w:val="BodyText"/>
        <w:spacing w:line="316" w:lineRule="auto" w:before="31"/>
        <w:ind w:right="1132"/>
        <w:jc w:val="both"/>
      </w:pPr>
      <w:r>
        <w:rPr>
          <w:spacing w:val="-2"/>
        </w:rPr>
        <w:t>后是否显著增加时，本公司考虑在无须付出不必要的额外成本或努力即可获得合理且有依据的信息，包括基于本公司历史数</w:t>
      </w:r>
      <w:r>
        <w:rPr>
          <w:spacing w:val="-64"/>
        </w:rPr>
        <w:t> </w:t>
      </w:r>
      <w:r>
        <w:rPr>
          <w:spacing w:val="-64"/>
        </w:rPr>
      </w:r>
      <w:r>
        <w:rPr>
          <w:spacing w:val="-2"/>
        </w:rPr>
        <w:t>据的定性和定量分析、外部信用风险评级以及前瞻性信息。本公司以单项金融工具或者具有相似信用风险特征的金融工具组</w:t>
      </w:r>
      <w:r>
        <w:rPr>
          <w:spacing w:val="-64"/>
        </w:rPr>
        <w:t> </w:t>
      </w:r>
      <w:r>
        <w:rPr>
          <w:spacing w:val="-64"/>
        </w:rPr>
      </w:r>
      <w:r>
        <w:rPr>
          <w:spacing w:val="-2"/>
        </w:rPr>
        <w:t>合为基础，通过比较金融工具在资产负债表日发生违约的风险与在初始确认日发生违约的风险，以确定金融工具预计存续期</w:t>
      </w:r>
      <w:r>
        <w:rPr>
          <w:spacing w:val="-64"/>
        </w:rPr>
        <w:t> </w:t>
      </w:r>
      <w:r>
        <w:rPr>
          <w:spacing w:val="-64"/>
        </w:rPr>
      </w:r>
      <w:r>
        <w:rPr/>
        <w:t>内发生违约风险的变化情况。</w:t>
      </w:r>
    </w:p>
    <w:p>
      <w:pPr>
        <w:pStyle w:val="BodyText"/>
        <w:spacing w:line="316" w:lineRule="auto" w:before="19"/>
        <w:ind w:right="1130" w:firstLine="504"/>
        <w:jc w:val="both"/>
      </w:pPr>
      <w:r>
        <w:rPr>
          <w:spacing w:val="-1"/>
        </w:rPr>
        <w:t>当触发以下一个或多个定量、定性标准时，本公司认为金融工具的信用风险已发生显著增加：定量标准主要为报告日</w:t>
      </w:r>
      <w:r>
        <w:rPr/>
        <w:t> </w:t>
      </w:r>
      <w:r>
        <w:rPr>
          <w:spacing w:val="-2"/>
        </w:rPr>
        <w:t>剩余存续期违约概率较初始确认时上升超过一定比例；定性标准为主要债务人经营或财务情况出现重大不利变化、预警客户</w:t>
      </w:r>
      <w:r>
        <w:rPr>
          <w:spacing w:val="-65"/>
        </w:rPr>
        <w:t> </w:t>
      </w:r>
      <w:r>
        <w:rPr>
          <w:spacing w:val="-65"/>
        </w:rPr>
      </w:r>
      <w:r>
        <w:rPr/>
        <w:t>清单等。</w:t>
      </w:r>
    </w:p>
    <w:p>
      <w:pPr>
        <w:pStyle w:val="BodyText"/>
        <w:spacing w:line="300" w:lineRule="auto" w:before="19"/>
        <w:ind w:left="657" w:right="1204"/>
        <w:jc w:val="left"/>
      </w:pPr>
      <w:r>
        <w:rPr/>
        <w:t>（</w:t>
      </w:r>
      <w:r>
        <w:rPr>
          <w:rFonts w:ascii="Times New Roman" w:hAnsi="Times New Roman" w:cs="Times New Roman" w:eastAsia="Times New Roman" w:hint="default"/>
        </w:rPr>
        <w:t>2</w:t>
      </w:r>
      <w:r>
        <w:rPr/>
        <w:t>）已发生信用减值资产的定义 为确定是否发生信用减值，本公司所采用的界定标准，与内部针对相关金融工具的信用风险管理目标保持一致</w:t>
      </w:r>
      <w:r>
        <w:rPr>
          <w:rFonts w:ascii="Times New Roman" w:hAnsi="Times New Roman" w:cs="Times New Roman" w:eastAsia="Times New Roman" w:hint="default"/>
        </w:rPr>
        <w:t>,</w:t>
      </w:r>
      <w:r>
        <w:rPr/>
        <w:t>同时</w:t>
      </w:r>
    </w:p>
    <w:p>
      <w:pPr>
        <w:pStyle w:val="BodyText"/>
        <w:spacing w:line="316" w:lineRule="auto" w:before="13"/>
        <w:ind w:left="657" w:right="1069" w:hanging="504"/>
        <w:jc w:val="left"/>
      </w:pPr>
      <w:r>
        <w:rPr/>
        <w:t>考虑定量、定性指标。 本公司评估债务人是否发生信用减值时，主要考虑以下因素：发行方或债务人发生重大财务困难；债务人违反合同，</w:t>
      </w:r>
    </w:p>
    <w:p>
      <w:pPr>
        <w:pStyle w:val="BodyText"/>
        <w:spacing w:line="316" w:lineRule="auto" w:before="19"/>
        <w:ind w:right="1130"/>
        <w:jc w:val="both"/>
      </w:pPr>
      <w:r>
        <w:rPr>
          <w:spacing w:val="-2"/>
        </w:rPr>
        <w:t>如偿付利息或本金违约或逾期等；债权人出于与债务人财务困难有关的经济或合同考虑，给予债务人在任何其他情况下都不</w:t>
      </w:r>
      <w:r>
        <w:rPr>
          <w:spacing w:val="-62"/>
        </w:rPr>
        <w:t> </w:t>
      </w:r>
      <w:r>
        <w:rPr>
          <w:spacing w:val="-62"/>
        </w:rPr>
      </w:r>
      <w:r>
        <w:rPr>
          <w:spacing w:val="-2"/>
        </w:rPr>
        <w:t>会做出的让步；债务人很可能破产或进行其他财务重组；发行方或债务人财务困难导致该金融资产的活跃市场消失；以大幅</w:t>
      </w:r>
      <w:r>
        <w:rPr>
          <w:spacing w:val="-63"/>
        </w:rPr>
        <w:t> </w:t>
      </w:r>
      <w:r>
        <w:rPr>
          <w:spacing w:val="-63"/>
        </w:rPr>
      </w:r>
      <w:r>
        <w:rPr/>
        <w:t>折扣购买或源生一项金融资产，该折扣反映了发生信用损失的事实。</w:t>
      </w:r>
    </w:p>
    <w:p>
      <w:pPr>
        <w:spacing w:after="0" w:line="316"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657" w:right="0"/>
        <w:jc w:val="left"/>
      </w:pPr>
      <w:r>
        <w:rPr/>
        <w:t>金融资产发生信用减值，有可能是多个事件的共同作用所致，未必是可单独识别的事件所致。</w:t>
      </w:r>
    </w:p>
    <w:p>
      <w:pPr>
        <w:pStyle w:val="BodyText"/>
        <w:spacing w:line="300" w:lineRule="auto" w:before="76"/>
        <w:ind w:left="657" w:right="1121"/>
        <w:jc w:val="left"/>
      </w:pPr>
      <w:r>
        <w:rPr/>
        <w:t>（</w:t>
      </w:r>
      <w:r>
        <w:rPr>
          <w:rFonts w:ascii="Times New Roman" w:hAnsi="Times New Roman" w:cs="Times New Roman" w:eastAsia="Times New Roman" w:hint="default"/>
        </w:rPr>
        <w:t>3</w:t>
      </w:r>
      <w:r>
        <w:rPr/>
        <w:t>）预期信用损失计量的参数 </w:t>
      </w:r>
      <w:r>
        <w:rPr>
          <w:spacing w:val="-1"/>
        </w:rPr>
        <w:t>根据信用风险是否发生显著增加以及是否已发生信用减值，本公司对不同的资产分别以</w:t>
      </w:r>
      <w:r>
        <w:rPr>
          <w:rFonts w:ascii="Times New Roman" w:hAnsi="Times New Roman" w:cs="Times New Roman" w:eastAsia="Times New Roman" w:hint="default"/>
          <w:spacing w:val="-1"/>
        </w:rPr>
        <w:t>12</w:t>
      </w:r>
      <w:r>
        <w:rPr>
          <w:spacing w:val="-1"/>
        </w:rPr>
        <w:t>个月或整个存续期的预期信</w:t>
      </w:r>
    </w:p>
    <w:p>
      <w:pPr>
        <w:pStyle w:val="BodyText"/>
        <w:spacing w:line="240" w:lineRule="auto" w:before="13"/>
        <w:ind w:right="0"/>
        <w:jc w:val="left"/>
      </w:pPr>
      <w:r>
        <w:rPr/>
        <w:t>用损失计量减值准备。预期信用损失计量的关键参数包括违约概率、违约损失率和违约风险敞口。本公司考虑历史统计数据</w:t>
      </w:r>
    </w:p>
    <w:p>
      <w:pPr>
        <w:pStyle w:val="BodyText"/>
        <w:spacing w:line="316" w:lineRule="auto" w:before="76"/>
        <w:ind w:right="0"/>
        <w:jc w:val="left"/>
      </w:pPr>
      <w:r>
        <w:rPr>
          <w:spacing w:val="-2"/>
        </w:rPr>
        <w:t>（如交易对手评级、担保方式及抵质押物类别、还款方式等）的定量分析及前瞻性信息，建立违约概率、违约损失率及违约</w:t>
      </w:r>
      <w:r>
        <w:rPr>
          <w:spacing w:val="-67"/>
        </w:rPr>
        <w:t> </w:t>
      </w:r>
      <w:r>
        <w:rPr>
          <w:spacing w:val="-67"/>
        </w:rPr>
      </w:r>
      <w:r>
        <w:rPr/>
        <w:t>风险敞口模型。</w:t>
      </w:r>
    </w:p>
    <w:p>
      <w:pPr>
        <w:pStyle w:val="BodyText"/>
        <w:spacing w:line="240" w:lineRule="auto" w:before="19"/>
        <w:ind w:left="657" w:right="0"/>
        <w:jc w:val="left"/>
      </w:pPr>
      <w:r>
        <w:rPr/>
        <w:t>相关定义如下：</w:t>
      </w:r>
    </w:p>
    <w:p>
      <w:pPr>
        <w:pStyle w:val="BodyText"/>
        <w:spacing w:line="300" w:lineRule="auto" w:before="76"/>
        <w:ind w:left="657" w:right="1120"/>
        <w:jc w:val="left"/>
      </w:pPr>
      <w:r>
        <w:rPr/>
        <w:t>违约概率是指债务人在未来</w:t>
      </w:r>
      <w:r>
        <w:rPr>
          <w:spacing w:val="-18"/>
        </w:rPr>
        <w:t> </w:t>
      </w:r>
      <w:r>
        <w:rPr>
          <w:rFonts w:ascii="Times New Roman" w:hAnsi="Times New Roman" w:cs="Times New Roman" w:eastAsia="Times New Roman" w:hint="default"/>
        </w:rPr>
        <w:t>12</w:t>
      </w:r>
      <w:r>
        <w:rPr/>
        <w:t>个月或在整个剩余存续期，无法履行其偿付义务的可能性。 </w:t>
      </w:r>
      <w:r>
        <w:rPr>
          <w:spacing w:val="-1"/>
        </w:rPr>
        <w:t>违约损失率是指本公司对违约风险暴露发生损失程度作出的预期。根据交易对手的类型、追索的方式和优先级，以及</w:t>
      </w:r>
    </w:p>
    <w:p>
      <w:pPr>
        <w:pStyle w:val="BodyText"/>
        <w:spacing w:line="300" w:lineRule="auto" w:before="31"/>
        <w:ind w:right="0"/>
        <w:jc w:val="left"/>
      </w:pPr>
      <w:r>
        <w:rPr>
          <w:spacing w:val="-2"/>
        </w:rPr>
        <w:t>担保品的不同，违约损失率也有所不同。违约损失率为违约发生时风险敞口损失的百分比，以未来</w:t>
      </w:r>
      <w:r>
        <w:rPr>
          <w:rFonts w:ascii="Times New Roman" w:hAnsi="Times New Roman" w:cs="Times New Roman" w:eastAsia="Times New Roman" w:hint="default"/>
          <w:spacing w:val="-2"/>
        </w:rPr>
        <w:t>12</w:t>
      </w:r>
      <w:r>
        <w:rPr>
          <w:spacing w:val="-2"/>
        </w:rPr>
        <w:t>个月内或整个存续期为</w:t>
      </w:r>
      <w:r>
        <w:rPr>
          <w:spacing w:val="-61"/>
        </w:rPr>
        <w:t> </w:t>
      </w:r>
      <w:r>
        <w:rPr>
          <w:spacing w:val="-61"/>
        </w:rPr>
      </w:r>
      <w:r>
        <w:rPr/>
        <w:t>基准进行计算；</w:t>
      </w:r>
    </w:p>
    <w:p>
      <w:pPr>
        <w:pStyle w:val="BodyText"/>
        <w:spacing w:line="309" w:lineRule="auto" w:before="32"/>
        <w:ind w:right="1132" w:firstLine="504"/>
        <w:jc w:val="both"/>
      </w:pPr>
      <w:r>
        <w:rPr>
          <w:spacing w:val="-1"/>
        </w:rPr>
        <w:t>违约风险敞口是指，在未来</w:t>
      </w:r>
      <w:r>
        <w:rPr>
          <w:rFonts w:ascii="Times New Roman" w:hAnsi="Times New Roman" w:cs="Times New Roman" w:eastAsia="Times New Roman" w:hint="default"/>
          <w:spacing w:val="-1"/>
        </w:rPr>
        <w:t>12</w:t>
      </w:r>
      <w:r>
        <w:rPr>
          <w:spacing w:val="-1"/>
        </w:rPr>
        <w:t>个月或在整个剩余存续期中，在违约发生时，本公司应被偿付的金额。前瞻性信息信用</w:t>
      </w:r>
      <w:r>
        <w:rPr/>
        <w:t> </w:t>
      </w:r>
      <w:r>
        <w:rPr>
          <w:spacing w:val="-2"/>
        </w:rPr>
        <w:t>风险显著增加的评估及预期信用损失的计算均涉及前瞻性信息。本公司通过进行历史数据分析，识别出影响各业务类型信用</w:t>
      </w:r>
      <w:r>
        <w:rPr>
          <w:spacing w:val="-64"/>
        </w:rPr>
        <w:t> </w:t>
      </w:r>
      <w:r>
        <w:rPr>
          <w:spacing w:val="-64"/>
        </w:rPr>
      </w:r>
      <w:r>
        <w:rPr/>
        <w:t>风险及预期信用损失的关键经济指标。</w:t>
      </w:r>
    </w:p>
    <w:p>
      <w:pPr>
        <w:pStyle w:val="BodyText"/>
        <w:spacing w:line="316" w:lineRule="auto" w:before="24"/>
        <w:ind w:right="1120" w:firstLine="504"/>
        <w:jc w:val="left"/>
      </w:pPr>
      <w:r>
        <w:rPr>
          <w:spacing w:val="-1"/>
        </w:rPr>
        <w:t>本公司所承受的最大信用风险敞口为资产负债表中每项金融资产的账面金额。本公司没有提供任何其他可能令本公司</w:t>
      </w:r>
      <w:r>
        <w:rPr/>
        <w:t> 承受信用风险的担保。本公司应收账款、其他应收款风险敞口信息见附注七、</w:t>
      </w:r>
      <w:r>
        <w:rPr>
          <w:rFonts w:ascii="Times New Roman" w:hAnsi="Times New Roman" w:cs="Times New Roman" w:eastAsia="Times New Roman" w:hint="default"/>
        </w:rPr>
        <w:t>5</w:t>
      </w:r>
      <w:r>
        <w:rPr/>
        <w:t>和</w:t>
      </w:r>
      <w:r>
        <w:rPr>
          <w:rFonts w:ascii="Times New Roman" w:hAnsi="Times New Roman" w:cs="Times New Roman" w:eastAsia="Times New Roman" w:hint="default"/>
        </w:rPr>
        <w:t>8</w:t>
      </w:r>
      <w:r>
        <w:rPr/>
        <w:t>。</w:t>
      </w:r>
    </w:p>
    <w:p>
      <w:pPr>
        <w:pStyle w:val="BodyText"/>
        <w:spacing w:line="300" w:lineRule="auto"/>
        <w:ind w:left="657" w:right="1120"/>
        <w:jc w:val="left"/>
      </w:pPr>
      <w:r>
        <w:rPr>
          <w:rFonts w:ascii="Times New Roman" w:hAnsi="Times New Roman" w:cs="Times New Roman" w:eastAsia="Times New Roman" w:hint="default"/>
        </w:rPr>
        <w:t>2.</w:t>
      </w:r>
      <w:r>
        <w:rPr/>
        <w:t>流动性风险 </w:t>
      </w:r>
      <w:r>
        <w:rPr>
          <w:spacing w:val="-1"/>
        </w:rPr>
        <w:t>流动性风险，是指企业在履行以交付现金或其他金融资产的方式结算的义务时发生资金短缺的风险。本公司统筹负责</w:t>
      </w:r>
    </w:p>
    <w:p>
      <w:pPr>
        <w:pStyle w:val="BodyText"/>
        <w:spacing w:line="316" w:lineRule="auto" w:before="31"/>
        <w:ind w:right="1140"/>
        <w:jc w:val="left"/>
      </w:pPr>
      <w:r>
        <w:rPr/>
        <w:t>集团内各子公司的现金管理工作，包括现金盈余的短期投资和筹措贷款以应付预计现金需求。</w:t>
      </w:r>
      <w:r>
        <w:rPr>
          <w:spacing w:val="-17"/>
        </w:rPr>
        <w:t> </w:t>
      </w:r>
      <w:r>
        <w:rPr/>
        <w:t>本公司的政策是定期监控短</w:t>
      </w:r>
      <w:r>
        <w:rPr/>
        <w:t> 期和长期的流动资金需求，以及是否符合借款协议的规定，以确保维持充裕的现金储备和可供随时变现的有价证券。</w:t>
      </w:r>
    </w:p>
    <w:p>
      <w:pPr>
        <w:pStyle w:val="BodyText"/>
        <w:spacing w:line="240" w:lineRule="auto" w:before="19"/>
        <w:ind w:left="657" w:right="0"/>
        <w:jc w:val="left"/>
      </w:pPr>
      <w:r>
        <w:rPr>
          <w:rFonts w:ascii="Times New Roman" w:hAnsi="Times New Roman" w:cs="Times New Roman" w:eastAsia="Times New Roman" w:hint="default"/>
        </w:rPr>
        <w:t>3.</w:t>
      </w:r>
      <w:r>
        <w:rPr/>
        <w:t>市场风险</w:t>
      </w:r>
    </w:p>
    <w:p>
      <w:pPr>
        <w:pStyle w:val="BodyText"/>
        <w:spacing w:line="240" w:lineRule="auto" w:before="63"/>
        <w:ind w:left="657" w:right="0"/>
        <w:jc w:val="left"/>
      </w:pPr>
      <w:r>
        <w:rPr/>
        <w:t>（</w:t>
      </w:r>
      <w:r>
        <w:rPr>
          <w:rFonts w:ascii="Times New Roman" w:hAnsi="Times New Roman" w:cs="Times New Roman" w:eastAsia="Times New Roman" w:hint="default"/>
        </w:rPr>
        <w:t>1</w:t>
      </w:r>
      <w:r>
        <w:rPr/>
        <w:t>）外汇风险</w:t>
      </w:r>
    </w:p>
    <w:p>
      <w:pPr>
        <w:pStyle w:val="BodyText"/>
        <w:spacing w:line="319" w:lineRule="auto" w:before="63"/>
        <w:ind w:right="0" w:firstLine="504"/>
        <w:jc w:val="left"/>
      </w:pPr>
      <w:r>
        <w:rPr/>
        <w:t>本公司的汇率风险主要来自本公司及下属子公司持有的不以其记账本位币计价的外币资产和负债。</w:t>
      </w:r>
      <w:r>
        <w:rPr>
          <w:spacing w:val="-16"/>
        </w:rPr>
        <w:t> </w:t>
      </w:r>
      <w:r>
        <w:rPr/>
        <w:t>本公司承受汇率</w:t>
      </w:r>
      <w:r>
        <w:rPr/>
        <w:t> </w:t>
      </w:r>
      <w:r>
        <w:rPr>
          <w:spacing w:val="-2"/>
        </w:rPr>
        <w:t>风险主要与以港币、美元、日元和新加坡币计价的货币资金、应付账款和应收账款有关，除本公司设立在香港特别行政区和</w:t>
      </w:r>
      <w:r>
        <w:rPr>
          <w:spacing w:val="-66"/>
        </w:rPr>
        <w:t> </w:t>
      </w:r>
      <w:r>
        <w:rPr>
          <w:spacing w:val="-66"/>
        </w:rPr>
      </w:r>
      <w:r>
        <w:rPr/>
        <w:t>境外的下属子公司使用港币、美元、日元或新加坡币计价结算外，本公司的其他主要业务以人民币计价结算。</w:t>
      </w:r>
    </w:p>
    <w:p>
      <w:pPr>
        <w:pStyle w:val="BodyText"/>
        <w:spacing w:line="300" w:lineRule="auto" w:before="17"/>
        <w:ind w:right="1124" w:firstLine="504"/>
        <w:jc w:val="left"/>
      </w:pPr>
      <w:r>
        <w:rPr>
          <w:spacing w:val="-1"/>
        </w:rPr>
        <w:t>①截止</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日，本公司各外币资产负债项目的主要外汇风险敞口如下（出于列报考虑，风险敞口金额以人民</w:t>
      </w:r>
      <w:r>
        <w:rPr/>
        <w:t> 币列示，以资产负债表日即期汇率折算）：</w:t>
      </w:r>
    </w:p>
    <w:tbl>
      <w:tblPr>
        <w:tblW w:w="0" w:type="auto"/>
        <w:jc w:val="left"/>
        <w:tblInd w:w="146" w:type="dxa"/>
        <w:tblLayout w:type="fixed"/>
        <w:tblCellMar>
          <w:top w:w="0" w:type="dxa"/>
          <w:left w:w="0" w:type="dxa"/>
          <w:bottom w:w="0" w:type="dxa"/>
          <w:right w:w="0" w:type="dxa"/>
        </w:tblCellMar>
        <w:tblLook w:val="01E0"/>
      </w:tblPr>
      <w:tblGrid>
        <w:gridCol w:w="1416"/>
        <w:gridCol w:w="1844"/>
        <w:gridCol w:w="1844"/>
        <w:gridCol w:w="1844"/>
        <w:gridCol w:w="1844"/>
      </w:tblGrid>
      <w:tr>
        <w:trPr>
          <w:trHeight w:val="350" w:hRule="exact"/>
        </w:trPr>
        <w:tc>
          <w:tcPr>
            <w:tcW w:w="1416" w:type="dxa"/>
            <w:vMerge w:val="restart"/>
            <w:tcBorders>
              <w:top w:val="single" w:sz="6" w:space="0" w:color="000000"/>
              <w:left w:val="single" w:sz="6" w:space="0" w:color="000000"/>
              <w:right w:val="single" w:sz="6" w:space="0" w:color="000000"/>
            </w:tcBorders>
          </w:tcPr>
          <w:p>
            <w:pPr>
              <w:pStyle w:val="TableParagraph"/>
              <w:spacing w:line="272" w:lineRule="exact"/>
              <w:ind w:left="28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7375" w:type="dxa"/>
            <w:gridSpan w:val="4"/>
            <w:tcBorders>
              <w:top w:val="single" w:sz="6" w:space="0" w:color="000000"/>
              <w:left w:val="single" w:sz="6" w:space="0" w:color="000000"/>
              <w:bottom w:val="single" w:sz="8" w:space="0" w:color="000000"/>
              <w:right w:val="nil" w:sz="6" w:space="0" w:color="auto"/>
            </w:tcBorders>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r>
      <w:tr>
        <w:trPr>
          <w:trHeight w:val="346" w:hRule="exact"/>
        </w:trPr>
        <w:tc>
          <w:tcPr>
            <w:tcW w:w="1416" w:type="dxa"/>
            <w:vMerge/>
            <w:tcBorders>
              <w:left w:val="single" w:sz="6" w:space="0" w:color="000000"/>
              <w:right w:val="single" w:sz="6" w:space="0" w:color="000000"/>
            </w:tcBorders>
          </w:tcPr>
          <w:p>
            <w:pPr/>
          </w:p>
        </w:tc>
        <w:tc>
          <w:tcPr>
            <w:tcW w:w="3687" w:type="dxa"/>
            <w:gridSpan w:val="2"/>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5"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3687" w:type="dxa"/>
            <w:gridSpan w:val="2"/>
            <w:tcBorders>
              <w:top w:val="single" w:sz="8" w:space="0" w:color="000000"/>
              <w:left w:val="single" w:sz="6" w:space="0" w:color="000000"/>
              <w:bottom w:val="single" w:sz="8" w:space="0" w:color="000000"/>
              <w:right w:val="nil" w:sz="6" w:space="0" w:color="auto"/>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日元</w:t>
            </w:r>
          </w:p>
        </w:tc>
      </w:tr>
      <w:tr>
        <w:trPr>
          <w:trHeight w:val="348" w:hRule="exact"/>
        </w:trPr>
        <w:tc>
          <w:tcPr>
            <w:tcW w:w="1416" w:type="dxa"/>
            <w:vMerge/>
            <w:tcBorders>
              <w:left w:val="single" w:sz="6" w:space="0" w:color="000000"/>
              <w:bottom w:val="single" w:sz="8" w:space="0" w:color="000000"/>
              <w:right w:val="single" w:sz="6" w:space="0" w:color="000000"/>
            </w:tcBorders>
          </w:tcPr>
          <w:p>
            <w:pP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外币</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6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外币</w:t>
            </w:r>
          </w:p>
        </w:tc>
        <w:tc>
          <w:tcPr>
            <w:tcW w:w="1844"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left="599"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346" w:hRule="exact"/>
        </w:trPr>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8,377,505.76</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58,443,155.68</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267,545,086.00</w:t>
            </w:r>
          </w:p>
        </w:tc>
        <w:tc>
          <w:tcPr>
            <w:tcW w:w="184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spacing w:val="-1"/>
                <w:sz w:val="21"/>
              </w:rPr>
              <w:t>17,145,894.38</w:t>
            </w:r>
          </w:p>
        </w:tc>
      </w:tr>
      <w:tr>
        <w:trPr>
          <w:trHeight w:val="348" w:hRule="exact"/>
        </w:trPr>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3"/>
              <w:jc w:val="right"/>
              <w:rPr>
                <w:rFonts w:ascii="Times New Roman" w:hAnsi="Times New Roman" w:cs="Times New Roman" w:eastAsia="Times New Roman" w:hint="default"/>
                <w:sz w:val="21"/>
                <w:szCs w:val="21"/>
              </w:rPr>
            </w:pPr>
            <w:r>
              <w:rPr>
                <w:rFonts w:ascii="Times New Roman"/>
                <w:spacing w:val="-1"/>
                <w:sz w:val="21"/>
              </w:rPr>
              <w:t>172,480.59</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1,203,259.09</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114,427,026.22</w:t>
            </w:r>
          </w:p>
        </w:tc>
        <w:tc>
          <w:tcPr>
            <w:tcW w:w="184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7"/>
              <w:jc w:val="right"/>
              <w:rPr>
                <w:rFonts w:ascii="Times New Roman" w:hAnsi="Times New Roman" w:cs="Times New Roman" w:eastAsia="Times New Roman" w:hint="default"/>
                <w:sz w:val="21"/>
                <w:szCs w:val="21"/>
              </w:rPr>
            </w:pPr>
            <w:r>
              <w:rPr>
                <w:rFonts w:ascii="Times New Roman"/>
                <w:spacing w:val="-1"/>
                <w:sz w:val="21"/>
              </w:rPr>
              <w:t>7,333,170.40</w:t>
            </w:r>
          </w:p>
        </w:tc>
      </w:tr>
      <w:tr>
        <w:trPr>
          <w:trHeight w:val="346" w:hRule="exact"/>
        </w:trPr>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8,000.00</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55,809.60</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2,178,245.00</w:t>
            </w:r>
          </w:p>
        </w:tc>
        <w:tc>
          <w:tcPr>
            <w:tcW w:w="184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spacing w:val="-1"/>
                <w:sz w:val="21"/>
              </w:rPr>
              <w:t>139,595.01</w:t>
            </w:r>
          </w:p>
        </w:tc>
      </w:tr>
      <w:tr>
        <w:trPr>
          <w:trHeight w:val="349" w:hRule="exact"/>
        </w:trPr>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2"/>
              <w:ind w:right="-3"/>
              <w:jc w:val="right"/>
              <w:rPr>
                <w:rFonts w:ascii="Times New Roman" w:hAnsi="Times New Roman" w:cs="Times New Roman" w:eastAsia="Times New Roman" w:hint="default"/>
                <w:sz w:val="21"/>
                <w:szCs w:val="21"/>
              </w:rPr>
            </w:pPr>
            <w:r>
              <w:rPr>
                <w:rFonts w:ascii="Times New Roman"/>
                <w:sz w:val="21"/>
              </w:rPr>
              <w:t>320.00</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2"/>
              <w:ind w:right="-1"/>
              <w:jc w:val="right"/>
              <w:rPr>
                <w:rFonts w:ascii="Times New Roman" w:hAnsi="Times New Roman" w:cs="Times New Roman" w:eastAsia="Times New Roman" w:hint="default"/>
                <w:sz w:val="21"/>
                <w:szCs w:val="21"/>
              </w:rPr>
            </w:pPr>
            <w:r>
              <w:rPr>
                <w:rFonts w:ascii="Times New Roman"/>
                <w:spacing w:val="-1"/>
                <w:sz w:val="21"/>
              </w:rPr>
              <w:t>2,232.38</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2"/>
              <w:ind w:right="0"/>
              <w:jc w:val="right"/>
              <w:rPr>
                <w:rFonts w:ascii="Times New Roman" w:hAnsi="Times New Roman" w:cs="Times New Roman" w:eastAsia="Times New Roman" w:hint="default"/>
                <w:sz w:val="21"/>
                <w:szCs w:val="21"/>
              </w:rPr>
            </w:pPr>
            <w:r>
              <w:rPr>
                <w:rFonts w:ascii="Times New Roman"/>
                <w:spacing w:val="-1"/>
                <w:sz w:val="21"/>
              </w:rPr>
              <w:t>18,158,897.00</w:t>
            </w:r>
          </w:p>
        </w:tc>
        <w:tc>
          <w:tcPr>
            <w:tcW w:w="184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2"/>
              <w:ind w:right="7"/>
              <w:jc w:val="right"/>
              <w:rPr>
                <w:rFonts w:ascii="Times New Roman" w:hAnsi="Times New Roman" w:cs="Times New Roman" w:eastAsia="Times New Roman" w:hint="default"/>
                <w:sz w:val="21"/>
                <w:szCs w:val="21"/>
              </w:rPr>
            </w:pPr>
            <w:r>
              <w:rPr>
                <w:rFonts w:ascii="Times New Roman"/>
                <w:spacing w:val="-1"/>
                <w:sz w:val="21"/>
              </w:rPr>
              <w:t>1,163,731.07</w:t>
            </w:r>
          </w:p>
        </w:tc>
      </w:tr>
      <w:tr>
        <w:trPr>
          <w:trHeight w:val="348" w:hRule="exact"/>
        </w:trPr>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21,180.59</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147,760.03</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pacing w:val="-1"/>
                <w:sz w:val="21"/>
              </w:rPr>
              <w:t>3,509,141.00</w:t>
            </w:r>
          </w:p>
        </w:tc>
        <w:tc>
          <w:tcPr>
            <w:tcW w:w="184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224,886.81</w:t>
            </w:r>
          </w:p>
        </w:tc>
      </w:tr>
      <w:tr>
        <w:trPr>
          <w:trHeight w:val="348" w:hRule="exact"/>
        </w:trPr>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8,579,486.94</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59,852,216.78</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pacing w:val="-1"/>
                <w:sz w:val="21"/>
              </w:rPr>
              <w:t>405,818,395.22</w:t>
            </w:r>
          </w:p>
        </w:tc>
        <w:tc>
          <w:tcPr>
            <w:tcW w:w="184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26,007,277.67</w:t>
            </w:r>
          </w:p>
        </w:tc>
      </w:tr>
    </w:tbl>
    <w:p>
      <w:pPr>
        <w:pStyle w:val="BodyText"/>
        <w:spacing w:line="240" w:lineRule="auto" w:before="31"/>
        <w:ind w:left="585" w:right="0"/>
        <w:jc w:val="left"/>
      </w:pPr>
      <w:r>
        <w:rPr/>
        <w:t>（续上表）</w:t>
      </w: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414"/>
        <w:gridCol w:w="1846"/>
        <w:gridCol w:w="1844"/>
        <w:gridCol w:w="1844"/>
        <w:gridCol w:w="1844"/>
      </w:tblGrid>
      <w:tr>
        <w:trPr>
          <w:trHeight w:val="348" w:hRule="exact"/>
        </w:trPr>
        <w:tc>
          <w:tcPr>
            <w:tcW w:w="1414" w:type="dxa"/>
            <w:vMerge w:val="restart"/>
            <w:tcBorders>
              <w:top w:val="single" w:sz="6" w:space="0" w:color="000000"/>
              <w:left w:val="single" w:sz="6" w:space="0" w:color="000000"/>
              <w:right w:val="single" w:sz="6" w:space="0" w:color="000000"/>
            </w:tcBorders>
          </w:tcPr>
          <w:p>
            <w:pPr>
              <w:pStyle w:val="TableParagraph"/>
              <w:spacing w:line="272" w:lineRule="exact"/>
              <w:ind w:left="28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7377" w:type="dxa"/>
            <w:gridSpan w:val="4"/>
            <w:tcBorders>
              <w:top w:val="single" w:sz="6" w:space="0" w:color="000000"/>
              <w:left w:val="single" w:sz="6" w:space="0" w:color="000000"/>
              <w:bottom w:val="single" w:sz="8" w:space="0" w:color="000000"/>
              <w:right w:val="nil" w:sz="6" w:space="0" w:color="auto"/>
            </w:tcBorders>
          </w:tcPr>
          <w:p>
            <w:pPr>
              <w:pStyle w:val="TableParagraph"/>
              <w:spacing w:line="288" w:lineRule="exact"/>
              <w:ind w:left="-1"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r>
      <w:tr>
        <w:trPr>
          <w:trHeight w:val="348" w:hRule="exact"/>
        </w:trPr>
        <w:tc>
          <w:tcPr>
            <w:tcW w:w="1414" w:type="dxa"/>
            <w:vMerge/>
            <w:tcBorders>
              <w:left w:val="single" w:sz="6" w:space="0" w:color="000000"/>
              <w:right w:val="single" w:sz="6" w:space="0" w:color="000000"/>
            </w:tcBorders>
          </w:tcPr>
          <w:p>
            <w:pPr/>
          </w:p>
        </w:tc>
        <w:tc>
          <w:tcPr>
            <w:tcW w:w="3690" w:type="dxa"/>
            <w:gridSpan w:val="2"/>
            <w:tcBorders>
              <w:top w:val="single" w:sz="8" w:space="0" w:color="000000"/>
              <w:left w:val="single" w:sz="6" w:space="0" w:color="000000"/>
              <w:bottom w:val="single" w:sz="8"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新加坡元</w:t>
            </w:r>
          </w:p>
        </w:tc>
        <w:tc>
          <w:tcPr>
            <w:tcW w:w="3687" w:type="dxa"/>
            <w:gridSpan w:val="2"/>
            <w:tcBorders>
              <w:top w:val="single" w:sz="8" w:space="0" w:color="000000"/>
              <w:left w:val="single" w:sz="6" w:space="0" w:color="000000"/>
              <w:bottom w:val="single" w:sz="8" w:space="0" w:color="000000"/>
              <w:right w:val="nil" w:sz="6" w:space="0" w:color="auto"/>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港币</w:t>
            </w:r>
          </w:p>
        </w:tc>
      </w:tr>
      <w:tr>
        <w:trPr>
          <w:trHeight w:val="346" w:hRule="exact"/>
        </w:trPr>
        <w:tc>
          <w:tcPr>
            <w:tcW w:w="1414" w:type="dxa"/>
            <w:vMerge/>
            <w:tcBorders>
              <w:left w:val="single" w:sz="6" w:space="0" w:color="000000"/>
              <w:bottom w:val="single" w:sz="8" w:space="0" w:color="000000"/>
              <w:right w:val="single" w:sz="6" w:space="0" w:color="000000"/>
            </w:tcBorders>
          </w:tcPr>
          <w:p>
            <w:pPr/>
          </w:p>
        </w:tc>
        <w:tc>
          <w:tcPr>
            <w:tcW w:w="1846"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3" w:right="0"/>
              <w:jc w:val="center"/>
              <w:rPr>
                <w:rFonts w:ascii="宋体" w:hAnsi="宋体" w:cs="宋体" w:eastAsia="宋体" w:hint="default"/>
                <w:sz w:val="21"/>
                <w:szCs w:val="21"/>
              </w:rPr>
            </w:pPr>
            <w:r>
              <w:rPr>
                <w:rFonts w:ascii="宋体" w:hAnsi="宋体" w:cs="宋体" w:eastAsia="宋体" w:hint="default"/>
                <w:sz w:val="21"/>
                <w:szCs w:val="21"/>
              </w:rPr>
              <w:t>外币</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6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外币</w:t>
            </w:r>
          </w:p>
        </w:tc>
        <w:tc>
          <w:tcPr>
            <w:tcW w:w="1844" w:type="dxa"/>
            <w:tcBorders>
              <w:top w:val="single" w:sz="8" w:space="0" w:color="000000"/>
              <w:left w:val="single" w:sz="6" w:space="0" w:color="000000"/>
              <w:bottom w:val="single" w:sz="8" w:space="0" w:color="000000"/>
              <w:right w:val="nil" w:sz="6" w:space="0" w:color="auto"/>
            </w:tcBorders>
          </w:tcPr>
          <w:p>
            <w:pPr>
              <w:pStyle w:val="TableParagraph"/>
              <w:spacing w:line="267" w:lineRule="exact"/>
              <w:ind w:left="599"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348" w:hRule="exact"/>
        </w:trPr>
        <w:tc>
          <w:tcPr>
            <w:tcW w:w="1414"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175,911.91</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910,150.63</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2"/>
              <w:jc w:val="right"/>
              <w:rPr>
                <w:rFonts w:ascii="Times New Roman" w:hAnsi="Times New Roman" w:cs="Times New Roman" w:eastAsia="Times New Roman" w:hint="default"/>
                <w:sz w:val="21"/>
                <w:szCs w:val="21"/>
              </w:rPr>
            </w:pPr>
            <w:r>
              <w:rPr>
                <w:rFonts w:ascii="Times New Roman"/>
                <w:spacing w:val="-1"/>
                <w:sz w:val="21"/>
              </w:rPr>
              <w:t>1,038.32</w:t>
            </w:r>
          </w:p>
        </w:tc>
        <w:tc>
          <w:tcPr>
            <w:tcW w:w="184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1"/>
                <w:szCs w:val="21"/>
              </w:rPr>
            </w:pPr>
            <w:r>
              <w:rPr>
                <w:rFonts w:ascii="Times New Roman"/>
                <w:sz w:val="21"/>
              </w:rPr>
              <w:t>930.11</w:t>
            </w:r>
          </w:p>
        </w:tc>
      </w:tr>
      <w:tr>
        <w:trPr>
          <w:trHeight w:val="348" w:hRule="exact"/>
        </w:trPr>
        <w:tc>
          <w:tcPr>
            <w:tcW w:w="1414"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431,197.24</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2,230,971.40</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4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414"/>
        <w:gridCol w:w="1846"/>
        <w:gridCol w:w="1844"/>
        <w:gridCol w:w="1844"/>
        <w:gridCol w:w="1844"/>
      </w:tblGrid>
      <w:tr>
        <w:trPr>
          <w:trHeight w:val="351" w:hRule="exact"/>
        </w:trPr>
        <w:tc>
          <w:tcPr>
            <w:tcW w:w="1414"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4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33,023.40</w:t>
            </w:r>
          </w:p>
        </w:tc>
        <w:tc>
          <w:tcPr>
            <w:tcW w:w="184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170,859.77</w:t>
            </w:r>
          </w:p>
        </w:tc>
        <w:tc>
          <w:tcPr>
            <w:tcW w:w="184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44"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44"/>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1414"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4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1414"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6,962.27</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36,022.09</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2"/>
              <w:jc w:val="right"/>
              <w:rPr>
                <w:rFonts w:ascii="Times New Roman" w:hAnsi="Times New Roman" w:cs="Times New Roman" w:eastAsia="Times New Roman" w:hint="default"/>
                <w:sz w:val="21"/>
                <w:szCs w:val="21"/>
              </w:rPr>
            </w:pPr>
            <w:r>
              <w:rPr>
                <w:rFonts w:ascii="Times New Roman"/>
                <w:spacing w:val="-1"/>
                <w:sz w:val="21"/>
              </w:rPr>
              <w:t>314,200.00</w:t>
            </w:r>
          </w:p>
        </w:tc>
        <w:tc>
          <w:tcPr>
            <w:tcW w:w="184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1"/>
                <w:szCs w:val="21"/>
              </w:rPr>
            </w:pPr>
            <w:r>
              <w:rPr>
                <w:rFonts w:ascii="Times New Roman"/>
                <w:spacing w:val="-1"/>
                <w:sz w:val="21"/>
              </w:rPr>
              <w:t>281,454.08</w:t>
            </w:r>
          </w:p>
        </w:tc>
      </w:tr>
      <w:tr>
        <w:trPr>
          <w:trHeight w:val="348" w:hRule="exact"/>
        </w:trPr>
        <w:tc>
          <w:tcPr>
            <w:tcW w:w="1414"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647,094.82</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3,348,003.89</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pacing w:val="-1"/>
                <w:sz w:val="21"/>
              </w:rPr>
              <w:t>315,238.32</w:t>
            </w:r>
          </w:p>
        </w:tc>
        <w:tc>
          <w:tcPr>
            <w:tcW w:w="184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282,384.19</w:t>
            </w:r>
          </w:p>
        </w:tc>
      </w:tr>
    </w:tbl>
    <w:p>
      <w:pPr>
        <w:pStyle w:val="BodyText"/>
        <w:spacing w:line="240" w:lineRule="auto" w:before="8"/>
        <w:ind w:left="585" w:right="0"/>
        <w:jc w:val="left"/>
      </w:pPr>
      <w:r>
        <w:rPr/>
        <w:t>（续上表）</w:t>
      </w: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526"/>
        <w:gridCol w:w="1421"/>
        <w:gridCol w:w="1560"/>
        <w:gridCol w:w="2264"/>
        <w:gridCol w:w="2086"/>
      </w:tblGrid>
      <w:tr>
        <w:trPr>
          <w:trHeight w:val="348" w:hRule="exact"/>
        </w:trPr>
        <w:tc>
          <w:tcPr>
            <w:tcW w:w="1526" w:type="dxa"/>
            <w:vMerge w:val="restart"/>
            <w:tcBorders>
              <w:top w:val="single" w:sz="6" w:space="0" w:color="000000"/>
              <w:left w:val="single" w:sz="6" w:space="0" w:color="000000"/>
              <w:right w:val="single" w:sz="6" w:space="0" w:color="000000"/>
            </w:tcBorders>
          </w:tcPr>
          <w:p>
            <w:pPr>
              <w:pStyle w:val="TableParagraph"/>
              <w:spacing w:line="272" w:lineRule="exact"/>
              <w:ind w:left="3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7332" w:type="dxa"/>
            <w:gridSpan w:val="4"/>
            <w:tcBorders>
              <w:top w:val="single" w:sz="6" w:space="0" w:color="000000"/>
              <w:left w:val="single" w:sz="6" w:space="0" w:color="000000"/>
              <w:bottom w:val="single" w:sz="8" w:space="0" w:color="000000"/>
              <w:right w:val="nil" w:sz="6" w:space="0" w:color="auto"/>
            </w:tcBorders>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r>
      <w:tr>
        <w:trPr>
          <w:trHeight w:val="348" w:hRule="exact"/>
        </w:trPr>
        <w:tc>
          <w:tcPr>
            <w:tcW w:w="1526" w:type="dxa"/>
            <w:vMerge/>
            <w:tcBorders>
              <w:left w:val="single" w:sz="6" w:space="0" w:color="000000"/>
              <w:right w:val="single" w:sz="6" w:space="0" w:color="000000"/>
            </w:tcBorders>
          </w:tcPr>
          <w:p>
            <w:pPr/>
          </w:p>
        </w:tc>
        <w:tc>
          <w:tcPr>
            <w:tcW w:w="2982" w:type="dxa"/>
            <w:gridSpan w:val="2"/>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4350" w:type="dxa"/>
            <w:gridSpan w:val="2"/>
            <w:tcBorders>
              <w:top w:val="single" w:sz="8" w:space="0" w:color="000000"/>
              <w:left w:val="single" w:sz="6" w:space="0" w:color="000000"/>
              <w:bottom w:val="single" w:sz="8" w:space="0" w:color="000000"/>
              <w:right w:val="nil" w:sz="6" w:space="0" w:color="auto"/>
            </w:tcBorders>
          </w:tcPr>
          <w:p>
            <w:pPr>
              <w:pStyle w:val="TableParagraph"/>
              <w:spacing w:line="270" w:lineRule="exact"/>
              <w:ind w:right="6"/>
              <w:jc w:val="center"/>
              <w:rPr>
                <w:rFonts w:ascii="宋体" w:hAnsi="宋体" w:cs="宋体" w:eastAsia="宋体" w:hint="default"/>
                <w:sz w:val="21"/>
                <w:szCs w:val="21"/>
              </w:rPr>
            </w:pPr>
            <w:r>
              <w:rPr>
                <w:rFonts w:ascii="宋体" w:hAnsi="宋体" w:cs="宋体" w:eastAsia="宋体" w:hint="default"/>
                <w:sz w:val="21"/>
                <w:szCs w:val="21"/>
              </w:rPr>
              <w:t>日元</w:t>
            </w:r>
          </w:p>
        </w:tc>
      </w:tr>
      <w:tr>
        <w:trPr>
          <w:trHeight w:val="346" w:hRule="exact"/>
        </w:trPr>
        <w:tc>
          <w:tcPr>
            <w:tcW w:w="1526" w:type="dxa"/>
            <w:vMerge/>
            <w:tcBorders>
              <w:left w:val="single" w:sz="6" w:space="0" w:color="000000"/>
              <w:bottom w:val="single" w:sz="8" w:space="0" w:color="000000"/>
              <w:right w:val="single" w:sz="6" w:space="0" w:color="000000"/>
            </w:tcBorders>
          </w:tcPr>
          <w:p>
            <w:pPr/>
          </w:p>
        </w:tc>
        <w:tc>
          <w:tcPr>
            <w:tcW w:w="142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外币</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55"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264"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外币</w:t>
            </w:r>
          </w:p>
        </w:tc>
        <w:tc>
          <w:tcPr>
            <w:tcW w:w="2086" w:type="dxa"/>
            <w:tcBorders>
              <w:top w:val="single" w:sz="8" w:space="0" w:color="000000"/>
              <w:left w:val="single" w:sz="6" w:space="0" w:color="000000"/>
              <w:bottom w:val="single" w:sz="8" w:space="0" w:color="000000"/>
              <w:right w:val="nil" w:sz="6" w:space="0" w:color="auto"/>
            </w:tcBorders>
          </w:tcPr>
          <w:p>
            <w:pPr>
              <w:pStyle w:val="TableParagraph"/>
              <w:spacing w:line="267" w:lineRule="exact"/>
              <w:ind w:right="3"/>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348" w:hRule="exact"/>
        </w:trPr>
        <w:tc>
          <w:tcPr>
            <w:tcW w:w="1526"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42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9,042,415.72</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62,059,907.57</w:t>
            </w:r>
          </w:p>
        </w:tc>
        <w:tc>
          <w:tcPr>
            <w:tcW w:w="226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235,642,058.00</w:t>
            </w:r>
          </w:p>
        </w:tc>
        <w:tc>
          <w:tcPr>
            <w:tcW w:w="208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7"/>
              <w:jc w:val="right"/>
              <w:rPr>
                <w:rFonts w:ascii="Times New Roman" w:hAnsi="Times New Roman" w:cs="Times New Roman" w:eastAsia="Times New Roman" w:hint="default"/>
                <w:sz w:val="21"/>
                <w:szCs w:val="21"/>
              </w:rPr>
            </w:pPr>
            <w:r>
              <w:rPr>
                <w:rFonts w:ascii="Times New Roman"/>
                <w:spacing w:val="-1"/>
                <w:sz w:val="21"/>
              </w:rPr>
              <w:t>14,583,180.04</w:t>
            </w:r>
          </w:p>
        </w:tc>
      </w:tr>
      <w:tr>
        <w:trPr>
          <w:trHeight w:val="348" w:hRule="exact"/>
        </w:trPr>
        <w:tc>
          <w:tcPr>
            <w:tcW w:w="1526"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2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308,386.02</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2,116,514.93</w:t>
            </w:r>
          </w:p>
        </w:tc>
        <w:tc>
          <w:tcPr>
            <w:tcW w:w="226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143,647,830.00</w:t>
            </w:r>
          </w:p>
        </w:tc>
        <w:tc>
          <w:tcPr>
            <w:tcW w:w="208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spacing w:val="-1"/>
                <w:sz w:val="21"/>
              </w:rPr>
              <w:t>8,889,933.26</w:t>
            </w:r>
          </w:p>
        </w:tc>
      </w:tr>
      <w:tr>
        <w:trPr>
          <w:trHeight w:val="346" w:hRule="exact"/>
        </w:trPr>
        <w:tc>
          <w:tcPr>
            <w:tcW w:w="1526" w:type="dxa"/>
            <w:tcBorders>
              <w:top w:val="single" w:sz="8" w:space="0" w:color="000000"/>
              <w:left w:val="single" w:sz="6" w:space="0" w:color="000000"/>
              <w:bottom w:val="single" w:sz="8" w:space="0" w:color="000000"/>
              <w:right w:val="single" w:sz="6" w:space="0" w:color="000000"/>
            </w:tcBorders>
          </w:tcPr>
          <w:p>
            <w:pPr>
              <w:pStyle w:val="TableParagraph"/>
              <w:spacing w:line="268"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2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8,300.27</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56,966.41</w:t>
            </w:r>
          </w:p>
        </w:tc>
        <w:tc>
          <w:tcPr>
            <w:tcW w:w="226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1,406,867.00</w:t>
            </w:r>
          </w:p>
        </w:tc>
        <w:tc>
          <w:tcPr>
            <w:tcW w:w="208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spacing w:val="-1"/>
                <w:sz w:val="21"/>
              </w:rPr>
              <w:t>87,066.78</w:t>
            </w:r>
          </w:p>
        </w:tc>
      </w:tr>
      <w:tr>
        <w:trPr>
          <w:trHeight w:val="348" w:hRule="exact"/>
        </w:trPr>
        <w:tc>
          <w:tcPr>
            <w:tcW w:w="1526"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42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z w:val="21"/>
              </w:rPr>
              <w:t>360.00</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2,470.75</w:t>
            </w:r>
          </w:p>
        </w:tc>
        <w:tc>
          <w:tcPr>
            <w:tcW w:w="226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11,109,641.95</w:t>
            </w:r>
          </w:p>
        </w:tc>
        <w:tc>
          <w:tcPr>
            <w:tcW w:w="208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7"/>
              <w:jc w:val="right"/>
              <w:rPr>
                <w:rFonts w:ascii="Times New Roman" w:hAnsi="Times New Roman" w:cs="Times New Roman" w:eastAsia="Times New Roman" w:hint="default"/>
                <w:sz w:val="21"/>
                <w:szCs w:val="21"/>
              </w:rPr>
            </w:pPr>
            <w:r>
              <w:rPr>
                <w:rFonts w:ascii="Times New Roman"/>
                <w:spacing w:val="-1"/>
                <w:sz w:val="21"/>
              </w:rPr>
              <w:t>687,542.41</w:t>
            </w:r>
          </w:p>
        </w:tc>
      </w:tr>
      <w:tr>
        <w:trPr>
          <w:trHeight w:val="346" w:hRule="exact"/>
        </w:trPr>
        <w:tc>
          <w:tcPr>
            <w:tcW w:w="1526"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42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57,073.52</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391,706.98</w:t>
            </w:r>
          </w:p>
        </w:tc>
        <w:tc>
          <w:tcPr>
            <w:tcW w:w="226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2,314,419.00</w:t>
            </w:r>
          </w:p>
        </w:tc>
        <w:tc>
          <w:tcPr>
            <w:tcW w:w="208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spacing w:val="-1"/>
                <w:sz w:val="21"/>
              </w:rPr>
              <w:t>143,232.45</w:t>
            </w:r>
          </w:p>
        </w:tc>
      </w:tr>
      <w:tr>
        <w:trPr>
          <w:trHeight w:val="348" w:hRule="exact"/>
        </w:trPr>
        <w:tc>
          <w:tcPr>
            <w:tcW w:w="1526"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9,416,535.53</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64,627,566.64</w:t>
            </w:r>
          </w:p>
        </w:tc>
        <w:tc>
          <w:tcPr>
            <w:tcW w:w="226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394,120,815.95</w:t>
            </w:r>
          </w:p>
        </w:tc>
        <w:tc>
          <w:tcPr>
            <w:tcW w:w="208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7"/>
              <w:jc w:val="right"/>
              <w:rPr>
                <w:rFonts w:ascii="Times New Roman" w:hAnsi="Times New Roman" w:cs="Times New Roman" w:eastAsia="Times New Roman" w:hint="default"/>
                <w:sz w:val="21"/>
                <w:szCs w:val="21"/>
              </w:rPr>
            </w:pPr>
            <w:r>
              <w:rPr>
                <w:rFonts w:ascii="Times New Roman"/>
                <w:spacing w:val="-1"/>
                <w:sz w:val="21"/>
              </w:rPr>
              <w:t>24,390,954.94</w:t>
            </w:r>
          </w:p>
        </w:tc>
      </w:tr>
    </w:tbl>
    <w:p>
      <w:pPr>
        <w:pStyle w:val="BodyText"/>
        <w:spacing w:line="240" w:lineRule="auto" w:before="8"/>
        <w:ind w:left="657" w:right="0"/>
        <w:jc w:val="left"/>
      </w:pPr>
      <w:r>
        <w:rPr/>
        <w:t>（续上表）</w:t>
      </w: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488"/>
        <w:gridCol w:w="1825"/>
        <w:gridCol w:w="1805"/>
        <w:gridCol w:w="1957"/>
        <w:gridCol w:w="1784"/>
      </w:tblGrid>
      <w:tr>
        <w:trPr>
          <w:trHeight w:val="350" w:hRule="exact"/>
        </w:trPr>
        <w:tc>
          <w:tcPr>
            <w:tcW w:w="1488" w:type="dxa"/>
            <w:vMerge w:val="restart"/>
            <w:tcBorders>
              <w:top w:val="single" w:sz="6" w:space="0" w:color="000000"/>
              <w:left w:val="single" w:sz="6" w:space="0" w:color="000000"/>
              <w:right w:val="single" w:sz="6" w:space="0" w:color="000000"/>
            </w:tcBorders>
          </w:tcPr>
          <w:p>
            <w:pPr>
              <w:pStyle w:val="TableParagraph"/>
              <w:spacing w:line="274" w:lineRule="exact"/>
              <w:ind w:left="31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7370" w:type="dxa"/>
            <w:gridSpan w:val="4"/>
            <w:tcBorders>
              <w:top w:val="single" w:sz="6" w:space="0" w:color="000000"/>
              <w:left w:val="single" w:sz="6" w:space="0" w:color="000000"/>
              <w:bottom w:val="single" w:sz="8" w:space="0" w:color="000000"/>
              <w:right w:val="nil" w:sz="6" w:space="0" w:color="auto"/>
            </w:tcBorders>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r>
      <w:tr>
        <w:trPr>
          <w:trHeight w:val="346" w:hRule="exact"/>
        </w:trPr>
        <w:tc>
          <w:tcPr>
            <w:tcW w:w="1488" w:type="dxa"/>
            <w:vMerge/>
            <w:tcBorders>
              <w:left w:val="single" w:sz="6" w:space="0" w:color="000000"/>
              <w:right w:val="single" w:sz="6" w:space="0" w:color="000000"/>
            </w:tcBorders>
          </w:tcPr>
          <w:p>
            <w:pPr/>
          </w:p>
        </w:tc>
        <w:tc>
          <w:tcPr>
            <w:tcW w:w="3630" w:type="dxa"/>
            <w:gridSpan w:val="2"/>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7" w:right="0"/>
              <w:jc w:val="center"/>
              <w:rPr>
                <w:rFonts w:ascii="宋体" w:hAnsi="宋体" w:cs="宋体" w:eastAsia="宋体" w:hint="default"/>
                <w:sz w:val="21"/>
                <w:szCs w:val="21"/>
              </w:rPr>
            </w:pPr>
            <w:r>
              <w:rPr>
                <w:rFonts w:ascii="宋体" w:hAnsi="宋体" w:cs="宋体" w:eastAsia="宋体" w:hint="default"/>
                <w:sz w:val="21"/>
                <w:szCs w:val="21"/>
              </w:rPr>
              <w:t>新加坡元</w:t>
            </w:r>
          </w:p>
        </w:tc>
        <w:tc>
          <w:tcPr>
            <w:tcW w:w="3740" w:type="dxa"/>
            <w:gridSpan w:val="2"/>
            <w:tcBorders>
              <w:top w:val="single" w:sz="8" w:space="0" w:color="000000"/>
              <w:left w:val="single" w:sz="6" w:space="0" w:color="000000"/>
              <w:bottom w:val="single" w:sz="8" w:space="0" w:color="000000"/>
              <w:right w:val="nil" w:sz="6" w:space="0" w:color="auto"/>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港币</w:t>
            </w:r>
          </w:p>
        </w:tc>
      </w:tr>
      <w:tr>
        <w:trPr>
          <w:trHeight w:val="348" w:hRule="exact"/>
        </w:trPr>
        <w:tc>
          <w:tcPr>
            <w:tcW w:w="1488" w:type="dxa"/>
            <w:vMerge/>
            <w:tcBorders>
              <w:left w:val="single" w:sz="6" w:space="0" w:color="000000"/>
              <w:bottom w:val="single" w:sz="8" w:space="0" w:color="000000"/>
              <w:right w:val="single" w:sz="6" w:space="0" w:color="000000"/>
            </w:tcBorders>
          </w:tcPr>
          <w:p>
            <w:pPr/>
          </w:p>
        </w:tc>
        <w:tc>
          <w:tcPr>
            <w:tcW w:w="1825"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外币</w:t>
            </w: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58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957"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外币</w:t>
            </w:r>
          </w:p>
        </w:tc>
        <w:tc>
          <w:tcPr>
            <w:tcW w:w="1784"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left="568"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348" w:hRule="exact"/>
        </w:trPr>
        <w:tc>
          <w:tcPr>
            <w:tcW w:w="1488"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679,234.64</w:t>
            </w: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3,400,384.45</w:t>
            </w:r>
          </w:p>
        </w:tc>
        <w:tc>
          <w:tcPr>
            <w:tcW w:w="19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1,330.16</w:t>
            </w:r>
          </w:p>
        </w:tc>
        <w:tc>
          <w:tcPr>
            <w:tcW w:w="178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spacing w:val="-1"/>
                <w:sz w:val="21"/>
              </w:rPr>
              <w:t>1,165.49</w:t>
            </w:r>
          </w:p>
        </w:tc>
      </w:tr>
      <w:tr>
        <w:trPr>
          <w:trHeight w:val="346" w:hRule="exact"/>
        </w:trPr>
        <w:tc>
          <w:tcPr>
            <w:tcW w:w="1488"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267,894.40</w:t>
            </w: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1,341,132.95</w:t>
            </w:r>
          </w:p>
        </w:tc>
        <w:tc>
          <w:tcPr>
            <w:tcW w:w="19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78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1488"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2"/>
              <w:ind w:right="-1"/>
              <w:jc w:val="right"/>
              <w:rPr>
                <w:rFonts w:ascii="Times New Roman" w:hAnsi="Times New Roman" w:cs="Times New Roman" w:eastAsia="Times New Roman" w:hint="default"/>
                <w:sz w:val="21"/>
                <w:szCs w:val="21"/>
              </w:rPr>
            </w:pPr>
            <w:r>
              <w:rPr>
                <w:rFonts w:ascii="Times New Roman"/>
                <w:spacing w:val="-1"/>
                <w:sz w:val="21"/>
              </w:rPr>
              <w:t>36,348.40</w:t>
            </w: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2"/>
              <w:ind w:right="0"/>
              <w:jc w:val="right"/>
              <w:rPr>
                <w:rFonts w:ascii="Times New Roman" w:hAnsi="Times New Roman" w:cs="Times New Roman" w:eastAsia="Times New Roman" w:hint="default"/>
                <w:sz w:val="21"/>
                <w:szCs w:val="21"/>
              </w:rPr>
            </w:pPr>
            <w:r>
              <w:rPr>
                <w:rFonts w:ascii="Times New Roman"/>
                <w:spacing w:val="-1"/>
                <w:sz w:val="21"/>
              </w:rPr>
              <w:t>181,967.36</w:t>
            </w:r>
          </w:p>
        </w:tc>
        <w:tc>
          <w:tcPr>
            <w:tcW w:w="19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2"/>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78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2"/>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1488"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z w:val="21"/>
              </w:rPr>
              <w:t>360.99</w:t>
            </w: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1,807.19</w:t>
            </w:r>
          </w:p>
        </w:tc>
        <w:tc>
          <w:tcPr>
            <w:tcW w:w="19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78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1488"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5,832.86</w:t>
            </w: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29,200.46</w:t>
            </w:r>
          </w:p>
        </w:tc>
        <w:tc>
          <w:tcPr>
            <w:tcW w:w="19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317,797.74</w:t>
            </w:r>
          </w:p>
        </w:tc>
        <w:tc>
          <w:tcPr>
            <w:tcW w:w="178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7"/>
              <w:jc w:val="right"/>
              <w:rPr>
                <w:rFonts w:ascii="Times New Roman" w:hAnsi="Times New Roman" w:cs="Times New Roman" w:eastAsia="Times New Roman" w:hint="default"/>
                <w:sz w:val="21"/>
                <w:szCs w:val="21"/>
              </w:rPr>
            </w:pPr>
            <w:r>
              <w:rPr>
                <w:rFonts w:ascii="Times New Roman"/>
                <w:spacing w:val="-1"/>
                <w:sz w:val="21"/>
              </w:rPr>
              <w:t>278,454.38</w:t>
            </w:r>
          </w:p>
        </w:tc>
      </w:tr>
      <w:tr>
        <w:trPr>
          <w:trHeight w:val="348" w:hRule="exact"/>
        </w:trPr>
        <w:tc>
          <w:tcPr>
            <w:tcW w:w="1488"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989,671.29</w:t>
            </w: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4,954,492.41</w:t>
            </w:r>
          </w:p>
        </w:tc>
        <w:tc>
          <w:tcPr>
            <w:tcW w:w="19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319,127.90</w:t>
            </w:r>
          </w:p>
        </w:tc>
        <w:tc>
          <w:tcPr>
            <w:tcW w:w="178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spacing w:val="-1"/>
                <w:sz w:val="21"/>
              </w:rPr>
              <w:t>279,619.87</w:t>
            </w:r>
          </w:p>
        </w:tc>
      </w:tr>
    </w:tbl>
    <w:p>
      <w:pPr>
        <w:pStyle w:val="BodyText"/>
        <w:spacing w:line="316" w:lineRule="auto" w:before="8"/>
        <w:ind w:left="657" w:right="1124"/>
        <w:jc w:val="left"/>
      </w:pPr>
      <w:r>
        <w:rPr/>
        <w:t>②敏感性分析 </w:t>
      </w:r>
      <w:r>
        <w:rPr>
          <w:spacing w:val="-1"/>
        </w:rPr>
        <w:t>本公司面临的汇率风险主要来源于以美元计价的金融资产和金融负债。</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日，在其他风险变量不变的情况</w:t>
      </w:r>
    </w:p>
    <w:p>
      <w:pPr>
        <w:pStyle w:val="BodyText"/>
        <w:spacing w:line="300" w:lineRule="auto"/>
        <w:ind w:right="1198"/>
        <w:jc w:val="left"/>
      </w:pPr>
      <w:r>
        <w:rPr/>
        <w:t>下，如果当日人民币对于美元贬值</w:t>
      </w:r>
      <w:r>
        <w:rPr>
          <w:rFonts w:ascii="Times New Roman" w:hAnsi="Times New Roman" w:cs="Times New Roman" w:eastAsia="Times New Roman" w:hint="default"/>
        </w:rPr>
        <w:t>100</w:t>
      </w:r>
      <w:r>
        <w:rPr/>
        <w:t>基点（即：</w:t>
      </w:r>
      <w:r>
        <w:rPr>
          <w:rFonts w:ascii="Times New Roman" w:hAnsi="Times New Roman" w:cs="Times New Roman" w:eastAsia="Times New Roman" w:hint="default"/>
        </w:rPr>
        <w:t>1%</w:t>
      </w:r>
      <w:r>
        <w:rPr/>
        <w:t>），那么本公司当年的利润总额将减少</w:t>
      </w:r>
      <w:r>
        <w:rPr>
          <w:rFonts w:ascii="Times New Roman" w:hAnsi="Times New Roman" w:cs="Times New Roman" w:eastAsia="Times New Roman" w:hint="default"/>
        </w:rPr>
        <w:t>59.55</w:t>
      </w:r>
      <w:r>
        <w:rPr/>
        <w:t>万元。相反，在其他风险 变量不变的情况下，如果当日人民币对于美元升值</w:t>
      </w:r>
      <w:r>
        <w:rPr>
          <w:rFonts w:ascii="Times New Roman" w:hAnsi="Times New Roman" w:cs="Times New Roman" w:eastAsia="Times New Roman" w:hint="default"/>
        </w:rPr>
        <w:t>100</w:t>
      </w:r>
      <w:r>
        <w:rPr/>
        <w:t>基点（即：</w:t>
      </w:r>
      <w:r>
        <w:rPr>
          <w:rFonts w:ascii="Times New Roman" w:hAnsi="Times New Roman" w:cs="Times New Roman" w:eastAsia="Times New Roman" w:hint="default"/>
        </w:rPr>
        <w:t>1%</w:t>
      </w:r>
      <w:r>
        <w:rPr/>
        <w:t>），那么本公司当年的利润总额将增加</w:t>
      </w:r>
      <w:r>
        <w:rPr>
          <w:rFonts w:ascii="Times New Roman" w:hAnsi="Times New Roman" w:cs="Times New Roman" w:eastAsia="Times New Roman" w:hint="default"/>
        </w:rPr>
        <w:t>59.55</w:t>
      </w:r>
      <w:r>
        <w:rPr/>
        <w:t>万元。</w:t>
      </w:r>
    </w:p>
    <w:p>
      <w:pPr>
        <w:pStyle w:val="BodyText"/>
        <w:spacing w:line="300" w:lineRule="auto" w:before="13"/>
        <w:ind w:left="657" w:right="1069"/>
        <w:jc w:val="left"/>
      </w:pPr>
      <w:r>
        <w:rPr/>
        <w:t>（</w:t>
      </w:r>
      <w:r>
        <w:rPr>
          <w:rFonts w:ascii="Times New Roman" w:hAnsi="Times New Roman" w:cs="Times New Roman" w:eastAsia="Times New Roman" w:hint="default"/>
        </w:rPr>
        <w:t>2</w:t>
      </w:r>
      <w:r>
        <w:rPr/>
        <w:t>）利率风险 本公司的利率风险主要产生于长期银行借款等长期带息债务。浮动利率的金融负债使本公司面临现金流量利率风险，</w:t>
      </w:r>
    </w:p>
    <w:p>
      <w:pPr>
        <w:pStyle w:val="BodyText"/>
        <w:spacing w:line="319" w:lineRule="auto" w:before="31"/>
        <w:ind w:right="1117"/>
        <w:jc w:val="left"/>
      </w:pPr>
      <w:r>
        <w:rPr>
          <w:spacing w:val="-2"/>
        </w:rPr>
        <w:t>固定利率的金融负债使本公司面临公允价值利率风险。本公司根据当时的市场环境来决定固定利率及浮动利率合同的相对比</w:t>
      </w:r>
      <w:r>
        <w:rPr>
          <w:spacing w:val="-64"/>
        </w:rPr>
        <w:t> </w:t>
      </w:r>
      <w:r>
        <w:rPr>
          <w:spacing w:val="-64"/>
        </w:rPr>
      </w:r>
      <w:r>
        <w:rPr/>
        <w:t>例。</w:t>
      </w:r>
    </w:p>
    <w:p>
      <w:pPr>
        <w:pStyle w:val="BodyText"/>
        <w:spacing w:line="316" w:lineRule="auto" w:before="17"/>
        <w:ind w:right="1120" w:firstLine="504"/>
        <w:jc w:val="left"/>
      </w:pPr>
      <w:r>
        <w:rPr>
          <w:spacing w:val="-1"/>
        </w:rPr>
        <w:t>本公司总部财务部门持续监控集团利率水平。利率上升会增加新增带息债务的成本以及本公司尚未付清的以浮动利率</w:t>
      </w:r>
      <w:r>
        <w:rPr/>
        <w:t> 计息的带息债务的利息支出，并对本公司的财务业绩产生重大的不利影响，管理层会依据最新的市场状况及时做出调整。</w:t>
      </w:r>
    </w:p>
    <w:p>
      <w:pPr>
        <w:spacing w:line="240" w:lineRule="auto" w:before="0"/>
        <w:rPr>
          <w:rFonts w:ascii="宋体" w:hAnsi="宋体" w:cs="宋体" w:eastAsia="宋体" w:hint="default"/>
          <w:sz w:val="15"/>
          <w:szCs w:val="15"/>
        </w:rPr>
      </w:pPr>
    </w:p>
    <w:p>
      <w:pPr>
        <w:pStyle w:val="Heading2"/>
        <w:spacing w:line="240" w:lineRule="auto"/>
        <w:ind w:right="0"/>
        <w:jc w:val="left"/>
        <w:rPr>
          <w:b w:val="0"/>
          <w:bCs w:val="0"/>
        </w:rPr>
      </w:pPr>
      <w:r>
        <w:rPr/>
        <w:t>十一、公允价值的披露</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3"/>
        <w:gridCol w:w="7579"/>
      </w:tblGrid>
      <w:tr>
        <w:trPr>
          <w:trHeight w:val="401"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3" w:right="101"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468,000,000.00</w:t>
            </w:r>
          </w:p>
        </w:tc>
      </w:tr>
      <w:tr>
        <w:trPr>
          <w:trHeight w:val="1027"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 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468,000,000.00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468,000,000.00</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468,000,000.00</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4"/>
                <w:sz w:val="18"/>
                <w:szCs w:val="18"/>
              </w:rPr>
              <w:t>（三）其他权益工具投资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233,637,522.46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233,637,522.46</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5,369,196.03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5,369,196.03</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5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473,369,196.03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233,637,522.46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707,006,718.49</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657" w:right="0"/>
        <w:jc w:val="left"/>
      </w:pPr>
      <w:r>
        <w:rPr/>
        <w:t>不适用。</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657" w:right="1609"/>
        <w:jc w:val="left"/>
      </w:pPr>
      <w:r>
        <w:rPr/>
        <w:t>期末理财产品因其剩余期限较短，利率较低波动较小，账面价值与公允价值接近，采用成本价作为公允价值。</w:t>
      </w:r>
      <w:r>
        <w:rPr>
          <w:spacing w:val="-87"/>
        </w:rPr>
        <w:t> </w:t>
      </w:r>
      <w:r>
        <w:rPr>
          <w:spacing w:val="-87"/>
        </w:rPr>
      </w:r>
      <w:r>
        <w:rPr/>
        <w:t>应收款项融资因其剩余期限较短，账面价值与公允价值接近，采用票面金额作为公允价值。</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657" w:right="0"/>
        <w:jc w:val="left"/>
      </w:pPr>
      <w:r>
        <w:rPr/>
        <w:t>无。</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9" w:lineRule="auto"/>
        <w:ind w:left="657" w:right="1120"/>
        <w:jc w:val="left"/>
      </w:pPr>
      <w:r>
        <w:rPr/>
        <w:t>本公司第三层次公允价值计量的其他权益工具投资系本公司持有的非上市公司股权。 </w:t>
      </w:r>
      <w:r>
        <w:rPr>
          <w:spacing w:val="-1"/>
        </w:rPr>
        <w:t>其他被投资企业经营环境和经营情况、财务状况未发生重大变化，所以公司按持有的权益作为公允价值的合理估计进</w:t>
      </w:r>
    </w:p>
    <w:p>
      <w:pPr>
        <w:pStyle w:val="BodyText"/>
        <w:spacing w:line="240" w:lineRule="auto" w:before="17"/>
        <w:ind w:right="0"/>
        <w:jc w:val="left"/>
      </w:pPr>
      <w:r>
        <w:rPr/>
        <w:t>行计量。</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6" w:lineRule="auto" w:before="0"/>
        <w:ind w:left="153" w:right="811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9</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十二、关联方及关联交易</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、本企业的母公司情况</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9"/>
          <w:szCs w:val="9"/>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江苏润和科技投资 </w:t>
            </w:r>
            <w:r>
              <w:rPr>
                <w:rFonts w:ascii="宋体" w:hAnsi="宋体" w:cs="宋体" w:eastAsia="宋体" w:hint="default"/>
                <w:spacing w:val="-10"/>
                <w:sz w:val="18"/>
                <w:szCs w:val="18"/>
              </w:rPr>
              <w:t>集团有限公司（以下</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润和投资</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1015" w:right="0"/>
              <w:jc w:val="left"/>
              <w:rPr>
                <w:rFonts w:ascii="Times New Roman" w:hAnsi="Times New Roman" w:cs="Times New Roman" w:eastAsia="Times New Roman" w:hint="default"/>
                <w:sz w:val="18"/>
                <w:szCs w:val="18"/>
              </w:rPr>
            </w:pPr>
            <w:r>
              <w:rPr>
                <w:rFonts w:ascii="Times New Roman"/>
                <w:sz w:val="18"/>
              </w:rPr>
              <w:t>11.46%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1015" w:right="0"/>
              <w:jc w:val="left"/>
              <w:rPr>
                <w:rFonts w:ascii="Times New Roman" w:hAnsi="Times New Roman" w:cs="Times New Roman" w:eastAsia="Times New Roman" w:hint="default"/>
                <w:sz w:val="18"/>
                <w:szCs w:val="18"/>
              </w:rPr>
            </w:pPr>
            <w:r>
              <w:rPr>
                <w:rFonts w:ascii="Times New Roman"/>
                <w:sz w:val="18"/>
              </w:rPr>
              <w:t>11.46%</w:t>
            </w:r>
          </w:p>
        </w:tc>
      </w:tr>
    </w:tbl>
    <w:p>
      <w:pPr>
        <w:pStyle w:val="BodyText"/>
        <w:spacing w:line="360" w:lineRule="auto" w:before="49"/>
        <w:ind w:left="657" w:right="0" w:hanging="504"/>
        <w:jc w:val="left"/>
        <w:rPr>
          <w:rFonts w:ascii="Times New Roman" w:hAnsi="Times New Roman" w:cs="Times New Roman" w:eastAsia="Times New Roman" w:hint="default"/>
        </w:rPr>
      </w:pPr>
      <w:r>
        <w:rPr/>
        <w:t>本企业的母公司情况的说明 </w:t>
      </w:r>
      <w:r>
        <w:rPr>
          <w:spacing w:val="-2"/>
        </w:rPr>
        <w:t>本公司最终控制方为自然人周红卫、姚宁，截止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日，周红卫、姚宁分别直接持有润和软件</w:t>
      </w:r>
      <w:r>
        <w:rPr>
          <w:rFonts w:ascii="Times New Roman" w:hAnsi="Times New Roman" w:cs="Times New Roman" w:eastAsia="Times New Roman" w:hint="default"/>
          <w:spacing w:val="-2"/>
        </w:rPr>
        <w:t>4.17%</w:t>
      </w:r>
      <w:r>
        <w:rPr>
          <w:spacing w:val="-2"/>
        </w:rPr>
        <w:t>、</w:t>
      </w:r>
      <w:r>
        <w:rPr>
          <w:rFonts w:ascii="Times New Roman" w:hAnsi="Times New Roman" w:cs="Times New Roman" w:eastAsia="Times New Roman" w:hint="default"/>
          <w:spacing w:val="-2"/>
        </w:rPr>
        <w:t>2.00%</w:t>
      </w:r>
    </w:p>
    <w:p>
      <w:pPr>
        <w:pStyle w:val="BodyText"/>
        <w:spacing w:line="212" w:lineRule="exact"/>
        <w:ind w:right="0"/>
        <w:jc w:val="left"/>
      </w:pPr>
      <w:r>
        <w:rPr/>
        <w:t>的股权，并通过共同控制润和投资，合计持有公司</w:t>
      </w:r>
      <w:r>
        <w:rPr>
          <w:rFonts w:ascii="Times New Roman" w:hAnsi="Times New Roman" w:cs="Times New Roman" w:eastAsia="Times New Roman" w:hint="default"/>
        </w:rPr>
        <w:t>17.63%</w:t>
      </w:r>
      <w:r>
        <w:rPr/>
        <w:t>的表决权股份。</w:t>
      </w:r>
    </w:p>
    <w:p>
      <w:pPr>
        <w:pStyle w:val="BodyText"/>
        <w:spacing w:line="357" w:lineRule="auto" w:before="103"/>
        <w:ind w:right="7873"/>
        <w:jc w:val="left"/>
      </w:pPr>
      <w:r>
        <w:rPr/>
        <w:t>本企业最终控制方是周红卫、姚宁。 其他说明：</w:t>
      </w:r>
    </w:p>
    <w:p>
      <w:pPr>
        <w:spacing w:line="240" w:lineRule="auto" w:before="5"/>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本企业子公司的情况详见附注九、在其他主体中的权益。</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2293"/>
        <w:jc w:val="left"/>
      </w:pPr>
      <w:r>
        <w:rPr/>
        <w:t>本企业重要的合营或联营企业详见附注九、在其他主体中的权益。 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苏州博纳讯动软件有限公司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新维数联（北京）科技有限公司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江苏鑫合易家信息技术有限责任公司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南京润辰科技有限公司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奥特酷智能科技（南京）有限公司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67"/>
        <w:ind w:right="0"/>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南京澜和电子商务有限公司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南京淳泰投资管理有限公司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南京润宏置业有限公司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江苏润和南京软件外包园置业有限公司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江苏慧通教育产业投资有限公司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南京慧通婴幼儿保育有限公司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控股股东控制的公司</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江苏润和文化产业发展有限公司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江苏润联信息技术有限公司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上海润舸投资管理有限公司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南京润林网络科技有限公司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上海润宁信息科技有限公司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南京泉创信息科技有限公司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北京润和时代航天科技发展有限责任公司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南京市润企科技小额贷款有限公司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江苏众享金联科技有限公司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控股股东参股的公司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杭州艾福睿科技有限公司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控股股东参股的公司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上海米飞网络科技有限公司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控股股东参股的公司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虹软科技股份有限公司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控股股东参股的公司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南京格致基因生物科技有限公司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周红卫、姚宁投资的公司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江苏红土软件创业投资有限公司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周红卫担任董事的公司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江苏开拓信息与系统有限公司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江苏民营投资控股有限公司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4"/>
                <w:sz w:val="18"/>
              </w:rPr>
              <w:t>NEVADA </w:t>
            </w:r>
            <w:r>
              <w:rPr>
                <w:rFonts w:ascii="Times New Roman"/>
                <w:sz w:val="18"/>
              </w:rPr>
              <w:t>NANOTECH SYSTEMS</w:t>
            </w:r>
            <w:r>
              <w:rPr>
                <w:rFonts w:ascii="Times New Roman"/>
                <w:spacing w:val="-13"/>
                <w:sz w:val="18"/>
              </w:rPr>
              <w:t> </w:t>
            </w:r>
            <w:r>
              <w:rPr>
                <w:rFonts w:ascii="Times New Roman"/>
                <w:sz w:val="18"/>
              </w:rPr>
              <w:t>INC.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宁波宏创股权投资合伙企业（有限合伙）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报告期持有上市公司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以上股份的法人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周帮建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宁波宏创的实际控制人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上海云鑫创业投资有限公司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持有上市公司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以上股份的法人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浙江蚂蚁小微金融服务集团股份有限公司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上海云鑫创业投资有限公司的母公司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重庆市蚂蚁商诚小额贷款有限公司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浙江蚂蚁小微金融服务集团股份有限公司的子公司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重庆市蚂蚁小微小额贷款有限公司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浙江蚂蚁小微金融服务集团股份有限公司的子公司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蚂蚁智信（杭州）信息技术有限公司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浙江蚂蚁小微金融服务集团股份有限公司的子公司</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浙江网商银行股份有限公司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浙江蚂蚁小微金融服务集团股份有限公司为第一大股东的公 司</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北京蚂蚁云金融信息服务有限公司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浙江蚂蚁小微金融服务集团股份有限公司的子公司</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支付宝（中国）网络技术有限公司北京分公司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浙江蚂蚁小微金融服务集团股份有限公司的子公司所属分公 司</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7"/>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江苏开拓信息与系 统有限公司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7,629,032.10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6,077,920.65</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新维数联（北京） 科技有限公司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5,171,762.82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苏州博纳讯动软件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2,396,226.42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139,150.94</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南京润辰科技有限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843,593.66</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隆正信息科技有限 公司 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采购劳务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2,464,150.57</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江苏众享金联科技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采购劳务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698,275.89</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16,040,615.00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9,379,498.05</w:t>
            </w:r>
          </w:p>
        </w:tc>
      </w:tr>
    </w:tbl>
    <w:p>
      <w:pPr>
        <w:pStyle w:val="BodyText"/>
        <w:spacing w:line="240" w:lineRule="auto" w:before="49"/>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浙江网商银行股份有限公司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11,205,093.29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2,163,433.74</w:t>
            </w:r>
          </w:p>
        </w:tc>
      </w:tr>
      <w:tr>
        <w:trPr>
          <w:trHeight w:val="71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22"/>
              <w:jc w:val="left"/>
              <w:rPr>
                <w:rFonts w:ascii="宋体" w:hAnsi="宋体" w:cs="宋体" w:eastAsia="宋体" w:hint="default"/>
                <w:sz w:val="18"/>
                <w:szCs w:val="18"/>
              </w:rPr>
            </w:pPr>
            <w:r>
              <w:rPr>
                <w:rFonts w:ascii="宋体" w:hAnsi="宋体" w:cs="宋体" w:eastAsia="宋体" w:hint="default"/>
                <w:sz w:val="18"/>
                <w:szCs w:val="18"/>
              </w:rPr>
              <w:t>蚂蚁智信（杭州）信息技术有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2,596,639.34</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北京蚂蚁云金融信息服务有限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849,805.63</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重庆市蚂蚁小微小额贷款有限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624,256.81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511,701.22</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重庆市蚂蚁商诚小额贷款有限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242,646.89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796,159.09</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南京润辰科技有限公司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175,665.66</w:t>
            </w:r>
          </w:p>
        </w:tc>
        <w:tc>
          <w:tcPr>
            <w:tcW w:w="26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江苏鑫合易家信息技术有限责 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150,824.48</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支付宝（中国）网络技术有限 公司北京分公司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78,372.58</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奥特酷智能科技（南京）有限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69,568.99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9,129.31</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江苏开拓信息与系统有限公司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26,005.65</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3,346.23</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南京市润企科技小额贷款有限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5,843.33</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苏州博纳讯动软件有限公司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90,086.77</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南京菁英汇酒店管理有限公司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80,637.67</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16,024,722.65</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3,654,494.03</w:t>
            </w:r>
          </w:p>
        </w:tc>
      </w:tr>
    </w:tbl>
    <w:p>
      <w:pPr>
        <w:pStyle w:val="BodyText"/>
        <w:spacing w:line="357" w:lineRule="auto" w:before="49"/>
        <w:ind w:left="657" w:right="1159" w:hanging="504"/>
        <w:jc w:val="left"/>
      </w:pPr>
      <w:r>
        <w:rPr/>
        <w:t>购销商品、提供和接受劳务的关联交易说明 注</w:t>
      </w:r>
      <w:r>
        <w:rPr>
          <w:rFonts w:ascii="Times New Roman" w:hAnsi="Times New Roman" w:cs="Times New Roman" w:eastAsia="Times New Roman" w:hint="default"/>
        </w:rPr>
        <w:t>1</w:t>
      </w:r>
      <w:r>
        <w:rPr/>
        <w:t>：隆正信息科技有限公司为王杰控制的公司，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日，王杰减持本公司股份，本次减持完成后，王杰不再</w:t>
      </w:r>
    </w:p>
    <w:p>
      <w:pPr>
        <w:pStyle w:val="BodyText"/>
        <w:spacing w:line="214" w:lineRule="exact"/>
        <w:ind w:right="0"/>
        <w:jc w:val="left"/>
        <w:rPr>
          <w:rFonts w:ascii="Times New Roman" w:hAnsi="Times New Roman" w:cs="Times New Roman" w:eastAsia="Times New Roman" w:hint="default"/>
        </w:rPr>
      </w:pPr>
      <w:r>
        <w:rPr>
          <w:spacing w:val="-3"/>
        </w:rPr>
        <w:t>是持有本公司</w:t>
      </w:r>
      <w:r>
        <w:rPr>
          <w:rFonts w:ascii="Times New Roman" w:hAnsi="Times New Roman" w:cs="Times New Roman" w:eastAsia="Times New Roman" w:hint="default"/>
          <w:spacing w:val="-3"/>
        </w:rPr>
        <w:t>5%</w:t>
      </w:r>
      <w:r>
        <w:rPr>
          <w:spacing w:val="-3"/>
        </w:rPr>
        <w:t>以上股份的股东，因此自</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9</w:t>
      </w:r>
      <w:r>
        <w:rPr>
          <w:spacing w:val="-3"/>
        </w:rPr>
        <w:t>日开始，王杰不再为本公司关联方，因此隆正信息科技有限公司自</w:t>
      </w:r>
      <w:r>
        <w:rPr>
          <w:rFonts w:ascii="Times New Roman" w:hAnsi="Times New Roman" w:cs="Times New Roman" w:eastAsia="Times New Roman" w:hint="default"/>
          <w:spacing w:val="-3"/>
        </w:rPr>
        <w:t>2019</w:t>
      </w:r>
    </w:p>
    <w:p>
      <w:pPr>
        <w:pStyle w:val="BodyText"/>
        <w:spacing w:line="240" w:lineRule="auto" w:before="63"/>
        <w:ind w:right="0"/>
        <w:jc w:val="left"/>
      </w:pP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日开始不再为本公司关联方；</w:t>
      </w:r>
      <w:r>
        <w:rPr>
          <w:rFonts w:ascii="Times New Roman" w:hAnsi="Times New Roman" w:cs="Times New Roman" w:eastAsia="Times New Roman" w:hint="default"/>
        </w:rPr>
        <w:t>2019</w:t>
      </w:r>
      <w:r>
        <w:rPr/>
        <w:t>年本公司未与隆正信息科技有限公司发生关联交易，仅支付</w:t>
      </w:r>
      <w:r>
        <w:rPr>
          <w:rFonts w:ascii="Times New Roman" w:hAnsi="Times New Roman" w:cs="Times New Roman" w:eastAsia="Times New Roman" w:hint="default"/>
        </w:rPr>
        <w:t>2018</w:t>
      </w:r>
      <w:r>
        <w:rPr/>
        <w:t>年末应付账款。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27" w:right="19"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2"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0"/>
        </w:sectPr>
      </w:pPr>
    </w:p>
    <w:p>
      <w:pPr>
        <w:pStyle w:val="BodyText"/>
        <w:spacing w:line="338" w:lineRule="auto" w:before="49"/>
        <w:ind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544" w:space="628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19"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2"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0"/>
        <w:jc w:val="left"/>
      </w:pPr>
      <w:r>
        <w:rPr/>
        <w:t>关联管理</w:t>
      </w:r>
      <w:r>
        <w:rPr>
          <w:rFonts w:ascii="Times New Roman" w:hAnsi="Times New Roman" w:cs="Times New Roman" w:eastAsia="Times New Roman" w:hint="default"/>
        </w:rPr>
        <w:t>/</w:t>
      </w:r>
      <w:r>
        <w:rPr/>
        <w:t>出包情况说明</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本公司作为出租方：</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5"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江苏润和科技投资集团有限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7,003,743.02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16" w:right="0"/>
              <w:jc w:val="left"/>
              <w:rPr>
                <w:rFonts w:ascii="Times New Roman" w:hAnsi="Times New Roman" w:cs="Times New Roman" w:eastAsia="Times New Roman" w:hint="default"/>
                <w:sz w:val="18"/>
                <w:szCs w:val="18"/>
              </w:rPr>
            </w:pPr>
            <w:r>
              <w:rPr>
                <w:rFonts w:ascii="Times New Roman"/>
                <w:sz w:val="18"/>
              </w:rPr>
              <w:t>1,832,665.32</w:t>
            </w:r>
          </w:p>
        </w:tc>
      </w:tr>
      <w:tr>
        <w:trPr>
          <w:trHeight w:val="715"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南京慧通婴幼儿保育有限公 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1,551,665.40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南京润辰科技有限公司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510,691.12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pacing w:val="-1"/>
                <w:sz w:val="18"/>
                <w:szCs w:val="18"/>
              </w:rPr>
              <w:t>奥特酷智能科技（南京）有限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482,456.54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150,352.32</w:t>
            </w:r>
          </w:p>
        </w:tc>
      </w:tr>
      <w:tr>
        <w:trPr>
          <w:trHeight w:val="71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江苏开拓信息与系统有限公 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103,790.44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187,372.28</w:t>
            </w:r>
          </w:p>
        </w:tc>
      </w:tr>
      <w:tr>
        <w:trPr>
          <w:trHeight w:val="715"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南京市润企科技小额贷款有 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148,499.61</w:t>
            </w:r>
          </w:p>
        </w:tc>
      </w:tr>
      <w:tr>
        <w:trPr>
          <w:trHeight w:val="71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江苏慧通教育产业投资有限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1,434,020.53</w:t>
            </w:r>
          </w:p>
        </w:tc>
      </w:tr>
      <w:tr>
        <w:trPr>
          <w:trHeight w:val="40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9,652,346.52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3,752,910.06</w:t>
            </w:r>
          </w:p>
        </w:tc>
      </w:tr>
    </w:tbl>
    <w:p>
      <w:pPr>
        <w:pStyle w:val="BodyText"/>
        <w:spacing w:line="240" w:lineRule="auto" w:before="49"/>
        <w:ind w:right="0"/>
        <w:jc w:val="left"/>
      </w:pPr>
      <w:r>
        <w:rPr/>
        <w:t>本公司作为承租方：</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49"/>
        <w:ind w:right="0"/>
        <w:jc w:val="left"/>
      </w:pPr>
      <w:r>
        <w:rPr/>
        <w:t>关联租赁情况说明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本公司作为担保方</w:t>
      </w:r>
    </w:p>
    <w:p>
      <w:pPr>
        <w:pStyle w:val="BodyText"/>
        <w:spacing w:line="240" w:lineRule="auto" w:before="117"/>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北京捷科智诚科技有限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北京联创智融信息科技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江苏润和南京软件外包 园投资有限公司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0"/>
        <w:jc w:val="left"/>
      </w:pPr>
      <w:r>
        <w:rPr/>
        <w:t>本公司作为被担保方</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周帮建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周红卫、束岚、姚宁、 朱彤</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江苏润和科技投资集团 有限公司、周红卫、束 岚、姚宁、朱彤</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江苏润和科技投资集团 有限公司、周红卫、姚 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江苏润和科技投资集团 有限公司、周红卫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江苏润和科技投资集团 有限公司、周红卫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江苏润和科技投资集团 有限公司、周红卫、姚 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江苏润和科技投资集团 有限公司、周红卫、姚 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周红卫、束岚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江苏润和科技投资集团 有限公司、周红卫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江苏润和科技投资集团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江苏润和南京软件外包 园投资有限公司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北京捷科智诚科技有限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江苏润和南京软件外包 园投资有限公司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江苏润和南京软件外包 园投资有限公司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关联担保情况说明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4"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6,993,400.00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4,430,900.00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浙江网商银行股份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5,079,395.02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253,969.75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北京蚂蚁云金融信 息服务有限公司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829,512.97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41,475.65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江苏鑫合易家信息 技术有限责任公司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159,873.95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7,993.70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0"/>
                <w:sz w:val="18"/>
                <w:szCs w:val="18"/>
              </w:rPr>
              <w:t>奥特酷智能科技（南</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京）有限公司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67,800.00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3,390.00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江苏开拓信息与系 统有限公司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62,096.87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6,209.69</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江苏开拓信息与系 统有限公司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1,157.46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57.87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江苏开拓信息与系统有限公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1,115,257.13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443,457.27</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苏州博纳讯动软件有限公司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230,949.36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366,741.75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隆正信息科技有限公司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1,031,778.61</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奥特酷智能科技（南京）有限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75,276.86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94,079.04</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南京润辰科技有限公司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20,651.64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江苏开拓信息与系统有限公 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59,952.73</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江苏润和科技投资集团有限</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27,532.73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36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南京慧通婴幼儿保育有限公 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27,021.56</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南京市润企科技小额贷款有 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2,769.69</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南京润辰科技有限公司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77,962.40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奥特酷智能科技（南京）有限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62,487.98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59,848.28</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江苏开拓信息与系统有限公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327,791.00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新维数联（北京）科技有限公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19,803.20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6" w:lineRule="auto" w:before="0"/>
        <w:ind w:left="153" w:right="8758"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十三、股份支付</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、股份支付总体情况</w:t>
      </w:r>
      <w:r>
        <w:rPr>
          <w:rFonts w:ascii="Microsoft JhengHei" w:hAnsi="Microsoft JhengHei" w:cs="Microsoft JhengHei" w:eastAsia="Microsoft JhengHei" w:hint="default"/>
          <w:sz w:val="21"/>
          <w:szCs w:val="21"/>
        </w:rPr>
      </w:r>
    </w:p>
    <w:p>
      <w:pPr>
        <w:pStyle w:val="BodyText"/>
        <w:spacing w:line="240" w:lineRule="auto" w:before="17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line="376" w:lineRule="auto" w:before="0"/>
        <w:ind w:left="153" w:right="835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十四、承诺及或有事项</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、重要承诺事项</w:t>
      </w:r>
      <w:r>
        <w:rPr>
          <w:rFonts w:ascii="Microsoft JhengHei" w:hAnsi="Microsoft JhengHei" w:cs="Microsoft JhengHei" w:eastAsia="Microsoft JhengHei" w:hint="default"/>
          <w:sz w:val="21"/>
          <w:szCs w:val="21"/>
        </w:rPr>
      </w:r>
    </w:p>
    <w:p>
      <w:pPr>
        <w:pStyle w:val="BodyText"/>
        <w:spacing w:line="360" w:lineRule="auto" w:before="174"/>
        <w:ind w:left="657" w:right="5569" w:hanging="504"/>
        <w:jc w:val="left"/>
      </w:pPr>
      <w:r>
        <w:rPr/>
        <w:t>资产负债表日存在的重要承诺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日，本公司无需要披露的重大承诺事项。</w:t>
      </w:r>
    </w:p>
    <w:p>
      <w:pPr>
        <w:spacing w:after="0" w:line="36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657" w:right="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日，本公司无需要披露的重大或有事项。</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公司不存在需要披露的重要或有事项。</w:t>
      </w:r>
    </w:p>
    <w:p>
      <w:pPr>
        <w:spacing w:line="240" w:lineRule="auto" w:before="12"/>
        <w:rPr>
          <w:rFonts w:ascii="宋体" w:hAnsi="宋体" w:cs="宋体" w:eastAsia="宋体" w:hint="default"/>
          <w:sz w:val="21"/>
          <w:szCs w:val="21"/>
        </w:rPr>
      </w:pPr>
    </w:p>
    <w:p>
      <w:pPr>
        <w:spacing w:line="376" w:lineRule="auto" w:before="0"/>
        <w:ind w:left="153" w:right="787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十五、资产负债表日后事项</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、重要的非调整事项</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7"/>
          <w:szCs w:val="7"/>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0"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4"/>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6"/>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657" w:right="0"/>
        <w:jc w:val="left"/>
      </w:pPr>
      <w:r>
        <w:rPr/>
        <w:t>（</w:t>
      </w:r>
      <w:r>
        <w:rPr>
          <w:rFonts w:ascii="Times New Roman" w:hAnsi="Times New Roman" w:cs="Times New Roman" w:eastAsia="Times New Roman" w:hint="default"/>
        </w:rPr>
        <w:t>1</w:t>
      </w:r>
      <w:r>
        <w:rPr/>
        <w:t>）</w:t>
      </w:r>
      <w:r>
        <w:rPr>
          <w:spacing w:val="-18"/>
        </w:rPr>
        <w:t> </w:t>
      </w:r>
      <w:r>
        <w:rPr/>
        <w:t>关于公司提起诉讼暨应收账款承诺补偿事宜的进展说明</w:t>
      </w:r>
    </w:p>
    <w:p>
      <w:pPr>
        <w:pStyle w:val="BodyText"/>
        <w:spacing w:line="300" w:lineRule="auto" w:before="63"/>
        <w:ind w:right="1129" w:firstLine="504"/>
        <w:jc w:val="both"/>
      </w:pP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21</w:t>
      </w:r>
      <w:r>
        <w:rPr>
          <w:spacing w:val="-5"/>
        </w:rPr>
        <w:t>日，公司与宁波宏创、周帮建、江苏高投成长价值股权投资合伙企业（有限合伙）等</w:t>
      </w:r>
      <w:r>
        <w:rPr>
          <w:rFonts w:ascii="Times New Roman" w:hAnsi="Times New Roman" w:cs="Times New Roman" w:eastAsia="Times New Roman" w:hint="default"/>
          <w:spacing w:val="-5"/>
        </w:rPr>
        <w:t>5</w:t>
      </w:r>
      <w:r>
        <w:rPr>
          <w:spacing w:val="-5"/>
        </w:rPr>
        <w:t>名交易对方签订《发</w:t>
      </w:r>
      <w:r>
        <w:rPr/>
        <w:t> </w:t>
      </w:r>
      <w:r>
        <w:rPr>
          <w:spacing w:val="-6"/>
          <w:w w:val="100"/>
        </w:rPr>
        <w:t>行股份及支付现金购买资产协议》（以下简称</w:t>
      </w:r>
      <w:r>
        <w:rPr>
          <w:rFonts w:ascii="Times New Roman" w:hAnsi="Times New Roman" w:cs="Times New Roman" w:eastAsia="Times New Roman" w:hint="default"/>
          <w:spacing w:val="-6"/>
          <w:w w:val="100"/>
        </w:rPr>
        <w:t>“</w:t>
      </w:r>
      <w:r>
        <w:rPr>
          <w:spacing w:val="-6"/>
          <w:w w:val="100"/>
        </w:rPr>
        <w:t>《主协议》</w:t>
      </w:r>
      <w:r>
        <w:rPr>
          <w:rFonts w:ascii="Times New Roman" w:hAnsi="Times New Roman" w:cs="Times New Roman" w:eastAsia="Times New Roman" w:hint="default"/>
          <w:spacing w:val="-6"/>
          <w:w w:val="100"/>
        </w:rPr>
        <w:t>”</w:t>
      </w:r>
      <w:r>
        <w:rPr>
          <w:spacing w:val="-6"/>
          <w:w w:val="100"/>
        </w:rPr>
        <w:t>），公司以发行股份和支付现金的方式购买其持有的联创智融</w:t>
      </w:r>
      <w:r>
        <w:rPr>
          <w:rFonts w:ascii="Times New Roman" w:hAnsi="Times New Roman" w:cs="Times New Roman" w:eastAsia="Times New Roman" w:hint="default"/>
          <w:spacing w:val="-6"/>
          <w:w w:val="100"/>
        </w:rPr>
        <w:t>100%</w:t>
      </w:r>
      <w:r>
        <w:rPr>
          <w:rFonts w:ascii="Times New Roman" w:hAnsi="Times New Roman" w:cs="Times New Roman" w:eastAsia="Times New Roman" w:hint="default"/>
          <w:spacing w:val="-2"/>
          <w:w w:val="100"/>
        </w:rPr>
        <w:t> </w:t>
      </w:r>
      <w:r>
        <w:rPr>
          <w:rFonts w:ascii="Times New Roman" w:hAnsi="Times New Roman" w:cs="Times New Roman" w:eastAsia="Times New Roman" w:hint="default"/>
          <w:spacing w:val="-2"/>
          <w:w w:val="100"/>
        </w:rPr>
      </w:r>
      <w:r>
        <w:rPr>
          <w:spacing w:val="-4"/>
        </w:rPr>
        <w:t>股权，《主协议》第</w:t>
      </w:r>
      <w:r>
        <w:rPr>
          <w:rFonts w:ascii="Times New Roman" w:hAnsi="Times New Roman" w:cs="Times New Roman" w:eastAsia="Times New Roman" w:hint="default"/>
          <w:spacing w:val="-4"/>
        </w:rPr>
        <w:t>7.11</w:t>
      </w:r>
      <w:r>
        <w:rPr>
          <w:spacing w:val="-4"/>
        </w:rPr>
        <w:t>条约定宁波宏创、周帮建向公司承诺，联创智融截至</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日经审计的应收账款余额，在</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spacing w:val="-1"/>
        </w:rPr>
        <w:t>年应收回不低于</w:t>
      </w:r>
      <w:r>
        <w:rPr>
          <w:rFonts w:ascii="Times New Roman" w:hAnsi="Times New Roman" w:cs="Times New Roman" w:eastAsia="Times New Roman" w:hint="default"/>
          <w:spacing w:val="-1"/>
        </w:rPr>
        <w:t>70%</w:t>
      </w:r>
      <w:r>
        <w:rPr>
          <w:spacing w:val="-1"/>
        </w:rPr>
        <w:t>，具体内容由公司与宁波宏创、周帮建另行签订《发行股份及支付现金购买资产之盈利补偿协议》（以</w:t>
      </w:r>
      <w:r>
        <w:rPr/>
        <w:t> 下简称</w:t>
      </w:r>
      <w:r>
        <w:rPr>
          <w:rFonts w:ascii="Times New Roman" w:hAnsi="Times New Roman" w:cs="Times New Roman" w:eastAsia="Times New Roman" w:hint="default"/>
        </w:rPr>
        <w:t>“</w:t>
      </w:r>
      <w:r>
        <w:rPr/>
        <w:t>《盈利补偿协议》</w:t>
      </w:r>
      <w:r>
        <w:rPr>
          <w:rFonts w:ascii="Times New Roman" w:hAnsi="Times New Roman" w:cs="Times New Roman" w:eastAsia="Times New Roman" w:hint="default"/>
        </w:rPr>
        <w:t>”</w:t>
      </w:r>
      <w:r>
        <w:rPr/>
        <w:t>）进行约定。</w:t>
      </w:r>
    </w:p>
    <w:p>
      <w:pPr>
        <w:pStyle w:val="BodyText"/>
        <w:spacing w:line="304" w:lineRule="auto" w:before="13"/>
        <w:ind w:right="0" w:firstLine="504"/>
        <w:jc w:val="left"/>
      </w:pPr>
      <w:r>
        <w:rPr/>
        <w:t>根据容诚会计师事务所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出具的容诚专字</w:t>
      </w:r>
      <w:r>
        <w:rPr>
          <w:rFonts w:ascii="Times New Roman" w:hAnsi="Times New Roman" w:cs="Times New Roman" w:eastAsia="Times New Roman" w:hint="default"/>
        </w:rPr>
        <w:t>[2020]230Z0031</w:t>
      </w:r>
      <w:r>
        <w:rPr/>
        <w:t>号《北京联创智融信息技术有限公司应收账款 收回情况说明的专项审核报告》，联创智融截至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日经审计的应收账款余额为</w:t>
      </w:r>
      <w:r>
        <w:rPr>
          <w:rFonts w:ascii="Times New Roman" w:hAnsi="Times New Roman" w:cs="Times New Roman" w:eastAsia="Times New Roman" w:hint="default"/>
        </w:rPr>
        <w:t>489,351,019.13</w:t>
      </w:r>
      <w:r>
        <w:rPr/>
        <w:t>元，另联创智融通 </w:t>
      </w:r>
      <w:r>
        <w:rPr>
          <w:spacing w:val="-2"/>
        </w:rPr>
        <w:t>过公司向终端客户提供服务和销售产品，在终端客户尚未回款情况下，公司将相关款项提前支付给联创智融，对应终端客户</w:t>
      </w:r>
      <w:r>
        <w:rPr>
          <w:spacing w:val="-63"/>
        </w:rPr>
        <w:t> </w:t>
      </w:r>
      <w:r>
        <w:rPr>
          <w:spacing w:val="-63"/>
        </w:rPr>
      </w:r>
      <w:r>
        <w:rPr>
          <w:spacing w:val="-1"/>
        </w:rPr>
        <w:t>应收账款余额为</w:t>
      </w:r>
      <w:r>
        <w:rPr>
          <w:rFonts w:ascii="Times New Roman" w:hAnsi="Times New Roman" w:cs="Times New Roman" w:eastAsia="Times New Roman" w:hint="default"/>
          <w:spacing w:val="-1"/>
        </w:rPr>
        <w:t>57,137,982.67</w:t>
      </w:r>
      <w:r>
        <w:rPr>
          <w:spacing w:val="-1"/>
        </w:rPr>
        <w:t>元，合计</w:t>
      </w:r>
      <w:r>
        <w:rPr>
          <w:rFonts w:ascii="Times New Roman" w:hAnsi="Times New Roman" w:cs="Times New Roman" w:eastAsia="Times New Roman" w:hint="default"/>
          <w:spacing w:val="-1"/>
        </w:rPr>
        <w:t>546,489,001.80</w:t>
      </w:r>
      <w:r>
        <w:rPr>
          <w:spacing w:val="-1"/>
        </w:rPr>
        <w:t>元，上述应收账款于</w:t>
      </w:r>
      <w:r>
        <w:rPr>
          <w:rFonts w:ascii="Times New Roman" w:hAnsi="Times New Roman" w:cs="Times New Roman" w:eastAsia="Times New Roman" w:hint="default"/>
          <w:spacing w:val="-1"/>
        </w:rPr>
        <w:t>2019</w:t>
      </w:r>
      <w:r>
        <w:rPr>
          <w:spacing w:val="-1"/>
        </w:rPr>
        <w:t>年度收回</w:t>
      </w:r>
      <w:r>
        <w:rPr>
          <w:rFonts w:ascii="Times New Roman" w:hAnsi="Times New Roman" w:cs="Times New Roman" w:eastAsia="Times New Roman" w:hint="default"/>
          <w:spacing w:val="-1"/>
        </w:rPr>
        <w:t>190,964,889.98</w:t>
      </w:r>
      <w:r>
        <w:rPr>
          <w:spacing w:val="-1"/>
        </w:rPr>
        <w:t>元，收回率为</w:t>
      </w:r>
      <w:r>
        <w:rPr>
          <w:rFonts w:ascii="Times New Roman" w:hAnsi="Times New Roman" w:cs="Times New Roman" w:eastAsia="Times New Roman" w:hint="default"/>
          <w:spacing w:val="-1"/>
        </w:rPr>
        <w:t>34.94%</w:t>
      </w:r>
      <w:r>
        <w:rPr>
          <w:spacing w:val="-1"/>
        </w:rPr>
        <w:t>。</w:t>
      </w:r>
      <w:r>
        <w:rPr>
          <w:spacing w:val="-84"/>
        </w:rPr>
        <w:t> </w:t>
      </w:r>
      <w:r>
        <w:rPr/>
        <w:t>联创智融应收账款回款承诺未实现。根据协议约定，宁波宏创应将截至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日已实际收回的应收账款金额与截至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日经审计的应收账款余额</w:t>
      </w:r>
      <w:r>
        <w:rPr>
          <w:rFonts w:ascii="Times New Roman" w:hAnsi="Times New Roman" w:cs="Times New Roman" w:eastAsia="Times New Roman" w:hint="default"/>
        </w:rPr>
        <w:t>70%</w:t>
      </w:r>
      <w:r>
        <w:rPr/>
        <w:t>的差额部分</w:t>
      </w:r>
      <w:r>
        <w:rPr>
          <w:rFonts w:ascii="Times New Roman" w:hAnsi="Times New Roman" w:cs="Times New Roman" w:eastAsia="Times New Roman" w:hint="default"/>
        </w:rPr>
        <w:t>191,577,411.28</w:t>
      </w:r>
      <w:r>
        <w:rPr/>
        <w:t>元以现金形式于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日之前补偿给联创智融。</w:t>
      </w:r>
    </w:p>
    <w:p>
      <w:pPr>
        <w:pStyle w:val="BodyText"/>
        <w:spacing w:line="316" w:lineRule="auto" w:before="9"/>
        <w:ind w:right="1120" w:firstLine="504"/>
        <w:jc w:val="left"/>
      </w:pPr>
      <w:r>
        <w:rPr>
          <w:spacing w:val="-1"/>
        </w:rPr>
        <w:t>为维护公司合法权益，根据《民事诉讼法》第一百一十九条之规定，特向南京市中级人民法院提起诉讼，恳请依法判</w:t>
      </w:r>
      <w:r>
        <w:rPr/>
        <w:t> 令支持公司的如下诉求：</w:t>
      </w:r>
    </w:p>
    <w:p>
      <w:pPr>
        <w:pStyle w:val="BodyText"/>
        <w:spacing w:line="240" w:lineRule="auto" w:before="19"/>
        <w:ind w:left="657" w:right="0"/>
        <w:jc w:val="left"/>
      </w:pPr>
      <w:r>
        <w:rPr/>
        <w:t>①请求依法判令宁波宏创向北京联创智融信息技术有限公司（统一社会信用代码：</w:t>
      </w:r>
      <w:r>
        <w:rPr>
          <w:rFonts w:ascii="Times New Roman" w:hAnsi="Times New Roman" w:cs="Times New Roman" w:eastAsia="Times New Roman" w:hint="default"/>
        </w:rPr>
        <w:t>911101085890999709</w:t>
      </w:r>
      <w:r>
        <w:rPr/>
        <w:t>）支付款项</w:t>
      </w:r>
    </w:p>
    <w:p>
      <w:pPr>
        <w:pStyle w:val="BodyText"/>
        <w:spacing w:line="240" w:lineRule="auto" w:before="62"/>
        <w:ind w:right="0"/>
        <w:jc w:val="left"/>
      </w:pPr>
      <w:r>
        <w:rPr>
          <w:rFonts w:ascii="Times New Roman" w:hAnsi="Times New Roman" w:cs="Times New Roman" w:eastAsia="Times New Roman" w:hint="default"/>
        </w:rPr>
        <w:t>191,577,411.28</w:t>
      </w:r>
      <w:r>
        <w:rPr/>
        <w:t>元，并向公司支付逾期违约金（以</w:t>
      </w:r>
      <w:r>
        <w:rPr>
          <w:rFonts w:ascii="Times New Roman" w:hAnsi="Times New Roman" w:cs="Times New Roman" w:eastAsia="Times New Roman" w:hint="default"/>
        </w:rPr>
        <w:t>191,577,411.28</w:t>
      </w:r>
      <w:r>
        <w:rPr/>
        <w:t>元为基数，自</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日起按照每日千分之一的标准计算</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至实际支付之日）；</w:t>
      </w:r>
    </w:p>
    <w:p>
      <w:pPr>
        <w:pStyle w:val="BodyText"/>
        <w:spacing w:line="240" w:lineRule="auto" w:before="76"/>
        <w:ind w:left="657" w:right="0"/>
        <w:jc w:val="left"/>
      </w:pPr>
      <w:r>
        <w:rPr/>
        <w:t>②请求依法判令宁波宏创向公司支付律师费</w:t>
      </w:r>
      <w:r>
        <w:rPr>
          <w:rFonts w:ascii="Times New Roman" w:hAnsi="Times New Roman" w:cs="Times New Roman" w:eastAsia="Times New Roman" w:hint="default"/>
        </w:rPr>
        <w:t>300,000</w:t>
      </w:r>
      <w:r>
        <w:rPr/>
        <w:t>元；</w:t>
      </w:r>
    </w:p>
    <w:p>
      <w:pPr>
        <w:pStyle w:val="BodyText"/>
        <w:spacing w:line="240" w:lineRule="auto" w:before="63"/>
        <w:ind w:left="657" w:right="0"/>
        <w:jc w:val="left"/>
      </w:pPr>
      <w:r>
        <w:rPr/>
        <w:t>③请求依法判令周帮建就上述款项承担连带清偿责任；</w:t>
      </w:r>
    </w:p>
    <w:p>
      <w:pPr>
        <w:pStyle w:val="BodyText"/>
        <w:spacing w:line="316" w:lineRule="auto" w:before="76"/>
        <w:ind w:right="1132" w:firstLine="504"/>
        <w:jc w:val="both"/>
      </w:pPr>
      <w:r>
        <w:rPr>
          <w:spacing w:val="-1"/>
        </w:rPr>
        <w:t>④请求依法判令宁波宏创、周帮建承担本案的全部诉讼费用（包括但不限于案件受理费、财产保全费、公告费、评估</w:t>
      </w:r>
      <w:r>
        <w:rPr/>
        <w:t> 费、拍卖费等）</w:t>
      </w:r>
    </w:p>
    <w:p>
      <w:pPr>
        <w:pStyle w:val="BodyText"/>
        <w:spacing w:line="316" w:lineRule="auto" w:before="19"/>
        <w:ind w:right="1132" w:firstLine="504"/>
        <w:jc w:val="both"/>
      </w:pPr>
      <w:r>
        <w:rPr>
          <w:spacing w:val="-1"/>
        </w:rPr>
        <w:t>公司已向南京市中级人民法院递交了《财产保全申请书》及《网络执行查控申请书》，请求南京市中级人民法院依法</w:t>
      </w:r>
      <w:r>
        <w:rPr/>
        <w:t> </w:t>
      </w:r>
      <w:r>
        <w:rPr>
          <w:spacing w:val="-2"/>
        </w:rPr>
        <w:t>通过网络执行查控系统查询宁波宏创、周帮建名下的银行存款、不动产、车辆、股票等信息，并请求对宁波宏创、周帮建上</w:t>
      </w:r>
      <w:r>
        <w:rPr>
          <w:spacing w:val="-68"/>
        </w:rPr>
        <w:t> </w:t>
      </w:r>
      <w:r>
        <w:rPr>
          <w:spacing w:val="-68"/>
        </w:rPr>
      </w:r>
      <w:r>
        <w:rPr/>
        <w:t>述名下价值人民币</w:t>
      </w:r>
      <w:r>
        <w:rPr>
          <w:rFonts w:ascii="Times New Roman" w:hAnsi="Times New Roman" w:cs="Times New Roman" w:eastAsia="Times New Roman" w:hint="default"/>
        </w:rPr>
        <w:t>21,000</w:t>
      </w:r>
      <w:r>
        <w:rPr/>
        <w:t>万元的财产采取保全措施。</w:t>
      </w:r>
    </w:p>
    <w:p>
      <w:pPr>
        <w:pStyle w:val="BodyText"/>
        <w:spacing w:line="300" w:lineRule="auto"/>
        <w:ind w:right="1130" w:firstLine="504"/>
        <w:jc w:val="both"/>
      </w:pPr>
      <w:r>
        <w:rPr/>
        <w:t>针对公司财务保全申请，南京市中级人民法院依法作出</w:t>
      </w:r>
      <w:r>
        <w:rPr>
          <w:rFonts w:ascii="Times New Roman" w:hAnsi="Times New Roman" w:cs="Times New Roman" w:eastAsia="Times New Roman" w:hint="default"/>
        </w:rPr>
        <w:t>“</w:t>
      </w:r>
      <w:r>
        <w:rPr/>
        <w:t>（</w:t>
      </w:r>
      <w:r>
        <w:rPr>
          <w:rFonts w:ascii="Times New Roman" w:hAnsi="Times New Roman" w:cs="Times New Roman" w:eastAsia="Times New Roman" w:hint="default"/>
        </w:rPr>
        <w:t>2020</w:t>
      </w:r>
      <w:r>
        <w:rPr/>
        <w:t>）苏</w:t>
      </w:r>
      <w:r>
        <w:rPr>
          <w:rFonts w:ascii="Times New Roman" w:hAnsi="Times New Roman" w:cs="Times New Roman" w:eastAsia="Times New Roman" w:hint="default"/>
        </w:rPr>
        <w:t>01</w:t>
      </w:r>
      <w:r>
        <w:rPr/>
        <w:t>民初</w:t>
      </w:r>
      <w:r>
        <w:rPr>
          <w:rFonts w:ascii="Times New Roman" w:hAnsi="Times New Roman" w:cs="Times New Roman" w:eastAsia="Times New Roman" w:hint="default"/>
        </w:rPr>
        <w:t>394</w:t>
      </w:r>
      <w:r>
        <w:rPr/>
        <w:t>号</w:t>
      </w:r>
      <w:r>
        <w:rPr>
          <w:rFonts w:ascii="Times New Roman" w:hAnsi="Times New Roman" w:cs="Times New Roman" w:eastAsia="Times New Roman" w:hint="default"/>
        </w:rPr>
        <w:t>”</w:t>
      </w:r>
      <w:r>
        <w:rPr/>
        <w:t>《民事裁定书》，</w:t>
      </w:r>
      <w:r>
        <w:rPr>
          <w:spacing w:val="-30"/>
        </w:rPr>
        <w:t> </w:t>
      </w:r>
      <w:r>
        <w:rPr/>
        <w:t>裁定如下：冻结</w:t>
      </w:r>
      <w:r>
        <w:rPr/>
        <w:t> 被申请人宁波宏创股权投资合伙企业（有限合伙）、周帮建</w:t>
      </w:r>
      <w:r>
        <w:rPr>
          <w:rFonts w:ascii="Times New Roman" w:hAnsi="Times New Roman" w:cs="Times New Roman" w:eastAsia="Times New Roman" w:hint="default"/>
        </w:rPr>
        <w:t>2</w:t>
      </w:r>
      <w:r>
        <w:rPr/>
        <w:t>亿元的银行存款或查封、扣押、冻结其相应价值的财产。本裁 定立即开始执行。如不服本裁定，可以自收到裁定书之日起五日内申请复议一次，复议期间不停止裁定的执行。</w:t>
      </w:r>
    </w:p>
    <w:p>
      <w:pPr>
        <w:pStyle w:val="BodyText"/>
        <w:spacing w:line="300" w:lineRule="auto" w:before="32"/>
        <w:ind w:right="1128" w:firstLine="504"/>
        <w:jc w:val="both"/>
      </w:pPr>
      <w:r>
        <w:rPr>
          <w:spacing w:val="-1"/>
        </w:rPr>
        <w:t>资产负债表日后，公司持续努力向联创智融客户催收尚未收回的</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日经审计的应收账款，</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t> </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27</w:t>
      </w:r>
      <w:r>
        <w:rPr>
          <w:spacing w:val="-2"/>
        </w:rPr>
        <w:t>日，联创智融及母公司共收回上述应收账款银行到账</w:t>
      </w:r>
      <w:r>
        <w:rPr>
          <w:rFonts w:ascii="Times New Roman" w:hAnsi="Times New Roman" w:cs="Times New Roman" w:eastAsia="Times New Roman" w:hint="default"/>
          <w:spacing w:val="-2"/>
        </w:rPr>
        <w:t>86,440,965.72</w:t>
      </w:r>
      <w:r>
        <w:rPr>
          <w:spacing w:val="-2"/>
        </w:rPr>
        <w:t>元，转账支票</w:t>
      </w:r>
      <w:r>
        <w:rPr>
          <w:rFonts w:ascii="Times New Roman" w:hAnsi="Times New Roman" w:cs="Times New Roman" w:eastAsia="Times New Roman" w:hint="default"/>
          <w:spacing w:val="-2"/>
        </w:rPr>
        <w:t>19,249,522.47</w:t>
      </w:r>
      <w:r>
        <w:rPr>
          <w:spacing w:val="-2"/>
        </w:rPr>
        <w:t>元（转账支票出票</w:t>
      </w:r>
      <w:r>
        <w:rPr>
          <w:spacing w:val="-40"/>
        </w:rPr>
        <w:t> </w:t>
      </w:r>
      <w:r>
        <w:rPr>
          <w:spacing w:val="-40"/>
        </w:rPr>
      </w:r>
      <w:r>
        <w:rPr/>
        <w:t>日期为</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w:t>
      </w:r>
    </w:p>
    <w:p>
      <w:pPr>
        <w:pStyle w:val="BodyText"/>
        <w:spacing w:line="300" w:lineRule="auto" w:before="13"/>
        <w:ind w:right="1171" w:firstLine="504"/>
        <w:jc w:val="both"/>
      </w:pPr>
      <w:r>
        <w:rPr/>
        <w:t>资产负债表日后，公司积极要求宁波宏创和周帮建支付应收账款补偿款，</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日，公司及联 创智融共计收到宁波宏创应收账款补偿款保证金</w:t>
      </w:r>
      <w:r>
        <w:rPr>
          <w:rFonts w:ascii="Times New Roman" w:hAnsi="Times New Roman" w:cs="Times New Roman" w:eastAsia="Times New Roman" w:hint="default"/>
        </w:rPr>
        <w:t>45,000,000.00</w:t>
      </w:r>
      <w:r>
        <w:rPr/>
        <w:t>元。</w:t>
      </w:r>
    </w:p>
    <w:p>
      <w:pPr>
        <w:pStyle w:val="BodyText"/>
        <w:spacing w:line="316" w:lineRule="auto" w:before="13"/>
        <w:ind w:right="1042" w:firstLine="504"/>
        <w:jc w:val="both"/>
      </w:pPr>
      <w:r>
        <w:rPr>
          <w:spacing w:val="-3"/>
        </w:rPr>
        <w:t>截至本报告披露日，上述诉讼案件尚未开庭审理，其诉讼结果尚不确定，该诉讼事项对公司期后利润将产生一定影响，</w:t>
      </w:r>
      <w:r>
        <w:rPr/>
        <w:t> 公司及联创智融的业务正常开展，未受到该诉讼的影响。</w:t>
      </w:r>
    </w:p>
    <w:p>
      <w:pPr>
        <w:pStyle w:val="BodyText"/>
        <w:spacing w:line="300" w:lineRule="auto" w:before="19"/>
        <w:ind w:left="657" w:right="1179"/>
        <w:jc w:val="left"/>
      </w:pPr>
      <w:r>
        <w:rPr/>
        <w:t>（</w:t>
      </w:r>
      <w:r>
        <w:rPr>
          <w:rFonts w:ascii="Times New Roman" w:hAnsi="Times New Roman" w:cs="Times New Roman" w:eastAsia="Times New Roman" w:hint="default"/>
        </w:rPr>
        <w:t>2</w:t>
      </w:r>
      <w:r>
        <w:rPr/>
        <w:t>）新冠疫情对公司生产经营影响的说明 自新型冠状病毒的传染疫情（</w:t>
      </w:r>
      <w:r>
        <w:rPr>
          <w:rFonts w:ascii="Times New Roman" w:hAnsi="Times New Roman" w:cs="Times New Roman" w:eastAsia="Times New Roman" w:hint="default"/>
        </w:rPr>
        <w:t>“</w:t>
      </w:r>
      <w:r>
        <w:rPr/>
        <w:t>新冠疫情</w:t>
      </w:r>
      <w:r>
        <w:rPr>
          <w:rFonts w:ascii="Times New Roman" w:hAnsi="Times New Roman" w:cs="Times New Roman" w:eastAsia="Times New Roman" w:hint="default"/>
        </w:rPr>
        <w:t>”</w:t>
      </w:r>
      <w:r>
        <w:rPr/>
        <w:t>）从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月起在全国爆发以来，本公司积极响应并严格执行党和国家各</w:t>
      </w:r>
    </w:p>
    <w:p>
      <w:pPr>
        <w:pStyle w:val="BodyText"/>
        <w:spacing w:line="316" w:lineRule="auto" w:before="13"/>
        <w:ind w:left="657" w:right="1120" w:hanging="504"/>
        <w:jc w:val="left"/>
      </w:pPr>
      <w:r>
        <w:rPr/>
        <w:t>级政府对病毒疫情防控的各项规定和要求，从供应保障、社会责任、内部管理等方面多管齐下支持国家战疫。 </w:t>
      </w:r>
      <w:r>
        <w:rPr>
          <w:spacing w:val="-1"/>
        </w:rPr>
        <w:t>本公司预计此次新冠疫情及防控措施将对本公司的生产和经营造成一定的暂时性影响，影响程度取决于疫情防控的进</w:t>
      </w:r>
    </w:p>
    <w:p>
      <w:pPr>
        <w:pStyle w:val="BodyText"/>
        <w:spacing w:line="319" w:lineRule="auto" w:before="19"/>
        <w:ind w:left="657" w:right="1429" w:hanging="504"/>
        <w:jc w:val="left"/>
      </w:pPr>
      <w:r>
        <w:rPr/>
        <w:t>展情况、持续时间以及各地防控政策的实施情况。 本公司将持续密切关注新冠疫情的发展情况，并评估和积极应对其对本公司财务状况、经营成果等方面的影响。 除上述事项外，截至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日止，本公司无需要披露的其他资产负债表日后事项。</w:t>
      </w:r>
    </w:p>
    <w:p>
      <w:pPr>
        <w:spacing w:line="240" w:lineRule="auto" w:before="4"/>
        <w:rPr>
          <w:rFonts w:ascii="宋体" w:hAnsi="宋体" w:cs="宋体" w:eastAsia="宋体" w:hint="default"/>
          <w:sz w:val="13"/>
          <w:szCs w:val="13"/>
        </w:rPr>
      </w:pPr>
    </w:p>
    <w:p>
      <w:pPr>
        <w:pStyle w:val="Heading2"/>
        <w:spacing w:line="240" w:lineRule="auto"/>
        <w:ind w:right="0"/>
        <w:jc w:val="left"/>
        <w:rPr>
          <w:b w:val="0"/>
          <w:bCs w:val="0"/>
        </w:rPr>
      </w:pPr>
      <w:r>
        <w:rPr/>
        <w:t>十六、其他重要事项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6"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0" w:right="110"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3323"/>
        <w:gridCol w:w="3061"/>
        <w:gridCol w:w="3185"/>
      </w:tblGrid>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1"/>
        <w:rPr>
          <w:rFonts w:ascii="Microsoft JhengHei" w:hAnsi="Microsoft JhengHei" w:cs="Microsoft JhengHei" w:eastAsia="Microsoft JhengHei" w:hint="default"/>
          <w:b/>
          <w:bCs/>
          <w:sz w:val="18"/>
          <w:szCs w:val="18"/>
        </w:rPr>
      </w:pPr>
    </w:p>
    <w:p>
      <w:pPr>
        <w:pStyle w:val="Heading3"/>
        <w:spacing w:line="335" w:lineRule="exact"/>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0"/>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line="376" w:lineRule="auto" w:before="0"/>
        <w:ind w:left="153" w:right="691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十七、母公司财务报表主要项目注释</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、应收账款</w:t>
      </w:r>
      <w:r>
        <w:rPr>
          <w:rFonts w:ascii="Microsoft JhengHei" w:hAnsi="Microsoft JhengHei" w:cs="Microsoft JhengHei" w:eastAsia="Microsoft JhengHei" w:hint="default"/>
          <w:sz w:val="21"/>
          <w:szCs w:val="21"/>
        </w:rPr>
      </w:r>
    </w:p>
    <w:p>
      <w:pPr>
        <w:pStyle w:val="Heading3"/>
        <w:spacing w:line="240" w:lineRule="auto" w:before="87"/>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3"/>
        <w:gridCol w:w="3841"/>
        <w:gridCol w:w="4093"/>
      </w:tblGrid>
      <w:tr>
        <w:trPr>
          <w:trHeight w:val="401"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3"/>
        <w:gridCol w:w="761"/>
        <w:gridCol w:w="764"/>
        <w:gridCol w:w="790"/>
        <w:gridCol w:w="775"/>
        <w:gridCol w:w="797"/>
        <w:gridCol w:w="799"/>
        <w:gridCol w:w="790"/>
        <w:gridCol w:w="931"/>
      </w:tblGrid>
      <w:tr>
        <w:trPr>
          <w:trHeight w:val="402" w:hRule="exact"/>
        </w:trPr>
        <w:tc>
          <w:tcPr>
            <w:tcW w:w="16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8" w:right="105"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5,594,88</w:t>
            </w:r>
          </w:p>
          <w:p>
            <w:pPr>
              <w:pStyle w:val="TableParagraph"/>
              <w:spacing w:line="240" w:lineRule="auto" w:before="105"/>
              <w:ind w:left="418" w:right="0"/>
              <w:jc w:val="left"/>
              <w:rPr>
                <w:rFonts w:ascii="Times New Roman" w:hAnsi="Times New Roman" w:cs="Times New Roman" w:eastAsia="Times New Roman" w:hint="default"/>
                <w:sz w:val="18"/>
                <w:szCs w:val="18"/>
              </w:rPr>
            </w:pPr>
            <w:r>
              <w:rPr>
                <w:rFonts w:ascii="Times New Roman"/>
                <w:sz w:val="18"/>
              </w:rPr>
              <w:t>9.25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w:t>
            </w:r>
          </w:p>
        </w:tc>
        <w:tc>
          <w:tcPr>
            <w:tcW w:w="761"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5,594,889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9,358,084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9,358,084.6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：应收合并范 围内关联方客户</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5,594,88</w:t>
            </w:r>
          </w:p>
          <w:p>
            <w:pPr>
              <w:pStyle w:val="TableParagraph"/>
              <w:spacing w:line="240" w:lineRule="auto" w:before="105"/>
              <w:ind w:left="418" w:right="0"/>
              <w:jc w:val="left"/>
              <w:rPr>
                <w:rFonts w:ascii="Times New Roman" w:hAnsi="Times New Roman" w:cs="Times New Roman" w:eastAsia="Times New Roman" w:hint="default"/>
                <w:sz w:val="18"/>
                <w:szCs w:val="18"/>
              </w:rPr>
            </w:pPr>
            <w:r>
              <w:rPr>
                <w:rFonts w:ascii="Times New Roman"/>
                <w:sz w:val="18"/>
              </w:rPr>
              <w:t>9.25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w:t>
            </w:r>
          </w:p>
        </w:tc>
        <w:tc>
          <w:tcPr>
            <w:tcW w:w="761"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5,594,889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9,358,084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9,358,084.6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71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5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517,306,</w:t>
            </w:r>
          </w:p>
          <w:p>
            <w:pPr>
              <w:pStyle w:val="TableParagraph"/>
              <w:spacing w:line="240" w:lineRule="auto" w:before="102"/>
              <w:ind w:left="215" w:right="0"/>
              <w:jc w:val="center"/>
              <w:rPr>
                <w:rFonts w:ascii="Times New Roman" w:hAnsi="Times New Roman" w:cs="Times New Roman" w:eastAsia="Times New Roman" w:hint="default"/>
                <w:sz w:val="18"/>
                <w:szCs w:val="18"/>
              </w:rPr>
            </w:pPr>
            <w:r>
              <w:rPr>
                <w:rFonts w:ascii="Times New Roman"/>
                <w:sz w:val="18"/>
              </w:rPr>
              <w:t>228.07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36,870,0</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98.40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480,436,1</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29.67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428,422,8</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64.89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97.86%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25,491,52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3.18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402,931,34</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1.71</w:t>
            </w:r>
          </w:p>
        </w:tc>
      </w:tr>
      <w:tr>
        <w:trPr>
          <w:trHeight w:val="401"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：应收联创智 融资产组客户</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57,076,3</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66.77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10.92%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6,291,44</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5.21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11.02%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50,784,92</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1.56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57,137,98</w:t>
            </w:r>
          </w:p>
          <w:p>
            <w:pPr>
              <w:pStyle w:val="TableParagraph"/>
              <w:spacing w:line="240" w:lineRule="auto" w:before="102"/>
              <w:ind w:left="429" w:right="0"/>
              <w:jc w:val="left"/>
              <w:rPr>
                <w:rFonts w:ascii="Times New Roman" w:hAnsi="Times New Roman" w:cs="Times New Roman" w:eastAsia="Times New Roman" w:hint="default"/>
                <w:sz w:val="18"/>
                <w:szCs w:val="18"/>
              </w:rPr>
            </w:pPr>
            <w:r>
              <w:rPr>
                <w:rFonts w:ascii="Times New Roman"/>
                <w:sz w:val="18"/>
              </w:rPr>
              <w:t>2.67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13.05%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2,946,951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54,191,031.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54</w:t>
            </w: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：应收其他客 户</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460,229,</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861.30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88.01%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30,578,6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53.19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429,651,2</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08.11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371,284,8</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82.22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84.81%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22,544,57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348,740,31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0.17</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522,901,</w:t>
            </w:r>
          </w:p>
          <w:p>
            <w:pPr>
              <w:pStyle w:val="TableParagraph"/>
              <w:spacing w:line="240" w:lineRule="auto" w:before="102"/>
              <w:ind w:left="223" w:right="0"/>
              <w:jc w:val="center"/>
              <w:rPr>
                <w:rFonts w:ascii="Times New Roman" w:hAnsi="Times New Roman" w:cs="Times New Roman" w:eastAsia="Times New Roman" w:hint="default"/>
                <w:sz w:val="18"/>
                <w:szCs w:val="18"/>
              </w:rPr>
            </w:pPr>
            <w:r>
              <w:rPr>
                <w:rFonts w:ascii="Times New Roman"/>
                <w:sz w:val="18"/>
              </w:rPr>
              <w:t>117.32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36,870,0</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98.40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486,031,0</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18.92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437,780,9</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49.58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25,491,52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3.18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412,289,42</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6.40</w:t>
            </w:r>
          </w:p>
        </w:tc>
      </w:tr>
    </w:tbl>
    <w:p>
      <w:pPr>
        <w:pStyle w:val="BodyText"/>
        <w:spacing w:line="240" w:lineRule="auto" w:before="49"/>
        <w:ind w:right="0"/>
        <w:jc w:val="left"/>
      </w:pPr>
      <w:r>
        <w:rPr/>
        <w:t>按单项计提坏账准备：组合</w:t>
      </w:r>
      <w:r>
        <w:rPr>
          <w:spacing w:val="-46"/>
        </w:rPr>
        <w:t> </w:t>
      </w:r>
      <w:r>
        <w:rPr>
          <w:rFonts w:ascii="Times New Roman" w:hAnsi="Times New Roman" w:cs="Times New Roman" w:eastAsia="Times New Roman" w:hint="default"/>
        </w:rPr>
        <w:t>1</w:t>
      </w:r>
      <w:r>
        <w:rPr/>
        <w:t>：应收合并范围内关联方客户</w:t>
      </w:r>
    </w:p>
    <w:p>
      <w:pPr>
        <w:pStyle w:val="BodyText"/>
        <w:spacing w:line="240" w:lineRule="auto" w:before="101"/>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4"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486"/>
              <w:jc w:val="left"/>
              <w:rPr>
                <w:rFonts w:ascii="Times New Roman" w:hAnsi="Times New Roman" w:cs="Times New Roman" w:eastAsia="Times New Roman" w:hint="default"/>
                <w:sz w:val="18"/>
                <w:szCs w:val="18"/>
              </w:rPr>
            </w:pPr>
            <w:r>
              <w:rPr>
                <w:rFonts w:ascii="Times New Roman"/>
                <w:sz w:val="18"/>
              </w:rPr>
              <w:t>Hoperun</w:t>
            </w:r>
            <w:r>
              <w:rPr>
                <w:rFonts w:ascii="Times New Roman"/>
                <w:spacing w:val="-2"/>
                <w:sz w:val="18"/>
              </w:rPr>
              <w:t> </w:t>
            </w:r>
            <w:r>
              <w:rPr>
                <w:rFonts w:ascii="Times New Roman"/>
                <w:sz w:val="18"/>
              </w:rPr>
              <w:t>Software</w:t>
            </w:r>
            <w:r>
              <w:rPr>
                <w:rFonts w:ascii="Times New Roman"/>
                <w:w w:val="99"/>
                <w:sz w:val="18"/>
              </w:rPr>
              <w:t> </w:t>
            </w:r>
            <w:r>
              <w:rPr>
                <w:rFonts w:ascii="Times New Roman"/>
                <w:sz w:val="18"/>
              </w:rPr>
              <w:t>Singapore Pte.</w:t>
            </w:r>
            <w:r>
              <w:rPr>
                <w:rFonts w:ascii="Times New Roman"/>
                <w:spacing w:val="-5"/>
                <w:sz w:val="18"/>
              </w:rPr>
              <w:t> </w:t>
            </w:r>
            <w:r>
              <w:rPr>
                <w:rFonts w:ascii="Times New Roman"/>
                <w:sz w:val="18"/>
              </w:rPr>
              <w:t>Ltd.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2,716,297.50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1"/>
              <w:jc w:val="left"/>
              <w:rPr>
                <w:rFonts w:ascii="宋体" w:hAnsi="宋体" w:cs="宋体" w:eastAsia="宋体" w:hint="default"/>
                <w:sz w:val="18"/>
                <w:szCs w:val="18"/>
              </w:rPr>
            </w:pPr>
            <w:r>
              <w:rPr>
                <w:rFonts w:ascii="宋体" w:hAnsi="宋体" w:cs="宋体" w:eastAsia="宋体" w:hint="default"/>
                <w:sz w:val="18"/>
                <w:szCs w:val="18"/>
              </w:rPr>
              <w:t>内部关联方预计无收回 风险</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株式会社ホープラン東 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2,878,591.75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81"/>
              <w:jc w:val="left"/>
              <w:rPr>
                <w:rFonts w:ascii="宋体" w:hAnsi="宋体" w:cs="宋体" w:eastAsia="宋体" w:hint="default"/>
                <w:sz w:val="18"/>
                <w:szCs w:val="18"/>
              </w:rPr>
            </w:pPr>
            <w:r>
              <w:rPr>
                <w:rFonts w:ascii="宋体" w:hAnsi="宋体" w:cs="宋体" w:eastAsia="宋体" w:hint="default"/>
                <w:sz w:val="18"/>
                <w:szCs w:val="18"/>
              </w:rPr>
              <w:t>内部关联方预计无收回 风险</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5,594,889.25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按单项计提坏账准备：</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0"/>
        <w:jc w:val="left"/>
      </w:pPr>
      <w:r>
        <w:rPr/>
        <w:t>按组合计提坏账准备：组合</w:t>
      </w:r>
      <w:r>
        <w:rPr>
          <w:spacing w:val="-46"/>
        </w:rPr>
        <w:t> </w:t>
      </w:r>
      <w:r>
        <w:rPr>
          <w:rFonts w:ascii="Times New Roman" w:hAnsi="Times New Roman" w:cs="Times New Roman" w:eastAsia="Times New Roman" w:hint="default"/>
        </w:rPr>
        <w:t>2</w:t>
      </w:r>
      <w:r>
        <w:rPr/>
        <w:t>：应收联创智融资产组客户</w:t>
      </w:r>
    </w:p>
    <w:p>
      <w:pPr>
        <w:pStyle w:val="BodyText"/>
        <w:spacing w:line="240" w:lineRule="auto" w:before="101"/>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：应收联创智融资产组 客户</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57,076,366.77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6,291,445.21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11.02%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57,076,366.77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6,291,445.21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79" w:top="1060" w:bottom="1160" w:left="980" w:right="0"/>
        </w:sectPr>
      </w:pPr>
    </w:p>
    <w:p>
      <w:pPr>
        <w:pStyle w:val="BodyText"/>
        <w:spacing w:line="360" w:lineRule="auto" w:before="44"/>
        <w:ind w:left="657" w:right="-18" w:hanging="504"/>
        <w:jc w:val="left"/>
      </w:pPr>
      <w:r>
        <w:rPr/>
        <w:t>确定该组合依据的说明： 公司参考历史信用损失经验，结合当前状况以及对未来经济状况的预测，确定该组合。</w:t>
      </w:r>
    </w:p>
    <w:p>
      <w:pPr>
        <w:pStyle w:val="BodyText"/>
        <w:spacing w:line="240" w:lineRule="auto" w:before="27"/>
        <w:ind w:right="-18"/>
        <w:jc w:val="left"/>
      </w:pPr>
      <w:r>
        <w:rPr/>
        <w:t>按组合计提坏账准备：组合</w:t>
      </w:r>
      <w:r>
        <w:rPr>
          <w:spacing w:val="-46"/>
        </w:rPr>
        <w:t> </w:t>
      </w:r>
      <w:r>
        <w:rPr>
          <w:rFonts w:ascii="Times New Roman" w:hAnsi="Times New Roman" w:cs="Times New Roman" w:eastAsia="Times New Roman" w:hint="default"/>
        </w:rPr>
        <w:t>3</w:t>
      </w:r>
      <w:r>
        <w:rPr/>
        <w:t>：应收其他客户</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7500" w:space="1329"/>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：应收其他客户</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460,229,861.30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30,578,653.19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460,229,861.30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30,578,653.19</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57" w:lineRule="auto" w:before="49"/>
        <w:ind w:left="657" w:right="-18" w:hanging="504"/>
        <w:jc w:val="left"/>
      </w:pPr>
      <w:r>
        <w:rPr/>
        <w:t>确定该组合依据的说明： 公司参考历史信用损失经验，结合当前状况以及对未来经济状况的预测，确定该组合。</w:t>
      </w:r>
    </w:p>
    <w:p>
      <w:pPr>
        <w:pStyle w:val="BodyText"/>
        <w:spacing w:line="240" w:lineRule="auto" w:before="29"/>
        <w:ind w:right="-18"/>
        <w:jc w:val="left"/>
      </w:pPr>
      <w:r>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1"/>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7500" w:space="1329"/>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49"/>
        <w:ind w:right="1753"/>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5"/>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1"/>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442,146,986.22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442,146,986.22</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74,793,527.89</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2,648,842.45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3,311,760.76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3,221,608.00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90,152.76</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522,901,117.32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本期计提坏账准备情况：</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：应收联创</w:t>
            </w:r>
            <w:r>
              <w:rPr>
                <w:rFonts w:ascii="宋体" w:hAnsi="宋体" w:cs="宋体" w:eastAsia="宋体" w:hint="default"/>
                <w:sz w:val="18"/>
                <w:szCs w:val="18"/>
              </w:rPr>
              <w:t> 智融资产组客户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2,946,951.13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3,344,494.08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6,291,445.21</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：应收其他</w:t>
            </w:r>
            <w:r>
              <w:rPr>
                <w:rFonts w:ascii="宋体" w:hAnsi="宋体" w:cs="宋体" w:eastAsia="宋体" w:hint="default"/>
                <w:sz w:val="18"/>
                <w:szCs w:val="18"/>
              </w:rPr>
              <w:t> 客户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22,544,572.05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8,034,081.14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30,578,653.19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25,491,523.18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11,378,575.22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36,870,098.40</w:t>
            </w:r>
          </w:p>
        </w:tc>
      </w:tr>
    </w:tbl>
    <w:p>
      <w:pPr>
        <w:pStyle w:val="BodyText"/>
        <w:spacing w:line="240" w:lineRule="auto" w:before="49"/>
        <w:ind w:right="0"/>
        <w:jc w:val="left"/>
      </w:pPr>
      <w:r>
        <w:rPr/>
        <w:t>其中本期坏账准备收回或转回金额重要的：</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101"/>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0"/>
        <w:jc w:val="left"/>
      </w:pPr>
      <w:r>
        <w:rPr/>
        <w:t>其中重要的应收账款核销情况：</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0"/>
        <w:gridCol w:w="1616"/>
        <w:gridCol w:w="1616"/>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应收账款核销说明：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133,276,994.57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6,663,849.73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45,920,523.76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3,054,427.22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45,092,369.60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2,254,618.48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42,967,805.76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2,172,366.02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28,726,046.24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1,939,926.59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295,983,739.93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56.60%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657" w:right="0"/>
        <w:jc w:val="left"/>
      </w:pPr>
      <w:r>
        <w:rPr/>
        <w:t>无。</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9853" w:firstLine="504"/>
        <w:jc w:val="left"/>
      </w:pPr>
      <w:r>
        <w:rPr/>
        <w:t>无。 其他说明：</w:t>
      </w:r>
    </w:p>
    <w:p>
      <w:pPr>
        <w:pStyle w:val="BodyText"/>
        <w:spacing w:line="240" w:lineRule="auto" w:before="25"/>
        <w:ind w:left="657" w:right="0"/>
        <w:jc w:val="left"/>
      </w:pPr>
      <w:r>
        <w:rPr/>
        <w:t>本期坏账准备计提金额的确认标准及说明见附注五、</w:t>
      </w:r>
      <w:r>
        <w:rPr>
          <w:rFonts w:ascii="Times New Roman" w:hAnsi="Times New Roman" w:cs="Times New Roman" w:eastAsia="Times New Roman" w:hint="default"/>
        </w:rPr>
        <w:t>10</w:t>
      </w:r>
      <w:r>
        <w:rPr/>
        <w:t>、金融工具。</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37,930,534.76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648,446,514.66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37,930,534.76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648,446,514.66</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51"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）重要的账龄超过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年的应收股利</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51"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after="0" w:line="338"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26,781,947.27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630,831,607.04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4,885,427.52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6,171,807.71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4,042,379.05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1,661,347.43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8,827,000.00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3,343,227.53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2,423,316.17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39,052,981.37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649,915,078.35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652"/>
        <w:gridCol w:w="2098"/>
        <w:gridCol w:w="2101"/>
        <w:gridCol w:w="1805"/>
      </w:tblGrid>
      <w:tr>
        <w:trPr>
          <w:trHeight w:val="401" w:hRule="exact"/>
        </w:trPr>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5"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5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1,468,563.69</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1,468,563.69</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-346,117.08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-346,117.08</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1,122,446.61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1,122,446.61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4" w:space="489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39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37,012,928.37</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37,012,928.37</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1,185,188.00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724,972.50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129,892.50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129,892.50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39,052,981.37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本期计提坏账准备情况：</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79"/>
        <w:gridCol w:w="1088"/>
        <w:gridCol w:w="1332"/>
        <w:gridCol w:w="1452"/>
        <w:gridCol w:w="1198"/>
        <w:gridCol w:w="1346"/>
        <w:gridCol w:w="1575"/>
      </w:tblGrid>
      <w:tr>
        <w:trPr>
          <w:trHeight w:val="401" w:hRule="exact"/>
        </w:trPr>
        <w:tc>
          <w:tcPr>
            <w:tcW w:w="15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79"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1"/>
                <w:sz w:val="18"/>
                <w:szCs w:val="18"/>
              </w:rPr>
              <w:t> </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：应收其他客</w:t>
            </w:r>
            <w:r>
              <w:rPr>
                <w:rFonts w:ascii="宋体" w:hAnsi="宋体" w:cs="宋体" w:eastAsia="宋体" w:hint="default"/>
                <w:sz w:val="18"/>
                <w:szCs w:val="18"/>
              </w:rPr>
              <w:t> 户</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1,468,563.69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-346,117.08</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1,122,446.61</w:t>
            </w:r>
          </w:p>
        </w:tc>
      </w:tr>
      <w:tr>
        <w:trPr>
          <w:trHeight w:val="403" w:hRule="exact"/>
        </w:trPr>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center"/>
              <w:rPr>
                <w:rFonts w:ascii="Times New Roman" w:hAnsi="Times New Roman" w:cs="Times New Roman" w:eastAsia="Times New Roman" w:hint="default"/>
                <w:sz w:val="18"/>
                <w:szCs w:val="18"/>
              </w:rPr>
            </w:pPr>
            <w:r>
              <w:rPr>
                <w:rFonts w:ascii="Times New Roman"/>
                <w:sz w:val="18"/>
              </w:rPr>
              <w:t>1,468,563.69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-346,117.08</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1,122,446.61</w:t>
            </w:r>
          </w:p>
        </w:tc>
      </w:tr>
    </w:tbl>
    <w:p>
      <w:pPr>
        <w:pStyle w:val="BodyText"/>
        <w:spacing w:line="240" w:lineRule="auto" w:before="49"/>
        <w:ind w:right="0"/>
        <w:jc w:val="left"/>
      </w:pPr>
      <w:r>
        <w:rPr/>
        <w:t>其中本期坏账准备转回或收回金额重要的：</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0"/>
        <w:ind w:right="0"/>
        <w:jc w:val="left"/>
      </w:pPr>
      <w:r>
        <w:rPr/>
        <w:t>其中重要的其他应收款核销情况：</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0"/>
        <w:gridCol w:w="1616"/>
        <w:gridCol w:w="1616"/>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32"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其他应收款核销说明：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0"/>
        <w:gridCol w:w="1616"/>
        <w:gridCol w:w="1616"/>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江苏润和捷诚科技产 业投资有限公司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11,700,294.67</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29.96%</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上海润和信息技术服 务有限公司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9,541,000.00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24.43%</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江苏润和南京软件外 包园投资有限公司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3,084,652.60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7.90%</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荚斌</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2,658,987.50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132,949.38</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北京润和汇智信息技 术有限公司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5.12%</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28,984,934.77</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74.22%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132,949.38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4"/>
        <w:gridCol w:w="1865"/>
        <w:gridCol w:w="1868"/>
        <w:gridCol w:w="1868"/>
        <w:gridCol w:w="1944"/>
      </w:tblGrid>
      <w:tr>
        <w:trPr>
          <w:trHeight w:val="715"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8"/>
        <w:ind w:left="657" w:right="0"/>
        <w:jc w:val="left"/>
      </w:pPr>
      <w:r>
        <w:rPr/>
        <w:t>无。</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657" w:right="0"/>
        <w:jc w:val="left"/>
      </w:pPr>
      <w:r>
        <w:rPr/>
        <w:t>无。</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9853" w:firstLine="504"/>
        <w:jc w:val="left"/>
      </w:pPr>
      <w:r>
        <w:rPr/>
        <w:t>无。 其他说明：</w:t>
      </w:r>
    </w:p>
    <w:p>
      <w:pPr>
        <w:pStyle w:val="BodyText"/>
        <w:spacing w:line="240" w:lineRule="auto" w:before="25"/>
        <w:ind w:left="657" w:right="0"/>
        <w:jc w:val="left"/>
      </w:pPr>
      <w:r>
        <w:rPr/>
        <w:t>其他应收款账面余额期末余额较期初余额减少</w:t>
      </w:r>
      <w:r>
        <w:rPr>
          <w:rFonts w:ascii="Times New Roman" w:hAnsi="Times New Roman" w:cs="Times New Roman" w:eastAsia="Times New Roman" w:hint="default"/>
        </w:rPr>
        <w:t>93.99%</w:t>
      </w:r>
      <w:r>
        <w:rPr/>
        <w:t>，主要原因是期末应收子公司往来款减少。</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3,276,681,606.83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1,496,686,900.00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1,779,994,706.83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3,323,251,606.83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3,323,251,606.83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86,823,985.15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86,823,985.15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46,858,875.12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46,858,875.12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3,363,505,591.98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1,496,686,900.00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1,866,818,691.98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3,370,110,481.95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3,370,110,481.95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7"/>
        <w:gridCol w:w="1167"/>
        <w:gridCol w:w="1166"/>
        <w:gridCol w:w="1164"/>
        <w:gridCol w:w="1166"/>
        <w:gridCol w:w="1215"/>
        <w:gridCol w:w="1212"/>
        <w:gridCol w:w="1215"/>
      </w:tblGrid>
      <w:tr>
        <w:trPr>
          <w:trHeight w:val="402" w:hRule="exact"/>
        </w:trPr>
        <w:tc>
          <w:tcPr>
            <w:tcW w:w="12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3"/>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3"/>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3"/>
              <w:ind w:left="422" w:right="60" w:hanging="361"/>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1" w:hRule="exact"/>
        </w:trPr>
        <w:tc>
          <w:tcPr>
            <w:tcW w:w="1267"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2"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株式会社ホー プラン東京</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4,856,001.00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4,856,001.00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江苏润和南京 软件外包园投 资有限公司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155,456,135.8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155,456,135.83</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40"/>
              <w:jc w:val="left"/>
              <w:rPr>
                <w:rFonts w:ascii="Times New Roman" w:hAnsi="Times New Roman" w:cs="Times New Roman" w:eastAsia="Times New Roman" w:hint="default"/>
                <w:sz w:val="18"/>
                <w:szCs w:val="18"/>
              </w:rPr>
            </w:pPr>
            <w:r>
              <w:rPr>
                <w:rFonts w:ascii="Times New Roman"/>
                <w:sz w:val="18"/>
              </w:rPr>
              <w:t>HopeRun Technology</w:t>
            </w:r>
            <w:r>
              <w:rPr>
                <w:rFonts w:ascii="Times New Roman"/>
                <w:spacing w:val="-14"/>
                <w:sz w:val="18"/>
              </w:rPr>
              <w:t> </w:t>
            </w:r>
            <w:r>
              <w:rPr>
                <w:rFonts w:ascii="Times New Roman"/>
                <w:sz w:val="18"/>
              </w:rPr>
              <w:t>Co.,</w:t>
            </w:r>
            <w:r>
              <w:rPr>
                <w:rFonts w:ascii="Times New Roman"/>
                <w:sz w:val="18"/>
              </w:rPr>
              <w:t> Ltd.</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60,676,450.00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60,676,450.00</w:t>
            </w:r>
          </w:p>
        </w:tc>
        <w:tc>
          <w:tcPr>
            <w:tcW w:w="12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7"/>
        <w:gridCol w:w="1167"/>
        <w:gridCol w:w="1166"/>
        <w:gridCol w:w="1164"/>
        <w:gridCol w:w="1166"/>
        <w:gridCol w:w="1215"/>
        <w:gridCol w:w="1212"/>
        <w:gridCol w:w="1215"/>
      </w:tblGrid>
      <w:tr>
        <w:trPr>
          <w:trHeight w:val="102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西安润和软件 信息技术有限 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20,000,000.00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both"/>
              <w:rPr>
                <w:rFonts w:ascii="宋体" w:hAnsi="宋体" w:cs="宋体" w:eastAsia="宋体" w:hint="default"/>
                <w:sz w:val="18"/>
                <w:szCs w:val="18"/>
              </w:rPr>
            </w:pPr>
            <w:r>
              <w:rPr>
                <w:rFonts w:ascii="宋体" w:hAnsi="宋体" w:cs="宋体" w:eastAsia="宋体" w:hint="default"/>
                <w:sz w:val="18"/>
                <w:szCs w:val="18"/>
              </w:rPr>
              <w:t>北京润和汇智 信息技术有限 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10,000,000.00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北京捷科智诚 科技有限公司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both"/>
              <w:rPr>
                <w:rFonts w:ascii="宋体" w:hAnsi="宋体" w:cs="宋体" w:eastAsia="宋体" w:hint="default"/>
                <w:sz w:val="18"/>
                <w:szCs w:val="18"/>
              </w:rPr>
            </w:pPr>
            <w:r>
              <w:rPr>
                <w:rFonts w:ascii="宋体" w:hAnsi="宋体" w:cs="宋体" w:eastAsia="宋体" w:hint="default"/>
                <w:sz w:val="18"/>
                <w:szCs w:val="18"/>
              </w:rPr>
              <w:t>上海润和信息 技术服务有限 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5,000,000.00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香港润和信息 技术投资有限 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2,466,120.00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2,466,120.00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both"/>
              <w:rPr>
                <w:rFonts w:ascii="宋体" w:hAnsi="宋体" w:cs="宋体" w:eastAsia="宋体" w:hint="default"/>
                <w:sz w:val="18"/>
                <w:szCs w:val="18"/>
              </w:rPr>
            </w:pPr>
            <w:r>
              <w:rPr>
                <w:rFonts w:ascii="宋体" w:hAnsi="宋体" w:cs="宋体" w:eastAsia="宋体" w:hint="default"/>
                <w:sz w:val="18"/>
                <w:szCs w:val="18"/>
              </w:rPr>
              <w:t>北京联创智融 信息技术有限 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2,197,746,900.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1,473,076,900.</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w:t>
            </w: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724,670,000.00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1,473,076,900.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r>
      <w:tr>
        <w:trPr>
          <w:trHeight w:val="102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上海菲耐得信 息科技有限公 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87,000,000.00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23,610,000.00</w:t>
            </w: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63,390,000.00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23,610,000.00</w:t>
            </w:r>
          </w:p>
        </w:tc>
      </w:tr>
      <w:tr>
        <w:trPr>
          <w:trHeight w:val="71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7"/>
              <w:jc w:val="left"/>
              <w:rPr>
                <w:rFonts w:ascii="宋体" w:hAnsi="宋体" w:cs="宋体" w:eastAsia="宋体" w:hint="default"/>
                <w:sz w:val="18"/>
                <w:szCs w:val="18"/>
              </w:rPr>
            </w:pPr>
            <w:r>
              <w:rPr>
                <w:rFonts w:ascii="宋体" w:hAnsi="宋体" w:cs="宋体" w:eastAsia="宋体" w:hint="default"/>
                <w:sz w:val="18"/>
                <w:szCs w:val="18"/>
              </w:rPr>
              <w:t>润和云（上海） 科技有限公司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14,700,000.00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14,700,000.00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广州润和颐能 软件技术有限 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2,000,000.00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江苏润和智融 科技有限公司</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南京润和润云 科技有限公司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5,100,000.00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南京润辰科技 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8,250,000.00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8,250,000.00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新维数联（北 </w:t>
            </w:r>
            <w:r>
              <w:rPr>
                <w:rFonts w:ascii="宋体" w:hAnsi="宋体" w:cs="宋体" w:eastAsia="宋体" w:hint="default"/>
                <w:spacing w:val="-7"/>
                <w:sz w:val="18"/>
                <w:szCs w:val="18"/>
              </w:rPr>
              <w:t>京）科技有限公</w:t>
            </w:r>
            <w:r>
              <w:rPr>
                <w:rFonts w:ascii="宋体" w:hAnsi="宋体" w:cs="宋体" w:eastAsia="宋体" w:hint="default"/>
                <w:sz w:val="18"/>
                <w:szCs w:val="18"/>
              </w:rPr>
              <w:t> 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30,000,000.00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3,323,251,606.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52,950,000.00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1,496,686,900.</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w:t>
            </w: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1,779,994,706.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83</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1,496,686,900.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800"/>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4"/>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苏州博纳 讯动软件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27,202,99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2.96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835,242.4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1,842,537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29,880,77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left"/>
              <w:rPr>
                <w:rFonts w:ascii="宋体" w:hAnsi="宋体" w:cs="宋体" w:eastAsia="宋体" w:hint="default"/>
                <w:sz w:val="18"/>
                <w:szCs w:val="18"/>
              </w:rPr>
            </w:pPr>
            <w:r>
              <w:rPr>
                <w:rFonts w:ascii="宋体" w:hAnsi="宋体" w:cs="宋体" w:eastAsia="宋体" w:hint="default"/>
                <w:sz w:val="18"/>
                <w:szCs w:val="18"/>
              </w:rPr>
              <w:t>奥特酷智 能科技</w:t>
            </w:r>
          </w:p>
          <w:p>
            <w:pPr>
              <w:pStyle w:val="TableParagraph"/>
              <w:spacing w:line="316" w:lineRule="auto" w:before="19"/>
              <w:ind w:left="24" w:right="41"/>
              <w:jc w:val="left"/>
              <w:rPr>
                <w:rFonts w:ascii="宋体" w:hAnsi="宋体" w:cs="宋体" w:eastAsia="宋体" w:hint="default"/>
                <w:sz w:val="18"/>
                <w:szCs w:val="18"/>
              </w:rPr>
            </w:pPr>
            <w:r>
              <w:rPr>
                <w:rFonts w:ascii="宋体" w:hAnsi="宋体" w:cs="宋体" w:eastAsia="宋体" w:hint="default"/>
                <w:sz w:val="18"/>
                <w:szCs w:val="18"/>
              </w:rPr>
              <w:t>（南京）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19,655,88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2.16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-480,807.</w:t>
            </w:r>
          </w:p>
          <w:p>
            <w:pPr>
              <w:pStyle w:val="TableParagraph"/>
              <w:spacing w:line="240" w:lineRule="auto" w:before="102"/>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19,175,07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5.05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南京润辰 科技有限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-4,349,85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554,490.7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5,775,000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1,979,637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新维数联</w:t>
            </w:r>
          </w:p>
          <w:p>
            <w:pPr>
              <w:pStyle w:val="TableParagraph"/>
              <w:spacing w:line="316" w:lineRule="auto" w:before="74"/>
              <w:ind w:left="24" w:right="41"/>
              <w:jc w:val="both"/>
              <w:rPr>
                <w:rFonts w:ascii="宋体" w:hAnsi="宋体" w:cs="宋体" w:eastAsia="宋体" w:hint="default"/>
                <w:sz w:val="18"/>
                <w:szCs w:val="18"/>
              </w:rPr>
            </w:pPr>
            <w:r>
              <w:rPr>
                <w:rFonts w:ascii="宋体" w:hAnsi="宋体" w:cs="宋体" w:eastAsia="宋体" w:hint="default"/>
                <w:sz w:val="18"/>
                <w:szCs w:val="18"/>
              </w:rPr>
              <w:t>（北京） 科技有限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-1,799,07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2.55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28,200,92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7.45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江苏鑫合 易家信息 技术有限 责任公司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158,651.0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7,428,920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7,587,572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46,858,87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-5,635,83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9.41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2,397,028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43,203,92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0.93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86,823,98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5.15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46,858,87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-5,635,83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9.41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2,397,028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43,203,92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0.93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86,823,98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5.15</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00" w:lineRule="auto"/>
        <w:ind w:right="1130" w:firstLine="504"/>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月，本公司转让南京润辰部分股权丧失控制但仍能重大影响，由成本法转换为权益法核算，在母公司单体</w:t>
      </w:r>
      <w:r>
        <w:rPr/>
        <w:t> </w:t>
      </w:r>
      <w:r>
        <w:rPr>
          <w:spacing w:val="-1"/>
        </w:rPr>
        <w:t>报表层面按照剩余持股比例确认原取得投资时至处置投资当期期初的投资收益相应调整期初留存收益</w:t>
      </w:r>
      <w:r>
        <w:rPr>
          <w:rFonts w:ascii="Times New Roman" w:hAnsi="Times New Roman" w:cs="Times New Roman" w:eastAsia="Times New Roman" w:hint="default"/>
          <w:spacing w:val="-1"/>
        </w:rPr>
        <w:t>-2,012,450.06</w:t>
      </w:r>
      <w:r>
        <w:rPr>
          <w:spacing w:val="-1"/>
        </w:rPr>
        <w:t>元，同时</w:t>
      </w:r>
      <w:r>
        <w:rPr>
          <w:spacing w:val="-39"/>
        </w:rPr>
        <w:t> </w:t>
      </w:r>
      <w:r>
        <w:rPr>
          <w:spacing w:val="-39"/>
        </w:rPr>
      </w:r>
      <w:r>
        <w:rPr/>
        <w:t>确认南京润辰本期投资收益</w:t>
      </w:r>
      <w:r>
        <w:rPr>
          <w:rFonts w:ascii="Times New Roman" w:hAnsi="Times New Roman" w:cs="Times New Roman" w:eastAsia="Times New Roman" w:hint="default"/>
        </w:rPr>
        <w:t>-2,337,403.25</w:t>
      </w:r>
      <w:r>
        <w:rPr/>
        <w:t>元，合计</w:t>
      </w:r>
      <w:r>
        <w:rPr>
          <w:rFonts w:ascii="Times New Roman" w:hAnsi="Times New Roman" w:cs="Times New Roman" w:eastAsia="Times New Roman" w:hint="default"/>
        </w:rPr>
        <w:t>-4,349,853.31</w:t>
      </w:r>
      <w:r>
        <w:rPr/>
        <w:t>元；</w:t>
      </w:r>
    </w:p>
    <w:p>
      <w:pPr>
        <w:pStyle w:val="BodyText"/>
        <w:spacing w:line="240" w:lineRule="auto" w:before="13"/>
        <w:ind w:left="657" w:right="0"/>
        <w:jc w:val="left"/>
      </w:pPr>
      <w:r>
        <w:rPr>
          <w:rFonts w:ascii="Times New Roman" w:hAnsi="Times New Roman" w:cs="Times New Roman" w:eastAsia="Times New Roman" w:hint="default"/>
        </w:rPr>
        <w:t>2</w:t>
      </w:r>
      <w:r>
        <w:rPr/>
        <w:t>）本期其他联营企业、合营企业投资长期股权投资变动，详见附注七、</w:t>
      </w:r>
      <w:r>
        <w:rPr>
          <w:rFonts w:ascii="Times New Roman" w:hAnsi="Times New Roman" w:cs="Times New Roman" w:eastAsia="Times New Roman" w:hint="default"/>
        </w:rPr>
        <w:t>17</w:t>
      </w:r>
      <w:r>
        <w:rPr/>
        <w:t>、长期股权投资。</w:t>
      </w:r>
    </w:p>
    <w:p>
      <w:pPr>
        <w:pStyle w:val="BodyText"/>
        <w:spacing w:line="240" w:lineRule="auto" w:before="63"/>
        <w:ind w:left="657" w:right="0"/>
        <w:jc w:val="left"/>
      </w:pPr>
      <w:r>
        <w:rPr>
          <w:rFonts w:ascii="Times New Roman" w:hAnsi="Times New Roman" w:cs="Times New Roman" w:eastAsia="Times New Roman" w:hint="default"/>
        </w:rPr>
        <w:t>3</w:t>
      </w:r>
      <w:r>
        <w:rPr/>
        <w:t>）本公司投资变现及投资收益汇回无重大限制。</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3"/>
        <w:gridCol w:w="3750"/>
        <w:gridCol w:w="3829"/>
      </w:tblGrid>
      <w:tr>
        <w:trPr>
          <w:trHeight w:val="402"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5"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1,080,455,466.01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927,609,694.46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799,189,754.94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8" w:right="0"/>
              <w:jc w:val="left"/>
              <w:rPr>
                <w:rFonts w:ascii="Times New Roman" w:hAnsi="Times New Roman" w:cs="Times New Roman" w:eastAsia="Times New Roman" w:hint="default"/>
                <w:sz w:val="18"/>
                <w:szCs w:val="18"/>
              </w:rPr>
            </w:pPr>
            <w:r>
              <w:rPr>
                <w:rFonts w:ascii="Times New Roman"/>
                <w:sz w:val="18"/>
              </w:rPr>
              <w:t>599,990,067.89</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1,080,455,466.01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927,609,694.46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799,189,754.94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599,990,067.89</w:t>
            </w:r>
          </w:p>
        </w:tc>
      </w:tr>
    </w:tbl>
    <w:p>
      <w:pPr>
        <w:pStyle w:val="BodyText"/>
        <w:spacing w:line="240" w:lineRule="auto" w:before="49"/>
        <w:ind w:right="0"/>
        <w:jc w:val="left"/>
      </w:pPr>
      <w:r>
        <w:rPr/>
        <w:t>是否已执行新收入准则</w:t>
      </w:r>
    </w:p>
    <w:p>
      <w:pPr>
        <w:pStyle w:val="BodyText"/>
        <w:spacing w:line="340" w:lineRule="auto" w:before="115"/>
        <w:ind w:right="914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1"/>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-3,623,389.35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82,530.00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-1,814,146.32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应收款项融资贴现利息支出</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-61,033.60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-71,079.07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金融机构理财产品投资收益</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14,592,145.85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11,811,925.33</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209,022,497.51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161,894,455.33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2"/>
        <w:spacing w:line="240" w:lineRule="auto"/>
        <w:ind w:right="0"/>
        <w:jc w:val="left"/>
        <w:rPr>
          <w:b w:val="0"/>
          <w:bCs w:val="0"/>
        </w:rPr>
      </w:pPr>
      <w:r>
        <w:rPr/>
        <w:t>十八、补充资料</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1"/>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7,334,414.23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20,593,659.38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4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918,000.00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6,768,604.38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-499,574.04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5,417,345.09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165,736.79</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326"/>
        <w:gridCol w:w="3061"/>
        <w:gridCol w:w="3185"/>
      </w:tblGrid>
      <w:tr>
        <w:trPr>
          <w:trHeight w:val="404"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2" w:right="0"/>
              <w:jc w:val="left"/>
              <w:rPr>
                <w:rFonts w:ascii="Times New Roman" w:hAnsi="Times New Roman" w:cs="Times New Roman" w:eastAsia="Times New Roman" w:hint="default"/>
                <w:sz w:val="18"/>
                <w:szCs w:val="18"/>
              </w:rPr>
            </w:pPr>
            <w:r>
              <w:rPr>
                <w:rFonts w:ascii="Times New Roman"/>
                <w:sz w:val="18"/>
              </w:rPr>
              <w:t>29,532,022.07</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662"/>
        <w:gridCol w:w="3082"/>
        <w:gridCol w:w="1913"/>
        <w:gridCol w:w="1913"/>
      </w:tblGrid>
      <w:tr>
        <w:trPr>
          <w:trHeight w:val="204"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-2.30</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-2.34</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5"/>
          <w:szCs w:val="25"/>
        </w:rPr>
      </w:pPr>
    </w:p>
    <w:p>
      <w:pPr>
        <w:pStyle w:val="Heading3"/>
        <w:spacing w:line="314" w:lineRule="exact"/>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26"/>
        </w:rPr>
        <w:t> </w:t>
      </w:r>
      <w:r>
        <w:rPr>
          <w:spacing w:val="26"/>
        </w:rPr>
      </w:r>
      <w:r>
        <w:rPr/>
        <w:t>明该境外机构的名称</w:t>
      </w:r>
      <w:r>
        <w:rPr>
          <w:b w:val="0"/>
          <w:bCs w:val="0"/>
        </w:rPr>
      </w:r>
    </w:p>
    <w:p>
      <w:pPr>
        <w:spacing w:line="240" w:lineRule="auto" w:before="11"/>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79" w:top="1060" w:bottom="1160" w:left="980" w:right="0"/>
        </w:sectPr>
      </w:pPr>
    </w:p>
    <w:p>
      <w:pPr>
        <w:spacing w:line="240" w:lineRule="auto" w:before="0"/>
        <w:rPr>
          <w:rFonts w:ascii="Microsoft JhengHei" w:hAnsi="Microsoft JhengHei" w:cs="Microsoft JhengHei" w:eastAsia="Microsoft JhengHei" w:hint="default"/>
          <w:b/>
          <w:bCs/>
          <w:sz w:val="20"/>
          <w:szCs w:val="20"/>
        </w:rPr>
      </w:pPr>
    </w:p>
    <w:p>
      <w:pPr>
        <w:pStyle w:val="Heading1"/>
        <w:spacing w:line="240" w:lineRule="auto" w:before="77"/>
        <w:ind w:left="3365" w:right="0"/>
        <w:jc w:val="left"/>
        <w:rPr>
          <w:b w:val="0"/>
          <w:bCs w:val="0"/>
        </w:rPr>
      </w:pPr>
      <w:r>
        <w:rPr/>
        <w:t>第十三节备查文件目录</w:t>
      </w:r>
      <w:r>
        <w:rPr>
          <w:b w:val="0"/>
          <w:bCs w:val="0"/>
        </w:rPr>
      </w:r>
    </w:p>
    <w:p>
      <w:pPr>
        <w:spacing w:line="240" w:lineRule="auto" w:before="15"/>
        <w:rPr>
          <w:rFonts w:ascii="Microsoft JhengHei" w:hAnsi="Microsoft JhengHei" w:cs="Microsoft JhengHei" w:eastAsia="Microsoft JhengHei" w:hint="default"/>
          <w:b/>
          <w:bCs/>
          <w:sz w:val="29"/>
          <w:szCs w:val="29"/>
        </w:rPr>
      </w:pPr>
    </w:p>
    <w:p>
      <w:pPr>
        <w:pStyle w:val="BodyText"/>
        <w:spacing w:line="300" w:lineRule="auto"/>
        <w:ind w:right="1159" w:firstLine="504"/>
        <w:jc w:val="left"/>
      </w:pPr>
      <w:r>
        <w:rPr>
          <w:rFonts w:ascii="Times New Roman" w:hAnsi="Times New Roman" w:cs="Times New Roman" w:eastAsia="Times New Roman" w:hint="default"/>
        </w:rPr>
        <w:t>1</w:t>
      </w:r>
      <w:r>
        <w:rPr/>
        <w:t>、载有公司负责人周红卫先生、主管会计工作负责人马玉峰先生、会计机构负责人（主管会计人员）张新宇女士签 名并盖章的财务报表原件；</w:t>
      </w:r>
    </w:p>
    <w:p>
      <w:pPr>
        <w:pStyle w:val="BodyText"/>
        <w:spacing w:line="240" w:lineRule="auto" w:before="31"/>
        <w:ind w:left="657" w:right="0"/>
        <w:jc w:val="left"/>
      </w:pPr>
      <w:r>
        <w:rPr>
          <w:rFonts w:ascii="Times New Roman" w:hAnsi="Times New Roman" w:cs="Times New Roman" w:eastAsia="Times New Roman" w:hint="default"/>
        </w:rPr>
        <w:t>2</w:t>
      </w:r>
      <w:r>
        <w:rPr/>
        <w:t>、载有会计师事务所盖章、注册会计师签名并盖章的审计报告原件；</w:t>
      </w:r>
    </w:p>
    <w:p>
      <w:pPr>
        <w:pStyle w:val="BodyText"/>
        <w:spacing w:line="240" w:lineRule="auto" w:before="63"/>
        <w:ind w:left="657" w:right="0"/>
        <w:jc w:val="left"/>
      </w:pPr>
      <w:r>
        <w:rPr>
          <w:rFonts w:ascii="Times New Roman" w:hAnsi="Times New Roman" w:cs="Times New Roman" w:eastAsia="Times New Roman" w:hint="default"/>
        </w:rPr>
        <w:t>3</w:t>
      </w:r>
      <w:r>
        <w:rPr/>
        <w:t>、报告期内在中国证监会创业板指定信息披露网站披露过的所有文件的正本及公告的原稿；</w:t>
      </w:r>
    </w:p>
    <w:p>
      <w:pPr>
        <w:pStyle w:val="BodyText"/>
        <w:spacing w:line="240" w:lineRule="auto" w:before="63"/>
        <w:ind w:left="657" w:right="0"/>
        <w:jc w:val="left"/>
      </w:pPr>
      <w:r>
        <w:rPr>
          <w:rFonts w:ascii="Times New Roman" w:hAnsi="Times New Roman" w:cs="Times New Roman" w:eastAsia="Times New Roman" w:hint="default"/>
        </w:rPr>
        <w:t>4</w:t>
      </w:r>
      <w:r>
        <w:rPr/>
        <w:t>、载有公司法定代表人签名的</w:t>
      </w:r>
      <w:r>
        <w:rPr>
          <w:rFonts w:ascii="Times New Roman" w:hAnsi="Times New Roman" w:cs="Times New Roman" w:eastAsia="Times New Roman" w:hint="default"/>
        </w:rPr>
        <w:t>2019</w:t>
      </w:r>
      <w:r>
        <w:rPr/>
        <w:t>年年度报告文本原件；</w:t>
      </w:r>
    </w:p>
    <w:p>
      <w:pPr>
        <w:pStyle w:val="BodyText"/>
        <w:spacing w:line="300" w:lineRule="auto" w:before="63"/>
        <w:ind w:left="657" w:right="7189"/>
        <w:jc w:val="left"/>
      </w:pPr>
      <w:r>
        <w:rPr>
          <w:rFonts w:ascii="Times New Roman" w:hAnsi="Times New Roman" w:cs="Times New Roman" w:eastAsia="Times New Roman" w:hint="default"/>
        </w:rPr>
        <w:t>5</w:t>
      </w:r>
      <w:r>
        <w:rPr/>
        <w:t>、其他有关资料。 以上备查文件的备置地点：公司证券部</w:t>
      </w:r>
    </w:p>
    <w:sectPr>
      <w:pgSz w:w="11910" w:h="16840"/>
      <w:pgMar w:header="745"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30336" type="#_x0000_t75" stroked="false">
          <v:imagedata r:id="rId1" o:title=""/>
        </v:shape>
      </w:pict>
    </w:r>
    <w:r>
      <w:rPr/>
      <w:pict>
        <v:shape style="position:absolute;margin-left:533.119995pt;margin-top:795.637939pt;width:6.5pt;height:11pt;mso-position-horizontal-relative:page;mso-position-vertical-relative:page;z-index:-13303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30288" type="#_x0000_t75" stroked="false">
          <v:imagedata r:id="rId1" o:title=""/>
        </v:shape>
      </w:pict>
    </w:r>
    <w:r>
      <w:rPr/>
      <w:pict>
        <v:shape style="position:absolute;margin-left:527.679993pt;margin-top:781.957947pt;width:13.15pt;height:11pt;mso-position-horizontal-relative:page;mso-position-vertical-relative:page;z-index:-13302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30240" type="#_x0000_t75" stroked="false">
          <v:imagedata r:id="rId1" o:title=""/>
        </v:shape>
      </w:pict>
    </w:r>
    <w:r>
      <w:rPr/>
      <w:pict>
        <v:shape style="position:absolute;margin-left:527.679993pt;margin-top:781.957947pt;width:13.15pt;height:11pt;mso-position-horizontal-relative:page;mso-position-vertical-relative:page;z-index:-13302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76</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30192" type="#_x0000_t75" stroked="false">
          <v:imagedata r:id="rId1" o:title=""/>
        </v:shape>
      </w:pict>
    </w:r>
    <w:r>
      <w:rPr/>
      <w:pict>
        <v:shape style="position:absolute;margin-left:524.119995pt;margin-top:781.957947pt;width:15.7pt;height:11pt;mso-position-horizontal-relative:page;mso-position-vertical-relative:page;z-index:-13301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30144" type="#_x0000_t75" stroked="false">
          <v:imagedata r:id="rId1" o:title=""/>
        </v:shape>
      </w:pict>
    </w:r>
    <w:r>
      <w:rPr/>
      <w:pict>
        <v:shape style="position:absolute;margin-left:523.119995pt;margin-top:781.957947pt;width:17.7pt;height:11pt;mso-position-horizontal-relative:page;mso-position-vertical-relative:page;z-index:-13301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30096" type="#_x0000_t75" stroked="false">
          <v:imagedata r:id="rId1" o:title=""/>
        </v:shape>
      </w:pict>
    </w:r>
    <w:r>
      <w:rPr/>
      <w:pict>
        <v:shape style="position:absolute;margin-left:523.119995pt;margin-top:781.957947pt;width:17.7pt;height:11pt;mso-position-horizontal-relative:page;mso-position-vertical-relative:page;z-index:-13300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108</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30048" type="#_x0000_t75" stroked="false">
          <v:imagedata r:id="rId1" o:title=""/>
        </v:shape>
      </w:pict>
    </w:r>
    <w:r>
      <w:rPr/>
      <w:pict>
        <v:shape style="position:absolute;margin-left:523.479980pt;margin-top:781.957947pt;width:17.3pt;height:11pt;mso-position-horizontal-relative:page;mso-position-vertical-relative:page;z-index:-13300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30000" type="#_x0000_t75" stroked="false">
          <v:imagedata r:id="rId1" o:title=""/>
        </v:shape>
      </w:pict>
    </w:r>
    <w:r>
      <w:rPr/>
      <w:pict>
        <v:shape style="position:absolute;margin-left:523.119995pt;margin-top:781.957947pt;width:17.7pt;height:11pt;mso-position-horizontal-relative:page;mso-position-vertical-relative:page;z-index:-13299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29952" type="#_x0000_t75" stroked="false">
          <v:imagedata r:id="rId1" o:title=""/>
        </v:shape>
      </w:pict>
    </w:r>
    <w:r>
      <w:rPr/>
      <w:pict>
        <v:shape style="position:absolute;margin-left:523.119995pt;margin-top:781.957947pt;width:17.7pt;height:11pt;mso-position-horizontal-relative:page;mso-position-vertical-relative:page;z-index:-13299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1330360" type="#_x0000_t202" filled="false" stroked="false">
          <v:textbox inset="0,0,0,0">
            <w:txbxContent>
              <w:p>
                <w:pPr>
                  <w:pStyle w:val="BodyText"/>
                  <w:spacing w:line="214" w:lineRule="exact"/>
                  <w:ind w:left="20" w:right="0"/>
                  <w:jc w:val="left"/>
                </w:pPr>
                <w:r>
                  <w:rPr/>
                  <w:t>江苏润和软件股份有限公司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74"/>
      <w:ind w:left="153"/>
    </w:pPr>
    <w:rPr>
      <w:rFonts w:ascii="Microsoft JhengHei" w:hAnsi="Microsoft JhengHei" w:eastAsia="Microsoft JhengHei"/>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ind w:left="139"/>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3"/>
      <w:outlineLvl w:val="2"/>
    </w:pPr>
    <w:rPr>
      <w:rFonts w:ascii="Microsoft JhengHei" w:hAnsi="Microsoft JhengHei" w:eastAsia="Microsoft JhengHei"/>
      <w:b/>
      <w:bCs/>
      <w:sz w:val="24"/>
      <w:szCs w:val="24"/>
    </w:rPr>
  </w:style>
  <w:style w:styleId="Heading3" w:type="paragraph">
    <w:name w:val="Heading 3"/>
    <w:basedOn w:val="Normal"/>
    <w:uiPriority w:val="1"/>
    <w:qFormat/>
    <w:pPr>
      <w:ind w:left="153"/>
      <w:outlineLvl w:val="3"/>
    </w:pPr>
    <w:rPr>
      <w:rFonts w:ascii="Microsoft JhengHei" w:hAnsi="Microsoft JhengHei" w:eastAsia="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operun.com/" TargetMode="External"/><Relationship Id="rId10" Type="http://schemas.openxmlformats.org/officeDocument/2006/relationships/hyperlink" Target="mailto:company@hoperun.com" TargetMode="External"/><Relationship Id="rId11" Type="http://schemas.openxmlformats.org/officeDocument/2006/relationships/hyperlink" Target="http://www.cninfo.com.cn/" TargetMode="External"/><Relationship Id="rId12" Type="http://schemas.openxmlformats.org/officeDocument/2006/relationships/hyperlink" Target="http://w/" TargetMode="External"/><Relationship Id="rId13" Type="http://schemas.openxmlformats.org/officeDocument/2006/relationships/hyperlink" Target="http://ww/" TargetMode="External"/><Relationship Id="rId14" Type="http://schemas.openxmlformats.org/officeDocument/2006/relationships/footer" Target="footer3.xml"/><Relationship Id="rId15" Type="http://schemas.openxmlformats.org/officeDocument/2006/relationships/image" Target="media/image3.jpeg"/><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江苏润和软件股份有限公司</dc:creator>
  <dc:title>江苏润和软件股份有限公司2019年年度报告全文</dc:title>
  <dcterms:created xsi:type="dcterms:W3CDTF">2020-05-19T13:19:30Z</dcterms:created>
  <dcterms:modified xsi:type="dcterms:W3CDTF">2020-05-19T13:19:30Z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Word 2013</vt:lpwstr>
  </property>
  <property fmtid="{D5CDD505-2E9C-101B-9397-08002B2CF9AE}" pid="4" name="LastSaved">
    <vt:filetime>2020-05-19T00:00:00Z</vt:filetime>
  </property>
</Properties>
</file>