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color w:val="1B5A95"/>
          <w:spacing w:val="0"/>
          <w:w w:val="100"/>
          <w:position w:val="0"/>
          <w:sz w:val="28"/>
          <w:szCs w:val="28"/>
        </w:rPr>
        <w:t>HDpcHUH</w:t>
      </w:r>
    </w:p>
    <w:p>
      <w:pPr>
        <w:pStyle w:val="Style9"/>
        <w:keepNext w:val="0"/>
        <w:keepLines w:val="0"/>
        <w:widowControl w:val="0"/>
        <w:shd w:val="clear" w:color="auto" w:fill="auto"/>
        <w:bidi w:val="0"/>
        <w:spacing w:before="0" w:after="120" w:line="240" w:lineRule="auto"/>
        <w:ind w:left="0" w:right="0" w:firstLine="0"/>
        <w:jc w:val="center"/>
        <w:rPr>
          <w:sz w:val="30"/>
          <w:szCs w:val="30"/>
        </w:rPr>
      </w:pPr>
      <w:r>
        <w:rPr>
          <w:color w:val="676767"/>
          <w:spacing w:val="0"/>
          <w:w w:val="100"/>
          <w:position w:val="0"/>
          <w:sz w:val="30"/>
          <w:szCs w:val="30"/>
        </w:rPr>
        <w:t>润和软件</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江苏润和软件股份有限公司</w:t>
      </w:r>
    </w:p>
    <w:p>
      <w:pPr>
        <w:pStyle w:val="Style13"/>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0"/>
      <w:bookmarkEnd w:id="1"/>
      <w:bookmarkEnd w:id="2"/>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2021-015</w:t>
      </w:r>
    </w:p>
    <w:p>
      <w:pPr>
        <w:pStyle w:val="Style2"/>
        <w:keepNext w:val="0"/>
        <w:keepLines w:val="0"/>
        <w:widowControl w:val="0"/>
        <w:shd w:val="clear" w:color="auto" w:fill="auto"/>
        <w:bidi w:val="0"/>
        <w:spacing w:before="0" w:after="44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78" w:right="975" w:bottom="2578"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52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9"/>
        <w:keepNext w:val="0"/>
        <w:keepLines w:val="0"/>
        <w:widowControl w:val="0"/>
        <w:shd w:val="clear" w:color="auto" w:fill="auto"/>
        <w:bidi w:val="0"/>
        <w:spacing w:before="0" w:line="629"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6"/>
    </w:p>
    <w:p>
      <w:pPr>
        <w:pStyle w:val="Style9"/>
        <w:keepNext w:val="0"/>
        <w:keepLines w:val="0"/>
        <w:widowControl w:val="0"/>
        <w:shd w:val="clear" w:color="auto" w:fill="auto"/>
        <w:bidi w:val="0"/>
        <w:spacing w:before="0" w:line="629" w:lineRule="exact"/>
        <w:ind w:left="0" w:right="0"/>
        <w:jc w:val="both"/>
      </w:pPr>
      <w:r>
        <w:rPr>
          <w:color w:val="000000"/>
          <w:spacing w:val="0"/>
          <w:w w:val="100"/>
          <w:position w:val="0"/>
        </w:rPr>
        <w:t>公司负责人周红卫、主管会计工作负责人马玉峰及会计机构负责人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马玉峰声明：保证本年度报告中财务报告的真实、准确、完整。</w:t>
      </w:r>
    </w:p>
    <w:p>
      <w:pPr>
        <w:pStyle w:val="Style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9"/>
        <w:keepNext w:val="0"/>
        <w:keepLines w:val="0"/>
        <w:widowControl w:val="0"/>
        <w:shd w:val="clear" w:color="auto" w:fill="auto"/>
        <w:bidi w:val="0"/>
        <w:spacing w:before="0" w:line="619" w:lineRule="exact"/>
        <w:ind w:left="0" w:right="0"/>
        <w:jc w:val="both"/>
      </w:pPr>
      <w:r>
        <w:rPr>
          <w:color w:val="000000"/>
          <w:spacing w:val="0"/>
          <w:w w:val="100"/>
          <w:position w:val="0"/>
        </w:rPr>
        <w:t>容诚会计师事务所（特殊普通合伙）为本公司出具了带强调事项段的无保 留意见的审计报告，本公司董事会、监事会对相关事项亦有详细说明，请投资 者注意阅读。</w:t>
      </w:r>
    </w:p>
    <w:p>
      <w:pPr>
        <w:pStyle w:val="Style9"/>
        <w:keepNext w:val="0"/>
        <w:keepLines w:val="0"/>
        <w:widowControl w:val="0"/>
        <w:shd w:val="clear" w:color="auto" w:fill="auto"/>
        <w:bidi w:val="0"/>
        <w:spacing w:before="0"/>
        <w:ind w:left="0" w:right="0"/>
        <w:jc w:val="both"/>
      </w:pPr>
      <w:r>
        <w:rPr>
          <w:color w:val="000000"/>
          <w:spacing w:val="0"/>
          <w:w w:val="100"/>
          <w:position w:val="0"/>
        </w:rPr>
        <w:t>本报告中如有涉及未来的计划、业绩预测等方面的内容，均不构成本公司 对任何投资者的实质性承诺，投资者及相关人士均应对此保持足够的风险认识, 并且应当理解计划、预测与承诺之间的差异。</w:t>
      </w:r>
    </w:p>
    <w:p>
      <w:pPr>
        <w:pStyle w:val="Style9"/>
        <w:keepNext w:val="0"/>
        <w:keepLines w:val="0"/>
        <w:widowControl w:val="0"/>
        <w:shd w:val="clear" w:color="auto" w:fill="auto"/>
        <w:bidi w:val="0"/>
        <w:spacing w:before="0" w:line="619"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部分，详细描述了公司经营中可能存在的风险及应对措施，敬请投资者关注相 关内容。</w:t>
      </w:r>
    </w:p>
    <w:p>
      <w:pPr>
        <w:pStyle w:val="Style9"/>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4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7"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11"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55"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94"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17</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250"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430"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313"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99</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487"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100</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491"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101</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547" w:tooltip="Current Document">
        <w:r>
          <w:rPr>
            <w:color w:val="000000"/>
            <w:spacing w:val="0"/>
            <w:w w:val="100"/>
            <w:position w:val="0"/>
          </w:rPr>
          <w:t>第十节 公司治理</w:t>
        </w:r>
        <w:r>
          <w:rPr>
            <w:color w:val="000000"/>
            <w:spacing w:val="0"/>
            <w:w w:val="100"/>
            <w:position w:val="0"/>
          </w:rPr>
          <w:tab/>
        </w:r>
        <w:r>
          <w:rPr>
            <w:rFonts w:ascii="Times New Roman" w:eastAsia="Times New Roman" w:hAnsi="Times New Roman" w:cs="Times New Roman"/>
            <w:color w:val="000000"/>
            <w:spacing w:val="0"/>
            <w:w w:val="100"/>
            <w:position w:val="0"/>
          </w:rPr>
          <w:t>113</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634"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119</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638"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120</w:t>
        </w:r>
      </w:hyperlink>
    </w:p>
    <w:p>
      <w:pPr>
        <w:pStyle w:val="Style20"/>
        <w:keepNext w:val="0"/>
        <w:keepLines w:val="0"/>
        <w:widowControl w:val="0"/>
        <w:shd w:val="clear" w:color="auto" w:fill="auto"/>
        <w:tabs>
          <w:tab w:leader="dot" w:pos="9617" w:val="right"/>
        </w:tabs>
        <w:bidi w:val="0"/>
        <w:spacing w:before="0" w:line="240" w:lineRule="auto"/>
        <w:ind w:left="0" w:right="0" w:firstLine="0"/>
        <w:jc w:val="both"/>
      </w:pPr>
      <w:hyperlink w:anchor="bookmark2344"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272</w:t>
        </w:r>
      </w:hyperlink>
      <w:r>
        <w:br w:type="page"/>
      </w:r>
      <w:r>
        <w:fldChar w:fldCharType="end"/>
      </w:r>
    </w:p>
    <w:p>
      <w:pPr>
        <w:pStyle w:val="Style13"/>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江苏润和科技投资集团有限公司，系公司控股股东。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重庆度融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重庆度融信息技术有限公司，系联创智融的控股子公司。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成都联创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成都联创智融信息技术有限公司，系联创智融的全资子公司。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深圳联创智融信息技术有限公司，系联创智融的全资子公司。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南京汇聚智融信息技术有限公司，系联创智融的控股子公司，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月公司已将持有的南京汇聚股权全部转让完成。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合肥汇聚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合肥汇聚智融信息技术有限公司，原系联创智融的全资子公司，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月已注销。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上海捷科智诚科技有限公司，系捷科智诚的全资子公司。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福州捷科智诚信息科技有限公司，系捷科智诚的全资子公司。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上海润和信息技术服务有限公司，系公司全资子公司。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菲耐得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上海菲耐得信息科技有限公司，系公司全资子公司，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 已将持有的菲耐得股权全部转让完成。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武汉宁润软件信息技术有限公司，系公司全资子公司。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深圳润和汇智信息技术有限公司，系北京润和全资子公司。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润和捷诚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江苏润和捷诚科技产业投资有限公司，系公司全资子公司。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江苏润和南京软件外包园投资有限公司，系公司全资子公司。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软信和熙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江苏软信和熙信息科技有限公司，系外包园公司全资子公司，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月已注销。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株式会社京，系公司全资子公司。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 Singapore Pte. Ltd.</w:t>
            </w:r>
            <w:r>
              <w:rPr>
                <w:color w:val="000000"/>
                <w:spacing w:val="0"/>
                <w:w w:val="100"/>
                <w:position w:val="0"/>
              </w:rPr>
              <w:t>，系东京润和的控股子公司。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香港润和信息技术投资有限公司，系公司全资子公司。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波士顿润和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 Ltd.</w:t>
            </w:r>
            <w:r>
              <w:rPr>
                <w:color w:val="000000"/>
                <w:spacing w:val="0"/>
                <w:w w:val="100"/>
                <w:position w:val="0"/>
              </w:rPr>
              <w:t>，</w:t>
            </w:r>
            <w:r>
              <w:rPr>
                <w:color w:val="000000"/>
                <w:spacing w:val="0"/>
                <w:w w:val="100"/>
                <w:position w:val="0"/>
              </w:rPr>
              <w:t>系公司全资子公司。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润和智融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江苏润和智融科技有限公司，系公司参股公司。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广州润和颐能软件技术有限公司，系公司控股子公司。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润和润云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南京润和润云科技有限公司，系公司控股子公司。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新维数联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新维数联（北京）科技有限公司，系公司参股公司。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润辰科技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南京润辰科技有限公司，系公司参股公司。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江苏开拓信息与系统有限公司，系公司参股公司。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鑫合易家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江苏鑫合易家信息技术有限责任公司，系公司参股公司。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奥特酷智能科技（南京）有限公司，系公司参股公司。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苏民投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江苏民营投资控股有限公司，系公司参股公司。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润芯微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润芯微科技（江苏）有限公司，系公司参股公司。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保润欣和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苏州保润欣和信息科技有限公司，系公司参股公司。</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蚂蚁科技集团股份有限公司（曾用名''浙江蚂蚁小微金融服务集团股 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以上股东上海云鑫创业投资有限公司为 蚂蚁集团的全资子公司。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混改基金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南京国资混改基金有限公司，系公司持股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服贸基金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服务贸易创新发展引导基金（有限合伙），系公司持股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宁波宏创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宁波宏创股权投资合伙企业（有限合伙），原系公司持股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 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江苏润和软件股份有限公司的股东大会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江苏润和软件股份有限公司的董事会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江苏润和软件股份有限公司的监事会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江苏润和软件股份有限公司章程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4"/>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bookmarkStart w:id="17" w:name="bookmark17"/>
      <w:r>
        <w:rPr>
          <w:color w:val="000000"/>
          <w:spacing w:val="0"/>
          <w:w w:val="100"/>
          <w:position w:val="0"/>
          <w:sz w:val="24"/>
          <w:szCs w:val="24"/>
        </w:rPr>
        <w:t>一</w:t>
      </w:r>
      <w:bookmarkEnd w:id="16"/>
      <w:r>
        <w:rPr>
          <w:color w:val="000000"/>
          <w:spacing w:val="0"/>
          <w:w w:val="100"/>
          <w:position w:val="0"/>
          <w:sz w:val="24"/>
          <w:szCs w:val="24"/>
        </w:rPr>
        <w:t>、公司信息</w:t>
      </w:r>
      <w:bookmarkEnd w:id="14"/>
      <w:bookmarkEnd w:id="15"/>
      <w:bookmarkEnd w:id="17"/>
      <w:bookmarkEnd w:id="1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Jiangsu Hoperun Software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Software</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"http://www.hoperun" </w:instrText>
            </w:r>
            <w:r>
              <w:fldChar w:fldCharType="separate"/>
            </w:r>
            <w:r>
              <w:rPr>
                <w:rFonts w:ascii="Times New Roman" w:eastAsia="Times New Roman" w:hAnsi="Times New Roman" w:cs="Times New Roman"/>
                <w:color w:val="000000"/>
                <w:spacing w:val="0"/>
                <w:w w:val="100"/>
                <w:position w:val="0"/>
              </w:rPr>
              <w:t>www.hoperun</w:t>
            </w:r>
            <w:r>
              <w:fldChar w:fldCharType="end"/>
            </w:r>
            <w:r>
              <w:rPr>
                <w:rFonts w:ascii="Times New Roman" w:eastAsia="Times New Roman" w:hAnsi="Times New Roman" w:cs="Times New Roman"/>
                <w:color w:val="000000"/>
                <w:spacing w:val="0"/>
                <w:w w:val="100"/>
                <w:position w:val="0"/>
              </w:rPr>
              <w:t>. com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胡传高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李天蕾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025-52668895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"mailto:company@hoperun.com" </w:instrText>
            </w:r>
            <w:r>
              <w:fldChar w:fldCharType="separate"/>
            </w:r>
            <w:r>
              <w:rPr>
                <w:rFonts w:ascii="Times New Roman" w:eastAsia="Times New Roman" w:hAnsi="Times New Roman" w:cs="Times New Roman"/>
                <w:color w:val="000000"/>
                <w:spacing w:val="0"/>
                <w:w w:val="100"/>
                <w:position w:val="0"/>
              </w:rPr>
              <w:t>company@hoperun.com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证券时报、证券日报、上海证券报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公司证券部办公室</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褚诗炜、孔令莉、李丹</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北京市西城区丰盛胡同</w:t>
            </w:r>
            <w:r>
              <w:rPr>
                <w:rFonts w:ascii="Times New Roman" w:eastAsia="Times New Roman" w:hAnsi="Times New Roman" w:cs="Times New Roman"/>
                <w:color w:val="000000"/>
                <w:spacing w:val="0"/>
                <w:w w:val="100"/>
                <w:position w:val="0"/>
              </w:rPr>
              <w:t>22</w:t>
            </w:r>
            <w:r>
              <w:rPr>
                <w:color w:val="000000"/>
                <w:spacing w:val="0"/>
                <w:w w:val="100"/>
                <w:position w:val="0"/>
              </w:rPr>
              <w:t>号 丰铭国际大厦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6</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李琦、彭松林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日至募集资金 使用完毕</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2,480,392,683.76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2,121,173,720.66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2,037,713,936.33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167,066,328.21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-1,794,232,923.06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314,377,918.28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100,324,374.44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-1,823,764,945.13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292,203,574.22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173,171,347.55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109,855,753.07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275,263,631.67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4,323,879,078.85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4,627,124,261.74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6,355,454,798.88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2,875,379,901.04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2,820,718,103.20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4,625,746,475.17</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24"/>
        <w:keepNext/>
        <w:keepLines/>
        <w:widowControl w:val="0"/>
        <w:shd w:val="clear" w:color="auto" w:fill="auto"/>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513,415,092.88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584,529,673.77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597,052,598.13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785,395,318.98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10,344,352.19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53,319,846.68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47,957,125.65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55,445,003.69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1,897,117.13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34,763,167.26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39,297,114.80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24,366,975.25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-321,349,808.02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2,749,162.98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13,041,744.40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478,730,248.19</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tabs>
          <w:tab w:pos="522"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30"/>
        <w:keepNext/>
        <w:keepLines/>
        <w:widowControl w:val="0"/>
        <w:shd w:val="clear" w:color="auto" w:fill="auto"/>
        <w:tabs>
          <w:tab w:pos="403"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6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26,674,118.86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7,334,414.23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583,372.19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31,487,123.13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20,593,659.38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15,766,936.92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1,902,179.53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4,480,620.36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6,768,604.38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3,640,374.26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15,085,000.00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-1,116,906.94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-499,574.04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-1,385,427.85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11,484,058.12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5,417,345.09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4,215,699.63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18,211.83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66,741,953.77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29,532,022.07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22,174,344.06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left"/>
        <w:sectPr>
          <w:headerReference w:type="default" r:id="rId7"/>
          <w:footerReference w:type="default" r:id="rId8"/>
          <w:footnotePr>
            <w:pos w:val="pageBottom"/>
            <w:numFmt w:val="decimal"/>
            <w:numRestart w:val="continuous"/>
          </w:footnotePr>
          <w:pgSz w:w="11900" w:h="16840"/>
          <w:pgMar w:top="1441" w:right="1053" w:bottom="1441" w:left="102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3"/>
        <w:keepNext/>
        <w:keepLines/>
        <w:widowControl w:val="0"/>
        <w:shd w:val="clear" w:color="auto" w:fill="auto"/>
        <w:bidi w:val="0"/>
        <w:spacing w:before="52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4"/>
        <w:keepNext/>
        <w:keepLines/>
        <w:widowControl w:val="0"/>
        <w:shd w:val="clear" w:color="auto" w:fill="auto"/>
        <w:bidi w:val="0"/>
        <w:spacing w:before="0" w:after="260" w:line="240" w:lineRule="auto"/>
        <w:ind w:left="0" w:right="0" w:firstLine="0"/>
        <w:jc w:val="left"/>
      </w:pPr>
      <w:bookmarkStart w:id="57" w:name="bookmark57"/>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bookmarkEnd w:id="57"/>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（一）主要业务与经营模式</w:t>
      </w:r>
    </w:p>
    <w:p>
      <w:pPr>
        <w:pStyle w:val="Style26"/>
        <w:keepNext w:val="0"/>
        <w:keepLines w:val="0"/>
        <w:widowControl w:val="0"/>
        <w:shd w:val="clear" w:color="auto" w:fill="auto"/>
        <w:bidi w:val="0"/>
        <w:spacing w:before="0" w:after="0" w:line="315" w:lineRule="exact"/>
        <w:ind w:left="0" w:right="0" w:firstLine="520"/>
        <w:jc w:val="left"/>
      </w:pPr>
      <w:r>
        <w:rPr>
          <w:color w:val="000000"/>
          <w:spacing w:val="0"/>
          <w:w w:val="100"/>
          <w:position w:val="0"/>
        </w:rPr>
        <w:t>报告期内，公司的主营业务是向国内外客户提供以数字化、信息化、智能化为核心的产品、解决方案和综合科技服务。 公司聚焦</w:t>
      </w:r>
      <w:r>
        <w:rPr>
          <w:rFonts w:ascii="Times New Roman" w:eastAsia="Times New Roman" w:hAnsi="Times New Roman" w:cs="Times New Roman"/>
          <w:color w:val="000000"/>
          <w:spacing w:val="0"/>
          <w:w w:val="100"/>
          <w:position w:val="0"/>
        </w:rPr>
        <w:t>“</w:t>
      </w:r>
      <w:r>
        <w:rPr>
          <w:color w:val="000000"/>
          <w:spacing w:val="0"/>
          <w:w w:val="100"/>
          <w:position w:val="0"/>
        </w:rPr>
        <w:t>金融科技</w:t>
      </w:r>
      <w:r>
        <w:rPr>
          <w:rFonts w:ascii="Times New Roman" w:eastAsia="Times New Roman" w:hAnsi="Times New Roman" w:cs="Times New Roman"/>
          <w:color w:val="000000"/>
          <w:spacing w:val="0"/>
          <w:w w:val="100"/>
          <w:position w:val="0"/>
        </w:rPr>
        <w:t>“</w:t>
      </w:r>
      <w:r>
        <w:rPr>
          <w:color w:val="000000"/>
          <w:spacing w:val="0"/>
          <w:w w:val="100"/>
          <w:position w:val="0"/>
        </w:rPr>
        <w:t>智能物联</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三大业务领域，依托从芯片、底层软件到硬件、应用平台的软硬一体化产品 与解决方案能力，以及涵盖需求、开发、测试、运维于一体的综合服务体系，赋能金融、通讯、零售、汽车、电力等行业客 户一通过提供从端到云、从技术到应用的科技产品与服务，满足客户物联化、数字化、信息化、智能化升级转型的需求， 帮助客户实现高质量发展。</w:t>
      </w:r>
    </w:p>
    <w:p>
      <w:pPr>
        <w:pStyle w:val="Style26"/>
        <w:keepNext w:val="0"/>
        <w:keepLines w:val="0"/>
        <w:widowControl w:val="0"/>
        <w:shd w:val="clear" w:color="auto" w:fill="auto"/>
        <w:bidi w:val="0"/>
        <w:spacing w:before="0" w:after="300" w:line="315" w:lineRule="exact"/>
        <w:ind w:left="0" w:right="0" w:firstLine="520"/>
        <w:jc w:val="left"/>
      </w:pPr>
      <w:r>
        <w:rPr>
          <w:color w:val="000000"/>
          <w:spacing w:val="0"/>
          <w:w w:val="100"/>
          <w:position w:val="0"/>
        </w:rPr>
        <w:t>公司总部位于南京，在北京、上海、广州、武汉、西安、福州等国内多个主要城市设有分子公司或研发中心，业务覆 盖中国、日本、东南亚、北美等国家和区域，拥有全球化的技术整合、客户响应与服务达到能力。</w:t>
      </w:r>
    </w:p>
    <w:p>
      <w:pPr>
        <w:pStyle w:val="Style26"/>
        <w:keepNext w:val="0"/>
        <w:keepLines w:val="0"/>
        <w:widowControl w:val="0"/>
        <w:shd w:val="clear" w:color="auto" w:fill="auto"/>
        <w:bidi w:val="0"/>
        <w:spacing w:before="0" w:after="420" w:line="313" w:lineRule="exact"/>
        <w:ind w:left="0" w:right="0" w:firstLine="520"/>
        <w:jc w:val="both"/>
      </w:pPr>
      <w:r>
        <w:rPr>
          <w:color w:val="000000"/>
          <w:spacing w:val="0"/>
          <w:w w:val="100"/>
          <w:position w:val="0"/>
        </w:rPr>
        <w:t>分领域业务情况说明如下：</w:t>
      </w:r>
    </w:p>
    <w:p>
      <w:pPr>
        <w:pStyle w:val="Style26"/>
        <w:keepNext w:val="0"/>
        <w:keepLines w:val="0"/>
        <w:widowControl w:val="0"/>
        <w:shd w:val="clear" w:color="auto" w:fill="auto"/>
        <w:bidi w:val="0"/>
        <w:spacing w:before="0" w:after="0"/>
        <w:ind w:left="0" w:right="0" w:firstLine="520"/>
        <w:jc w:val="both"/>
      </w:pPr>
      <w:bookmarkStart w:id="62" w:name="bookmark62"/>
      <w:r>
        <w:rPr>
          <w:rFonts w:ascii="Times New Roman" w:eastAsia="Times New Roman" w:hAnsi="Times New Roman" w:cs="Times New Roman"/>
          <w:color w:val="000000"/>
          <w:spacing w:val="0"/>
          <w:w w:val="100"/>
          <w:position w:val="0"/>
        </w:rPr>
        <w:t>1</w:t>
      </w:r>
      <w:bookmarkEnd w:id="62"/>
      <w:r>
        <w:rPr>
          <w:color w:val="000000"/>
          <w:spacing w:val="0"/>
          <w:w w:val="100"/>
          <w:position w:val="0"/>
        </w:rPr>
        <w:t>、金融科技业务</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报告期内，公司金融科技业务以新形势下金融机构经营模式的创新改革为契机，围绕国内金融行业国产化、数字化转 型需求，聚焦金融测试、</w:t>
      </w:r>
      <w:r>
        <w:rPr>
          <w:rFonts w:ascii="Times New Roman" w:eastAsia="Times New Roman" w:hAnsi="Times New Roman" w:cs="Times New Roman"/>
          <w:color w:val="000000"/>
          <w:spacing w:val="0"/>
          <w:w w:val="100"/>
          <w:position w:val="0"/>
        </w:rPr>
        <w:t>DevOps</w:t>
      </w:r>
      <w:r>
        <w:rPr>
          <w:color w:val="000000"/>
          <w:spacing w:val="0"/>
          <w:w w:val="100"/>
          <w:position w:val="0"/>
        </w:rPr>
        <w:t>数字化软件交付、新一代分布式核心系统、业务中台、数据中台等业务方向，采用产品销 售、工程交付与差异化服务相结合的商业模式，为银行、保险、证券、基金、国债、信托、资产及其他持牌金融客户提供专 业的数字化解决方案，以科技手段帮助并推动传统金融机构实现业务与经营模式的创新升级。公司金融科技业务已覆盖除台 湾、香港、澳门以外的全国其他所有省份。</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报告期内，公司金融科技业务按收入类型，主要分为产品销售、工程交付、综合服务等三大部分：</w:t>
      </w:r>
    </w:p>
    <w:p>
      <w:pPr>
        <w:pStyle w:val="Style26"/>
        <w:keepNext w:val="0"/>
        <w:keepLines w:val="0"/>
        <w:widowControl w:val="0"/>
        <w:shd w:val="clear" w:color="auto" w:fill="auto"/>
        <w:tabs>
          <w:tab w:pos="942" w:val="left"/>
        </w:tabs>
        <w:bidi w:val="0"/>
        <w:spacing w:before="0" w:after="0" w:line="313" w:lineRule="exact"/>
        <w:ind w:left="0" w:right="0" w:firstLine="52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1</w:t>
      </w:r>
      <w:r>
        <w:rPr>
          <w:color w:val="000000"/>
          <w:spacing w:val="0"/>
          <w:w w:val="100"/>
          <w:position w:val="0"/>
        </w:rPr>
        <w:t>）</w:t>
        <w:tab/>
        <w:t>产品销售</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报告期内，公司以市场需求为导向，紧跟金融市场战略转型需求，通过深入的理论分析、产品开发和工程实践，秉承 面向服务的软件产品设计理念，持续对金融测试工具、软件全生命周期自动化交付平台、金融业务中台</w:t>
      </w:r>
      <w:r>
        <w:rPr>
          <w:rFonts w:ascii="Times New Roman" w:eastAsia="Times New Roman" w:hAnsi="Times New Roman" w:cs="Times New Roman"/>
          <w:color w:val="000000"/>
          <w:spacing w:val="0"/>
          <w:w w:val="100"/>
          <w:position w:val="0"/>
        </w:rPr>
        <w:t>/</w:t>
      </w:r>
      <w:r>
        <w:rPr>
          <w:color w:val="000000"/>
          <w:spacing w:val="0"/>
          <w:w w:val="100"/>
          <w:position w:val="0"/>
        </w:rPr>
        <w:t>数据中台、新一代 分布式核心、金融信创软件等系列产品进行研发与迭代升级，不断完善产品的功能和性能，帮助客户实现在普惠金融、互联 网金融、供应链金融等场景下的效率与价值提升。</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报告期内，公司销售并投入使用的产品主要有：测试管理平台</w:t>
      </w:r>
      <w:r>
        <w:rPr>
          <w:color w:val="000000"/>
          <w:spacing w:val="0"/>
          <w:w w:val="100"/>
          <w:position w:val="0"/>
        </w:rPr>
        <w:t>（</w:t>
      </w:r>
      <w:r>
        <w:rPr>
          <w:rFonts w:ascii="Times New Roman" w:eastAsia="Times New Roman" w:hAnsi="Times New Roman" w:cs="Times New Roman"/>
          <w:color w:val="000000"/>
          <w:spacing w:val="0"/>
          <w:w w:val="100"/>
          <w:position w:val="0"/>
        </w:rPr>
        <w:t>JettoManager</w:t>
      </w:r>
      <w:r>
        <w:rPr>
          <w:color w:val="000000"/>
          <w:spacing w:val="0"/>
          <w:w w:val="100"/>
          <w:position w:val="0"/>
        </w:rPr>
        <w:t>），</w:t>
      </w:r>
      <w:r>
        <w:rPr>
          <w:rFonts w:ascii="Times New Roman" w:eastAsia="Times New Roman" w:hAnsi="Times New Roman" w:cs="Times New Roman"/>
          <w:color w:val="000000"/>
          <w:spacing w:val="0"/>
          <w:w w:val="100"/>
          <w:position w:val="0"/>
        </w:rPr>
        <w:t>DevOps</w:t>
      </w:r>
      <w:r>
        <w:rPr>
          <w:color w:val="000000"/>
          <w:spacing w:val="0"/>
          <w:w w:val="100"/>
          <w:position w:val="0"/>
        </w:rPr>
        <w:t>平台（</w:t>
      </w:r>
      <w:r>
        <w:rPr>
          <w:rFonts w:ascii="Times New Roman" w:eastAsia="Times New Roman" w:hAnsi="Times New Roman" w:cs="Times New Roman"/>
          <w:color w:val="000000"/>
          <w:spacing w:val="0"/>
          <w:w w:val="100"/>
          <w:position w:val="0"/>
        </w:rPr>
        <w:t>JettoDevOps</w:t>
      </w:r>
      <w:r>
        <w:rPr>
          <w:color w:val="000000"/>
          <w:spacing w:val="0"/>
          <w:w w:val="100"/>
          <w:position w:val="0"/>
        </w:rPr>
        <w:t>）</w:t>
      </w:r>
      <w:r>
        <w:rPr>
          <w:color w:val="000000"/>
          <w:spacing w:val="0"/>
          <w:w w:val="100"/>
          <w:position w:val="0"/>
        </w:rPr>
        <w:t>、性能 测试平台</w:t>
      </w:r>
      <w:r>
        <w:rPr>
          <w:color w:val="000000"/>
          <w:spacing w:val="0"/>
          <w:w w:val="100"/>
          <w:position w:val="0"/>
        </w:rPr>
        <w:t>（</w:t>
      </w:r>
      <w:r>
        <w:rPr>
          <w:rFonts w:ascii="Times New Roman" w:eastAsia="Times New Roman" w:hAnsi="Times New Roman" w:cs="Times New Roman"/>
          <w:color w:val="000000"/>
          <w:spacing w:val="0"/>
          <w:w w:val="100"/>
          <w:position w:val="0"/>
        </w:rPr>
        <w:t>Jetto Loader</w:t>
      </w:r>
      <w:r>
        <w:rPr>
          <w:color w:val="000000"/>
          <w:spacing w:val="0"/>
          <w:w w:val="100"/>
          <w:position w:val="0"/>
        </w:rPr>
        <w:t>）、新一代分布式金融核心系统、银行业务枢纽平台、新一代汽车金融核心系统等。</w:t>
      </w:r>
    </w:p>
    <w:p>
      <w:pPr>
        <w:pStyle w:val="Style26"/>
        <w:keepNext w:val="0"/>
        <w:keepLines w:val="0"/>
        <w:widowControl w:val="0"/>
        <w:shd w:val="clear" w:color="auto" w:fill="auto"/>
        <w:tabs>
          <w:tab w:pos="942" w:val="left"/>
        </w:tabs>
        <w:bidi w:val="0"/>
        <w:spacing w:before="0" w:after="0" w:line="313" w:lineRule="exact"/>
        <w:ind w:left="0" w:right="0" w:firstLine="52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2</w:t>
      </w:r>
      <w:r>
        <w:rPr>
          <w:color w:val="000000"/>
          <w:spacing w:val="0"/>
          <w:w w:val="100"/>
          <w:position w:val="0"/>
        </w:rPr>
        <w:t>）</w:t>
        <w:tab/>
        <w:t>工程交付</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公司基于长期在金融领域的软件项目实践、业务背景、专业知识、软件工程开发管理人才等优势，围绕金融机构数字 化转型需求，以城商行和农商行等中小银行为主要客户，开展各类软件工程及信息化项目的整体建设与交付业务。工程交付 包涵需求、设计、开发、测试、运维等软件全生命周期作业。</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报告期内，公司金融科技业务的工程交付业务主要集中在大数据、风控、移动开发、大零售、小微贷等方向上，并在 台州银行、天津银行、富滇银行等多个代表银行取得成功案例。</w:t>
      </w:r>
    </w:p>
    <w:p>
      <w:pPr>
        <w:pStyle w:val="Style26"/>
        <w:keepNext w:val="0"/>
        <w:keepLines w:val="0"/>
        <w:widowControl w:val="0"/>
        <w:shd w:val="clear" w:color="auto" w:fill="auto"/>
        <w:tabs>
          <w:tab w:pos="942" w:val="left"/>
        </w:tabs>
        <w:bidi w:val="0"/>
        <w:spacing w:before="0" w:after="0" w:line="313" w:lineRule="exact"/>
        <w:ind w:left="0" w:right="0" w:firstLine="520"/>
        <w:jc w:val="both"/>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rPr>
        <w:t>3</w:t>
      </w:r>
      <w:r>
        <w:rPr>
          <w:color w:val="000000"/>
          <w:spacing w:val="0"/>
          <w:w w:val="100"/>
          <w:position w:val="0"/>
        </w:rPr>
        <w:t>）</w:t>
        <w:tab/>
        <w:t>综合服务</w:t>
      </w:r>
    </w:p>
    <w:p>
      <w:pPr>
        <w:pStyle w:val="Style26"/>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报告期内，公司该业务主要面向银行等金融机构提供咨询、开发、测试、营销服务、渠道管理、风险管理、数据服 务、平台运营等信息技术服务，以金融信息化测试为核心，持续向需求管理、系统集成等</w:t>
      </w:r>
      <w:r>
        <w:rPr>
          <w:rFonts w:ascii="Times New Roman" w:eastAsia="Times New Roman" w:hAnsi="Times New Roman" w:cs="Times New Roman"/>
          <w:color w:val="000000"/>
          <w:spacing w:val="0"/>
          <w:w w:val="100"/>
          <w:position w:val="0"/>
        </w:rPr>
        <w:t>DevOp s</w:t>
      </w:r>
      <w:r>
        <w:rPr>
          <w:color w:val="000000"/>
          <w:spacing w:val="0"/>
          <w:w w:val="100"/>
          <w:position w:val="0"/>
        </w:rPr>
        <w:t>领域延伸。</w:t>
      </w:r>
    </w:p>
    <w:p>
      <w:pPr>
        <w:pStyle w:val="Style26"/>
        <w:keepNext w:val="0"/>
        <w:keepLines w:val="0"/>
        <w:widowControl w:val="0"/>
        <w:shd w:val="clear" w:color="auto" w:fill="auto"/>
        <w:bidi w:val="0"/>
        <w:spacing w:before="0" w:after="120" w:line="313" w:lineRule="exact"/>
        <w:ind w:left="0" w:right="0" w:firstLine="580"/>
        <w:jc w:val="both"/>
      </w:pPr>
      <w:r>
        <w:rPr>
          <w:color w:val="000000"/>
          <w:spacing w:val="0"/>
          <w:w w:val="100"/>
          <w:position w:val="0"/>
        </w:rPr>
        <w:t>报告期内，新增广发银行、恒丰银行、国家开发银行等客户，服务范围已覆盖</w:t>
      </w:r>
      <w:r>
        <w:rPr>
          <w:rFonts w:ascii="Times New Roman" w:eastAsia="Times New Roman" w:hAnsi="Times New Roman" w:cs="Times New Roman"/>
          <w:color w:val="000000"/>
          <w:spacing w:val="0"/>
          <w:w w:val="100"/>
          <w:position w:val="0"/>
        </w:rPr>
        <w:t>6</w:t>
      </w:r>
      <w:r>
        <w:rPr>
          <w:color w:val="000000"/>
          <w:spacing w:val="0"/>
          <w:w w:val="100"/>
          <w:position w:val="0"/>
        </w:rPr>
        <w:t>大国有银行、</w:t>
      </w:r>
      <w:r>
        <w:rPr>
          <w:rFonts w:ascii="Times New Roman" w:eastAsia="Times New Roman" w:hAnsi="Times New Roman" w:cs="Times New Roman"/>
          <w:color w:val="000000"/>
          <w:spacing w:val="0"/>
          <w:w w:val="100"/>
          <w:position w:val="0"/>
        </w:rPr>
        <w:t>2</w:t>
      </w:r>
      <w:r>
        <w:rPr>
          <w:color w:val="000000"/>
          <w:spacing w:val="0"/>
          <w:w w:val="100"/>
          <w:position w:val="0"/>
        </w:rPr>
        <w:t>家政策性银行、</w:t>
      </w:r>
      <w:r>
        <w:rPr>
          <w:rFonts w:ascii="Times New Roman" w:eastAsia="Times New Roman" w:hAnsi="Times New Roman" w:cs="Times New Roman"/>
          <w:color w:val="000000"/>
          <w:spacing w:val="0"/>
          <w:w w:val="100"/>
          <w:position w:val="0"/>
        </w:rPr>
        <w:t>11</w:t>
      </w:r>
      <w:r>
        <w:rPr>
          <w:color w:val="000000"/>
          <w:spacing w:val="0"/>
          <w:w w:val="100"/>
          <w:position w:val="0"/>
        </w:rPr>
        <w:t>家股 份制银行及超过</w:t>
      </w:r>
      <w:r>
        <w:rPr>
          <w:rFonts w:ascii="Times New Roman" w:eastAsia="Times New Roman" w:hAnsi="Times New Roman" w:cs="Times New Roman"/>
          <w:color w:val="000000"/>
          <w:spacing w:val="0"/>
          <w:w w:val="100"/>
          <w:position w:val="0"/>
        </w:rPr>
        <w:t>200</w:t>
      </w:r>
      <w:r>
        <w:rPr>
          <w:color w:val="000000"/>
          <w:spacing w:val="0"/>
          <w:w w:val="100"/>
          <w:position w:val="0"/>
        </w:rPr>
        <w:t>家中小银行、保险公司、持牌金融机构等。</w:t>
      </w:r>
    </w:p>
    <w:p>
      <w:pPr>
        <w:pStyle w:val="Style26"/>
        <w:keepNext w:val="0"/>
        <w:keepLines w:val="0"/>
        <w:widowControl w:val="0"/>
        <w:shd w:val="clear" w:color="auto" w:fill="auto"/>
        <w:bidi w:val="0"/>
        <w:spacing w:before="0" w:after="0" w:line="312" w:lineRule="exact"/>
        <w:ind w:left="0" w:right="0" w:firstLine="52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、智能物联业务</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报告期内，公司以国产化核心软件能力为基础，依托自身在芯片与终端设备开发、操作系统、云计算、大数据、人工 智能等先进领域的实践积累与技术提升，打通了从端到云、从底层技术到上层应用的物联网解决方案全栈技术能力，针对未 来物联网所带来的大量行业定制终端需求，持续开发并迭代软硬一体化智能终端产品，打造</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边</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高效协同的一体化行 业解决方案，通过</w:t>
      </w:r>
      <w:r>
        <w:rPr>
          <w:rFonts w:ascii="Times New Roman" w:eastAsia="Times New Roman" w:hAnsi="Times New Roman" w:cs="Times New Roman"/>
          <w:color w:val="000000"/>
          <w:spacing w:val="0"/>
          <w:w w:val="100"/>
          <w:position w:val="0"/>
        </w:rPr>
        <w:t>“</w:t>
      </w:r>
      <w:r>
        <w:rPr>
          <w:color w:val="000000"/>
          <w:spacing w:val="0"/>
          <w:w w:val="100"/>
          <w:position w:val="0"/>
        </w:rPr>
        <w:t>一站式的交付模式</w:t>
      </w:r>
      <w:r>
        <w:rPr>
          <w:rFonts w:ascii="Times New Roman" w:eastAsia="Times New Roman" w:hAnsi="Times New Roman" w:cs="Times New Roman"/>
          <w:color w:val="000000"/>
          <w:spacing w:val="0"/>
          <w:w w:val="100"/>
          <w:position w:val="0"/>
        </w:rPr>
        <w:t>”</w:t>
      </w:r>
      <w:r>
        <w:rPr>
          <w:color w:val="000000"/>
          <w:spacing w:val="0"/>
          <w:w w:val="100"/>
          <w:position w:val="0"/>
        </w:rPr>
        <w:t>，帮助能源、工业、零售、汽车、通讯等重点行业客户加速信息化建设、提升创新产 品开发速度，提高用户体验和产品价值，达成数字化、信息化转型升级目标。</w:t>
      </w:r>
    </w:p>
    <w:p>
      <w:pPr>
        <w:pStyle w:val="Style26"/>
        <w:keepNext w:val="0"/>
        <w:keepLines w:val="0"/>
        <w:widowControl w:val="0"/>
        <w:shd w:val="clear" w:color="auto" w:fill="auto"/>
        <w:bidi w:val="0"/>
        <w:spacing w:before="0" w:after="100" w:line="326" w:lineRule="exact"/>
        <w:ind w:left="0" w:right="0" w:firstLine="520"/>
        <w:jc w:val="both"/>
      </w:pPr>
      <w:r>
        <w:rPr>
          <w:color w:val="000000"/>
          <w:spacing w:val="0"/>
          <w:w w:val="100"/>
          <w:position w:val="0"/>
        </w:rPr>
        <w:t>报告期内，公司智能物联业务以</w:t>
      </w:r>
      <w:r>
        <w:rPr>
          <w:rFonts w:ascii="Times New Roman" w:eastAsia="Times New Roman" w:hAnsi="Times New Roman" w:cs="Times New Roman"/>
          <w:color w:val="000000"/>
          <w:spacing w:val="0"/>
          <w:w w:val="100"/>
          <w:position w:val="0"/>
        </w:rPr>
        <w:t>“4</w:t>
      </w:r>
      <w:r>
        <w:rPr>
          <w:color w:val="000000"/>
          <w:spacing w:val="0"/>
          <w:w w:val="100"/>
          <w:position w:val="0"/>
        </w:rPr>
        <w:t>横</w:t>
      </w:r>
      <w:r>
        <w:rPr>
          <w:rFonts w:ascii="Times New Roman" w:eastAsia="Times New Roman" w:hAnsi="Times New Roman" w:cs="Times New Roman"/>
          <w:color w:val="000000"/>
          <w:spacing w:val="0"/>
          <w:w w:val="100"/>
          <w:position w:val="0"/>
        </w:rPr>
        <w:t>4</w:t>
      </w:r>
      <w:r>
        <w:rPr>
          <w:color w:val="000000"/>
          <w:spacing w:val="0"/>
          <w:w w:val="100"/>
          <w:position w:val="0"/>
        </w:rPr>
        <w:t>纵</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HopeAIOT</w:t>
      </w:r>
      <w:r>
        <w:rPr>
          <w:color w:val="000000"/>
          <w:spacing w:val="0"/>
          <w:w w:val="100"/>
          <w:position w:val="0"/>
        </w:rPr>
        <w:t>智能物联解决方案及系列产品为核心，为客户提供包括全部国 产化方案在内的物联网软硬件产品、定制开发、技术支持以及生态推广服务。</w:t>
      </w:r>
    </w:p>
    <w:p>
      <w:pPr>
        <w:widowControl w:val="0"/>
        <w:jc w:val="left"/>
        <w:rPr>
          <w:sz w:val="2"/>
          <w:szCs w:val="2"/>
        </w:rPr>
      </w:pPr>
      <w:r>
        <w:drawing>
          <wp:inline>
            <wp:extent cx="5547360" cy="270637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547360" cy="2706370"/>
                    </a:xfrm>
                    <a:prstGeom prst="rect"/>
                  </pic:spPr>
                </pic:pic>
              </a:graphicData>
            </a:graphic>
          </wp:inline>
        </w:drawing>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横</w:t>
      </w:r>
      <w:r>
        <w:rPr>
          <w:rFonts w:ascii="Times New Roman" w:eastAsia="Times New Roman" w:hAnsi="Times New Roman" w:cs="Times New Roman"/>
          <w:color w:val="000000"/>
          <w:spacing w:val="0"/>
          <w:w w:val="100"/>
          <w:position w:val="0"/>
        </w:rPr>
        <w:t>”</w:t>
      </w:r>
      <w:r>
        <w:rPr>
          <w:color w:val="000000"/>
          <w:spacing w:val="0"/>
          <w:w w:val="100"/>
          <w:position w:val="0"/>
        </w:rPr>
        <w:t>是指：从底层技术到上层应用的全栈技术能力和相关产品，包括一站式芯片解决方案、软硬一体的多样化边缘、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终端设备产品、高效云端平台产品、定制化的行业应用方案。</w:t>
      </w:r>
    </w:p>
    <w:p>
      <w:pPr>
        <w:pStyle w:val="Style26"/>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纵</w:t>
      </w:r>
      <w:r>
        <w:rPr>
          <w:rFonts w:ascii="Times New Roman" w:eastAsia="Times New Roman" w:hAnsi="Times New Roman" w:cs="Times New Roman"/>
          <w:color w:val="000000"/>
          <w:spacing w:val="0"/>
          <w:w w:val="100"/>
          <w:position w:val="0"/>
        </w:rPr>
        <w:t>”</w:t>
      </w:r>
      <w:r>
        <w:rPr>
          <w:color w:val="000000"/>
          <w:spacing w:val="0"/>
          <w:w w:val="100"/>
          <w:position w:val="0"/>
        </w:rPr>
        <w:t>是指：能源、工业、零售、汽车四大物联网重点建设及应用领域。</w:t>
      </w:r>
    </w:p>
    <w:p>
      <w:pPr>
        <w:pStyle w:val="Style26"/>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业务具体说明如下:</w:t>
      </w:r>
    </w:p>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报告期内，公司持续加大在操作系统、公有云</w:t>
      </w:r>
      <w:r>
        <w:rPr>
          <w:rFonts w:ascii="Times New Roman" w:eastAsia="Times New Roman" w:hAnsi="Times New Roman" w:cs="Times New Roman"/>
          <w:color w:val="000000"/>
          <w:spacing w:val="0"/>
          <w:w w:val="100"/>
          <w:position w:val="0"/>
        </w:rPr>
        <w:t>/</w:t>
      </w:r>
      <w:r>
        <w:rPr>
          <w:color w:val="000000"/>
          <w:spacing w:val="0"/>
          <w:w w:val="100"/>
          <w:position w:val="0"/>
        </w:rPr>
        <w:t xml:space="preserve">私有云平台、大数据平台和人工智能组件等物联网基础软件方向上的 </w:t>
      </w:r>
      <w:r>
        <w:rPr>
          <w:color w:val="000000"/>
          <w:spacing w:val="0"/>
          <w:w w:val="100"/>
          <w:position w:val="0"/>
        </w:rPr>
        <w:t>产品投入，推出包括</w:t>
      </w:r>
      <w:r>
        <w:rPr>
          <w:rFonts w:ascii="Times New Roman" w:eastAsia="Times New Roman" w:hAnsi="Times New Roman" w:cs="Times New Roman"/>
          <w:color w:val="000000"/>
          <w:spacing w:val="0"/>
          <w:w w:val="100"/>
          <w:position w:val="0"/>
        </w:rPr>
        <w:t>HopeStage</w:t>
      </w:r>
      <w:r>
        <w:rPr>
          <w:color w:val="000000"/>
          <w:spacing w:val="0"/>
          <w:w w:val="100"/>
          <w:position w:val="0"/>
        </w:rPr>
        <w:t>操作系统、</w:t>
      </w:r>
      <w:r>
        <w:rPr>
          <w:rFonts w:ascii="Times New Roman" w:eastAsia="Times New Roman" w:hAnsi="Times New Roman" w:cs="Times New Roman"/>
          <w:color w:val="000000"/>
          <w:spacing w:val="0"/>
          <w:w w:val="100"/>
          <w:position w:val="0"/>
        </w:rPr>
        <w:t>HopeBase</w:t>
      </w:r>
      <w:r>
        <w:rPr>
          <w:color w:val="000000"/>
          <w:spacing w:val="0"/>
          <w:w w:val="100"/>
          <w:position w:val="0"/>
        </w:rPr>
        <w:t>数据库软件、</w:t>
      </w:r>
      <w:r>
        <w:rPr>
          <w:rFonts w:ascii="Times New Roman" w:eastAsia="Times New Roman" w:hAnsi="Times New Roman" w:cs="Times New Roman"/>
          <w:color w:val="000000"/>
          <w:spacing w:val="0"/>
          <w:w w:val="100"/>
          <w:position w:val="0"/>
        </w:rPr>
        <w:t>HopeStack</w:t>
      </w:r>
      <w:r>
        <w:rPr>
          <w:color w:val="000000"/>
          <w:spacing w:val="0"/>
          <w:w w:val="100"/>
          <w:position w:val="0"/>
        </w:rPr>
        <w:t>云计算</w:t>
      </w:r>
      <w:r>
        <w:rPr>
          <w:rFonts w:ascii="Times New Roman" w:eastAsia="Times New Roman" w:hAnsi="Times New Roman" w:cs="Times New Roman"/>
          <w:color w:val="000000"/>
          <w:spacing w:val="0"/>
          <w:w w:val="100"/>
          <w:position w:val="0"/>
        </w:rPr>
        <w:t>laaS</w:t>
      </w:r>
      <w:r>
        <w:rPr>
          <w:color w:val="000000"/>
          <w:spacing w:val="0"/>
          <w:w w:val="100"/>
          <w:position w:val="0"/>
        </w:rPr>
        <w:t>平台软件、</w:t>
      </w:r>
      <w:r>
        <w:rPr>
          <w:rFonts w:ascii="Times New Roman" w:eastAsia="Times New Roman" w:hAnsi="Times New Roman" w:cs="Times New Roman"/>
          <w:color w:val="000000"/>
          <w:spacing w:val="0"/>
          <w:w w:val="100"/>
          <w:position w:val="0"/>
        </w:rPr>
        <w:t>HopeContainer</w:t>
      </w:r>
      <w:r>
        <w:rPr>
          <w:color w:val="000000"/>
          <w:spacing w:val="0"/>
          <w:w w:val="100"/>
          <w:position w:val="0"/>
        </w:rPr>
        <w:t>容器云平台 软件、</w:t>
      </w:r>
      <w:r>
        <w:rPr>
          <w:rFonts w:ascii="Times New Roman" w:eastAsia="Times New Roman" w:hAnsi="Times New Roman" w:cs="Times New Roman"/>
          <w:color w:val="000000"/>
          <w:spacing w:val="0"/>
          <w:w w:val="100"/>
          <w:position w:val="0"/>
        </w:rPr>
        <w:t>HopeHybrid</w:t>
      </w:r>
      <w:r>
        <w:rPr>
          <w:color w:val="000000"/>
          <w:spacing w:val="0"/>
          <w:w w:val="100"/>
          <w:position w:val="0"/>
        </w:rPr>
        <w:t>混合云软件、</w:t>
      </w:r>
      <w:r>
        <w:rPr>
          <w:rFonts w:ascii="Times New Roman" w:eastAsia="Times New Roman" w:hAnsi="Times New Roman" w:cs="Times New Roman"/>
          <w:color w:val="000000"/>
          <w:spacing w:val="0"/>
          <w:w w:val="100"/>
          <w:position w:val="0"/>
        </w:rPr>
        <w:t>HopeYotta</w:t>
      </w:r>
      <w:r>
        <w:rPr>
          <w:color w:val="000000"/>
          <w:spacing w:val="0"/>
          <w:w w:val="100"/>
          <w:position w:val="0"/>
        </w:rPr>
        <w:t>大数据平台软件和</w:t>
      </w:r>
      <w:r>
        <w:rPr>
          <w:rFonts w:ascii="Times New Roman" w:eastAsia="Times New Roman" w:hAnsi="Times New Roman" w:cs="Times New Roman"/>
          <w:color w:val="000000"/>
          <w:spacing w:val="0"/>
          <w:w w:val="100"/>
          <w:position w:val="0"/>
        </w:rPr>
        <w:t>HopeWisdom</w:t>
      </w:r>
      <w:r>
        <w:rPr>
          <w:color w:val="000000"/>
          <w:spacing w:val="0"/>
          <w:w w:val="100"/>
          <w:position w:val="0"/>
        </w:rPr>
        <w:t>人工智能平台软件等产品，并配合物联网解决方案 在电力、制造、运营商多个领域落地使用，为智能物联网业务的全面展开提供了以国产化软件为主的基础软件平台。</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rPr>
        <w:t>HiHope</w:t>
      </w:r>
      <w:r>
        <w:rPr>
          <w:color w:val="000000"/>
          <w:spacing w:val="0"/>
          <w:w w:val="100"/>
          <w:position w:val="0"/>
        </w:rPr>
        <w:t xml:space="preserve">芯片全栈解决方案平台已成为涵盖芯片设计服务、硬件开发生产、硬件测试认证、板级支持软 件、芯片调测软件、应用解决方案原型等的一站式芯片解决方案平台，领域涉及智慧联接、智慧视觉、智慧工业、智慧媒体、 </w:t>
      </w:r>
      <w:r>
        <w:rPr>
          <w:color w:val="000000"/>
          <w:spacing w:val="0"/>
          <w:w w:val="100"/>
          <w:position w:val="0"/>
        </w:rPr>
        <w:t>智能计算。</w:t>
      </w:r>
      <w:r>
        <w:rPr>
          <w:rFonts w:ascii="Times New Roman" w:eastAsia="Times New Roman" w:hAnsi="Times New Roman" w:cs="Times New Roman"/>
          <w:color w:val="000000"/>
          <w:spacing w:val="0"/>
          <w:w w:val="100"/>
          <w:position w:val="0"/>
        </w:rPr>
        <w:t>HiHope</w:t>
      </w:r>
      <w:r>
        <w:rPr>
          <w:color w:val="000000"/>
          <w:spacing w:val="0"/>
          <w:w w:val="100"/>
          <w:position w:val="0"/>
        </w:rPr>
        <w:t>芯片全栈解决方案平台已经沉淀了多个头部重量级合作伙伴，包括华为、海思、紫光展锐、阿里平头哥、 瑞萨电子、索喜、德州仪器、英飞凌、</w:t>
      </w:r>
      <w:r>
        <w:rPr>
          <w:rFonts w:ascii="Times New Roman" w:eastAsia="Times New Roman" w:hAnsi="Times New Roman" w:cs="Times New Roman"/>
          <w:color w:val="000000"/>
          <w:spacing w:val="0"/>
          <w:w w:val="100"/>
          <w:position w:val="0"/>
        </w:rPr>
        <w:t>NXP</w:t>
      </w:r>
      <w:r>
        <w:rPr>
          <w:color w:val="000000"/>
          <w:spacing w:val="0"/>
          <w:w w:val="100"/>
          <w:position w:val="0"/>
        </w:rPr>
        <w:t>、</w:t>
      </w:r>
      <w:r>
        <w:rPr>
          <w:rFonts w:ascii="Times New Roman" w:eastAsia="Times New Roman" w:hAnsi="Times New Roman" w:cs="Times New Roman"/>
          <w:color w:val="000000"/>
          <w:spacing w:val="0"/>
          <w:w w:val="100"/>
          <w:position w:val="0"/>
        </w:rPr>
        <w:t>Google</w:t>
      </w:r>
      <w:r>
        <w:rPr>
          <w:color w:val="000000"/>
          <w:spacing w:val="0"/>
          <w:w w:val="100"/>
          <w:position w:val="0"/>
        </w:rPr>
        <w:t>等，合作的国内外行业组织包括</w:t>
      </w:r>
      <w:r>
        <w:rPr>
          <w:rFonts w:ascii="Times New Roman" w:eastAsia="Times New Roman" w:hAnsi="Times New Roman" w:cs="Times New Roman"/>
          <w:color w:val="000000"/>
          <w:spacing w:val="0"/>
          <w:w w:val="100"/>
          <w:position w:val="0"/>
        </w:rPr>
        <w:t>Linaro</w:t>
      </w:r>
      <w:r>
        <w:rPr>
          <w:color w:val="000000"/>
          <w:spacing w:val="0"/>
          <w:w w:val="100"/>
          <w:position w:val="0"/>
        </w:rPr>
        <w:t>、</w:t>
      </w:r>
      <w:r>
        <w:rPr>
          <w:rFonts w:ascii="Times New Roman" w:eastAsia="Times New Roman" w:hAnsi="Times New Roman" w:cs="Times New Roman"/>
          <w:color w:val="000000"/>
          <w:spacing w:val="0"/>
          <w:w w:val="100"/>
          <w:position w:val="0"/>
        </w:rPr>
        <w:t>HDMI</w:t>
      </w:r>
      <w:r>
        <w:rPr>
          <w:color w:val="000000"/>
          <w:spacing w:val="0"/>
          <w:w w:val="100"/>
          <w:position w:val="0"/>
        </w:rPr>
        <w:t>、</w:t>
      </w:r>
      <w:r>
        <w:rPr>
          <w:color w:val="000000"/>
          <w:spacing w:val="0"/>
          <w:w w:val="100"/>
          <w:position w:val="0"/>
        </w:rPr>
        <w:t>开放原子开源基金会、 软件绿色联盟、开放智联联盟等，是</w:t>
      </w:r>
      <w:r>
        <w:rPr>
          <w:rFonts w:ascii="Times New Roman" w:eastAsia="Times New Roman" w:hAnsi="Times New Roman" w:cs="Times New Roman"/>
          <w:color w:val="000000"/>
          <w:spacing w:val="0"/>
          <w:w w:val="100"/>
          <w:position w:val="0"/>
        </w:rPr>
        <w:t xml:space="preserve">OpenHarmony </w:t>
      </w:r>
      <w:r>
        <w:rPr>
          <w:color w:val="000000"/>
          <w:spacing w:val="0"/>
          <w:w w:val="100"/>
          <w:position w:val="0"/>
        </w:rPr>
        <w:t>（开放鸿蒙）发起单位之一、华为</w:t>
      </w:r>
      <w:r>
        <w:rPr>
          <w:rFonts w:ascii="Times New Roman" w:eastAsia="Times New Roman" w:hAnsi="Times New Roman" w:cs="Times New Roman"/>
          <w:color w:val="000000"/>
          <w:spacing w:val="0"/>
          <w:w w:val="100"/>
          <w:position w:val="0"/>
        </w:rPr>
        <w:t xml:space="preserve">HarmonyOS </w:t>
      </w:r>
      <w:r>
        <w:rPr>
          <w:color w:val="000000"/>
          <w:spacing w:val="0"/>
          <w:w w:val="100"/>
          <w:position w:val="0"/>
        </w:rPr>
        <w:t>（鸿蒙操作系统）生态共建 者、海思芯片及</w:t>
      </w:r>
      <w:r>
        <w:rPr>
          <w:rFonts w:ascii="Times New Roman" w:eastAsia="Times New Roman" w:hAnsi="Times New Roman" w:cs="Times New Roman"/>
          <w:color w:val="000000"/>
          <w:spacing w:val="0"/>
          <w:w w:val="100"/>
          <w:position w:val="0"/>
        </w:rPr>
        <w:t>IoT</w:t>
      </w:r>
      <w:r>
        <w:rPr>
          <w:color w:val="000000"/>
          <w:spacing w:val="0"/>
          <w:w w:val="100"/>
          <w:position w:val="0"/>
        </w:rPr>
        <w:t>战略合作伙伴、日本芯片公司瑞萨电子合作伙伴、</w:t>
      </w:r>
      <w:r>
        <w:rPr>
          <w:rFonts w:ascii="Times New Roman" w:eastAsia="Times New Roman" w:hAnsi="Times New Roman" w:cs="Times New Roman"/>
          <w:color w:val="000000"/>
          <w:spacing w:val="0"/>
          <w:w w:val="100"/>
          <w:position w:val="0"/>
        </w:rPr>
        <w:t>Google Android T</w:t>
      </w:r>
      <w:r>
        <w:rPr>
          <w:rFonts w:ascii="Times New Roman" w:eastAsia="Times New Roman" w:hAnsi="Times New Roman" w:cs="Times New Roman"/>
          <w:color w:val="000000"/>
          <w:spacing w:val="0"/>
          <w:w w:val="100"/>
          <w:position w:val="0"/>
        </w:rPr>
        <w:t>V</w:t>
      </w:r>
      <w:r>
        <w:rPr>
          <w:color w:val="000000"/>
          <w:spacing w:val="0"/>
          <w:w w:val="100"/>
          <w:position w:val="0"/>
        </w:rPr>
        <w:t>合作伙伴、国际开源组织</w:t>
      </w:r>
      <w:r>
        <w:rPr>
          <w:rFonts w:ascii="Times New Roman" w:eastAsia="Times New Roman" w:hAnsi="Times New Roman" w:cs="Times New Roman"/>
          <w:color w:val="000000"/>
          <w:spacing w:val="0"/>
          <w:w w:val="100"/>
          <w:position w:val="0"/>
        </w:rPr>
        <w:t>Linaro 96Boards</w:t>
      </w:r>
      <w:r>
        <w:rPr>
          <w:color w:val="000000"/>
          <w:spacing w:val="0"/>
          <w:w w:val="100"/>
          <w:position w:val="0"/>
        </w:rPr>
        <w:t>核心会员。</w:t>
      </w:r>
    </w:p>
    <w:p>
      <w:pPr>
        <w:pStyle w:val="Style26"/>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截至报告期末，</w:t>
      </w:r>
      <w:r>
        <w:rPr>
          <w:rFonts w:ascii="Times New Roman" w:eastAsia="Times New Roman" w:hAnsi="Times New Roman" w:cs="Times New Roman"/>
          <w:color w:val="000000"/>
          <w:spacing w:val="0"/>
          <w:w w:val="100"/>
          <w:position w:val="0"/>
        </w:rPr>
        <w:t>HiHope</w:t>
      </w:r>
      <w:r>
        <w:rPr>
          <w:color w:val="000000"/>
          <w:spacing w:val="0"/>
          <w:w w:val="100"/>
          <w:position w:val="0"/>
        </w:rPr>
        <w:t>芯片全栈解决方案平台已推出多款自主研发的智能物联产品和解决方案，并实现相应部署和客 户积累，完成商业闭环。</w:t>
      </w:r>
      <w:r>
        <w:rPr>
          <w:rFonts w:ascii="Times New Roman" w:eastAsia="Times New Roman" w:hAnsi="Times New Roman" w:cs="Times New Roman"/>
          <w:color w:val="000000"/>
          <w:spacing w:val="0"/>
          <w:w w:val="100"/>
          <w:position w:val="0"/>
        </w:rPr>
        <w:t>HiHope AI</w:t>
      </w:r>
      <w:r>
        <w:rPr>
          <w:color w:val="000000"/>
          <w:spacing w:val="0"/>
          <w:w w:val="100"/>
          <w:position w:val="0"/>
        </w:rPr>
        <w:t>红外测温仪、</w:t>
      </w:r>
      <w:r>
        <w:rPr>
          <w:rFonts w:ascii="Times New Roman" w:eastAsia="Times New Roman" w:hAnsi="Times New Roman" w:cs="Times New Roman"/>
          <w:color w:val="000000"/>
          <w:spacing w:val="0"/>
          <w:w w:val="100"/>
          <w:position w:val="0"/>
        </w:rPr>
        <w:t>HiHope</w:t>
      </w:r>
      <w:r>
        <w:rPr>
          <w:color w:val="000000"/>
          <w:spacing w:val="0"/>
          <w:w w:val="100"/>
          <w:position w:val="0"/>
        </w:rPr>
        <w:t>智能家居解决方案、</w:t>
      </w:r>
      <w:r>
        <w:rPr>
          <w:rFonts w:ascii="Times New Roman" w:eastAsia="Times New Roman" w:hAnsi="Times New Roman" w:cs="Times New Roman"/>
          <w:color w:val="000000"/>
          <w:spacing w:val="0"/>
          <w:w w:val="100"/>
          <w:position w:val="0"/>
        </w:rPr>
        <w:t>HiHope</w:t>
      </w:r>
      <w:r>
        <w:rPr>
          <w:color w:val="000000"/>
          <w:spacing w:val="0"/>
          <w:w w:val="100"/>
          <w:position w:val="0"/>
        </w:rPr>
        <w:t>智慧视觉解决方案、</w:t>
      </w:r>
      <w:r>
        <w:rPr>
          <w:rFonts w:ascii="Times New Roman" w:eastAsia="Times New Roman" w:hAnsi="Times New Roman" w:cs="Times New Roman"/>
          <w:color w:val="000000"/>
          <w:spacing w:val="0"/>
          <w:w w:val="100"/>
          <w:position w:val="0"/>
        </w:rPr>
        <w:t>HiHope</w:t>
      </w:r>
      <w:r>
        <w:rPr>
          <w:color w:val="000000"/>
          <w:spacing w:val="0"/>
          <w:w w:val="100"/>
          <w:position w:val="0"/>
        </w:rPr>
        <w:t>智慧交通解 决方案、</w:t>
      </w:r>
      <w:r>
        <w:rPr>
          <w:rFonts w:ascii="Times New Roman" w:eastAsia="Times New Roman" w:hAnsi="Times New Roman" w:cs="Times New Roman"/>
          <w:color w:val="000000"/>
          <w:spacing w:val="0"/>
          <w:w w:val="100"/>
          <w:position w:val="0"/>
        </w:rPr>
        <w:t>HiHope AI</w:t>
      </w:r>
      <w:r>
        <w:rPr>
          <w:color w:val="000000"/>
          <w:spacing w:val="0"/>
          <w:w w:val="100"/>
          <w:position w:val="0"/>
        </w:rPr>
        <w:t>四足机器人</w:t>
      </w:r>
      <w:r>
        <w:rPr>
          <w:rFonts w:ascii="Times New Roman" w:eastAsia="Times New Roman" w:hAnsi="Times New Roman" w:cs="Times New Roman"/>
          <w:color w:val="000000"/>
          <w:spacing w:val="0"/>
          <w:w w:val="100"/>
          <w:position w:val="0"/>
        </w:rPr>
        <w:t>“</w:t>
      </w:r>
      <w:r>
        <w:rPr>
          <w:color w:val="000000"/>
          <w:spacing w:val="0"/>
          <w:w w:val="100"/>
          <w:position w:val="0"/>
        </w:rPr>
        <w:t>蜘蛛虾</w:t>
      </w:r>
      <w:r>
        <w:rPr>
          <w:rFonts w:ascii="Times New Roman" w:eastAsia="Times New Roman" w:hAnsi="Times New Roman" w:cs="Times New Roman"/>
          <w:color w:val="000000"/>
          <w:spacing w:val="0"/>
          <w:w w:val="100"/>
          <w:position w:val="0"/>
        </w:rPr>
        <w:t>”</w:t>
      </w:r>
      <w:r>
        <w:rPr>
          <w:color w:val="000000"/>
          <w:spacing w:val="0"/>
          <w:w w:val="100"/>
          <w:position w:val="0"/>
        </w:rPr>
        <w:t>等产品和方案已获得多项荣誉，得到业内和客户认可。</w:t>
      </w:r>
    </w:p>
    <w:p>
      <w:pPr>
        <w:widowControl w:val="0"/>
        <w:jc w:val="center"/>
        <w:rPr>
          <w:sz w:val="2"/>
          <w:szCs w:val="2"/>
        </w:rPr>
      </w:pPr>
      <w:r>
        <w:drawing>
          <wp:inline>
            <wp:extent cx="5547360" cy="277368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5547360" cy="2773680"/>
                    </a:xfrm>
                    <a:prstGeom prst="rect"/>
                  </pic:spPr>
                </pic:pic>
              </a:graphicData>
            </a:graphic>
          </wp:inline>
        </w:drawing>
      </w:r>
    </w:p>
    <w:p>
      <w:pPr>
        <w:pStyle w:val="Style33"/>
        <w:keepNext w:val="0"/>
        <w:keepLines w:val="0"/>
        <w:widowControl w:val="0"/>
        <w:shd w:val="clear" w:color="auto" w:fill="auto"/>
        <w:bidi w:val="0"/>
        <w:spacing w:before="0" w:after="0"/>
        <w:ind w:left="0" w:right="0" w:firstLine="0"/>
        <w:jc w:val="distribute"/>
      </w:pPr>
      <w:r>
        <w:rPr>
          <w:color w:val="000000"/>
          <w:spacing w:val="0"/>
          <w:w w:val="100"/>
          <w:position w:val="0"/>
        </w:rPr>
        <w:t>图润和软件</w:t>
      </w:r>
      <w:r>
        <w:rPr>
          <w:rFonts w:ascii="Times New Roman" w:eastAsia="Times New Roman" w:hAnsi="Times New Roman" w:cs="Times New Roman"/>
          <w:color w:val="000000"/>
          <w:spacing w:val="0"/>
          <w:w w:val="100"/>
          <w:position w:val="0"/>
        </w:rPr>
        <w:t>HiHope</w:t>
      </w:r>
      <w:r>
        <w:rPr>
          <w:color w:val="000000"/>
          <w:spacing w:val="0"/>
          <w:w w:val="100"/>
          <w:position w:val="0"/>
        </w:rPr>
        <w:t>芯片全栈解决方案平 台</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报告期内，公司强化了以智能座舱为核心的智能汽车相关技术储备与团队建设，实现了汽车电子端到端的全栈能力， 具备了车云大数据、</w:t>
      </w:r>
      <w:r>
        <w:rPr>
          <w:rFonts w:ascii="Times New Roman" w:eastAsia="Times New Roman" w:hAnsi="Times New Roman" w:cs="Times New Roman"/>
          <w:color w:val="000000"/>
          <w:spacing w:val="0"/>
          <w:w w:val="100"/>
          <w:position w:val="0"/>
        </w:rPr>
        <w:t>Tbox</w:t>
      </w:r>
      <w:r>
        <w:rPr>
          <w:color w:val="000000"/>
          <w:spacing w:val="0"/>
          <w:w w:val="100"/>
          <w:position w:val="0"/>
        </w:rPr>
        <w:t>、车载网关、自动驾驶、车载娱乐等多方面的产品设计和技术服务能力，其中，座舱域控制器软 硬平台、汽车中控娱乐系统、汽车电子测试等解决方案及相关产品已经成熟，并和整车厂商、汽车供应链企业及其他科技公 司在智能汽车领域形成产品及项目交付、技术支持、联合研发等多种模式的商业合作。</w:t>
      </w:r>
    </w:p>
    <w:p>
      <w:pPr>
        <w:pStyle w:val="Style26"/>
        <w:keepNext w:val="0"/>
        <w:keepLines w:val="0"/>
        <w:widowControl w:val="0"/>
        <w:shd w:val="clear" w:color="auto" w:fill="auto"/>
        <w:bidi w:val="0"/>
        <w:spacing w:before="0" w:after="300" w:line="312" w:lineRule="exact"/>
        <w:ind w:left="0" w:right="0" w:firstLine="520"/>
        <w:jc w:val="both"/>
      </w:pPr>
      <w:r>
        <w:rPr>
          <w:color w:val="000000"/>
          <w:spacing w:val="0"/>
          <w:w w:val="100"/>
          <w:position w:val="0"/>
        </w:rPr>
        <w:t>报告期内，公司在智慧零售、智能制造、智慧楼宇等多个场景下均已形成成熟的物联网解决方案并推向市场。如一站 式无人超市方案，是利用</w:t>
      </w:r>
      <w:r>
        <w:rPr>
          <w:rFonts w:ascii="Times New Roman" w:eastAsia="Times New Roman" w:hAnsi="Times New Roman" w:cs="Times New Roman"/>
          <w:color w:val="000000"/>
          <w:spacing w:val="0"/>
          <w:w w:val="100"/>
          <w:position w:val="0"/>
        </w:rPr>
        <w:t>RFID</w:t>
      </w:r>
      <w:r>
        <w:rPr>
          <w:color w:val="000000"/>
          <w:spacing w:val="0"/>
          <w:w w:val="100"/>
          <w:position w:val="0"/>
        </w:rPr>
        <w:t>技术、移动支付平台，实现智能运营、智能结算、自助消费引导等，帮助零售业客户达成开 店快捷、库存灵活、快速周转的目标；基于</w:t>
      </w:r>
      <w:r>
        <w:rPr>
          <w:rFonts w:ascii="Times New Roman" w:eastAsia="Times New Roman" w:hAnsi="Times New Roman" w:cs="Times New Roman"/>
          <w:color w:val="000000"/>
          <w:spacing w:val="0"/>
          <w:w w:val="100"/>
          <w:position w:val="0"/>
        </w:rPr>
        <w:t>HopeAIOT</w:t>
      </w:r>
      <w:r>
        <w:rPr>
          <w:color w:val="000000"/>
          <w:spacing w:val="0"/>
          <w:w w:val="100"/>
          <w:position w:val="0"/>
        </w:rPr>
        <w:t>技术为工业生产企业量身打造智能制造解决方案，以精细化管理、智 能化生产、降本增效为目标，连通企业内信息孤岛，以数字驱动生产，解决生产数据滞后，异常处理效率低等痛点，助力企 业数字化转型，构建高效协同的数字化智能工厂；同样基于</w:t>
      </w:r>
      <w:r>
        <w:rPr>
          <w:rFonts w:ascii="Times New Roman" w:eastAsia="Times New Roman" w:hAnsi="Times New Roman" w:cs="Times New Roman"/>
          <w:color w:val="000000"/>
          <w:spacing w:val="0"/>
          <w:w w:val="100"/>
          <w:position w:val="0"/>
        </w:rPr>
        <w:t>HopeAIOT</w:t>
      </w:r>
      <w:r>
        <w:rPr>
          <w:color w:val="000000"/>
          <w:spacing w:val="0"/>
          <w:w w:val="100"/>
          <w:position w:val="0"/>
        </w:rPr>
        <w:t>技术的智慧楼宇解决方案，通过实时监测空调系统、 公共能耗系统、门禁系统等设备数据及状态，实现楼宇运维管理高效化、能耗管理智能化、运营管理精细化，最终达成降低 能耗、节能环保的目标。</w:t>
      </w:r>
    </w:p>
    <w:p>
      <w:pPr>
        <w:pStyle w:val="Style26"/>
        <w:keepNext w:val="0"/>
        <w:keepLines w:val="0"/>
        <w:widowControl w:val="0"/>
        <w:shd w:val="clear" w:color="auto" w:fill="auto"/>
        <w:tabs>
          <w:tab w:pos="804" w:val="left"/>
        </w:tabs>
        <w:bidi w:val="0"/>
        <w:spacing w:before="0" w:after="0" w:line="312" w:lineRule="exact"/>
        <w:ind w:left="0" w:right="0" w:firstLine="520"/>
        <w:jc w:val="both"/>
      </w:pPr>
      <w:bookmarkStart w:id="67" w:name="bookmark67"/>
      <w:r>
        <w:rPr>
          <w:rFonts w:ascii="Times New Roman" w:eastAsia="Times New Roman" w:hAnsi="Times New Roman" w:cs="Times New Roman"/>
          <w:color w:val="000000"/>
          <w:spacing w:val="0"/>
          <w:w w:val="100"/>
          <w:position w:val="0"/>
        </w:rPr>
        <w:t>3</w:t>
      </w:r>
      <w:bookmarkEnd w:id="67"/>
      <w:r>
        <w:rPr>
          <w:color w:val="000000"/>
          <w:spacing w:val="0"/>
          <w:w w:val="100"/>
          <w:position w:val="0"/>
        </w:rPr>
        <w:t>、</w:t>
        <w:tab/>
        <w:t>智慧能源信息化业务</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报告期内，公司智慧能源信息化业务以物联网、云计算、大数据、人工智能技术为基础，以</w:t>
      </w:r>
      <w:r>
        <w:rPr>
          <w:rFonts w:ascii="Times New Roman" w:eastAsia="Times New Roman" w:hAnsi="Times New Roman" w:cs="Times New Roman"/>
          <w:color w:val="000000"/>
          <w:spacing w:val="0"/>
          <w:w w:val="100"/>
          <w:position w:val="0"/>
        </w:rPr>
        <w:t>“</w:t>
      </w:r>
      <w:r>
        <w:rPr>
          <w:color w:val="000000"/>
          <w:spacing w:val="0"/>
          <w:w w:val="100"/>
          <w:position w:val="0"/>
        </w:rPr>
        <w:t>物联传感</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数据分析</w:t>
      </w:r>
      <w:r>
        <w:rPr>
          <w:rFonts w:ascii="Times New Roman" w:eastAsia="Times New Roman" w:hAnsi="Times New Roman" w:cs="Times New Roman"/>
          <w:color w:val="000000"/>
          <w:spacing w:val="0"/>
          <w:w w:val="100"/>
          <w:position w:val="0"/>
        </w:rPr>
        <w:t xml:space="preserve">” </w:t>
      </w:r>
      <w:r>
        <w:rPr>
          <w:color w:val="000000"/>
          <w:spacing w:val="0"/>
          <w:w w:val="100"/>
          <w:position w:val="0"/>
        </w:rPr>
        <w:t>为核心，向以电力为主的能源行业客户提供数字化解决方案，包含但不仅限于能源物联网、电力</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电力营销、电力信息 化及信息安全、数据采集与分析、电网优化、生产移动作业管理、营销移动作业管理、综合能源服务等范围内的产品与方案。 客户涵盖发电企业、电网企业、新能源企业、研究院所等。</w:t>
      </w:r>
    </w:p>
    <w:p>
      <w:pPr>
        <w:pStyle w:val="Style26"/>
        <w:keepNext w:val="0"/>
        <w:keepLines w:val="0"/>
        <w:widowControl w:val="0"/>
        <w:shd w:val="clear" w:color="auto" w:fill="auto"/>
        <w:bidi w:val="0"/>
        <w:spacing w:before="0" w:after="300" w:line="312" w:lineRule="exact"/>
        <w:ind w:left="0" w:right="0" w:firstLine="520"/>
        <w:jc w:val="both"/>
      </w:pPr>
      <w:r>
        <w:rPr>
          <w:color w:val="000000"/>
          <w:spacing w:val="0"/>
          <w:w w:val="100"/>
          <w:position w:val="0"/>
        </w:rPr>
        <w:t>报告期内，公司推出多款含有自主研发产品的智慧能源信息化解决方案，包括站房智能监视平台、有序充电管理平台、 安全工器具管理系统、物资调配中心</w:t>
      </w:r>
      <w:r>
        <w:rPr>
          <w:rFonts w:ascii="Times New Roman" w:eastAsia="Times New Roman" w:hAnsi="Times New Roman" w:cs="Times New Roman"/>
          <w:color w:val="000000"/>
          <w:spacing w:val="0"/>
          <w:w w:val="100"/>
          <w:position w:val="0"/>
        </w:rPr>
        <w:t>AR</w:t>
      </w:r>
      <w:r>
        <w:rPr>
          <w:color w:val="000000"/>
          <w:spacing w:val="0"/>
          <w:w w:val="100"/>
          <w:position w:val="0"/>
        </w:rPr>
        <w:t>作业辅助系统等。其中，用于智慧变电站的站房智能监视平台采用了公司自主研发 的边缘</w:t>
      </w:r>
      <w:r>
        <w:rPr>
          <w:rFonts w:ascii="Times New Roman" w:eastAsia="Times New Roman" w:hAnsi="Times New Roman" w:cs="Times New Roman"/>
          <w:color w:val="000000"/>
          <w:spacing w:val="0"/>
          <w:w w:val="100"/>
          <w:position w:val="0"/>
        </w:rPr>
        <w:t>AI</w:t>
      </w:r>
      <w:r>
        <w:rPr>
          <w:color w:val="000000"/>
          <w:spacing w:val="0"/>
          <w:w w:val="100"/>
          <w:position w:val="0"/>
        </w:rPr>
        <w:t>分析盒</w:t>
      </w:r>
      <w:r>
        <w:rPr>
          <w:rFonts w:ascii="Times New Roman" w:eastAsia="Times New Roman" w:hAnsi="Times New Roman" w:cs="Times New Roman"/>
          <w:color w:val="000000"/>
          <w:spacing w:val="0"/>
          <w:w w:val="100"/>
          <w:position w:val="0"/>
        </w:rPr>
        <w:t>HP-A100</w:t>
      </w:r>
      <w:r>
        <w:rPr>
          <w:color w:val="000000"/>
          <w:spacing w:val="0"/>
          <w:w w:val="100"/>
          <w:position w:val="0"/>
        </w:rPr>
        <w:t>。</w:t>
      </w:r>
      <w:r>
        <w:rPr>
          <w:rFonts w:ascii="Times New Roman" w:eastAsia="Times New Roman" w:hAnsi="Times New Roman" w:cs="Times New Roman"/>
          <w:color w:val="000000"/>
          <w:spacing w:val="0"/>
          <w:w w:val="100"/>
          <w:position w:val="0"/>
        </w:rPr>
        <w:t>HP-A100</w:t>
      </w:r>
      <w:r>
        <w:rPr>
          <w:color w:val="000000"/>
          <w:spacing w:val="0"/>
          <w:w w:val="100"/>
          <w:position w:val="0"/>
        </w:rPr>
        <w:t>是基于高算力国产芯片，利用自主研发训练的人工智能算法模型，提供边缘侧图像识别 能力，内置多种</w:t>
      </w:r>
      <w:r>
        <w:rPr>
          <w:rFonts w:ascii="Times New Roman" w:eastAsia="Times New Roman" w:hAnsi="Times New Roman" w:cs="Times New Roman"/>
          <w:color w:val="000000"/>
          <w:spacing w:val="0"/>
          <w:w w:val="100"/>
          <w:position w:val="0"/>
        </w:rPr>
        <w:t>AI</w:t>
      </w:r>
      <w:r>
        <w:rPr>
          <w:color w:val="000000"/>
          <w:spacing w:val="0"/>
          <w:w w:val="100"/>
          <w:position w:val="0"/>
        </w:rPr>
        <w:t>算法框架，支持多路视频接入，可针对不同输入提供不同</w:t>
      </w:r>
      <w:r>
        <w:rPr>
          <w:rFonts w:ascii="Times New Roman" w:eastAsia="Times New Roman" w:hAnsi="Times New Roman" w:cs="Times New Roman"/>
          <w:color w:val="000000"/>
          <w:spacing w:val="0"/>
          <w:w w:val="100"/>
          <w:position w:val="0"/>
        </w:rPr>
        <w:t>AI</w:t>
      </w:r>
      <w:r>
        <w:rPr>
          <w:color w:val="000000"/>
          <w:spacing w:val="0"/>
          <w:w w:val="100"/>
          <w:position w:val="0"/>
        </w:rPr>
        <w:t>模型，与服务端管理平台无缝对接，支持算 法</w:t>
      </w:r>
      <w:r>
        <w:rPr>
          <w:rFonts w:ascii="Times New Roman" w:eastAsia="Times New Roman" w:hAnsi="Times New Roman" w:cs="Times New Roman"/>
          <w:color w:val="000000"/>
          <w:spacing w:val="0"/>
          <w:w w:val="100"/>
          <w:position w:val="0"/>
        </w:rPr>
        <w:t>OTA</w:t>
      </w:r>
      <w:r>
        <w:rPr>
          <w:color w:val="000000"/>
          <w:spacing w:val="0"/>
          <w:w w:val="100"/>
          <w:position w:val="0"/>
        </w:rPr>
        <w:t>安装及升级，容器化管理，多路视频识别互不干扰，可大幅提升边端整体智慧程度，赋能电力、安防、金融等各行 业应用。</w:t>
      </w:r>
    </w:p>
    <w:p>
      <w:pPr>
        <w:pStyle w:val="Style26"/>
        <w:keepNext w:val="0"/>
        <w:keepLines w:val="0"/>
        <w:widowControl w:val="0"/>
        <w:shd w:val="clear" w:color="auto" w:fill="auto"/>
        <w:tabs>
          <w:tab w:pos="814" w:val="left"/>
        </w:tabs>
        <w:bidi w:val="0"/>
        <w:spacing w:before="0" w:after="0" w:line="312" w:lineRule="exact"/>
        <w:ind w:left="0" w:right="0" w:firstLine="520"/>
        <w:jc w:val="both"/>
      </w:pPr>
      <w:bookmarkStart w:id="68" w:name="bookmark68"/>
      <w:r>
        <w:rPr>
          <w:rFonts w:ascii="Times New Roman" w:eastAsia="Times New Roman" w:hAnsi="Times New Roman" w:cs="Times New Roman"/>
          <w:color w:val="000000"/>
          <w:spacing w:val="0"/>
          <w:w w:val="100"/>
          <w:position w:val="0"/>
        </w:rPr>
        <w:t>4</w:t>
      </w:r>
      <w:bookmarkEnd w:id="68"/>
      <w:r>
        <w:rPr>
          <w:color w:val="000000"/>
          <w:spacing w:val="0"/>
          <w:w w:val="100"/>
          <w:position w:val="0"/>
        </w:rPr>
        <w:t>、</w:t>
        <w:tab/>
        <w:t>其它主营业务</w:t>
      </w:r>
    </w:p>
    <w:p>
      <w:pPr>
        <w:pStyle w:val="Style26"/>
        <w:keepNext w:val="0"/>
        <w:keepLines w:val="0"/>
        <w:widowControl w:val="0"/>
        <w:shd w:val="clear" w:color="auto" w:fill="auto"/>
        <w:bidi w:val="0"/>
        <w:spacing w:before="0" w:after="300" w:line="312" w:lineRule="exact"/>
        <w:ind w:left="0" w:right="0" w:firstLine="520"/>
        <w:jc w:val="left"/>
      </w:pPr>
      <w:r>
        <w:rPr>
          <w:color w:val="000000"/>
          <w:spacing w:val="0"/>
          <w:w w:val="100"/>
          <w:position w:val="0"/>
        </w:rPr>
        <w:t>报告期内，公司除上述主要业务领域外，其它主营业务主要为智能供应链信息化业务。</w:t>
      </w:r>
    </w:p>
    <w:p>
      <w:pPr>
        <w:pStyle w:val="Style26"/>
        <w:keepNext w:val="0"/>
        <w:keepLines w:val="0"/>
        <w:widowControl w:val="0"/>
        <w:shd w:val="clear" w:color="auto" w:fill="auto"/>
        <w:bidi w:val="0"/>
        <w:spacing w:before="0" w:after="300" w:line="312" w:lineRule="exact"/>
        <w:ind w:left="0" w:right="0" w:firstLine="520"/>
        <w:jc w:val="both"/>
      </w:pPr>
      <w:r>
        <w:rPr>
          <w:color w:val="000000"/>
          <w:spacing w:val="0"/>
          <w:w w:val="100"/>
          <w:position w:val="0"/>
        </w:rPr>
        <w:t>（二）行业情况说明</w:t>
      </w:r>
    </w:p>
    <w:p>
      <w:pPr>
        <w:pStyle w:val="Style26"/>
        <w:keepNext w:val="0"/>
        <w:keepLines w:val="0"/>
        <w:widowControl w:val="0"/>
        <w:shd w:val="clear" w:color="auto" w:fill="auto"/>
        <w:bidi w:val="0"/>
        <w:spacing w:before="0" w:after="420" w:line="315" w:lineRule="exact"/>
        <w:ind w:left="0" w:right="0" w:firstLine="520"/>
        <w:jc w:val="both"/>
      </w:pPr>
      <w:r>
        <w:rPr>
          <w:color w:val="000000"/>
          <w:spacing w:val="0"/>
          <w:w w:val="100"/>
          <w:position w:val="0"/>
        </w:rPr>
        <w:t>根据中国证监会《上市公司行业分类指引》（</w:t>
      </w:r>
      <w:r>
        <w:rPr>
          <w:rFonts w:ascii="Times New Roman" w:eastAsia="Times New Roman" w:hAnsi="Times New Roman" w:cs="Times New Roman"/>
          <w:color w:val="000000"/>
          <w:spacing w:val="0"/>
          <w:w w:val="100"/>
          <w:position w:val="0"/>
        </w:rPr>
        <w:t>2012</w:t>
      </w:r>
      <w:r>
        <w:rPr>
          <w:color w:val="000000"/>
          <w:spacing w:val="0"/>
          <w:w w:val="100"/>
          <w:position w:val="0"/>
        </w:rPr>
        <w:t>年修订），公司所处行业的编码为</w:t>
      </w:r>
      <w:r>
        <w:rPr>
          <w:rFonts w:ascii="Times New Roman" w:eastAsia="Times New Roman" w:hAnsi="Times New Roman" w:cs="Times New Roman"/>
          <w:color w:val="000000"/>
          <w:spacing w:val="0"/>
          <w:w w:val="100"/>
          <w:position w:val="0"/>
        </w:rPr>
        <w:t>165</w:t>
      </w:r>
      <w:r>
        <w:rPr>
          <w:color w:val="000000"/>
          <w:spacing w:val="0"/>
          <w:w w:val="100"/>
          <w:position w:val="0"/>
        </w:rPr>
        <w:t>,为</w:t>
      </w:r>
      <w:r>
        <w:rPr>
          <w:rFonts w:ascii="Times New Roman" w:eastAsia="Times New Roman" w:hAnsi="Times New Roman" w:cs="Times New Roman"/>
          <w:color w:val="000000"/>
          <w:spacing w:val="0"/>
          <w:w w:val="100"/>
          <w:position w:val="0"/>
        </w:rPr>
        <w:t>“</w:t>
      </w:r>
      <w:r>
        <w:rPr>
          <w:color w:val="000000"/>
          <w:spacing w:val="0"/>
          <w:w w:val="100"/>
          <w:position w:val="0"/>
        </w:rPr>
        <w:t>信息传输、软件和信息 技术服务业</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 xml:space="preserve">软件和信息技术服务业七据国家工业与信息化部发布数据，近年来我国软件产业产值持续保持较快增长。 </w:t>
      </w:r>
      <w:r>
        <w:rPr>
          <w:rFonts w:ascii="Times New Roman" w:eastAsia="Times New Roman" w:hAnsi="Times New Roman" w:cs="Times New Roman"/>
          <w:color w:val="000000"/>
          <w:spacing w:val="0"/>
          <w:w w:val="100"/>
          <w:position w:val="0"/>
        </w:rPr>
        <w:t>2020</w:t>
      </w:r>
      <w:r>
        <w:rPr>
          <w:color w:val="000000"/>
          <w:spacing w:val="0"/>
          <w:w w:val="100"/>
          <w:position w:val="0"/>
        </w:rPr>
        <w:t>年，全国软件和信息技术服务业规模以上企业超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rPr>
        <w:t>81616</w:t>
      </w:r>
      <w:r>
        <w:rPr>
          <w:color w:val="000000"/>
          <w:spacing w:val="0"/>
          <w:w w:val="100"/>
          <w:position w:val="0"/>
        </w:rPr>
        <w:t>亿元，同比增长</w:t>
      </w:r>
      <w:r>
        <w:rPr>
          <w:rFonts w:ascii="Times New Roman" w:eastAsia="Times New Roman" w:hAnsi="Times New Roman" w:cs="Times New Roman"/>
          <w:color w:val="000000"/>
          <w:spacing w:val="0"/>
          <w:w w:val="100"/>
          <w:position w:val="0"/>
        </w:rPr>
        <w:t>13.3%</w:t>
      </w:r>
      <w:r>
        <w:rPr>
          <w:color w:val="000000"/>
          <w:spacing w:val="0"/>
          <w:w w:val="100"/>
          <w:position w:val="0"/>
        </w:rPr>
        <w:t>。从公司涉 及的细分业务领域看：</w:t>
      </w:r>
    </w:p>
    <w:p>
      <w:pPr>
        <w:pStyle w:val="Style26"/>
        <w:keepNext w:val="0"/>
        <w:keepLines w:val="0"/>
        <w:widowControl w:val="0"/>
        <w:shd w:val="clear" w:color="auto" w:fill="auto"/>
        <w:tabs>
          <w:tab w:pos="796" w:val="left"/>
        </w:tabs>
        <w:bidi w:val="0"/>
        <w:spacing w:before="0" w:after="0"/>
        <w:ind w:left="0" w:right="0" w:firstLine="520"/>
        <w:jc w:val="both"/>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金融科技业务</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近年来，中国金融业的经营环境正发生深刻变革，而数字化转型则是中国传统金融机构应对变革的核心方式。银行业 信息化经过三十余年的发展进入国产化阶段，随着国家信创工程的推进，在国有大行积极尝试主机下移的带动下，行业国产 化需求旺盛。技术层面，分布式技术的发展和成熟将替代现有的集中式架构。在信创工程和分布式技术发展的双重助力下， 行业新的成长周期已开启。据</w:t>
      </w:r>
      <w:r>
        <w:rPr>
          <w:rFonts w:ascii="Times New Roman" w:eastAsia="Times New Roman" w:hAnsi="Times New Roman" w:cs="Times New Roman"/>
          <w:color w:val="000000"/>
          <w:spacing w:val="0"/>
          <w:w w:val="100"/>
          <w:position w:val="0"/>
        </w:rPr>
        <w:t>IDC</w:t>
      </w:r>
      <w:r>
        <w:rPr>
          <w:color w:val="000000"/>
          <w:spacing w:val="0"/>
          <w:w w:val="100"/>
          <w:position w:val="0"/>
        </w:rPr>
        <w:t>中国银行业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解决方案市场报告显示，</w:t>
      </w:r>
      <w:r>
        <w:rPr>
          <w:rFonts w:ascii="Times New Roman" w:eastAsia="Times New Roman" w:hAnsi="Times New Roman" w:cs="Times New Roman"/>
          <w:color w:val="000000"/>
          <w:spacing w:val="0"/>
          <w:w w:val="100"/>
          <w:position w:val="0"/>
        </w:rPr>
        <w:t>2024</w:t>
      </w:r>
      <w:r>
        <w:rPr>
          <w:color w:val="000000"/>
          <w:spacing w:val="0"/>
          <w:w w:val="100"/>
          <w:position w:val="0"/>
        </w:rPr>
        <w:t>年中国银行业</w:t>
      </w:r>
      <w:r>
        <w:rPr>
          <w:rFonts w:ascii="Times New Roman" w:eastAsia="Times New Roman" w:hAnsi="Times New Roman" w:cs="Times New Roman"/>
          <w:color w:val="000000"/>
          <w:spacing w:val="0"/>
          <w:w w:val="100"/>
          <w:position w:val="0"/>
        </w:rPr>
        <w:t>IT</w:t>
      </w:r>
      <w:r>
        <w:rPr>
          <w:color w:val="000000"/>
          <w:spacing w:val="0"/>
          <w:w w:val="100"/>
          <w:position w:val="0"/>
        </w:rPr>
        <w:t xml:space="preserve">解决方案市场规模预计将达到 </w:t>
      </w:r>
      <w:r>
        <w:rPr>
          <w:rFonts w:ascii="Times New Roman" w:eastAsia="Times New Roman" w:hAnsi="Times New Roman" w:cs="Times New Roman"/>
          <w:color w:val="000000"/>
          <w:spacing w:val="0"/>
          <w:w w:val="100"/>
          <w:position w:val="0"/>
        </w:rPr>
        <w:t>1273.5</w:t>
      </w:r>
      <w:r>
        <w:rPr>
          <w:color w:val="000000"/>
          <w:spacing w:val="0"/>
          <w:w w:val="100"/>
          <w:position w:val="0"/>
        </w:rPr>
        <w:t>亿元，</w:t>
      </w:r>
      <w:r>
        <w:rPr>
          <w:rFonts w:ascii="Times New Roman" w:eastAsia="Times New Roman" w:hAnsi="Times New Roman" w:cs="Times New Roman"/>
          <w:color w:val="000000"/>
          <w:spacing w:val="0"/>
          <w:w w:val="100"/>
          <w:position w:val="0"/>
        </w:rPr>
        <w:t>2019</w:t>
      </w:r>
      <w:r>
        <w:rPr>
          <w:color w:val="000000"/>
          <w:spacing w:val="0"/>
          <w:w w:val="100"/>
          <w:position w:val="0"/>
        </w:rPr>
        <w:t>年至</w:t>
      </w:r>
      <w:r>
        <w:rPr>
          <w:rFonts w:ascii="Times New Roman" w:eastAsia="Times New Roman" w:hAnsi="Times New Roman" w:cs="Times New Roman"/>
          <w:color w:val="000000"/>
          <w:spacing w:val="0"/>
          <w:w w:val="100"/>
          <w:position w:val="0"/>
        </w:rPr>
        <w:t>2024</w:t>
      </w:r>
      <w:r>
        <w:rPr>
          <w:color w:val="000000"/>
          <w:spacing w:val="0"/>
          <w:w w:val="100"/>
          <w:position w:val="0"/>
        </w:rPr>
        <w:t>年将保持</w:t>
      </w:r>
      <w:r>
        <w:rPr>
          <w:rFonts w:ascii="Times New Roman" w:eastAsia="Times New Roman" w:hAnsi="Times New Roman" w:cs="Times New Roman"/>
          <w:color w:val="000000"/>
          <w:spacing w:val="0"/>
          <w:w w:val="100"/>
          <w:position w:val="0"/>
        </w:rPr>
        <w:t>24.5%</w:t>
      </w:r>
      <w:r>
        <w:rPr>
          <w:color w:val="000000"/>
          <w:spacing w:val="0"/>
          <w:w w:val="100"/>
          <w:position w:val="0"/>
        </w:rPr>
        <w:t>的年复合增长率。</w:t>
      </w:r>
      <w:r>
        <w:rPr>
          <w:rFonts w:ascii="Times New Roman" w:eastAsia="Times New Roman" w:hAnsi="Times New Roman" w:cs="Times New Roman"/>
          <w:color w:val="000000"/>
          <w:spacing w:val="0"/>
          <w:w w:val="100"/>
          <w:position w:val="0"/>
        </w:rPr>
        <w:t>IDC</w:t>
      </w:r>
      <w:r>
        <w:rPr>
          <w:color w:val="000000"/>
          <w:spacing w:val="0"/>
          <w:w w:val="100"/>
          <w:position w:val="0"/>
        </w:rPr>
        <w:t>认为，中国银行业的经营环境正发生深刻变化，各家银行 正处于架构转型升级的不同阶段，对软件和信息技术服务的需求仍然旺盛。</w:t>
      </w:r>
    </w:p>
    <w:p>
      <w:pPr>
        <w:pStyle w:val="Style26"/>
        <w:keepNext w:val="0"/>
        <w:keepLines w:val="0"/>
        <w:widowControl w:val="0"/>
        <w:shd w:val="clear" w:color="auto" w:fill="auto"/>
        <w:bidi w:val="0"/>
        <w:spacing w:before="0" w:after="0" w:line="315" w:lineRule="exact"/>
        <w:ind w:left="0" w:right="0" w:firstLine="5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月，中国人民银行印发《金融科技发展规划</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年）》，指出到</w:t>
      </w:r>
      <w:r>
        <w:rPr>
          <w:rFonts w:ascii="Times New Roman" w:eastAsia="Times New Roman" w:hAnsi="Times New Roman" w:cs="Times New Roman"/>
          <w:color w:val="000000"/>
          <w:spacing w:val="0"/>
          <w:w w:val="100"/>
          <w:position w:val="0"/>
        </w:rPr>
        <w:t>2021</w:t>
      </w:r>
      <w:r>
        <w:rPr>
          <w:color w:val="000000"/>
          <w:spacing w:val="0"/>
          <w:w w:val="100"/>
          <w:position w:val="0"/>
        </w:rPr>
        <w:t>年，进一步增强金融业科技应用 能力，实现金融与科技深度融合，协调发展，明显增强人民群众对数字化、网络化、智能化金融产品和服务的满意度，使我 国金融科技发展居于国际领先水平。受金融科技浪潮的影响，我国银行业</w:t>
      </w:r>
      <w:r>
        <w:rPr>
          <w:rFonts w:ascii="Times New Roman" w:eastAsia="Times New Roman" w:hAnsi="Times New Roman" w:cs="Times New Roman"/>
          <w:color w:val="000000"/>
          <w:spacing w:val="0"/>
          <w:w w:val="100"/>
          <w:position w:val="0"/>
        </w:rPr>
        <w:t>IT</w:t>
      </w:r>
      <w:r>
        <w:rPr>
          <w:color w:val="000000"/>
          <w:spacing w:val="0"/>
          <w:w w:val="100"/>
          <w:position w:val="0"/>
        </w:rPr>
        <w:t>解决方案市场需求将持续增长。各地也相继出台 金融科技相关的产业扶持政策，通过多种措施引进金融科技企业、研发机构和人才，多方促进金融科技发展。</w:t>
      </w:r>
      <w:r>
        <w:rPr>
          <w:rFonts w:ascii="Times New Roman" w:eastAsia="Times New Roman" w:hAnsi="Times New Roman" w:cs="Times New Roman"/>
          <w:color w:val="000000"/>
          <w:spacing w:val="0"/>
          <w:w w:val="100"/>
          <w:position w:val="0"/>
        </w:rPr>
        <w:t>2020</w:t>
      </w:r>
      <w:r>
        <w:rPr>
          <w:color w:val="000000"/>
          <w:spacing w:val="0"/>
          <w:w w:val="100"/>
          <w:position w:val="0"/>
        </w:rPr>
        <w:t>年金融科 技监管环境变化，支持金融科技应用创新试点的</w:t>
      </w:r>
      <w:r>
        <w:rPr>
          <w:rFonts w:ascii="Times New Roman" w:eastAsia="Times New Roman" w:hAnsi="Times New Roman" w:cs="Times New Roman"/>
          <w:color w:val="000000"/>
          <w:spacing w:val="0"/>
          <w:w w:val="100"/>
          <w:position w:val="0"/>
        </w:rPr>
        <w:t>“</w:t>
      </w:r>
      <w:r>
        <w:rPr>
          <w:color w:val="000000"/>
          <w:spacing w:val="0"/>
          <w:w w:val="100"/>
          <w:position w:val="0"/>
        </w:rPr>
        <w:t>监管沙盒</w:t>
      </w:r>
      <w:r>
        <w:rPr>
          <w:rFonts w:ascii="Times New Roman" w:eastAsia="Times New Roman" w:hAnsi="Times New Roman" w:cs="Times New Roman"/>
          <w:color w:val="000000"/>
          <w:spacing w:val="0"/>
          <w:w w:val="100"/>
          <w:position w:val="0"/>
        </w:rPr>
        <w:t>”</w:t>
      </w:r>
      <w:r>
        <w:rPr>
          <w:color w:val="000000"/>
          <w:spacing w:val="0"/>
          <w:w w:val="100"/>
          <w:position w:val="0"/>
        </w:rPr>
        <w:t>正式启动，随着持续推进，金融科技创新应用将加速发展。</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银行系统中的去</w:t>
      </w:r>
      <w:r>
        <w:rPr>
          <w:rFonts w:ascii="Times New Roman" w:eastAsia="Times New Roman" w:hAnsi="Times New Roman" w:cs="Times New Roman"/>
          <w:color w:val="000000"/>
          <w:spacing w:val="0"/>
          <w:w w:val="100"/>
          <w:position w:val="0"/>
        </w:rPr>
        <w:t>IOE</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大型机；</w:t>
      </w:r>
      <w:r>
        <w:rPr>
          <w:rFonts w:ascii="Times New Roman" w:eastAsia="Times New Roman" w:hAnsi="Times New Roman" w:cs="Times New Roman"/>
          <w:color w:val="000000"/>
          <w:spacing w:val="0"/>
          <w:w w:val="100"/>
          <w:position w:val="0"/>
        </w:rPr>
        <w:t>O</w:t>
      </w:r>
      <w:r>
        <w:rPr>
          <w:color w:val="000000"/>
          <w:spacing w:val="0"/>
          <w:w w:val="100"/>
          <w:position w:val="0"/>
        </w:rPr>
        <w:t xml:space="preserve">： </w:t>
      </w:r>
      <w:r>
        <w:rPr>
          <w:rFonts w:ascii="Times New Roman" w:eastAsia="Times New Roman" w:hAnsi="Times New Roman" w:cs="Times New Roman"/>
          <w:color w:val="000000"/>
          <w:spacing w:val="0"/>
          <w:w w:val="100"/>
          <w:position w:val="0"/>
        </w:rPr>
        <w:t>Oracle</w:t>
      </w:r>
      <w:r>
        <w:rPr>
          <w:color w:val="000000"/>
          <w:spacing w:val="0"/>
          <w:w w:val="100"/>
          <w:position w:val="0"/>
        </w:rPr>
        <w:t>数据库；</w:t>
      </w:r>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rFonts w:ascii="Times New Roman" w:eastAsia="Times New Roman" w:hAnsi="Times New Roman" w:cs="Times New Roman"/>
          <w:color w:val="000000"/>
          <w:spacing w:val="0"/>
          <w:w w:val="100"/>
          <w:position w:val="0"/>
        </w:rPr>
        <w:t>EMC</w:t>
      </w:r>
      <w:r>
        <w:rPr>
          <w:color w:val="000000"/>
          <w:spacing w:val="0"/>
          <w:w w:val="100"/>
          <w:position w:val="0"/>
        </w:rPr>
        <w:t>存储）浪潮将持续存在并呈加速状态。在此过程中，银 行业务、渠道、管理等业务系统需要进行改造以适应国产化底层软硬件的要求。数字货币的有序推出也为银行</w:t>
      </w:r>
      <w:r>
        <w:rPr>
          <w:rFonts w:ascii="Times New Roman" w:eastAsia="Times New Roman" w:hAnsi="Times New Roman" w:cs="Times New Roman"/>
          <w:color w:val="000000"/>
          <w:spacing w:val="0"/>
          <w:w w:val="100"/>
          <w:position w:val="0"/>
        </w:rPr>
        <w:t>IT</w:t>
      </w:r>
      <w:r>
        <w:rPr>
          <w:color w:val="000000"/>
          <w:spacing w:val="0"/>
          <w:w w:val="100"/>
          <w:position w:val="0"/>
        </w:rPr>
        <w:t>行业带来巨 大的发展契机。此外，</w:t>
      </w:r>
      <w:r>
        <w:rPr>
          <w:rFonts w:ascii="Times New Roman" w:eastAsia="Times New Roman" w:hAnsi="Times New Roman" w:cs="Times New Roman"/>
          <w:color w:val="000000"/>
          <w:spacing w:val="0"/>
          <w:w w:val="100"/>
          <w:position w:val="0"/>
        </w:rPr>
        <w:t>2020</w:t>
      </w:r>
      <w:r>
        <w:rPr>
          <w:color w:val="000000"/>
          <w:spacing w:val="0"/>
          <w:w w:val="100"/>
          <w:position w:val="0"/>
        </w:rPr>
        <w:t>年数字人民币进入试点测试阶段，推进速度超出预期，由小规点向大规模、大范围、多场景的试 点阶段过渡。随着数字货币的推广落地，从底层技术架构上带来银行</w:t>
      </w:r>
      <w:r>
        <w:rPr>
          <w:rFonts w:ascii="Times New Roman" w:eastAsia="Times New Roman" w:hAnsi="Times New Roman" w:cs="Times New Roman"/>
          <w:color w:val="000000"/>
          <w:spacing w:val="0"/>
          <w:w w:val="100"/>
          <w:position w:val="0"/>
        </w:rPr>
        <w:t>IT</w:t>
      </w:r>
      <w:r>
        <w:rPr>
          <w:color w:val="000000"/>
          <w:spacing w:val="0"/>
          <w:w w:val="100"/>
          <w:position w:val="0"/>
        </w:rPr>
        <w:t>模封闭试的新一轮技术创新机会。商业银行的</w:t>
      </w:r>
      <w:r>
        <w:rPr>
          <w:rFonts w:ascii="Times New Roman" w:eastAsia="Times New Roman" w:hAnsi="Times New Roman" w:cs="Times New Roman"/>
          <w:color w:val="000000"/>
          <w:spacing w:val="0"/>
          <w:w w:val="100"/>
          <w:position w:val="0"/>
        </w:rPr>
        <w:t>IT</w:t>
      </w:r>
      <w:r>
        <w:rPr>
          <w:color w:val="000000"/>
          <w:spacing w:val="0"/>
          <w:w w:val="100"/>
          <w:position w:val="0"/>
        </w:rPr>
        <w:t>改造, 包括数字货币系统、核心业务等相关系统的新设和改造，给相关厂商带来中长期的增量。</w:t>
      </w:r>
    </w:p>
    <w:p>
      <w:pPr>
        <w:pStyle w:val="Style26"/>
        <w:keepNext w:val="0"/>
        <w:keepLines w:val="0"/>
        <w:widowControl w:val="0"/>
        <w:shd w:val="clear" w:color="auto" w:fill="auto"/>
        <w:bidi w:val="0"/>
        <w:spacing w:before="0" w:after="420" w:line="315"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年以来，在疫情之下，银行传统经营模式的改革加速，</w:t>
      </w:r>
      <w:r>
        <w:rPr>
          <w:rFonts w:ascii="Times New Roman" w:eastAsia="Times New Roman" w:hAnsi="Times New Roman" w:cs="Times New Roman"/>
          <w:color w:val="000000"/>
          <w:spacing w:val="0"/>
          <w:w w:val="100"/>
          <w:position w:val="0"/>
        </w:rPr>
        <w:t>“</w:t>
      </w:r>
      <w:r>
        <w:rPr>
          <w:color w:val="000000"/>
          <w:spacing w:val="0"/>
          <w:w w:val="100"/>
          <w:position w:val="0"/>
        </w:rPr>
        <w:t>无接触银行</w:t>
      </w:r>
      <w:r>
        <w:rPr>
          <w:rFonts w:ascii="Times New Roman" w:eastAsia="Times New Roman" w:hAnsi="Times New Roman" w:cs="Times New Roman"/>
          <w:color w:val="000000"/>
          <w:spacing w:val="0"/>
          <w:w w:val="100"/>
          <w:position w:val="0"/>
        </w:rPr>
        <w:t>”</w:t>
      </w:r>
      <w:r>
        <w:rPr>
          <w:color w:val="000000"/>
          <w:spacing w:val="0"/>
          <w:w w:val="100"/>
          <w:position w:val="0"/>
        </w:rPr>
        <w:t>等新兴金融业务兴起，金融科技产业发挥了 最强的赋能价值。疫情加速了银行的数字化转型升级，大型银行在进一步加大金融科技投入，而金融科技能力的价值在中小 型银行中更加明显。未来进一步延续数字化迭代升级的趋势已成为普遍共识，包括</w:t>
      </w:r>
      <w:r>
        <w:rPr>
          <w:rFonts w:ascii="Times New Roman" w:eastAsia="Times New Roman" w:hAnsi="Times New Roman" w:cs="Times New Roman"/>
          <w:color w:val="000000"/>
          <w:spacing w:val="0"/>
          <w:w w:val="100"/>
          <w:position w:val="0"/>
        </w:rPr>
        <w:t>“</w:t>
      </w:r>
      <w:r>
        <w:rPr>
          <w:color w:val="000000"/>
          <w:spacing w:val="0"/>
          <w:w w:val="100"/>
          <w:position w:val="0"/>
        </w:rPr>
        <w:t>线上线下渠道的一体化、优化零售信贷、 加速数字化零售业务转型</w:t>
      </w:r>
      <w:r>
        <w:rPr>
          <w:rFonts w:ascii="Times New Roman" w:eastAsia="Times New Roman" w:hAnsi="Times New Roman" w:cs="Times New Roman"/>
          <w:color w:val="000000"/>
          <w:spacing w:val="0"/>
          <w:w w:val="100"/>
          <w:position w:val="0"/>
        </w:rPr>
        <w:t>”</w:t>
      </w:r>
      <w:r>
        <w:rPr>
          <w:color w:val="000000"/>
          <w:spacing w:val="0"/>
          <w:w w:val="100"/>
          <w:position w:val="0"/>
        </w:rPr>
        <w:t>等成为核心战略布局的重点，对金融科技业务和服务的需求快速增长。</w:t>
      </w:r>
    </w:p>
    <w:p>
      <w:pPr>
        <w:pStyle w:val="Style26"/>
        <w:keepNext w:val="0"/>
        <w:keepLines w:val="0"/>
        <w:widowControl w:val="0"/>
        <w:shd w:val="clear" w:color="auto" w:fill="auto"/>
        <w:tabs>
          <w:tab w:pos="814" w:val="left"/>
        </w:tabs>
        <w:bidi w:val="0"/>
        <w:spacing w:before="0" w:after="0"/>
        <w:ind w:left="0" w:right="0" w:firstLine="52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智能物联业务</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智能物联网立足于人工智能与物联网的协同应用，近几年来取得飞速发展。预计</w:t>
      </w:r>
      <w:r>
        <w:rPr>
          <w:rFonts w:ascii="Times New Roman" w:eastAsia="Times New Roman" w:hAnsi="Times New Roman" w:cs="Times New Roman"/>
          <w:color w:val="000000"/>
          <w:spacing w:val="0"/>
          <w:w w:val="100"/>
          <w:position w:val="0"/>
        </w:rPr>
        <w:t>2025</w:t>
      </w:r>
      <w:r>
        <w:rPr>
          <w:color w:val="000000"/>
          <w:spacing w:val="0"/>
          <w:w w:val="100"/>
          <w:position w:val="0"/>
        </w:rPr>
        <w:t>年全国物联网连接数近</w:t>
      </w:r>
      <w:r>
        <w:rPr>
          <w:rFonts w:ascii="Times New Roman" w:eastAsia="Times New Roman" w:hAnsi="Times New Roman" w:cs="Times New Roman"/>
          <w:color w:val="000000"/>
          <w:spacing w:val="0"/>
          <w:w w:val="100"/>
          <w:position w:val="0"/>
        </w:rPr>
        <w:t>200</w:t>
      </w:r>
      <w:r>
        <w:rPr>
          <w:color w:val="000000"/>
          <w:spacing w:val="0"/>
          <w:w w:val="100"/>
          <w:position w:val="0"/>
        </w:rPr>
        <w:t>亿个， 年复合增速可达</w:t>
      </w:r>
      <w:r>
        <w:rPr>
          <w:rFonts w:ascii="Times New Roman" w:eastAsia="Times New Roman" w:hAnsi="Times New Roman" w:cs="Times New Roman"/>
          <w:color w:val="000000"/>
          <w:spacing w:val="0"/>
          <w:w w:val="100"/>
          <w:position w:val="0"/>
        </w:rPr>
        <w:t>27.79%</w:t>
      </w:r>
      <w:r>
        <w:rPr>
          <w:color w:val="000000"/>
          <w:spacing w:val="0"/>
          <w:w w:val="100"/>
          <w:position w:val="0"/>
        </w:rPr>
        <w:t>，万物唤醒、海量连接将推动各行各业走上智能化道路。据相关咨询机构数据，</w:t>
      </w:r>
      <w:r>
        <w:rPr>
          <w:rFonts w:ascii="Times New Roman" w:eastAsia="Times New Roman" w:hAnsi="Times New Roman" w:cs="Times New Roman"/>
          <w:color w:val="000000"/>
          <w:spacing w:val="0"/>
          <w:w w:val="100"/>
          <w:position w:val="0"/>
        </w:rPr>
        <w:t>2019</w:t>
      </w:r>
      <w:r>
        <w:rPr>
          <w:color w:val="000000"/>
          <w:spacing w:val="0"/>
          <w:w w:val="100"/>
          <w:position w:val="0"/>
        </w:rPr>
        <w:t>年，受益于城 市端业务的规模化落地及边缘计算的初步普及，国内智能物联市场规模突破</w:t>
      </w:r>
      <w:r>
        <w:rPr>
          <w:rFonts w:ascii="Times New Roman" w:eastAsia="Times New Roman" w:hAnsi="Times New Roman" w:cs="Times New Roman"/>
          <w:color w:val="000000"/>
          <w:spacing w:val="0"/>
          <w:w w:val="100"/>
          <w:position w:val="0"/>
        </w:rPr>
        <w:t>3800</w:t>
      </w:r>
      <w:r>
        <w:rPr>
          <w:color w:val="000000"/>
          <w:spacing w:val="0"/>
          <w:w w:val="100"/>
          <w:position w:val="0"/>
        </w:rPr>
        <w:t>亿，预计</w:t>
      </w:r>
      <w:r>
        <w:rPr>
          <w:rFonts w:ascii="Times New Roman" w:eastAsia="Times New Roman" w:hAnsi="Times New Roman" w:cs="Times New Roman"/>
          <w:color w:val="000000"/>
          <w:spacing w:val="0"/>
          <w:w w:val="100"/>
          <w:position w:val="0"/>
        </w:rPr>
        <w:t>2020</w:t>
      </w:r>
      <w:r>
        <w:rPr>
          <w:color w:val="000000"/>
          <w:spacing w:val="0"/>
          <w:w w:val="100"/>
          <w:position w:val="0"/>
        </w:rPr>
        <w:t>年超过</w:t>
      </w:r>
      <w:r>
        <w:rPr>
          <w:rFonts w:ascii="Times New Roman" w:eastAsia="Times New Roman" w:hAnsi="Times New Roman" w:cs="Times New Roman"/>
          <w:color w:val="000000"/>
          <w:spacing w:val="0"/>
          <w:w w:val="100"/>
          <w:position w:val="0"/>
        </w:rPr>
        <w:t>5800</w:t>
      </w:r>
      <w:r>
        <w:rPr>
          <w:color w:val="000000"/>
          <w:spacing w:val="0"/>
          <w:w w:val="100"/>
          <w:position w:val="0"/>
        </w:rPr>
        <w:t>亿元，同比增长达 到约</w:t>
      </w:r>
      <w:r>
        <w:rPr>
          <w:rFonts w:ascii="Times New Roman" w:eastAsia="Times New Roman" w:hAnsi="Times New Roman" w:cs="Times New Roman"/>
          <w:color w:val="000000"/>
          <w:spacing w:val="0"/>
          <w:w w:val="100"/>
          <w:position w:val="0"/>
        </w:rPr>
        <w:t>53%</w:t>
      </w:r>
      <w:r>
        <w:rPr>
          <w:color w:val="000000"/>
          <w:spacing w:val="0"/>
          <w:w w:val="100"/>
          <w:position w:val="0"/>
        </w:rPr>
        <w:t>。在芯片、</w:t>
      </w:r>
      <w:r>
        <w:rPr>
          <w:rFonts w:ascii="Times New Roman" w:eastAsia="Times New Roman" w:hAnsi="Times New Roman" w:cs="Times New Roman"/>
          <w:color w:val="000000"/>
          <w:spacing w:val="0"/>
          <w:w w:val="100"/>
          <w:position w:val="0"/>
        </w:rPr>
        <w:t>5G</w:t>
      </w:r>
      <w:r>
        <w:rPr>
          <w:color w:val="000000"/>
          <w:spacing w:val="0"/>
          <w:w w:val="100"/>
          <w:position w:val="0"/>
        </w:rPr>
        <w:t>通信、云计算、人工智能</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大数据等多项技术进步和加速融合下，智能物联正处于高速增长的阶 段。物联网设备渗透率加快，未来数百亿设备并发联网产生的交互需求、数据分析需求将促使</w:t>
      </w:r>
      <w:r>
        <w:rPr>
          <w:rFonts w:ascii="Times New Roman" w:eastAsia="Times New Roman" w:hAnsi="Times New Roman" w:cs="Times New Roman"/>
          <w:color w:val="000000"/>
          <w:spacing w:val="0"/>
          <w:w w:val="100"/>
          <w:position w:val="0"/>
        </w:rPr>
        <w:t>IoT</w:t>
      </w:r>
      <w:r>
        <w:rPr>
          <w:color w:val="000000"/>
          <w:spacing w:val="0"/>
          <w:w w:val="100"/>
          <w:position w:val="0"/>
        </w:rPr>
        <w:t>与</w:t>
      </w:r>
      <w:r>
        <w:rPr>
          <w:rFonts w:ascii="Times New Roman" w:eastAsia="Times New Roman" w:hAnsi="Times New Roman" w:cs="Times New Roman"/>
          <w:color w:val="000000"/>
          <w:spacing w:val="0"/>
          <w:w w:val="100"/>
          <w:position w:val="0"/>
        </w:rPr>
        <w:t>AI</w:t>
      </w:r>
      <w:r>
        <w:rPr>
          <w:color w:val="000000"/>
          <w:spacing w:val="0"/>
          <w:w w:val="100"/>
          <w:position w:val="0"/>
        </w:rPr>
        <w:t>更深地融合。长期来 看，产业驱动应用市场潜力巨大，将成为远期增长点。</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物联网占据国家发展的战略地位，</w:t>
      </w:r>
      <w:r>
        <w:rPr>
          <w:rFonts w:ascii="Times New Roman" w:eastAsia="Times New Roman" w:hAnsi="Times New Roman" w:cs="Times New Roman"/>
          <w:color w:val="000000"/>
          <w:spacing w:val="0"/>
          <w:w w:val="100"/>
          <w:position w:val="0"/>
        </w:rPr>
        <w:t>5G</w:t>
      </w:r>
      <w:r>
        <w:rPr>
          <w:color w:val="000000"/>
          <w:spacing w:val="0"/>
          <w:w w:val="100"/>
          <w:position w:val="0"/>
        </w:rPr>
        <w:t>产业发展助力物联网发展新浪潮，我国在这一赛道抢占先机。物联网还与</w:t>
      </w:r>
      <w:r>
        <w:rPr>
          <w:rFonts w:ascii="Times New Roman" w:eastAsia="Times New Roman" w:hAnsi="Times New Roman" w:cs="Times New Roman"/>
          <w:color w:val="000000"/>
          <w:spacing w:val="0"/>
          <w:w w:val="100"/>
          <w:position w:val="0"/>
        </w:rPr>
        <w:t>“</w:t>
      </w:r>
      <w:r>
        <w:rPr>
          <w:color w:val="000000"/>
          <w:spacing w:val="0"/>
          <w:w w:val="100"/>
          <w:position w:val="0"/>
        </w:rPr>
        <w:t xml:space="preserve">工业 </w:t>
      </w:r>
      <w:r>
        <w:rPr>
          <w:rFonts w:ascii="Times New Roman" w:eastAsia="Times New Roman" w:hAnsi="Times New Roman" w:cs="Times New Roman"/>
          <w:color w:val="000000"/>
          <w:spacing w:val="0"/>
          <w:w w:val="100"/>
          <w:position w:val="0"/>
        </w:rPr>
        <w:t>4.0</w:t>
      </w:r>
      <w:r>
        <w:rPr>
          <w:rFonts w:ascii="Times New Roman" w:eastAsia="Times New Roman" w:hAnsi="Times New Roman" w:cs="Times New Roman"/>
          <w:color w:val="000000"/>
          <w:spacing w:val="0"/>
          <w:w w:val="100"/>
          <w:position w:val="0"/>
        </w:rPr>
        <w:t>-</w:t>
      </w:r>
      <w:r>
        <w:rPr>
          <w:color w:val="000000"/>
          <w:spacing w:val="0"/>
          <w:w w:val="100"/>
          <w:position w:val="0"/>
        </w:rPr>
        <w:t>息息相关，将促进传统生产方式向绿色、智能、低碳的方向转变，从刚性生产方式向柔性生产方式转变，显著提高生产 效率。</w:t>
      </w:r>
      <w:r>
        <w:rPr>
          <w:rFonts w:ascii="Times New Roman" w:eastAsia="Times New Roman" w:hAnsi="Times New Roman" w:cs="Times New Roman"/>
          <w:color w:val="000000"/>
          <w:spacing w:val="0"/>
          <w:w w:val="100"/>
          <w:position w:val="0"/>
        </w:rPr>
        <w:t>2019</w:t>
      </w:r>
      <w:r>
        <w:rPr>
          <w:color w:val="000000"/>
          <w:spacing w:val="0"/>
          <w:w w:val="100"/>
          <w:position w:val="0"/>
        </w:rPr>
        <w:t>年，物联网被列入科创板鼓励的创新企业类别；</w:t>
      </w:r>
      <w:r>
        <w:rPr>
          <w:rFonts w:ascii="Times New Roman" w:eastAsia="Times New Roman" w:hAnsi="Times New Roman" w:cs="Times New Roman"/>
          <w:color w:val="000000"/>
          <w:spacing w:val="0"/>
          <w:w w:val="100"/>
          <w:position w:val="0"/>
        </w:rPr>
        <w:t>2020</w:t>
      </w:r>
      <w:r>
        <w:rPr>
          <w:color w:val="000000"/>
          <w:spacing w:val="0"/>
          <w:w w:val="100"/>
          <w:position w:val="0"/>
        </w:rPr>
        <w:t>年国家强调</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，提出</w:t>
      </w:r>
      <w:r>
        <w:rPr>
          <w:rFonts w:ascii="Times New Roman" w:eastAsia="Times New Roman" w:hAnsi="Times New Roman" w:cs="Times New Roman"/>
          <w:color w:val="000000"/>
          <w:spacing w:val="0"/>
          <w:w w:val="100"/>
          <w:position w:val="0"/>
        </w:rPr>
        <w:t>“</w:t>
      </w:r>
      <w:r>
        <w:rPr>
          <w:color w:val="000000"/>
          <w:spacing w:val="0"/>
          <w:w w:val="100"/>
          <w:position w:val="0"/>
        </w:rPr>
        <w:t>推进</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物联网、人工智能、 工业互联网等新型基建投资</w:t>
      </w:r>
      <w:r>
        <w:rPr>
          <w:rFonts w:ascii="Times New Roman" w:eastAsia="Times New Roman" w:hAnsi="Times New Roman" w:cs="Times New Roman"/>
          <w:color w:val="000000"/>
          <w:spacing w:val="0"/>
          <w:w w:val="100"/>
          <w:position w:val="0"/>
        </w:rPr>
        <w:t>”</w:t>
      </w:r>
      <w:r>
        <w:rPr>
          <w:color w:val="000000"/>
          <w:spacing w:val="0"/>
          <w:w w:val="100"/>
          <w:position w:val="0"/>
        </w:rPr>
        <w:t>，加速催化智能物联行业;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月，工信部印发《关于深入推进移动物联网全面发展的通知》， 加快移动物联网网络建设，加强标准和技术研究、提升物联网应用广度和深度。此外，</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规划中提出寻求科技创新、 自主可控，</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工业互联网等都被列为重点布局的新型基础设施。在产业链国产芯片化的趋势之下，以上政策直接推动补 足国内智能物联产业中的芯片、操作系统等短板部分，带动产业上下游共同发展。</w:t>
      </w:r>
      <w:r>
        <w:rPr>
          <w:rFonts w:ascii="Times New Roman" w:eastAsia="Times New Roman" w:hAnsi="Times New Roman" w:cs="Times New Roman"/>
          <w:color w:val="000000"/>
          <w:spacing w:val="0"/>
          <w:w w:val="100"/>
          <w:position w:val="0"/>
        </w:rPr>
        <w:t>2020</w:t>
      </w:r>
      <w:r>
        <w:rPr>
          <w:color w:val="000000"/>
          <w:spacing w:val="0"/>
          <w:w w:val="100"/>
          <w:position w:val="0"/>
        </w:rPr>
        <w:t>年的疫情也助推了产业的发展，加快 轨迹追踪、无人配送、体温监控等建立在各类智能物联技术和产品上的应用，加大了市场对物联网类产品和技术的直接需求， 对企业进一步加大建设物联网项目投入产生深远影响。</w:t>
      </w:r>
    </w:p>
    <w:p>
      <w:pPr>
        <w:pStyle w:val="Style26"/>
        <w:keepNext w:val="0"/>
        <w:keepLines w:val="0"/>
        <w:widowControl w:val="0"/>
        <w:shd w:val="clear" w:color="auto" w:fill="auto"/>
        <w:bidi w:val="0"/>
        <w:spacing w:before="0" w:after="420" w:line="311" w:lineRule="exact"/>
        <w:ind w:left="0" w:right="0" w:firstLine="520"/>
        <w:jc w:val="both"/>
      </w:pPr>
      <w:r>
        <w:rPr>
          <w:color w:val="000000"/>
          <w:spacing w:val="0"/>
          <w:w w:val="100"/>
          <w:position w:val="0"/>
        </w:rPr>
        <w:t xml:space="preserve">从需求侧的应用层面，智能物联场景进一步多样化，应用规模化趋势明显。除了智能家居、公共事业等板块，零售、 </w:t>
      </w:r>
      <w:r>
        <w:rPr>
          <w:color w:val="000000"/>
          <w:spacing w:val="0"/>
          <w:w w:val="100"/>
          <w:position w:val="0"/>
        </w:rPr>
        <w:t>工业应用、汽车交通等行业领域在近年来都可见巨大潜力，需求端增量显著。智慧工业是最具潜力的市场之一，仍处于应用 发展的早期阶段，预计工业互联网在</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的政策下将迅速发展，与各行业融合应用不断向纵深推进。车联网所在的汽车 领域也是近年来另一个快速增的长板块。随着汽车智能网联时代的开启，汽车形态呈现从机械结构向电子结构演变的趋势。 随着</w:t>
      </w:r>
      <w:r>
        <w:rPr>
          <w:rFonts w:ascii="Times New Roman" w:eastAsia="Times New Roman" w:hAnsi="Times New Roman" w:cs="Times New Roman"/>
          <w:color w:val="000000"/>
          <w:spacing w:val="0"/>
          <w:w w:val="100"/>
          <w:position w:val="0"/>
        </w:rPr>
        <w:t>“</w:t>
      </w:r>
      <w:r>
        <w:rPr>
          <w:color w:val="000000"/>
          <w:spacing w:val="0"/>
          <w:w w:val="100"/>
          <w:position w:val="0"/>
        </w:rPr>
        <w:t>软件定义汽车</w:t>
      </w:r>
      <w:r>
        <w:rPr>
          <w:rFonts w:ascii="Times New Roman" w:eastAsia="Times New Roman" w:hAnsi="Times New Roman" w:cs="Times New Roman"/>
          <w:color w:val="000000"/>
          <w:spacing w:val="0"/>
          <w:w w:val="100"/>
          <w:position w:val="0"/>
        </w:rPr>
        <w:t>”</w:t>
      </w:r>
      <w:r>
        <w:rPr>
          <w:color w:val="000000"/>
          <w:spacing w:val="0"/>
          <w:w w:val="100"/>
          <w:position w:val="0"/>
        </w:rPr>
        <w:t>的行业趋势，软件研发和服务在汽车产业中的价值进一步突出，产业升级将给相关科技服务和技术供应 商来带巨大的发展机遇。</w:t>
      </w:r>
    </w:p>
    <w:p>
      <w:pPr>
        <w:pStyle w:val="Style26"/>
        <w:keepNext w:val="0"/>
        <w:keepLines w:val="0"/>
        <w:widowControl w:val="0"/>
        <w:shd w:val="clear" w:color="auto" w:fill="auto"/>
        <w:bidi w:val="0"/>
        <w:spacing w:before="0" w:after="0"/>
        <w:ind w:left="0" w:right="0" w:firstLine="520"/>
        <w:jc w:val="both"/>
      </w:pPr>
      <w:bookmarkStart w:id="71" w:name="bookmark71"/>
      <w:r>
        <w:rPr>
          <w:rFonts w:ascii="Times New Roman" w:eastAsia="Times New Roman" w:hAnsi="Times New Roman" w:cs="Times New Roman"/>
          <w:color w:val="000000"/>
          <w:spacing w:val="0"/>
          <w:w w:val="100"/>
          <w:position w:val="0"/>
        </w:rPr>
        <w:t>3</w:t>
      </w:r>
      <w:bookmarkEnd w:id="71"/>
      <w:r>
        <w:rPr>
          <w:color w:val="000000"/>
          <w:spacing w:val="0"/>
          <w:w w:val="100"/>
          <w:position w:val="0"/>
        </w:rPr>
        <w:t>、智慧能源信息化</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近年来，以新能源大规模开发利用为标志，新一轮能源革命和数字革命相融并进。同时，以互联网为代表的新一代信 息技术不断发展，为传统能源产业发展形成信息物理深度融合的新业态提供了方向。</w:t>
      </w:r>
    </w:p>
    <w:p>
      <w:pPr>
        <w:pStyle w:val="Style26"/>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年上半年，国家电网发布</w:t>
      </w:r>
      <w:r>
        <w:rPr>
          <w:rFonts w:ascii="Times New Roman" w:eastAsia="Times New Roman" w:hAnsi="Times New Roman" w:cs="Times New Roman"/>
          <w:color w:val="000000"/>
          <w:spacing w:val="0"/>
          <w:w w:val="100"/>
          <w:position w:val="0"/>
        </w:rPr>
        <w:t>“</w:t>
      </w:r>
      <w:r>
        <w:rPr>
          <w:color w:val="000000"/>
          <w:spacing w:val="0"/>
          <w:w w:val="100"/>
          <w:position w:val="0"/>
        </w:rPr>
        <w:t>数字新基建</w:t>
      </w:r>
      <w:r>
        <w:rPr>
          <w:rFonts w:ascii="Times New Roman" w:eastAsia="Times New Roman" w:hAnsi="Times New Roman" w:cs="Times New Roman"/>
          <w:color w:val="000000"/>
          <w:spacing w:val="0"/>
          <w:w w:val="100"/>
          <w:position w:val="0"/>
        </w:rPr>
        <w:t>”</w:t>
      </w:r>
      <w:r>
        <w:rPr>
          <w:color w:val="000000"/>
          <w:spacing w:val="0"/>
          <w:w w:val="100"/>
          <w:position w:val="0"/>
        </w:rPr>
        <w:t>重点建设任务，聚焦大数据、工业互联网、</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 xml:space="preserve">人工智能等领域。这是在 </w:t>
      </w:r>
      <w:r>
        <w:rPr>
          <w:rFonts w:ascii="Times New Roman" w:eastAsia="Times New Roman" w:hAnsi="Times New Roman" w:cs="Times New Roman"/>
          <w:color w:val="000000"/>
          <w:spacing w:val="0"/>
          <w:w w:val="100"/>
          <w:position w:val="0"/>
        </w:rPr>
        <w:t>2019</w:t>
      </w:r>
      <w:r>
        <w:rPr>
          <w:color w:val="000000"/>
          <w:spacing w:val="0"/>
          <w:w w:val="100"/>
          <w:position w:val="0"/>
        </w:rPr>
        <w:t>年国家电网提出要建设泛在电力物联网，共同构成能源流、业务流、数据流</w:t>
      </w:r>
      <w:r>
        <w:rPr>
          <w:rFonts w:ascii="Times New Roman" w:eastAsia="Times New Roman" w:hAnsi="Times New Roman" w:cs="Times New Roman"/>
          <w:color w:val="000000"/>
          <w:spacing w:val="0"/>
          <w:w w:val="100"/>
          <w:position w:val="0"/>
        </w:rPr>
        <w:t>“</w:t>
      </w:r>
      <w:r>
        <w:rPr>
          <w:color w:val="000000"/>
          <w:spacing w:val="0"/>
          <w:w w:val="100"/>
          <w:position w:val="0"/>
        </w:rPr>
        <w:t>三流合一</w:t>
      </w:r>
      <w:r>
        <w:rPr>
          <w:rFonts w:ascii="Times New Roman" w:eastAsia="Times New Roman" w:hAnsi="Times New Roman" w:cs="Times New Roman"/>
          <w:color w:val="000000"/>
          <w:spacing w:val="0"/>
          <w:w w:val="100"/>
          <w:position w:val="0"/>
        </w:rPr>
        <w:t>”</w:t>
      </w:r>
      <w:r>
        <w:rPr>
          <w:color w:val="000000"/>
          <w:spacing w:val="0"/>
          <w:w w:val="100"/>
          <w:position w:val="0"/>
        </w:rPr>
        <w:t>的能源互联网的进一步升级，也 印证了能源行业的未来趋势就是物联网、</w:t>
      </w:r>
      <w:r>
        <w:rPr>
          <w:rFonts w:ascii="Times New Roman" w:eastAsia="Times New Roman" w:hAnsi="Times New Roman" w:cs="Times New Roman"/>
          <w:color w:val="000000"/>
          <w:spacing w:val="0"/>
          <w:w w:val="100"/>
          <w:position w:val="0"/>
        </w:rPr>
        <w:t>AI</w:t>
      </w:r>
      <w:r>
        <w:rPr>
          <w:color w:val="000000"/>
          <w:spacing w:val="0"/>
          <w:w w:val="100"/>
          <w:position w:val="0"/>
        </w:rPr>
        <w:t>、</w:t>
      </w:r>
      <w:r>
        <w:rPr>
          <w:color w:val="000000"/>
          <w:spacing w:val="0"/>
          <w:w w:val="100"/>
          <w:position w:val="0"/>
        </w:rPr>
        <w:t>大数据技术的渗透与融合。随着</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的概念横空出世，能源行业作为基础 性行业着力于推动信息技术与能源行业转型升级高度融合，以新型信息化基础设施建设为着力点，打造</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rFonts w:ascii="Times New Roman" w:eastAsia="Times New Roman" w:hAnsi="Times New Roman" w:cs="Times New Roman"/>
          <w:color w:val="000000"/>
          <w:spacing w:val="0"/>
          <w:w w:val="100"/>
          <w:position w:val="0"/>
        </w:rPr>
        <w:t>”</w:t>
      </w:r>
      <w:r>
        <w:rPr>
          <w:color w:val="000000"/>
          <w:spacing w:val="0"/>
          <w:w w:val="100"/>
          <w:position w:val="0"/>
        </w:rPr>
        <w:t>良好生态圈。 伴随着</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规划对</w:t>
      </w:r>
      <w:r>
        <w:rPr>
          <w:rFonts w:ascii="Times New Roman" w:eastAsia="Times New Roman" w:hAnsi="Times New Roman" w:cs="Times New Roman"/>
          <w:color w:val="000000"/>
          <w:spacing w:val="0"/>
          <w:w w:val="100"/>
          <w:position w:val="0"/>
        </w:rPr>
        <w:t>“</w:t>
      </w:r>
      <w:r>
        <w:rPr>
          <w:color w:val="000000"/>
          <w:spacing w:val="0"/>
          <w:w w:val="100"/>
          <w:position w:val="0"/>
        </w:rPr>
        <w:t>完善能源产供储销体系</w:t>
      </w:r>
      <w:r>
        <w:rPr>
          <w:rFonts w:ascii="Times New Roman" w:eastAsia="Times New Roman" w:hAnsi="Times New Roman" w:cs="Times New Roman"/>
          <w:color w:val="000000"/>
          <w:spacing w:val="0"/>
          <w:w w:val="100"/>
          <w:position w:val="0"/>
        </w:rPr>
        <w:t>”</w:t>
      </w:r>
      <w:r>
        <w:rPr>
          <w:color w:val="000000"/>
          <w:spacing w:val="0"/>
          <w:w w:val="100"/>
          <w:position w:val="0"/>
        </w:rPr>
        <w:t>的提出，能源行业将在</w:t>
      </w:r>
      <w:r>
        <w:rPr>
          <w:rFonts w:ascii="Times New Roman" w:eastAsia="Times New Roman" w:hAnsi="Times New Roman" w:cs="Times New Roman"/>
          <w:color w:val="000000"/>
          <w:spacing w:val="0"/>
          <w:w w:val="100"/>
          <w:position w:val="0"/>
        </w:rPr>
        <w:t>“</w:t>
      </w:r>
      <w:r>
        <w:rPr>
          <w:color w:val="000000"/>
          <w:spacing w:val="0"/>
          <w:w w:val="100"/>
          <w:position w:val="0"/>
        </w:rPr>
        <w:t>政策</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的双重驱动下，迎来全新的发展契机。</w:t>
      </w:r>
      <w:r>
        <w:rPr>
          <w:rFonts w:ascii="Times New Roman" w:eastAsia="Times New Roman" w:hAnsi="Times New Roman" w:cs="Times New Roman"/>
          <w:color w:val="000000"/>
          <w:spacing w:val="0"/>
          <w:w w:val="100"/>
          <w:position w:val="0"/>
        </w:rPr>
        <w:t>“</w:t>
      </w:r>
      <w:r>
        <w:rPr>
          <w:color w:val="000000"/>
          <w:spacing w:val="0"/>
          <w:w w:val="100"/>
          <w:position w:val="0"/>
        </w:rPr>
        <w:t>互 联网</w:t>
      </w:r>
      <w:r>
        <w:rPr>
          <w:rFonts w:ascii="Times New Roman" w:eastAsia="Times New Roman" w:hAnsi="Times New Roman" w:cs="Times New Roman"/>
          <w:color w:val="000000"/>
          <w:spacing w:val="0"/>
          <w:w w:val="100"/>
          <w:position w:val="0"/>
        </w:rPr>
        <w:t>+</w:t>
      </w:r>
      <w:r>
        <w:rPr>
          <w:color w:val="000000"/>
          <w:spacing w:val="0"/>
          <w:w w:val="100"/>
          <w:position w:val="0"/>
        </w:rPr>
        <w:t>智慧能源</w:t>
      </w:r>
      <w:r>
        <w:rPr>
          <w:rFonts w:ascii="Times New Roman" w:eastAsia="Times New Roman" w:hAnsi="Times New Roman" w:cs="Times New Roman"/>
          <w:color w:val="000000"/>
          <w:spacing w:val="0"/>
          <w:w w:val="100"/>
          <w:position w:val="0"/>
        </w:rPr>
        <w:t>”</w:t>
      </w:r>
      <w:r>
        <w:rPr>
          <w:color w:val="000000"/>
          <w:spacing w:val="0"/>
          <w:w w:val="100"/>
          <w:position w:val="0"/>
        </w:rPr>
        <w:t>也面临前所未有的机遇和挑战，要求传统电力系统输配售一体的垂直刚性结构转型为扁平化、对等互联的新 型能源供需结构。</w:t>
      </w:r>
    </w:p>
    <w:p>
      <w:pPr>
        <w:pStyle w:val="Style26"/>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月，中国就</w:t>
      </w:r>
      <w:r>
        <w:rPr>
          <w:rFonts w:ascii="Times New Roman" w:eastAsia="Times New Roman" w:hAnsi="Times New Roman" w:cs="Times New Roman"/>
          <w:color w:val="000000"/>
          <w:spacing w:val="0"/>
          <w:w w:val="100"/>
          <w:position w:val="0"/>
        </w:rPr>
        <w:t>“</w:t>
      </w:r>
      <w:r>
        <w:rPr>
          <w:color w:val="000000"/>
          <w:spacing w:val="0"/>
          <w:w w:val="100"/>
          <w:position w:val="0"/>
        </w:rPr>
        <w:t>碳达峰</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rPr>
        <w:t>”</w:t>
      </w:r>
      <w:r>
        <w:rPr>
          <w:color w:val="000000"/>
          <w:spacing w:val="0"/>
          <w:w w:val="100"/>
          <w:position w:val="0"/>
        </w:rPr>
        <w:t>目标向国际社会做出承诺，明确宣布将</w:t>
      </w:r>
      <w:r>
        <w:rPr>
          <w:rFonts w:ascii="Times New Roman" w:eastAsia="Times New Roman" w:hAnsi="Times New Roman" w:cs="Times New Roman"/>
          <w:color w:val="000000"/>
          <w:spacing w:val="0"/>
          <w:w w:val="100"/>
          <w:position w:val="0"/>
        </w:rPr>
        <w:t>“</w:t>
      </w:r>
      <w:r>
        <w:rPr>
          <w:color w:val="000000"/>
          <w:spacing w:val="0"/>
          <w:w w:val="100"/>
          <w:position w:val="0"/>
        </w:rPr>
        <w:t>提高国家自助贡献力度，采取更有力 的政策和措施，二氧化碳排放力争于</w:t>
      </w:r>
      <w:r>
        <w:rPr>
          <w:rFonts w:ascii="Times New Roman" w:eastAsia="Times New Roman" w:hAnsi="Times New Roman" w:cs="Times New Roman"/>
          <w:color w:val="000000"/>
          <w:spacing w:val="0"/>
          <w:w w:val="100"/>
          <w:position w:val="0"/>
        </w:rPr>
        <w:t>2030</w:t>
      </w:r>
      <w:r>
        <w:rPr>
          <w:color w:val="000000"/>
          <w:spacing w:val="0"/>
          <w:w w:val="100"/>
          <w:position w:val="0"/>
        </w:rPr>
        <w:t>年前达到峰值，争取在</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w:t>
      </w:r>
      <w:r>
        <w:rPr>
          <w:rFonts w:ascii="Times New Roman" w:eastAsia="Times New Roman" w:hAnsi="Times New Roman" w:cs="Times New Roman"/>
          <w:color w:val="000000"/>
          <w:spacing w:val="0"/>
          <w:w w:val="100"/>
          <w:position w:val="0"/>
        </w:rPr>
        <w:t>”</w:t>
      </w:r>
      <w:r>
        <w:rPr>
          <w:color w:val="000000"/>
          <w:spacing w:val="0"/>
          <w:w w:val="100"/>
          <w:position w:val="0"/>
        </w:rPr>
        <w:t>。在此目标指引下，国家层面正加快 构建清洁低碳安全高效的能源体系，各个省市积极响应，预计将在未来长期影响涉及从能源结构、应用和排放等多个行业的 变革。同时，国家电网也提出，未来五年累计投入超</w:t>
      </w:r>
      <w:r>
        <w:rPr>
          <w:rFonts w:ascii="Times New Roman" w:eastAsia="Times New Roman" w:hAnsi="Times New Roman" w:cs="Times New Roman"/>
          <w:color w:val="000000"/>
          <w:spacing w:val="0"/>
          <w:w w:val="100"/>
          <w:position w:val="0"/>
        </w:rPr>
        <w:t>2</w:t>
      </w:r>
      <w:r>
        <w:rPr>
          <w:color w:val="000000"/>
          <w:spacing w:val="0"/>
          <w:w w:val="100"/>
          <w:position w:val="0"/>
        </w:rPr>
        <w:t>万亿元，围绕</w:t>
      </w:r>
      <w:r>
        <w:rPr>
          <w:rFonts w:ascii="Times New Roman" w:eastAsia="Times New Roman" w:hAnsi="Times New Roman" w:cs="Times New Roman"/>
          <w:color w:val="000000"/>
          <w:spacing w:val="0"/>
          <w:w w:val="100"/>
          <w:position w:val="0"/>
        </w:rPr>
        <w:t>“</w:t>
      </w:r>
      <w:r>
        <w:rPr>
          <w:color w:val="000000"/>
          <w:spacing w:val="0"/>
          <w:w w:val="100"/>
          <w:position w:val="0"/>
        </w:rPr>
        <w:t>碳达峰、碳中和</w:t>
      </w:r>
      <w:r>
        <w:rPr>
          <w:rFonts w:ascii="Times New Roman" w:eastAsia="Times New Roman" w:hAnsi="Times New Roman" w:cs="Times New Roman"/>
          <w:color w:val="000000"/>
          <w:spacing w:val="0"/>
          <w:w w:val="100"/>
          <w:position w:val="0"/>
        </w:rPr>
        <w:t>”</w:t>
      </w:r>
      <w:r>
        <w:rPr>
          <w:color w:val="000000"/>
          <w:spacing w:val="0"/>
          <w:w w:val="100"/>
          <w:position w:val="0"/>
        </w:rPr>
        <w:t>目标推动电网向能源互联网升级。在 智慧能源领域，碳中和将推动对下游软件应用层，诸如能源监控、预警等细分领域的需求，为下游提供数字化解决方案的公 司带来业务机会。</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在电网形态逐渐向能源互联网的转型中，电网企业持续加速数字化转型，电力企业由信息化向网络化、智能化转变， 最终实现智慧化。主要趋势还是将物联网的技术和理念与信息化电网的具体实践相结合，针对电网资产和业务管理全生命周 期，面向规划设计、基建管理、运行管理、检修管理和营销管理等环节，提供一体化的信息化解决方案。以上战略的落实和 需求的扩大也将给生态内的信息化服务提供商带来更多的机遇。</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综上，国内软件和信息技术服务业处于持续稳定的增长期，部分细分领域进入战略机遇期，为公司业务的持续发展提 供了良好的市场空间。金融科技业务是公司的传统优势领域，公司在中国银行</w:t>
      </w:r>
      <w:r>
        <w:rPr>
          <w:rFonts w:ascii="Times New Roman" w:eastAsia="Times New Roman" w:hAnsi="Times New Roman" w:cs="Times New Roman"/>
          <w:color w:val="000000"/>
          <w:spacing w:val="0"/>
          <w:w w:val="100"/>
          <w:position w:val="0"/>
        </w:rPr>
        <w:t>IT</w:t>
      </w:r>
      <w:r>
        <w:rPr>
          <w:color w:val="000000"/>
          <w:spacing w:val="0"/>
          <w:w w:val="100"/>
          <w:position w:val="0"/>
        </w:rPr>
        <w:t>解决方案市场的市场占有率位于行业前列， 公司的金融信息化第三方测试业务在国内拥有较高的市场份额和品牌影响力。报告期内，公司加强了金融科技领域专业化产 品体系的构建，加速支持更加丰富的金融业务场景，同时构筑更高的行业与专业壁垒，向高附加值的蓝海市场快速转换升级。 公司智能物联业务和智慧能源信息化业务规模在报告期内增长较快，显示出较强的增长动能，并且在国产化基础软件及边缘 端软硬件一体化设备方面已取得一定的差异化竞争优势，为公司未来在这两个领域业务的持续发展提供了良好基础。</w:t>
      </w:r>
    </w:p>
    <w:p>
      <w:pPr>
        <w:pStyle w:val="Style26"/>
        <w:keepNext w:val="0"/>
        <w:keepLines w:val="0"/>
        <w:widowControl w:val="0"/>
        <w:shd w:val="clear" w:color="auto" w:fill="auto"/>
        <w:bidi w:val="0"/>
        <w:spacing w:before="0" w:after="360" w:line="313" w:lineRule="exact"/>
        <w:ind w:left="0" w:right="0" w:firstLine="520"/>
        <w:jc w:val="both"/>
      </w:pPr>
      <w:r>
        <w:rPr>
          <w:color w:val="000000"/>
          <w:spacing w:val="0"/>
          <w:w w:val="100"/>
          <w:position w:val="0"/>
        </w:rPr>
        <w:t xml:space="preserve">公司是全国信息技术标准化技术委员会信息技术服务分技术委员会理事单位、信息技术服务国家标准制定单位，拥有 </w:t>
      </w:r>
      <w:r>
        <w:rPr>
          <w:rFonts w:ascii="Times New Roman" w:eastAsia="Times New Roman" w:hAnsi="Times New Roman" w:cs="Times New Roman"/>
          <w:color w:val="000000"/>
          <w:spacing w:val="0"/>
          <w:w w:val="100"/>
          <w:position w:val="0"/>
        </w:rPr>
        <w:t>CMMI</w:t>
      </w:r>
      <w:r>
        <w:rPr>
          <w:color w:val="000000"/>
          <w:spacing w:val="0"/>
          <w:w w:val="100"/>
          <w:position w:val="0"/>
        </w:rPr>
        <w:t>五级认证、</w:t>
      </w:r>
      <w:r>
        <w:rPr>
          <w:rFonts w:ascii="Times New Roman" w:eastAsia="Times New Roman" w:hAnsi="Times New Roman" w:cs="Times New Roman"/>
          <w:color w:val="000000"/>
          <w:spacing w:val="0"/>
          <w:w w:val="100"/>
          <w:position w:val="0"/>
        </w:rPr>
        <w:t>IS0270012013</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rPr>
        <w:t>1SO9001:2008</w:t>
      </w:r>
      <w:r>
        <w:rPr>
          <w:color w:val="000000"/>
          <w:spacing w:val="0"/>
          <w:w w:val="100"/>
          <w:position w:val="0"/>
        </w:rPr>
        <w:t>质量管理体系认证、</w:t>
      </w:r>
      <w:r>
        <w:rPr>
          <w:rFonts w:ascii="Times New Roman" w:eastAsia="Times New Roman" w:hAnsi="Times New Roman" w:cs="Times New Roman"/>
          <w:color w:val="000000"/>
          <w:spacing w:val="0"/>
          <w:w w:val="100"/>
          <w:position w:val="0"/>
        </w:rPr>
        <w:t>IS014001</w:t>
      </w:r>
      <w:r>
        <w:rPr>
          <w:color w:val="000000"/>
          <w:spacing w:val="0"/>
          <w:w w:val="100"/>
          <w:position w:val="0"/>
        </w:rPr>
        <w:t xml:space="preserve">环境管理体系认证、 </w:t>
      </w:r>
      <w:r>
        <w:rPr>
          <w:rFonts w:ascii="Times New Roman" w:eastAsia="Times New Roman" w:hAnsi="Times New Roman" w:cs="Times New Roman"/>
          <w:color w:val="000000"/>
          <w:spacing w:val="0"/>
          <w:w w:val="100"/>
          <w:position w:val="0"/>
        </w:rPr>
        <w:t>IS045001</w:t>
      </w:r>
      <w:r>
        <w:rPr>
          <w:color w:val="000000"/>
          <w:spacing w:val="0"/>
          <w:w w:val="100"/>
          <w:position w:val="0"/>
        </w:rPr>
        <w:t>职业健康安全管理体系、两化融合管理体系认证等多项资质认证，获得国家工业与信息化融合示范单位、江苏省 两业融合试点单位（龙头骨干企业）、江苏省两化融合贯标重点培育企业、江苏省首批技术先进服务企业、江苏省科技服务 业百强机构、江苏省服务业名牌、江苏省优秀民营企业等多项荣誉。</w:t>
      </w:r>
    </w:p>
    <w:p>
      <w:pPr>
        <w:pStyle w:val="Style24"/>
        <w:keepNext/>
        <w:keepLines/>
        <w:widowControl w:val="0"/>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、主要资产重大变化情况</w:t>
      </w:r>
      <w:bookmarkEnd w:id="72"/>
      <w:bookmarkEnd w:id="73"/>
      <w:bookmarkEnd w:id="75"/>
    </w:p>
    <w:p>
      <w:pPr>
        <w:pStyle w:val="Style30"/>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widowControl w:val="0"/>
        <w:spacing w:line="1" w:lineRule="exact"/>
      </w:pPr>
    </w:p>
    <w:tbl>
      <w:tblPr>
        <w:tblOverlap w:val="never"/>
        <w:jc w:val="center"/>
        <w:tblLayout w:type="fixed"/>
      </w:tblPr>
      <w:tblGrid>
        <w:gridCol w:w="3058"/>
        <w:gridCol w:w="65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开发支出期末余额较期初余额增长</w:t>
            </w:r>
            <w:r>
              <w:rPr>
                <w:rFonts w:ascii="Times New Roman" w:eastAsia="Times New Roman" w:hAnsi="Times New Roman" w:cs="Times New Roman"/>
                <w:color w:val="000000"/>
                <w:spacing w:val="0"/>
                <w:w w:val="100"/>
                <w:position w:val="0"/>
              </w:rPr>
              <w:t>47.61%</w:t>
            </w:r>
            <w:r>
              <w:rPr>
                <w:color w:val="000000"/>
                <w:spacing w:val="0"/>
                <w:w w:val="100"/>
                <w:position w:val="0"/>
              </w:rPr>
              <w:t>,主要原因是本期公司资本化研发项目增 加，且期末均未结项，相应研发资本化期末余额增加。</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26"/>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26"/>
        <w:keepNext w:val="0"/>
        <w:keepLines w:val="0"/>
        <w:widowControl w:val="0"/>
        <w:shd w:val="clear" w:color="auto" w:fill="auto"/>
        <w:tabs>
          <w:tab w:pos="794" w:val="left"/>
        </w:tabs>
        <w:bidi w:val="0"/>
        <w:spacing w:before="0" w:after="0" w:line="312" w:lineRule="exact"/>
        <w:ind w:left="0" w:right="0" w:firstLine="520"/>
        <w:jc w:val="left"/>
      </w:pPr>
      <w:bookmarkStart w:id="88" w:name="bookmark88"/>
      <w:r>
        <w:rPr>
          <w:rFonts w:ascii="Times New Roman" w:eastAsia="Times New Roman" w:hAnsi="Times New Roman" w:cs="Times New Roman"/>
          <w:color w:val="000000"/>
          <w:spacing w:val="0"/>
          <w:w w:val="100"/>
          <w:position w:val="0"/>
        </w:rPr>
        <w:t>1</w:t>
      </w:r>
      <w:bookmarkEnd w:id="88"/>
      <w:r>
        <w:rPr>
          <w:color w:val="000000"/>
          <w:spacing w:val="0"/>
          <w:w w:val="100"/>
          <w:position w:val="0"/>
        </w:rPr>
        <w:t>、</w:t>
        <w:tab/>
        <w:t>核心技术与行业深度融合，精准赋能</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金融科技、电力能源等均是具有很强专业性的领域，对于应用软件及信息化综合方案提供商而言，需对行业专业知识， 整体应用环境，甚至行业业务及技术的沿革都要有深入的了解，并且能够为客户在信息系统建设中提出指导性意见，只有这 样才能精准赋能，帮助客户快速有效地完成数字化转型，获得高质量发展带来的创新价值。围绕金融科技、智能物联及智慧 能源三大主营业务，公司拥有的四大核心能力，一是金融软件质量管理和自动化测试能力；二是互联网金融应用场景的打造 能力；三是从芯片</w:t>
      </w:r>
      <w:r>
        <w:rPr>
          <w:rFonts w:ascii="Times New Roman" w:eastAsia="Times New Roman" w:hAnsi="Times New Roman" w:cs="Times New Roman"/>
          <w:color w:val="000000"/>
          <w:spacing w:val="0"/>
          <w:w w:val="100"/>
          <w:position w:val="0"/>
        </w:rPr>
        <w:t>/</w:t>
      </w:r>
      <w:r>
        <w:rPr>
          <w:color w:val="000000"/>
          <w:spacing w:val="0"/>
          <w:w w:val="100"/>
          <w:position w:val="0"/>
        </w:rPr>
        <w:t xml:space="preserve">模组、底层嵌入式软件到国产操作系统、数据库、中间件在行业的端到端软硬件研发和应用能力；四是 </w:t>
      </w:r>
      <w:r>
        <w:rPr>
          <w:rFonts w:ascii="Times New Roman" w:eastAsia="Times New Roman" w:hAnsi="Times New Roman" w:cs="Times New Roman"/>
          <w:color w:val="000000"/>
          <w:spacing w:val="0"/>
          <w:w w:val="100"/>
          <w:position w:val="0"/>
        </w:rPr>
        <w:t>AI</w:t>
      </w:r>
      <w:r>
        <w:rPr>
          <w:color w:val="000000"/>
          <w:spacing w:val="0"/>
          <w:w w:val="100"/>
          <w:position w:val="0"/>
        </w:rPr>
        <w:t>技术在电力行业的应用能力。以上能力均是在长期的专业领域实践背景下，与不断完善的技术栈深度融合产生的，具有 行业内的核心竞争能力，特别是在行业信创解决方案方面具有先发优势。</w:t>
      </w:r>
    </w:p>
    <w:p>
      <w:pPr>
        <w:pStyle w:val="Style26"/>
        <w:keepNext w:val="0"/>
        <w:keepLines w:val="0"/>
        <w:widowControl w:val="0"/>
        <w:shd w:val="clear" w:color="auto" w:fill="auto"/>
        <w:tabs>
          <w:tab w:pos="814" w:val="left"/>
        </w:tabs>
        <w:bidi w:val="0"/>
        <w:spacing w:before="0" w:after="0" w:line="312" w:lineRule="exact"/>
        <w:ind w:left="0" w:right="0" w:firstLine="520"/>
        <w:jc w:val="left"/>
      </w:pPr>
      <w:bookmarkStart w:id="89" w:name="bookmark89"/>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产品与服务紧密结合，实现价值跃升</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当前，维护客户关系的核心是服务价值的持续交付，而不仅是产品所有权的转让。客户购买产品后，服务体验就成为 了品牌，专业优质的服务不仅可以创造价值增量还可以带来交叉销售的机会，软件与信息技术服务行业尤其如此。公司在产 品设计中即包含了面向服务的设计思想，支持将系统功能封装成服务，并设计标准服务接口，真正实现异构系统的跨平台调 用。同时，在对底层的应用支撑环境的集成中，也支持将公共组件功能封装为服务的方式，支持客户业务。产品设计充分整 合和利用现有的资源，同时充分考虑到为客户业务提供持续的服务。应用系统适应业务流程变化，选择适当的过程、方法、 工具，进行快速开发，方便实施。平台设计智能化，支持版面、内容的自由更换和更新。流程化的工作能自由增加新模块， 同时在已有模块流程发生变化时可以按变化调整更新。同时充分考虑相关现行标准及国家法律、法规、政策的要求，为后续 的运营、实施、维护提供良好基础。让产品成为服务的载体，持续赢得增值服务机会。</w:t>
      </w:r>
    </w:p>
    <w:p>
      <w:pPr>
        <w:pStyle w:val="Style26"/>
        <w:keepNext w:val="0"/>
        <w:keepLines w:val="0"/>
        <w:widowControl w:val="0"/>
        <w:shd w:val="clear" w:color="auto" w:fill="auto"/>
        <w:tabs>
          <w:tab w:pos="804" w:val="left"/>
        </w:tabs>
        <w:bidi w:val="0"/>
        <w:spacing w:before="0" w:after="0" w:line="312" w:lineRule="exact"/>
        <w:ind w:left="0" w:right="0" w:firstLine="520"/>
        <w:jc w:val="both"/>
      </w:pPr>
      <w:bookmarkStart w:id="90" w:name="bookmark90"/>
      <w:r>
        <w:rPr>
          <w:rFonts w:ascii="Times New Roman" w:eastAsia="Times New Roman" w:hAnsi="Times New Roman" w:cs="Times New Roman"/>
          <w:color w:val="000000"/>
          <w:spacing w:val="0"/>
          <w:w w:val="100"/>
          <w:position w:val="0"/>
        </w:rPr>
        <w:t>3</w:t>
      </w:r>
      <w:bookmarkEnd w:id="90"/>
      <w:r>
        <w:rPr>
          <w:color w:val="000000"/>
          <w:spacing w:val="0"/>
          <w:w w:val="100"/>
          <w:position w:val="0"/>
        </w:rPr>
        <w:t>、</w:t>
        <w:tab/>
        <w:t>体系化的研发和成果转化机制，保持创新活力</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软件产品更新换代速度快、市场需求变化多、客户认同感相比传统行业普遍不高，对产品和服务的持续创新要求较高。 报告期内，公司新增设立战略技术中心和战略业务部门，对战略方向上的战略产品和项目进行统一规划、集中研发，促进前 沿技术的跟进转化能力。同时搭建核心技术的公司级共享平台，支撑自主产品的抽象、设计、开发、迭代，提升交付能力， 促进高端团队和产品的创新孵化。</w:t>
      </w:r>
    </w:p>
    <w:p>
      <w:pPr>
        <w:pStyle w:val="Style26"/>
        <w:keepNext w:val="0"/>
        <w:keepLines w:val="0"/>
        <w:widowControl w:val="0"/>
        <w:shd w:val="clear" w:color="auto" w:fill="auto"/>
        <w:tabs>
          <w:tab w:pos="814" w:val="left"/>
        </w:tabs>
        <w:bidi w:val="0"/>
        <w:spacing w:before="0" w:after="0" w:line="312" w:lineRule="exact"/>
        <w:ind w:left="0" w:right="0" w:firstLine="520"/>
        <w:jc w:val="both"/>
      </w:pPr>
      <w:bookmarkStart w:id="91" w:name="bookmark91"/>
      <w:r>
        <w:rPr>
          <w:rFonts w:ascii="Times New Roman" w:eastAsia="Times New Roman" w:hAnsi="Times New Roman" w:cs="Times New Roman"/>
          <w:color w:val="000000"/>
          <w:spacing w:val="0"/>
          <w:w w:val="100"/>
          <w:position w:val="0"/>
        </w:rPr>
        <w:t>4</w:t>
      </w:r>
      <w:bookmarkEnd w:id="91"/>
      <w:r>
        <w:rPr>
          <w:color w:val="000000"/>
          <w:spacing w:val="0"/>
          <w:w w:val="100"/>
          <w:position w:val="0"/>
        </w:rPr>
        <w:t>、</w:t>
        <w:tab/>
        <w:t>高质量的技术服务和保障体系</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公司金融科技业务分别以北京、上海、深圳、西安、成都为中心，设立华北、华东、华南、西北、西南五个区域交付 中心，辐射周边地区，中级以上技术服务人员占比超过</w:t>
      </w:r>
      <w:r>
        <w:rPr>
          <w:rFonts w:ascii="Times New Roman" w:eastAsia="Times New Roman" w:hAnsi="Times New Roman" w:cs="Times New Roman"/>
          <w:color w:val="000000"/>
          <w:spacing w:val="0"/>
          <w:w w:val="100"/>
          <w:position w:val="0"/>
        </w:rPr>
        <w:t>60%</w:t>
      </w:r>
      <w:r>
        <w:rPr>
          <w:color w:val="000000"/>
          <w:spacing w:val="0"/>
          <w:w w:val="100"/>
          <w:position w:val="0"/>
        </w:rPr>
        <w:t>，可以充分响应客户需求。智能物联业务围绕关键技术，拥有芯 片、操作系统、云计算、数据库</w:t>
      </w:r>
      <w:r>
        <w:rPr>
          <w:rFonts w:ascii="Times New Roman" w:eastAsia="Times New Roman" w:hAnsi="Times New Roman" w:cs="Times New Roman"/>
          <w:color w:val="000000"/>
          <w:spacing w:val="0"/>
          <w:w w:val="100"/>
          <w:position w:val="0"/>
        </w:rPr>
        <w:t>/</w:t>
      </w:r>
      <w:r>
        <w:rPr>
          <w:color w:val="000000"/>
          <w:spacing w:val="0"/>
          <w:w w:val="100"/>
          <w:position w:val="0"/>
        </w:rPr>
        <w:t>大数据、人工智能等专业服务团队，其核心人员均具有超过</w:t>
      </w:r>
      <w:r>
        <w:rPr>
          <w:rFonts w:ascii="Times New Roman" w:eastAsia="Times New Roman" w:hAnsi="Times New Roman" w:cs="Times New Roman"/>
          <w:color w:val="000000"/>
          <w:spacing w:val="0"/>
          <w:w w:val="100"/>
          <w:position w:val="0"/>
        </w:rPr>
        <w:t>10</w:t>
      </w:r>
      <w:r>
        <w:rPr>
          <w:color w:val="000000"/>
          <w:spacing w:val="0"/>
          <w:w w:val="100"/>
          <w:position w:val="0"/>
        </w:rPr>
        <w:t>年的技术积累与行业服务实 践，可充分保障项目优质、稳定的价值交付。</w:t>
      </w:r>
    </w:p>
    <w:p>
      <w:pPr>
        <w:pStyle w:val="Style26"/>
        <w:keepNext w:val="0"/>
        <w:keepLines w:val="0"/>
        <w:widowControl w:val="0"/>
        <w:shd w:val="clear" w:color="auto" w:fill="auto"/>
        <w:tabs>
          <w:tab w:pos="804" w:val="left"/>
        </w:tabs>
        <w:bidi w:val="0"/>
        <w:spacing w:before="0" w:after="0" w:line="312" w:lineRule="exact"/>
        <w:ind w:left="0" w:right="0" w:firstLine="520"/>
        <w:jc w:val="both"/>
      </w:pPr>
      <w:bookmarkStart w:id="92" w:name="bookmark92"/>
      <w:r>
        <w:rPr>
          <w:rFonts w:ascii="Times New Roman" w:eastAsia="Times New Roman" w:hAnsi="Times New Roman" w:cs="Times New Roman"/>
          <w:color w:val="000000"/>
          <w:spacing w:val="0"/>
          <w:w w:val="100"/>
          <w:position w:val="0"/>
        </w:rPr>
        <w:t>5</w:t>
      </w:r>
      <w:bookmarkEnd w:id="92"/>
      <w:r>
        <w:rPr>
          <w:color w:val="000000"/>
          <w:spacing w:val="0"/>
          <w:w w:val="100"/>
          <w:position w:val="0"/>
        </w:rPr>
        <w:t>、</w:t>
        <w:tab/>
        <w:t>关键领域生态建设和资源整合能力</w:t>
      </w:r>
    </w:p>
    <w:p>
      <w:pPr>
        <w:pStyle w:val="Style26"/>
        <w:keepNext w:val="0"/>
        <w:keepLines w:val="0"/>
        <w:widowControl w:val="0"/>
        <w:shd w:val="clear" w:color="auto" w:fill="auto"/>
        <w:bidi w:val="0"/>
        <w:spacing w:before="0" w:after="260" w:line="312" w:lineRule="exact"/>
        <w:ind w:left="0" w:right="0" w:firstLine="520"/>
        <w:jc w:val="both"/>
      </w:pPr>
      <w:r>
        <w:rPr>
          <w:color w:val="000000"/>
          <w:spacing w:val="0"/>
          <w:w w:val="100"/>
          <w:position w:val="0"/>
        </w:rPr>
        <w:t>公司是</w:t>
      </w:r>
      <w:r>
        <w:rPr>
          <w:rFonts w:ascii="Times New Roman" w:eastAsia="Times New Roman" w:hAnsi="Times New Roman" w:cs="Times New Roman"/>
          <w:color w:val="000000"/>
          <w:spacing w:val="0"/>
          <w:w w:val="100"/>
          <w:position w:val="0"/>
        </w:rPr>
        <w:t>O penHarmony</w:t>
      </w:r>
      <w:r>
        <w:rPr>
          <w:color w:val="000000"/>
          <w:spacing w:val="0"/>
          <w:w w:val="100"/>
          <w:position w:val="0"/>
        </w:rPr>
        <w:t>发起单位之一、华为</w:t>
      </w:r>
      <w:r>
        <w:rPr>
          <w:rFonts w:ascii="Times New Roman" w:eastAsia="Times New Roman" w:hAnsi="Times New Roman" w:cs="Times New Roman"/>
          <w:color w:val="000000"/>
          <w:spacing w:val="0"/>
          <w:w w:val="100"/>
          <w:position w:val="0"/>
        </w:rPr>
        <w:t>HarmonyOS</w:t>
      </w:r>
      <w:r>
        <w:rPr>
          <w:color w:val="000000"/>
          <w:spacing w:val="0"/>
          <w:w w:val="100"/>
          <w:position w:val="0"/>
        </w:rPr>
        <w:t>首批生态共建者、海思芯片及</w:t>
      </w:r>
      <w:r>
        <w:rPr>
          <w:rFonts w:ascii="Times New Roman" w:eastAsia="Times New Roman" w:hAnsi="Times New Roman" w:cs="Times New Roman"/>
          <w:color w:val="000000"/>
          <w:spacing w:val="0"/>
          <w:w w:val="100"/>
          <w:position w:val="0"/>
        </w:rPr>
        <w:t>IoT</w:t>
      </w:r>
      <w:r>
        <w:rPr>
          <w:color w:val="000000"/>
          <w:spacing w:val="0"/>
          <w:w w:val="100"/>
          <w:position w:val="0"/>
        </w:rPr>
        <w:t xml:space="preserve">战略合作伙伴、国际开源组织 </w:t>
      </w:r>
      <w:r>
        <w:rPr>
          <w:rFonts w:ascii="Times New Roman" w:eastAsia="Times New Roman" w:hAnsi="Times New Roman" w:cs="Times New Roman"/>
          <w:color w:val="000000"/>
          <w:spacing w:val="0"/>
          <w:w w:val="100"/>
          <w:position w:val="0"/>
        </w:rPr>
        <w:t>Linaro 96Boards</w:t>
      </w:r>
      <w:r>
        <w:rPr>
          <w:color w:val="000000"/>
          <w:spacing w:val="0"/>
          <w:w w:val="100"/>
          <w:position w:val="0"/>
        </w:rPr>
        <w:t>核心会员，与通讯、电力、互联网等行业头部重量级合作伙伴形成紧密的战略合作伙伴关系，深度融入关键</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3" w:right="1020" w:bottom="1551" w:left="1098" w:header="0" w:footer="3" w:gutter="0"/>
          <w:cols w:space="720"/>
          <w:noEndnote/>
          <w:rtlGutter w:val="0"/>
          <w:docGrid w:linePitch="360"/>
        </w:sectPr>
      </w:pPr>
      <w:r>
        <mc:AlternateContent>
          <mc:Choice Requires="wps">
            <w:drawing>
              <wp:anchor distT="0" distB="0" distL="38100" distR="38100" simplePos="0" relativeHeight="125829378" behindDoc="0" locked="0" layoutInCell="1" allowOverlap="1">
                <wp:simplePos x="0" y="0"/>
                <wp:positionH relativeFrom="page">
                  <wp:posOffset>5394325</wp:posOffset>
                </wp:positionH>
                <wp:positionV relativeFrom="paragraph">
                  <wp:posOffset>12700</wp:posOffset>
                </wp:positionV>
                <wp:extent cx="938530" cy="149225"/>
                <wp:wrapSquare wrapText="left"/>
                <wp:docPr id="13" name="Shape 1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扩大市场影响力。</w:t>
                            </w:r>
                          </w:p>
                        </w:txbxContent>
                      </wps:txbx>
                      <wps:bodyPr wrap="none" lIns="0" tIns="0" rIns="0" bIns="0">
                        <a:noAutoFit/>
                      </wps:bodyPr>
                    </wps:wsp>
                  </a:graphicData>
                </a:graphic>
              </wp:anchor>
            </w:drawing>
          </mc:Choice>
          <mc:Fallback>
            <w:pict>
              <v:shape id="_x0000_s1039" type="#_x0000_t202" style="position:absolute;margin-left:424.75pt;margin-top:1.pt;width:73.900000000000006pt;height:11.75pt;z-index:-125829375;mso-wrap-distance-left:3.pt;mso-wrap-distance-right:3.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扩大市场影响力。</w:t>
                      </w:r>
                    </w:p>
                  </w:txbxContent>
                </v:textbox>
                <w10:wrap type="square" side="left" anchorx="page"/>
              </v:shape>
            </w:pict>
          </mc:Fallback>
        </mc:AlternateContent>
      </w:r>
      <w:r>
        <w:rPr>
          <w:color w:val="000000"/>
          <w:spacing w:val="0"/>
          <w:w w:val="100"/>
          <w:position w:val="0"/>
        </w:rPr>
        <w:t>领域生态并发挥重要作用，有利于公司扩展业务渠道，提升资源整合能力，提高品牌知名度,</w:t>
      </w:r>
    </w:p>
    <w:p>
      <w:pPr>
        <w:pStyle w:val="Style13"/>
        <w:keepNext/>
        <w:keepLines/>
        <w:widowControl w:val="0"/>
        <w:shd w:val="clear" w:color="auto" w:fill="auto"/>
        <w:bidi w:val="0"/>
        <w:spacing w:before="620" w:line="240" w:lineRule="auto"/>
        <w:ind w:left="0" w:right="0" w:firstLine="0"/>
        <w:jc w:val="center"/>
      </w:pPr>
      <w:bookmarkStart w:id="93" w:name="bookmark93"/>
      <w:bookmarkStart w:id="94" w:name="bookmark94"/>
      <w:bookmarkStart w:id="95" w:name="bookmark95"/>
      <w:r>
        <w:rPr>
          <w:color w:val="000000"/>
          <w:spacing w:val="0"/>
          <w:w w:val="100"/>
          <w:position w:val="0"/>
        </w:rPr>
        <w:t>第四节经营情况讨论与分析</w:t>
      </w:r>
      <w:bookmarkEnd w:id="93"/>
      <w:bookmarkEnd w:id="94"/>
      <w:bookmarkEnd w:id="95"/>
    </w:p>
    <w:p>
      <w:pPr>
        <w:pStyle w:val="Style24"/>
        <w:keepNext/>
        <w:keepLines/>
        <w:widowControl w:val="0"/>
        <w:shd w:val="clear" w:color="auto" w:fill="auto"/>
        <w:tabs>
          <w:tab w:pos="517" w:val="left"/>
        </w:tabs>
        <w:bidi w:val="0"/>
        <w:spacing w:before="0" w:after="260" w:line="240" w:lineRule="auto"/>
        <w:ind w:left="0" w:right="0" w:firstLine="0"/>
        <w:jc w:val="left"/>
      </w:pPr>
      <w:bookmarkStart w:id="100" w:name="bookmark100"/>
      <w:bookmarkStart w:id="96" w:name="bookmark96"/>
      <w:bookmarkStart w:id="97" w:name="bookmark97"/>
      <w:bookmarkStart w:id="98" w:name="bookmark98"/>
      <w:bookmarkStart w:id="99" w:name="bookmark99"/>
      <w:r>
        <w:rPr>
          <w:color w:val="000000"/>
          <w:spacing w:val="0"/>
          <w:w w:val="100"/>
          <w:position w:val="0"/>
          <w:sz w:val="24"/>
          <w:szCs w:val="24"/>
        </w:rPr>
        <w:t>一</w:t>
      </w:r>
      <w:bookmarkEnd w:id="99"/>
      <w:r>
        <w:rPr>
          <w:color w:val="000000"/>
          <w:spacing w:val="0"/>
          <w:w w:val="100"/>
          <w:position w:val="0"/>
          <w:sz w:val="24"/>
          <w:szCs w:val="24"/>
        </w:rPr>
        <w:t>、</w:t>
        <w:tab/>
        <w:t>概述</w:t>
      </w:r>
      <w:bookmarkEnd w:id="100"/>
      <w:bookmarkEnd w:id="97"/>
      <w:bookmarkEnd w:id="98"/>
      <w:bookmarkEnd w:id="96"/>
    </w:p>
    <w:p>
      <w:pPr>
        <w:pStyle w:val="Style26"/>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报告期内，公司坚持</w:t>
      </w:r>
      <w:r>
        <w:rPr>
          <w:rFonts w:ascii="Times New Roman" w:eastAsia="Times New Roman" w:hAnsi="Times New Roman" w:cs="Times New Roman"/>
          <w:color w:val="000000"/>
          <w:spacing w:val="0"/>
          <w:w w:val="100"/>
          <w:position w:val="0"/>
        </w:rPr>
        <w:t>“</w:t>
      </w:r>
      <w:r>
        <w:rPr>
          <w:color w:val="000000"/>
          <w:spacing w:val="0"/>
          <w:w w:val="100"/>
          <w:position w:val="0"/>
        </w:rPr>
        <w:t>金融科技智能物联</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一体两翼、双轮驱动</w:t>
      </w:r>
      <w:r>
        <w:rPr>
          <w:rFonts w:ascii="Times New Roman" w:eastAsia="Times New Roman" w:hAnsi="Times New Roman" w:cs="Times New Roman"/>
          <w:color w:val="000000"/>
          <w:spacing w:val="0"/>
          <w:w w:val="100"/>
          <w:position w:val="0"/>
        </w:rPr>
        <w:t>”</w:t>
      </w:r>
      <w:r>
        <w:rPr>
          <w:color w:val="000000"/>
          <w:spacing w:val="0"/>
          <w:w w:val="100"/>
          <w:position w:val="0"/>
        </w:rPr>
        <w:t>发展战略，积极推进各项工作，完成年度经营计 划，实现扭亏为盈。具体经营数据如下：</w:t>
      </w:r>
    </w:p>
    <w:p>
      <w:pPr>
        <w:pStyle w:val="Style26"/>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本报告期，公司实现营业收入</w:t>
      </w:r>
      <w:r>
        <w:rPr>
          <w:rFonts w:ascii="Times New Roman" w:eastAsia="Times New Roman" w:hAnsi="Times New Roman" w:cs="Times New Roman"/>
          <w:color w:val="000000"/>
          <w:spacing w:val="0"/>
          <w:w w:val="100"/>
          <w:position w:val="0"/>
        </w:rPr>
        <w:t>248,039.27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16.93% </w:t>
      </w:r>
      <w:r>
        <w:rPr>
          <w:color w:val="000000"/>
          <w:spacing w:val="0"/>
          <w:w w:val="100"/>
          <w:position w:val="0"/>
        </w:rPr>
        <w:t>；利润总额为</w:t>
      </w:r>
      <w:r>
        <w:rPr>
          <w:rFonts w:ascii="Times New Roman" w:eastAsia="Times New Roman" w:hAnsi="Times New Roman" w:cs="Times New Roman"/>
          <w:color w:val="000000"/>
          <w:spacing w:val="0"/>
          <w:w w:val="100"/>
          <w:position w:val="0"/>
        </w:rPr>
        <w:t>17,263.76</w:t>
      </w:r>
      <w:r>
        <w:rPr>
          <w:color w:val="000000"/>
          <w:spacing w:val="0"/>
          <w:w w:val="100"/>
          <w:position w:val="0"/>
        </w:rPr>
        <w:t>万元，归属于上市公司 股东净利润为</w:t>
      </w:r>
      <w:r>
        <w:rPr>
          <w:rFonts w:ascii="Times New Roman" w:eastAsia="Times New Roman" w:hAnsi="Times New Roman" w:cs="Times New Roman"/>
          <w:color w:val="000000"/>
          <w:spacing w:val="0"/>
          <w:w w:val="100"/>
          <w:position w:val="0"/>
        </w:rPr>
        <w:t>16,706.63</w:t>
      </w:r>
      <w:r>
        <w:rPr>
          <w:color w:val="000000"/>
          <w:spacing w:val="0"/>
          <w:w w:val="100"/>
          <w:position w:val="0"/>
        </w:rPr>
        <w:t>万元，归属于上市公司股东的扣除非经常性损益的净利润为</w:t>
      </w:r>
      <w:r>
        <w:rPr>
          <w:rFonts w:ascii="Times New Roman" w:eastAsia="Times New Roman" w:hAnsi="Times New Roman" w:cs="Times New Roman"/>
          <w:color w:val="000000"/>
          <w:spacing w:val="0"/>
          <w:w w:val="100"/>
          <w:position w:val="0"/>
        </w:rPr>
        <w:t>10,032.44</w:t>
      </w:r>
      <w:r>
        <w:rPr>
          <w:color w:val="000000"/>
          <w:spacing w:val="0"/>
          <w:w w:val="100"/>
          <w:position w:val="0"/>
        </w:rPr>
        <w:t>万元。</w:t>
      </w:r>
    </w:p>
    <w:p>
      <w:pPr>
        <w:pStyle w:val="Style26"/>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本报告期，公司主营业务收入为</w:t>
      </w:r>
      <w:r>
        <w:rPr>
          <w:rFonts w:ascii="Times New Roman" w:eastAsia="Times New Roman" w:hAnsi="Times New Roman" w:cs="Times New Roman"/>
          <w:color w:val="000000"/>
          <w:spacing w:val="0"/>
          <w:w w:val="100"/>
          <w:position w:val="0"/>
        </w:rPr>
        <w:t>243,883.3</w:t>
      </w:r>
      <w:r>
        <w:rPr>
          <w:rFonts w:ascii="Times New Roman" w:eastAsia="Times New Roman" w:hAnsi="Times New Roman" w:cs="Times New Roman"/>
          <w:color w:val="000000"/>
          <w:spacing w:val="0"/>
          <w:w w:val="100"/>
          <w:position w:val="0"/>
        </w:rPr>
        <w:t>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17.46%</w:t>
      </w:r>
      <w:r>
        <w:rPr>
          <w:color w:val="000000"/>
          <w:spacing w:val="0"/>
          <w:w w:val="100"/>
          <w:position w:val="0"/>
        </w:rPr>
        <w:t xml:space="preserve">，其中，公司金融科技业务实现营业收入 </w:t>
      </w:r>
      <w:r>
        <w:rPr>
          <w:rFonts w:ascii="Times New Roman" w:eastAsia="Times New Roman" w:hAnsi="Times New Roman" w:cs="Times New Roman"/>
          <w:color w:val="000000"/>
          <w:spacing w:val="0"/>
          <w:w w:val="100"/>
          <w:position w:val="0"/>
        </w:rPr>
        <w:t>117,618.59</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 xml:space="preserve">5.35% </w:t>
      </w:r>
      <w:r>
        <w:rPr>
          <w:color w:val="000000"/>
          <w:spacing w:val="0"/>
          <w:w w:val="100"/>
          <w:position w:val="0"/>
        </w:rPr>
        <w:t>；智能物联业务实现营业收入</w:t>
      </w:r>
      <w:r>
        <w:rPr>
          <w:rFonts w:ascii="Times New Roman" w:eastAsia="Times New Roman" w:hAnsi="Times New Roman" w:cs="Times New Roman"/>
          <w:color w:val="000000"/>
          <w:spacing w:val="0"/>
          <w:w w:val="100"/>
          <w:position w:val="0"/>
        </w:rPr>
        <w:t>79,595.84</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42.29%</w:t>
      </w:r>
      <w:r>
        <w:rPr>
          <w:color w:val="000000"/>
          <w:spacing w:val="0"/>
          <w:w w:val="100"/>
          <w:position w:val="0"/>
        </w:rPr>
        <w:t>，主要系该业 务核心竞争力不断提升，业务规模持续扩大；智慧能源信息化业务实现营业收入</w:t>
      </w:r>
      <w:r>
        <w:rPr>
          <w:rFonts w:ascii="Times New Roman" w:eastAsia="Times New Roman" w:hAnsi="Times New Roman" w:cs="Times New Roman"/>
          <w:color w:val="000000"/>
          <w:spacing w:val="0"/>
          <w:w w:val="100"/>
          <w:position w:val="0"/>
        </w:rPr>
        <w:t>34,172.97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42.32%</w:t>
      </w:r>
      <w:r>
        <w:rPr>
          <w:color w:val="000000"/>
          <w:spacing w:val="0"/>
          <w:w w:val="100"/>
          <w:position w:val="0"/>
        </w:rPr>
        <w:t>， 主要系客户需求增加，业务规模扩大；智能供应链信息化业务实现营业收入</w:t>
      </w:r>
      <w:r>
        <w:rPr>
          <w:rFonts w:ascii="Times New Roman" w:eastAsia="Times New Roman" w:hAnsi="Times New Roman" w:cs="Times New Roman"/>
          <w:color w:val="000000"/>
          <w:spacing w:val="0"/>
          <w:w w:val="100"/>
          <w:position w:val="0"/>
        </w:rPr>
        <w:t>9,832.14</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25.95%</w:t>
      </w:r>
      <w:r>
        <w:rPr>
          <w:color w:val="000000"/>
          <w:spacing w:val="0"/>
          <w:w w:val="100"/>
          <w:position w:val="0"/>
        </w:rPr>
        <w:t>；其他软 件服务业务实现营业收入</w:t>
      </w:r>
      <w:r>
        <w:rPr>
          <w:rFonts w:ascii="Times New Roman" w:eastAsia="Times New Roman" w:hAnsi="Times New Roman" w:cs="Times New Roman"/>
          <w:color w:val="000000"/>
          <w:spacing w:val="0"/>
          <w:w w:val="100"/>
          <w:position w:val="0"/>
        </w:rPr>
        <w:t>574.37</w:t>
      </w:r>
      <w:r>
        <w:rPr>
          <w:color w:val="000000"/>
          <w:spacing w:val="0"/>
          <w:w w:val="100"/>
          <w:position w:val="0"/>
        </w:rPr>
        <w:t>万元；外购软硬件产品销售业务实现营业收入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,089.4</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6"/>
        <w:keepNext w:val="0"/>
        <w:keepLines w:val="0"/>
        <w:widowControl w:val="0"/>
        <w:shd w:val="clear" w:color="auto" w:fill="auto"/>
        <w:bidi w:val="0"/>
        <w:spacing w:before="0" w:after="360" w:line="313" w:lineRule="exact"/>
        <w:ind w:left="0" w:right="0" w:firstLine="520"/>
        <w:jc w:val="left"/>
      </w:pPr>
      <w:r>
        <w:rPr>
          <w:color w:val="000000"/>
          <w:spacing w:val="0"/>
          <w:w w:val="100"/>
          <w:position w:val="0"/>
        </w:rPr>
        <w:t>报告期内，公司非主营业务实现营业收入</w:t>
      </w:r>
      <w:r>
        <w:rPr>
          <w:rFonts w:ascii="Times New Roman" w:eastAsia="Times New Roman" w:hAnsi="Times New Roman" w:cs="Times New Roman"/>
          <w:color w:val="000000"/>
          <w:spacing w:val="0"/>
          <w:w w:val="100"/>
          <w:position w:val="0"/>
        </w:rPr>
        <w:t>4,155.96</w:t>
      </w:r>
      <w:r>
        <w:rPr>
          <w:color w:val="000000"/>
          <w:spacing w:val="0"/>
          <w:w w:val="100"/>
          <w:position w:val="0"/>
        </w:rPr>
        <w:t>万元，非主营业务主要系公司子公司外包园公司的房屋租赁及物业 收入。</w:t>
      </w:r>
    </w:p>
    <w:p>
      <w:pPr>
        <w:pStyle w:val="Style24"/>
        <w:keepNext/>
        <w:keepLines/>
        <w:widowControl w:val="0"/>
        <w:shd w:val="clear" w:color="auto" w:fill="auto"/>
        <w:tabs>
          <w:tab w:pos="517" w:val="left"/>
        </w:tabs>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sz w:val="24"/>
          <w:szCs w:val="24"/>
        </w:rPr>
        <w:t>二</w:t>
      </w:r>
      <w:bookmarkEnd w:id="103"/>
      <w:r>
        <w:rPr>
          <w:color w:val="000000"/>
          <w:spacing w:val="0"/>
          <w:w w:val="100"/>
          <w:position w:val="0"/>
          <w:sz w:val="24"/>
          <w:szCs w:val="24"/>
        </w:rPr>
        <w:t>、</w:t>
        <w:tab/>
        <w:t>主营业务分析</w:t>
      </w:r>
      <w:bookmarkEnd w:id="101"/>
      <w:bookmarkEnd w:id="102"/>
      <w:bookmarkEnd w:id="104"/>
    </w:p>
    <w:p>
      <w:pPr>
        <w:pStyle w:val="Style30"/>
        <w:keepNext/>
        <w:keepLines/>
        <w:widowControl w:val="0"/>
        <w:shd w:val="clear" w:color="auto" w:fill="auto"/>
        <w:tabs>
          <w:tab w:pos="398" w:val="left"/>
        </w:tabs>
        <w:bidi w:val="0"/>
        <w:spacing w:before="0" w:after="260" w:line="240" w:lineRule="auto"/>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1</w:t>
      </w:r>
      <w:bookmarkEnd w:id="107"/>
      <w:r>
        <w:rPr>
          <w:color w:val="000000"/>
          <w:spacing w:val="0"/>
          <w:w w:val="100"/>
          <w:position w:val="0"/>
        </w:rPr>
        <w:t>、</w:t>
        <w:tab/>
        <w:t>概述</w:t>
      </w:r>
      <w:bookmarkEnd w:id="105"/>
      <w:bookmarkEnd w:id="106"/>
      <w:bookmarkEnd w:id="108"/>
    </w:p>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0"/>
        <w:keepNext/>
        <w:keepLines/>
        <w:widowControl w:val="0"/>
        <w:shd w:val="clear" w:color="auto" w:fill="auto"/>
        <w:tabs>
          <w:tab w:pos="398"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2</w:t>
      </w:r>
      <w:bookmarkEnd w:id="111"/>
      <w:r>
        <w:rPr>
          <w:color w:val="000000"/>
          <w:spacing w:val="0"/>
          <w:w w:val="100"/>
          <w:position w:val="0"/>
        </w:rPr>
        <w:t>、</w:t>
        <w:tab/>
        <w:t>收入与成本</w:t>
      </w:r>
      <w:bookmarkEnd w:id="109"/>
      <w:bookmarkEnd w:id="110"/>
      <w:bookmarkEnd w:id="112"/>
    </w:p>
    <w:p>
      <w:pPr>
        <w:pStyle w:val="Style30"/>
        <w:keepNext/>
        <w:keepLines/>
        <w:widowControl w:val="0"/>
        <w:shd w:val="clear" w:color="auto" w:fill="auto"/>
        <w:bidi w:val="0"/>
        <w:spacing w:before="0" w:after="260" w:line="240" w:lineRule="auto"/>
        <w:ind w:left="0" w:right="0" w:firstLine="0"/>
        <w:jc w:val="left"/>
      </w:pPr>
      <w:bookmarkStart w:id="109" w:name="bookmark109"/>
      <w:bookmarkStart w:id="110" w:name="bookmark110"/>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9"/>
      <w:bookmarkEnd w:id="110"/>
      <w:bookmarkEnd w:id="114"/>
    </w:p>
    <w:p>
      <w:pPr>
        <w:pStyle w:val="Style26"/>
        <w:keepNext w:val="0"/>
        <w:keepLines w:val="0"/>
        <w:widowControl w:val="0"/>
        <w:shd w:val="clear" w:color="auto" w:fill="auto"/>
        <w:bidi w:val="0"/>
        <w:spacing w:before="0" w:after="140" w:line="313" w:lineRule="exact"/>
        <w:ind w:left="0" w:right="0" w:firstLine="0"/>
        <w:jc w:val="left"/>
      </w:pPr>
      <w:r>
        <w:rPr>
          <w:color w:val="000000"/>
          <w:spacing w:val="0"/>
          <w:w w:val="100"/>
          <w:position w:val="0"/>
        </w:rPr>
        <w:t>营业收入整体情况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2,480,392,683.76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2,121,173,720.66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2,417,939,071.17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2,052,795,436.78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外购软硬件产品销 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20,894,016.18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23,599,818.92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41,559,596.41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44,778,464.96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1,176,185,938.98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1,116,423,705.53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智能物联业务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795,958,363.91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559,384,540.85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341,729,741.74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240,118,532.07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智能供应链信息化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98,321,385.99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132,777,345.43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20,894,016.18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23,599,818.92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5,743,640.55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4,091,312.90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r>
              <w:rPr>
                <w:rFonts w:ascii="Times New Roman" w:eastAsia="Times New Roman" w:hAnsi="Times New Roman" w:cs="Times New Roman"/>
                <w:color w:val="000000"/>
                <w:spacing w:val="0"/>
                <w:w w:val="100"/>
                <w:position w:val="0"/>
              </w:rPr>
              <w:t>-</w:t>
            </w:r>
            <w:r>
              <w:rPr>
                <w:color w:val="000000"/>
                <w:spacing w:val="0"/>
                <w:w w:val="100"/>
                <w:position w:val="0"/>
              </w:rPr>
              <w:t>房租物业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41,559,596.41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44,778,464.96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2,401,942,031.99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2,036,115,389.50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78,450,651.77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85,058,331.16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513,415,092.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584,529,673.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597,052,598.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785,395,318.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511,740,813.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554,753,278.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580,673,370.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474,006,258.</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10,344,352.1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53,319,846.6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47,957,125.6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55,445,003.6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51,862,097.6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57,229,364.8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58,821,307.0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-1,962,145,6</w:t>
            </w:r>
          </w:p>
        </w:tc>
      </w:tr>
      <w:tr>
        <w:trPr>
          <w:trHeight w:val="36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0"/>
        <w:keepNext/>
        <w:keepLines/>
        <w:widowControl w:val="0"/>
        <w:shd w:val="clear" w:color="auto" w:fill="auto"/>
        <w:bidi w:val="0"/>
        <w:spacing w:before="0" w:after="38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5"/>
      <w:bookmarkEnd w:id="116"/>
      <w:bookmarkEnd w:id="118"/>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2,417,939,071.17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1,699,670,073.44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1,176,185,938.98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854,271,210.52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智能物联业务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795,958,363.91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526,365,538.55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智慧能源信息化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341,729,741.74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240,458,732.93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2,401,942,031.99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1,694,482,690.21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r>
    </w:tbl>
    <w:p>
      <w:pPr>
        <w:pStyle w:val="Style2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9"/>
      <w:bookmarkEnd w:id="120"/>
      <w:bookmarkEnd w:id="12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3"/>
      <w:bookmarkEnd w:id="124"/>
      <w:bookmarkEnd w:id="12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7"/>
      <w:bookmarkEnd w:id="128"/>
      <w:bookmarkEnd w:id="13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1,371,920,510.33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1,150,014,327.41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237,598,448.11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260,279,344.76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）外包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220,373,867.63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238,568,829.81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17,224,580.48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21,710,514.95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、项目实施费用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109,395,539.64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113,404,776.06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软件与信息技术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1,718,914,498.08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1,523,698,448.23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报告期内公司主营成本较上年同期增加</w:t>
      </w:r>
      <w:r>
        <w:rPr>
          <w:rFonts w:ascii="Times New Roman" w:eastAsia="Times New Roman" w:hAnsi="Times New Roman" w:cs="Times New Roman"/>
          <w:color w:val="000000"/>
          <w:spacing w:val="0"/>
          <w:w w:val="100"/>
          <w:position w:val="0"/>
        </w:rPr>
        <w:t>19,521.60</w:t>
      </w:r>
      <w:r>
        <w:rPr>
          <w:color w:val="000000"/>
          <w:spacing w:val="0"/>
          <w:w w:val="100"/>
          <w:position w:val="0"/>
        </w:rPr>
        <w:t>万元，增长</w:t>
      </w:r>
      <w:r>
        <w:rPr>
          <w:rFonts w:ascii="Times New Roman" w:eastAsia="Times New Roman" w:hAnsi="Times New Roman" w:cs="Times New Roman"/>
          <w:color w:val="000000"/>
          <w:spacing w:val="0"/>
          <w:w w:val="100"/>
          <w:position w:val="0"/>
        </w:rPr>
        <w:t>12.81%</w:t>
      </w:r>
      <w:r>
        <w:rPr>
          <w:color w:val="000000"/>
          <w:spacing w:val="0"/>
          <w:w w:val="100"/>
          <w:position w:val="0"/>
        </w:rPr>
        <w:t>，其中：职工薪酬同比增加</w:t>
      </w:r>
      <w:r>
        <w:rPr>
          <w:rFonts w:ascii="Times New Roman" w:eastAsia="Times New Roman" w:hAnsi="Times New Roman" w:cs="Times New Roman"/>
          <w:color w:val="000000"/>
          <w:spacing w:val="0"/>
          <w:w w:val="100"/>
          <w:position w:val="0"/>
        </w:rPr>
        <w:t>22,190.62</w:t>
      </w:r>
      <w:r>
        <w:rPr>
          <w:color w:val="000000"/>
          <w:spacing w:val="0"/>
          <w:w w:val="100"/>
          <w:position w:val="0"/>
        </w:rPr>
        <w:t xml:space="preserve">万元，增长 </w:t>
      </w:r>
      <w:r>
        <w:rPr>
          <w:rFonts w:ascii="Times New Roman" w:eastAsia="Times New Roman" w:hAnsi="Times New Roman" w:cs="Times New Roman"/>
          <w:color w:val="000000"/>
          <w:spacing w:val="0"/>
          <w:w w:val="100"/>
          <w:position w:val="0"/>
        </w:rPr>
        <w:t>19.30%</w:t>
      </w:r>
      <w:r>
        <w:rPr>
          <w:color w:val="000000"/>
          <w:spacing w:val="0"/>
          <w:w w:val="100"/>
          <w:position w:val="0"/>
        </w:rPr>
        <w:t>，主要随着公司主营业务收入增长而人员增加所致。</w:t>
      </w:r>
    </w:p>
    <w:p>
      <w:pPr>
        <w:pStyle w:val="Style26"/>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 主营业务成本构成</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1,371,920,510.33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1,150,014,327.41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、采购成本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237,598,448.11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260,279,344.76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）外包成本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220,373,867.63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238,568,829.81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⑵软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17,224,580.48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21,710,514.95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、项目实施费用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109,395,539.64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113,404,776.06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主营成本合计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1,718,914,498.08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1,523,698,448.23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w:t>
            </w:r>
          </w:p>
        </w:tc>
      </w:tr>
    </w:tbl>
    <w:p>
      <w:pPr>
        <w:widowControl w:val="0"/>
        <w:spacing w:after="319" w:line="1" w:lineRule="exact"/>
      </w:pPr>
    </w:p>
    <w:p>
      <w:pPr>
        <w:pStyle w:val="Style30"/>
        <w:keepNext/>
        <w:keepLines/>
        <w:widowControl w:val="0"/>
        <w:shd w:val="clear" w:color="auto" w:fill="auto"/>
        <w:tabs>
          <w:tab w:pos="493" w:val="left"/>
        </w:tabs>
        <w:bidi w:val="0"/>
        <w:spacing w:before="0" w:after="380" w:line="240" w:lineRule="auto"/>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1"/>
      <w:bookmarkEnd w:id="132"/>
      <w:bookmarkEnd w:id="134"/>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详情见第十二节、八、合并范围的变更。</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5"/>
      <w:bookmarkEnd w:id="136"/>
      <w:bookmarkEnd w:id="138"/>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9"/>
      <w:bookmarkEnd w:id="140"/>
      <w:bookmarkEnd w:id="142"/>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1,025,042,544.41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565,309,030.73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150,366,923.88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127,213,287.63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103,347,676.58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78,805,625.59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1,025,042,544.41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41.33%</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110,818,186.47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51,483,822.08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18.19%</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27,876,759.43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13,189,660.58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10,408,362.27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7,859,582.11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110,818,186.47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39.16%</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3</w:t>
      </w:r>
      <w:bookmarkEnd w:id="145"/>
      <w:r>
        <w:rPr>
          <w:color w:val="000000"/>
          <w:spacing w:val="0"/>
          <w:w w:val="100"/>
          <w:position w:val="0"/>
        </w:rPr>
        <w:t>、费用</w:t>
      </w:r>
      <w:bookmarkEnd w:id="143"/>
      <w:bookmarkEnd w:id="144"/>
      <w:bookmarkEnd w:id="14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90,529,814.35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80,968,982.29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206,268,216.00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176,818,147.72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16.66%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64,303,394.67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79,173,566.34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251,584,235.72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227,000,503.23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4</w:t>
      </w:r>
      <w:bookmarkEnd w:id="149"/>
      <w:r>
        <w:rPr>
          <w:color w:val="000000"/>
          <w:spacing w:val="0"/>
          <w:w w:val="100"/>
          <w:position w:val="0"/>
        </w:rPr>
        <w:t>、研发投入</w:t>
      </w:r>
      <w:bookmarkEnd w:id="147"/>
      <w:bookmarkEnd w:id="148"/>
      <w:bookmarkEnd w:id="150"/>
    </w:p>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报告期内，公司继续深化数字化升级战略，为保障公司顺利从人才与技术密集型向科技密集型转型，公司加大了战略 发展落地的配套研发。</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为保持公司的技术及业务先进性，公司持续投入资金进行自主知识产权软件产品的研发，将公司多年积累的专业知识 与技术优势进行产品化、解决方案化，以适应和满足产业升级背景下物联化、数字化、信息化、智能化发展对软件服务的广 阔市场需求，集中力量提升公司的核心竞争力。</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报告期内，公司研发投入为</w:t>
      </w:r>
      <w:r>
        <w:rPr>
          <w:rFonts w:ascii="Times New Roman" w:eastAsia="Times New Roman" w:hAnsi="Times New Roman" w:cs="Times New Roman"/>
          <w:color w:val="000000"/>
          <w:spacing w:val="0"/>
          <w:w w:val="100"/>
          <w:position w:val="0"/>
        </w:rPr>
        <w:t>32,177.57</w:t>
      </w:r>
      <w:r>
        <w:rPr>
          <w:color w:val="000000"/>
          <w:spacing w:val="0"/>
          <w:w w:val="100"/>
          <w:position w:val="0"/>
        </w:rPr>
        <w:t>万元，占营业收入的比重为</w:t>
      </w:r>
      <w:r>
        <w:rPr>
          <w:rFonts w:ascii="Times New Roman" w:eastAsia="Times New Roman" w:hAnsi="Times New Roman" w:cs="Times New Roman"/>
          <w:color w:val="000000"/>
          <w:spacing w:val="0"/>
          <w:w w:val="100"/>
          <w:position w:val="0"/>
        </w:rPr>
        <w:t>12.97%</w:t>
      </w:r>
      <w:r>
        <w:rPr>
          <w:color w:val="000000"/>
          <w:spacing w:val="0"/>
          <w:w w:val="100"/>
          <w:position w:val="0"/>
        </w:rPr>
        <w:t>,主要用于专业领域的自主知识产权软件产品 的研发。截止报告期末，公司共拥有软件著作权</w:t>
      </w:r>
      <w:r>
        <w:rPr>
          <w:rFonts w:ascii="Times New Roman" w:eastAsia="Times New Roman" w:hAnsi="Times New Roman" w:cs="Times New Roman"/>
          <w:color w:val="000000"/>
          <w:spacing w:val="0"/>
          <w:w w:val="100"/>
          <w:position w:val="0"/>
        </w:rPr>
        <w:t>376</w:t>
      </w:r>
      <w:r>
        <w:rPr>
          <w:color w:val="000000"/>
          <w:spacing w:val="0"/>
          <w:w w:val="100"/>
          <w:position w:val="0"/>
        </w:rPr>
        <w:t>项，较上年增加</w:t>
      </w:r>
      <w:r>
        <w:rPr>
          <w:rFonts w:ascii="Times New Roman" w:eastAsia="Times New Roman" w:hAnsi="Times New Roman" w:cs="Times New Roman"/>
          <w:color w:val="000000"/>
          <w:spacing w:val="0"/>
          <w:w w:val="100"/>
          <w:position w:val="0"/>
        </w:rPr>
        <w:t>23</w:t>
      </w:r>
      <w:r>
        <w:rPr>
          <w:color w:val="000000"/>
          <w:spacing w:val="0"/>
          <w:w w:val="100"/>
          <w:position w:val="0"/>
        </w:rPr>
        <w:t>项；拥有专利</w:t>
      </w:r>
      <w:r>
        <w:rPr>
          <w:rFonts w:ascii="Times New Roman" w:eastAsia="Times New Roman" w:hAnsi="Times New Roman" w:cs="Times New Roman"/>
          <w:color w:val="000000"/>
          <w:spacing w:val="0"/>
          <w:w w:val="100"/>
          <w:position w:val="0"/>
        </w:rPr>
        <w:t>12</w:t>
      </w:r>
      <w:r>
        <w:rPr>
          <w:color w:val="000000"/>
          <w:spacing w:val="0"/>
          <w:w w:val="100"/>
          <w:position w:val="0"/>
        </w:rPr>
        <w:t>项，其中发明专利</w:t>
      </w:r>
      <w:r>
        <w:rPr>
          <w:rFonts w:ascii="Times New Roman" w:eastAsia="Times New Roman" w:hAnsi="Times New Roman" w:cs="Times New Roman"/>
          <w:color w:val="000000"/>
          <w:spacing w:val="0"/>
          <w:w w:val="100"/>
          <w:position w:val="0"/>
        </w:rPr>
        <w:t>9</w:t>
      </w:r>
      <w:r>
        <w:rPr>
          <w:color w:val="000000"/>
          <w:spacing w:val="0"/>
          <w:w w:val="100"/>
          <w:position w:val="0"/>
        </w:rPr>
        <w:t xml:space="preserve">项，外观设计专利 </w:t>
      </w:r>
      <w:r>
        <w:rPr>
          <w:rFonts w:ascii="Times New Roman" w:eastAsia="Times New Roman" w:hAnsi="Times New Roman" w:cs="Times New Roman"/>
          <w:color w:val="000000"/>
          <w:spacing w:val="0"/>
          <w:w w:val="100"/>
          <w:position w:val="0"/>
        </w:rPr>
        <w:t>2</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w:t>
      </w:r>
      <w:r>
        <w:rPr>
          <w:color w:val="000000"/>
          <w:spacing w:val="0"/>
          <w:w w:val="100"/>
          <w:position w:val="0"/>
        </w:rPr>
        <w:t>项。</w:t>
      </w:r>
    </w:p>
    <w:p>
      <w:pPr>
        <w:pStyle w:val="Style26"/>
        <w:keepNext w:val="0"/>
        <w:keepLines w:val="0"/>
        <w:widowControl w:val="0"/>
        <w:shd w:val="clear" w:color="auto" w:fill="auto"/>
        <w:bidi w:val="0"/>
        <w:spacing w:before="0" w:after="80" w:line="315"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321,775,656.43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291,393,044.80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300,663,301.31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68,453,489.01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62,282,090.07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68,224,046.18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开发平台项目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5,882,454.06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开发平台项目</w:t>
            </w:r>
            <w:r>
              <w:rPr>
                <w:rFonts w:ascii="Times New Roman" w:eastAsia="Times New Roman" w:hAnsi="Times New Roman" w:cs="Times New Roman"/>
                <w:color w:val="000000"/>
                <w:spacing w:val="0"/>
                <w:w w:val="100"/>
                <w:position w:val="0"/>
              </w:rPr>
              <w:t>”</w:t>
            </w:r>
            <w:r>
              <w:rPr>
                <w:color w:val="000000"/>
                <w:spacing w:val="0"/>
                <w:w w:val="100"/>
                <w:position w:val="0"/>
              </w:rPr>
              <w:t>为 基于日本第一大半导体公司 瑞萨电子工业级芯片</w:t>
            </w:r>
            <w:r>
              <w:rPr>
                <w:rFonts w:ascii="Times New Roman" w:eastAsia="Times New Roman" w:hAnsi="Times New Roman" w:cs="Times New Roman"/>
                <w:color w:val="000000"/>
                <w:spacing w:val="0"/>
                <w:w w:val="100"/>
                <w:position w:val="0"/>
              </w:rPr>
              <w:t xml:space="preserve">RZ/G2 </w:t>
            </w:r>
            <w:r>
              <w:rPr>
                <w:color w:val="000000"/>
                <w:spacing w:val="0"/>
                <w:w w:val="100"/>
                <w:position w:val="0"/>
              </w:rPr>
              <w:t>推出的开发平台，该平台设计 符合国际组织</w:t>
            </w:r>
            <w:r>
              <w:rPr>
                <w:rFonts w:ascii="Times New Roman" w:eastAsia="Times New Roman" w:hAnsi="Times New Roman" w:cs="Times New Roman"/>
                <w:color w:val="000000"/>
                <w:spacing w:val="0"/>
                <w:w w:val="100"/>
                <w:position w:val="0"/>
              </w:rPr>
              <w:t xml:space="preserve">Linaro 96boards </w:t>
            </w:r>
            <w:r>
              <w:rPr>
                <w:color w:val="000000"/>
                <w:spacing w:val="0"/>
                <w:w w:val="100"/>
                <w:position w:val="0"/>
              </w:rPr>
              <w:t>标准，提供具备工业级稳定性 的人工智能软硬件开发平台， 降低人工智能算法在工业领 域的落地难度，帮助国内相关 企业快速切入工业智能化的 赛道。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该研发项目的开发进度约为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r>
              <w:rPr>
                <w:color w:val="000000"/>
                <w:spacing w:val="0"/>
                <w:w w:val="100"/>
                <w:position w:val="0"/>
              </w:rPr>
              <w:t>。</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HiHope</w:t>
            </w:r>
            <w:r>
              <w:rPr>
                <w:color w:val="000000"/>
                <w:spacing w:val="0"/>
                <w:w w:val="100"/>
                <w:position w:val="0"/>
              </w:rPr>
              <w:t>人工智能开放服务平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10,297,156.69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“HiHope</w:t>
            </w:r>
            <w:r>
              <w:rPr>
                <w:color w:val="000000"/>
                <w:spacing w:val="0"/>
                <w:w w:val="100"/>
                <w:position w:val="0"/>
              </w:rPr>
              <w:t>人工智能开放服务平 台项目</w:t>
            </w:r>
            <w:r>
              <w:rPr>
                <w:rFonts w:ascii="Times New Roman" w:eastAsia="Times New Roman" w:hAnsi="Times New Roman" w:cs="Times New Roman"/>
                <w:color w:val="000000"/>
                <w:spacing w:val="0"/>
                <w:w w:val="100"/>
                <w:position w:val="0"/>
              </w:rPr>
              <w:t>”</w:t>
            </w:r>
            <w:r>
              <w:rPr>
                <w:color w:val="000000"/>
                <w:spacing w:val="0"/>
                <w:w w:val="100"/>
                <w:position w:val="0"/>
              </w:rPr>
              <w:t>通过建立</w:t>
            </w:r>
            <w:r>
              <w:rPr>
                <w:rFonts w:ascii="Times New Roman" w:eastAsia="Times New Roman" w:hAnsi="Times New Roman" w:cs="Times New Roman"/>
                <w:color w:val="000000"/>
                <w:spacing w:val="0"/>
                <w:w w:val="100"/>
                <w:position w:val="0"/>
              </w:rPr>
              <w:t>HiHope</w:t>
            </w:r>
            <w:r>
              <w:rPr>
                <w:color w:val="000000"/>
                <w:spacing w:val="0"/>
                <w:w w:val="100"/>
                <w:position w:val="0"/>
              </w:rPr>
              <w:t xml:space="preserve">人工 智能开放服务平台，将在人工 智能领域中的技术积累向行 业转化。项目具体规划为基于 </w:t>
            </w:r>
            <w:r>
              <w:rPr>
                <w:rFonts w:ascii="Times New Roman" w:eastAsia="Times New Roman" w:hAnsi="Times New Roman" w:cs="Times New Roman"/>
                <w:color w:val="000000"/>
                <w:spacing w:val="0"/>
                <w:w w:val="100"/>
                <w:position w:val="0"/>
              </w:rPr>
              <w:t>Atlas200</w:t>
            </w:r>
            <w:r>
              <w:rPr>
                <w:color w:val="000000"/>
                <w:spacing w:val="0"/>
                <w:w w:val="100"/>
                <w:position w:val="0"/>
              </w:rPr>
              <w:t>研发人工智能</w:t>
            </w:r>
            <w:r>
              <w:rPr>
                <w:rFonts w:ascii="Times New Roman" w:eastAsia="Times New Roman" w:hAnsi="Times New Roman" w:cs="Times New Roman"/>
                <w:color w:val="000000"/>
                <w:spacing w:val="0"/>
                <w:w w:val="100"/>
                <w:position w:val="0"/>
              </w:rPr>
              <w:t>+5G</w:t>
            </w:r>
            <w:r>
              <w:rPr>
                <w:color w:val="000000"/>
                <w:spacing w:val="0"/>
                <w:w w:val="100"/>
                <w:position w:val="0"/>
              </w:rPr>
              <w:t>边 缘计算网关，适用于图像分 析、工业控制、无人化值守场 景；目前与多个行业客户联合 研发在警用设备、无人值守充 换电、工业制造等领域完成国 产化替换方案，达到商业落 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该研发项目的开发进度约为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特征变量管理平台</w:t>
            </w: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6,711,491.25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特征变量管理平台</w:t>
            </w: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）项 目</w:t>
            </w:r>
            <w:r>
              <w:rPr>
                <w:rFonts w:ascii="Times New Roman" w:eastAsia="Times New Roman" w:hAnsi="Times New Roman" w:cs="Times New Roman"/>
                <w:color w:val="000000"/>
                <w:spacing w:val="0"/>
                <w:w w:val="100"/>
                <w:position w:val="0"/>
              </w:rPr>
              <w:t>”</w:t>
            </w:r>
            <w:r>
              <w:rPr>
                <w:color w:val="000000"/>
                <w:spacing w:val="0"/>
                <w:w w:val="100"/>
                <w:position w:val="0"/>
              </w:rPr>
              <w:t>主要采用目前主流的实时 处理框架及产品引擎，采用微 服务技术框架来实现。平台主 要服务于目前银行及机构的 当前营销、风控、网贷等决策 模型建设的特征变量加工及 处理服务需求。目前银行和金 融机构当前营销、风控、网贷 等应用建设的需求持续增加，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该研发项目的开发进度约为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特征变量的管理则是模型建 设的基础模块，此平台可以单 独部署，也可以作为模型建设 项目的一个部分，市场需求逐 步显现。</w:t>
            </w:r>
          </w:p>
        </w:tc>
        <w:tc>
          <w:tcPr>
            <w:tcBorders>
              <w:top w:val="single" w:sz="4"/>
              <w:left w:val="single" w:sz="4"/>
              <w:right w:val="single" w:sz="4"/>
            </w:tcBorders>
            <w:shd w:val="clear" w:color="auto" w:fill="FFFFFF"/>
            <w:vAlign w:val="top"/>
          </w:tcPr>
          <w:p>
            <w:pPr>
              <w:widowControl w:val="0"/>
              <w:rPr>
                <w:sz w:val="10"/>
                <w:szCs w:val="10"/>
              </w:rPr>
            </w:pP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HopeEdgeOS </w:t>
            </w:r>
            <w:r>
              <w:rPr>
                <w:color w:val="000000"/>
                <w:spacing w:val="0"/>
                <w:w w:val="100"/>
                <w:position w:val="0"/>
              </w:rPr>
              <w:t>（操作系统）项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9,651,815.66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“HopeEdgeOS </w:t>
            </w:r>
            <w:r>
              <w:rPr>
                <w:color w:val="000000"/>
                <w:spacing w:val="0"/>
                <w:w w:val="100"/>
                <w:position w:val="0"/>
              </w:rPr>
              <w:t>（操作系统）项 目</w:t>
            </w:r>
            <w:r>
              <w:rPr>
                <w:rFonts w:ascii="Times New Roman" w:eastAsia="Times New Roman" w:hAnsi="Times New Roman" w:cs="Times New Roman"/>
                <w:color w:val="000000"/>
                <w:spacing w:val="0"/>
                <w:w w:val="100"/>
                <w:position w:val="0"/>
              </w:rPr>
              <w:t>”</w:t>
            </w:r>
            <w:r>
              <w:rPr>
                <w:color w:val="000000"/>
                <w:spacing w:val="0"/>
                <w:w w:val="100"/>
                <w:position w:val="0"/>
              </w:rPr>
              <w:t xml:space="preserve">是一款操作系统软件，主要 定位于云边协同的场景。在 </w:t>
            </w:r>
            <w:r>
              <w:rPr>
                <w:rFonts w:ascii="Times New Roman" w:eastAsia="Times New Roman" w:hAnsi="Times New Roman" w:cs="Times New Roman"/>
                <w:color w:val="000000"/>
                <w:spacing w:val="0"/>
                <w:w w:val="100"/>
                <w:position w:val="0"/>
              </w:rPr>
              <w:t>IoT/AIoT</w:t>
            </w:r>
            <w:r>
              <w:rPr>
                <w:color w:val="000000"/>
                <w:spacing w:val="0"/>
                <w:w w:val="100"/>
                <w:position w:val="0"/>
              </w:rPr>
              <w:t xml:space="preserve">的大发展背景下， </w:t>
            </w:r>
            <w:r>
              <w:rPr>
                <w:rFonts w:ascii="Times New Roman" w:eastAsia="Times New Roman" w:hAnsi="Times New Roman" w:cs="Times New Roman"/>
                <w:color w:val="000000"/>
                <w:spacing w:val="0"/>
                <w:w w:val="100"/>
                <w:position w:val="0"/>
              </w:rPr>
              <w:t>HopeEdgeOS</w:t>
            </w:r>
            <w:r>
              <w:rPr>
                <w:color w:val="000000"/>
                <w:spacing w:val="0"/>
                <w:w w:val="100"/>
                <w:position w:val="0"/>
              </w:rPr>
              <w:t>将针对场景进行 深度优化，提升</w:t>
            </w:r>
            <w:r>
              <w:rPr>
                <w:rFonts w:ascii="Times New Roman" w:eastAsia="Times New Roman" w:hAnsi="Times New Roman" w:cs="Times New Roman"/>
                <w:color w:val="000000"/>
                <w:spacing w:val="0"/>
                <w:w w:val="100"/>
                <w:position w:val="0"/>
              </w:rPr>
              <w:t>IoT</w:t>
            </w:r>
            <w:r>
              <w:rPr>
                <w:color w:val="000000"/>
                <w:spacing w:val="0"/>
                <w:w w:val="100"/>
                <w:position w:val="0"/>
              </w:rPr>
              <w:t>设备连接、 数据汇聚、数据处理、图像处 理等边缘常用业务的性能和 响应效率。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该研发项目的开发进度约为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w:t>
            </w:r>
          </w:p>
        </w:tc>
      </w:tr>
    </w:tbl>
    <w:p>
      <w:pPr>
        <w:pStyle w:val="Style3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上述资本化研发项目系公司基于战略发展、不断提升公司核心竞争力而启动的研发项目，其《可行性研究报告》于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月通过评审，根据公司研发资本化适用的会计政策规定（详见第十二节、五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之第</w:t>
      </w:r>
      <w:r>
        <w:rPr>
          <w:rFonts w:ascii="Times New Roman" w:eastAsia="Times New Roman" w:hAnsi="Times New Roman" w:cs="Times New Roman"/>
          <w:color w:val="000000"/>
          <w:spacing w:val="0"/>
          <w:w w:val="100"/>
          <w:position w:val="0"/>
        </w:rPr>
        <w:t>30</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无形资 产</w:t>
      </w:r>
      <w:r>
        <w:rPr>
          <w:rFonts w:ascii="Times New Roman" w:eastAsia="Times New Roman" w:hAnsi="Times New Roman" w:cs="Times New Roman"/>
          <w:color w:val="000000"/>
          <w:spacing w:val="0"/>
          <w:w w:val="100"/>
          <w:position w:val="0"/>
        </w:rPr>
        <w:t>”</w:t>
      </w:r>
      <w:r>
        <w:rPr>
          <w:color w:val="000000"/>
          <w:spacing w:val="0"/>
          <w:w w:val="100"/>
          <w:position w:val="0"/>
        </w:rPr>
        <w:t>），在《可行性研究报告》评审通过后至项目完成验收期间发生的研发费用计入开发支出核算。</w:t>
      </w:r>
    </w:p>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5</w:t>
      </w:r>
      <w:bookmarkEnd w:id="153"/>
      <w:r>
        <w:rPr>
          <w:color w:val="000000"/>
          <w:spacing w:val="0"/>
          <w:w w:val="100"/>
          <w:position w:val="0"/>
        </w:rPr>
        <w:t>、现金流</w:t>
      </w:r>
      <w:bookmarkEnd w:id="151"/>
      <w:bookmarkEnd w:id="152"/>
      <w:bookmarkEnd w:id="15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2,667,868,095.76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2,106,124,390.85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2,494,696,748.21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1,996,268,637.78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173,171,347.55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109,855,753.07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1,027,838,065.73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1,704,175,303.99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646,099,272.99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2,205,007,001.41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381,738,792.74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-500,831,697.42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458,000,000.00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1,563,230,350.00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1,012,064,348.25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1,662,962,812.92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-554,064,348.25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-99,732,462.92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-2,305,017.97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-489,630,585.60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99.53%</w:t>
            </w:r>
          </w:p>
        </w:tc>
      </w:tr>
    </w:tbl>
    <w:p>
      <w:pPr>
        <w:pStyle w:val="Style26"/>
        <w:keepNext w:val="0"/>
        <w:keepLines w:val="0"/>
        <w:widowControl w:val="0"/>
        <w:shd w:val="clear" w:color="auto" w:fill="auto"/>
        <w:bidi w:val="0"/>
        <w:spacing w:before="0" w:after="140" w:line="314" w:lineRule="exact"/>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220" w:line="314" w:lineRule="exact"/>
        <w:ind w:left="0" w:right="0" w:firstLine="0"/>
        <w:jc w:val="left"/>
      </w:pPr>
      <w:r>
        <w:rPr>
          <w:color w:val="000000"/>
          <w:spacing w:val="0"/>
          <w:w w:val="100"/>
          <w:position w:val="0"/>
        </w:rPr>
        <w:t>经营活动产生的现金流量净额</w:t>
      </w:r>
      <w:r>
        <w:rPr>
          <w:rFonts w:ascii="Times New Roman" w:eastAsia="Times New Roman" w:hAnsi="Times New Roman" w:cs="Times New Roman"/>
          <w:color w:val="000000"/>
          <w:spacing w:val="0"/>
          <w:w w:val="100"/>
          <w:position w:val="0"/>
        </w:rPr>
        <w:t>2020</w:t>
      </w:r>
      <w:r>
        <w:rPr>
          <w:color w:val="000000"/>
          <w:spacing w:val="0"/>
          <w:w w:val="100"/>
          <w:position w:val="0"/>
        </w:rPr>
        <w:t>年度较</w:t>
      </w:r>
      <w:r>
        <w:rPr>
          <w:rFonts w:ascii="Times New Roman" w:eastAsia="Times New Roman" w:hAnsi="Times New Roman" w:cs="Times New Roman"/>
          <w:color w:val="000000"/>
          <w:spacing w:val="0"/>
          <w:w w:val="100"/>
          <w:position w:val="0"/>
        </w:rPr>
        <w:t>2019</w:t>
      </w:r>
      <w:r>
        <w:rPr>
          <w:color w:val="000000"/>
          <w:spacing w:val="0"/>
          <w:w w:val="100"/>
          <w:position w:val="0"/>
        </w:rPr>
        <w:t>年度增长</w:t>
      </w:r>
      <w:r>
        <w:rPr>
          <w:rFonts w:ascii="Times New Roman" w:eastAsia="Times New Roman" w:hAnsi="Times New Roman" w:cs="Times New Roman"/>
          <w:color w:val="000000"/>
          <w:spacing w:val="0"/>
          <w:w w:val="100"/>
          <w:position w:val="0"/>
        </w:rPr>
        <w:t>57.64%</w:t>
      </w:r>
      <w:r>
        <w:rPr>
          <w:color w:val="000000"/>
          <w:spacing w:val="0"/>
          <w:w w:val="100"/>
          <w:position w:val="0"/>
        </w:rPr>
        <w:t>，主要原因是本期公司销售商品、提供劳务收到的现金增加。 投资活动产生的现金流量净额</w:t>
      </w:r>
      <w:r>
        <w:rPr>
          <w:rFonts w:ascii="Times New Roman" w:eastAsia="Times New Roman" w:hAnsi="Times New Roman" w:cs="Times New Roman"/>
          <w:color w:val="000000"/>
          <w:spacing w:val="0"/>
          <w:w w:val="100"/>
          <w:position w:val="0"/>
        </w:rPr>
        <w:t>2020</w:t>
      </w:r>
      <w:r>
        <w:rPr>
          <w:color w:val="000000"/>
          <w:spacing w:val="0"/>
          <w:w w:val="100"/>
          <w:position w:val="0"/>
        </w:rPr>
        <w:t>年度较</w:t>
      </w:r>
      <w:r>
        <w:rPr>
          <w:rFonts w:ascii="Times New Roman" w:eastAsia="Times New Roman" w:hAnsi="Times New Roman" w:cs="Times New Roman"/>
          <w:color w:val="000000"/>
          <w:spacing w:val="0"/>
          <w:w w:val="100"/>
          <w:position w:val="0"/>
        </w:rPr>
        <w:t>2019</w:t>
      </w:r>
      <w:r>
        <w:rPr>
          <w:color w:val="000000"/>
          <w:spacing w:val="0"/>
          <w:w w:val="100"/>
          <w:position w:val="0"/>
        </w:rPr>
        <w:t>年度增长</w:t>
      </w:r>
      <w:r>
        <w:rPr>
          <w:rFonts w:ascii="Times New Roman" w:eastAsia="Times New Roman" w:hAnsi="Times New Roman" w:cs="Times New Roman"/>
          <w:color w:val="000000"/>
          <w:spacing w:val="0"/>
          <w:w w:val="100"/>
          <w:position w:val="0"/>
        </w:rPr>
        <w:t>176.22%</w:t>
      </w:r>
      <w:r>
        <w:rPr>
          <w:color w:val="000000"/>
          <w:spacing w:val="0"/>
          <w:w w:val="100"/>
          <w:position w:val="0"/>
        </w:rPr>
        <w:t>,主要原因是本期公司赎回闲置募集资金购买的银行理财产 品。</w:t>
      </w:r>
      <w:r>
        <w:br w:type="page"/>
      </w:r>
    </w:p>
    <w:p>
      <w:pPr>
        <w:pStyle w:val="Style26"/>
        <w:keepNext w:val="0"/>
        <w:keepLines w:val="0"/>
        <w:widowControl w:val="0"/>
        <w:shd w:val="clear" w:color="auto" w:fill="auto"/>
        <w:bidi w:val="0"/>
        <w:spacing w:before="0" w:after="140" w:line="365" w:lineRule="exact"/>
        <w:ind w:left="0" w:right="0" w:firstLine="0"/>
        <w:jc w:val="left"/>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rPr>
        <w:t>2020</w:t>
      </w:r>
      <w:r>
        <w:rPr>
          <w:color w:val="000000"/>
          <w:spacing w:val="0"/>
          <w:w w:val="100"/>
          <w:position w:val="0"/>
        </w:rPr>
        <w:t>年度较</w:t>
      </w:r>
      <w:r>
        <w:rPr>
          <w:rFonts w:ascii="Times New Roman" w:eastAsia="Times New Roman" w:hAnsi="Times New Roman" w:cs="Times New Roman"/>
          <w:color w:val="000000"/>
          <w:spacing w:val="0"/>
          <w:w w:val="100"/>
          <w:position w:val="0"/>
        </w:rPr>
        <w:t>2 019</w:t>
      </w:r>
      <w:r>
        <w:rPr>
          <w:color w:val="000000"/>
          <w:spacing w:val="0"/>
          <w:w w:val="100"/>
          <w:position w:val="0"/>
        </w:rPr>
        <w:t>年度减少</w:t>
      </w:r>
      <w:r>
        <w:rPr>
          <w:rFonts w:ascii="Times New Roman" w:eastAsia="Times New Roman" w:hAnsi="Times New Roman" w:cs="Times New Roman"/>
          <w:color w:val="000000"/>
          <w:spacing w:val="0"/>
          <w:w w:val="100"/>
          <w:position w:val="0"/>
        </w:rPr>
        <w:t>455.55%</w:t>
      </w:r>
      <w:r>
        <w:rPr>
          <w:color w:val="000000"/>
          <w:spacing w:val="0"/>
          <w:w w:val="100"/>
          <w:position w:val="0"/>
        </w:rPr>
        <w:t>，主要原因是本期公司归还银行借款金额增加。 报告期内公司经营活动产生的现金净流量与本年度净利润存在重大差异的原因说明</w:t>
      </w:r>
    </w:p>
    <w:p>
      <w:pPr>
        <w:pStyle w:val="Style26"/>
        <w:keepNext w:val="0"/>
        <w:keepLines w:val="0"/>
        <w:widowControl w:val="0"/>
        <w:shd w:val="clear" w:color="auto" w:fill="auto"/>
        <w:bidi w:val="0"/>
        <w:spacing w:before="0" w:after="200" w:line="422"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sz w:val="24"/>
          <w:szCs w:val="24"/>
        </w:rPr>
        <w:t>三</w:t>
      </w:r>
      <w:bookmarkEnd w:id="157"/>
      <w:r>
        <w:rPr>
          <w:color w:val="000000"/>
          <w:spacing w:val="0"/>
          <w:w w:val="100"/>
          <w:position w:val="0"/>
          <w:sz w:val="24"/>
          <w:szCs w:val="24"/>
        </w:rPr>
        <w:t>、非主营业务情况</w:t>
      </w:r>
      <w:bookmarkEnd w:id="155"/>
      <w:bookmarkEnd w:id="156"/>
      <w:bookmarkEnd w:id="158"/>
    </w:p>
    <w:p>
      <w:pPr>
        <w:pStyle w:val="Style26"/>
        <w:keepNext w:val="0"/>
        <w:keepLines w:val="0"/>
        <w:widowControl w:val="0"/>
        <w:shd w:val="clear" w:color="auto" w:fill="auto"/>
        <w:bidi w:val="0"/>
        <w:spacing w:before="0" w:after="0" w:line="422"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35,763,089.40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主要系公司转让苏州博纳 讯动软件有限公司股权产 生的股权转让收益，以及构 买银行理财产品产生的收 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-2,290,828.25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主要系计提的合同资产减 值准备及存货跌价准备。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18,326,846.20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主要系收到的政府补助。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4,523,475.10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20,297,843.53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9,034,309.32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主要系报告期末应收款项 计提坏账准备金额较期初 减少所致。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sz w:val="24"/>
          <w:szCs w:val="24"/>
        </w:rPr>
        <w:t>四</w:t>
      </w:r>
      <w:bookmarkEnd w:id="161"/>
      <w:r>
        <w:rPr>
          <w:color w:val="000000"/>
          <w:spacing w:val="0"/>
          <w:w w:val="100"/>
          <w:position w:val="0"/>
          <w:sz w:val="24"/>
          <w:szCs w:val="24"/>
        </w:rPr>
        <w:t>、资产及负债状况分析</w:t>
      </w:r>
      <w:bookmarkEnd w:id="159"/>
      <w:bookmarkEnd w:id="160"/>
      <w:bookmarkEnd w:id="162"/>
    </w:p>
    <w:p>
      <w:pPr>
        <w:pStyle w:val="Style30"/>
        <w:keepNext/>
        <w:keepLines/>
        <w:widowControl w:val="0"/>
        <w:shd w:val="clear" w:color="auto" w:fill="auto"/>
        <w:bidi w:val="0"/>
        <w:spacing w:before="0" w:after="20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、资产构成重大变动情况</w:t>
      </w:r>
      <w:bookmarkEnd w:id="163"/>
      <w:bookmarkEnd w:id="164"/>
      <w:bookmarkEnd w:id="166"/>
    </w:p>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764,531,445.4</w:t>
            </w:r>
          </w:p>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760,601,549.27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952,447,708.6</w:t>
            </w:r>
          </w:p>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955,348,450.91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263,144,105.3</w:t>
            </w:r>
          </w:p>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222,516,369.43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71,334,049.46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89,474,576.86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677,994,305.4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613,875,908.21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360,531,078.5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825,413,393.43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系报告期内公司归还短期借款。</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504,284,832.4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448,305,478.19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系报告期内公司赎回闲置募集资金 购买的银行理财产品。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233,176,326.8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233,637,522.46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986,181,014.1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986,181,014.18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137,083,531.6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132,423,144.44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32,542,917.66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22,046,257.36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65,631,627.11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90,530,731.70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115,602,393.1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133,963,959.73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、以公允价值计量的资产和负债</w:t>
      </w:r>
      <w:bookmarkEnd w:id="167"/>
      <w:bookmarkEnd w:id="168"/>
      <w:bookmarkEnd w:id="17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468,000,000.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899,000,000.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19,929,852.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19,929,852.60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233,637,522.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-461,195.6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233,176,326.80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5,369,196.03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8,274,826.02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11,806,111.3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707,006,718.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439,274,826.02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910,806,111.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19,468,656.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254,944,090.10</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w:t>
      </w:r>
    </w:p>
    <w:p>
      <w:pPr>
        <w:pStyle w:val="Style3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其他变动内容系本期公司对博纳讯动的股权投资由原具有控制、共同控制和重大影响变化为不具有重大影响，该投资 由</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转列</w:t>
      </w: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核算，以及对</w:t>
      </w:r>
      <w:r>
        <w:rPr>
          <w:rFonts w:ascii="Times New Roman" w:eastAsia="Times New Roman" w:hAnsi="Times New Roman" w:cs="Times New Roman"/>
          <w:color w:val="000000"/>
          <w:spacing w:val="0"/>
          <w:w w:val="100"/>
          <w:position w:val="0"/>
        </w:rPr>
        <w:t>NEVADA NANOTECH SYSTEMS INC.</w:t>
      </w:r>
      <w:r>
        <w:rPr>
          <w:color w:val="000000"/>
          <w:spacing w:val="0"/>
          <w:w w:val="100"/>
          <w:position w:val="0"/>
        </w:rPr>
        <w:t>股权投资汇率变化的影响。 报告期内公司主要资产计量属性是否发生重大变化</w:t>
      </w:r>
    </w:p>
    <w:p>
      <w:pPr>
        <w:pStyle w:val="Style36"/>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widowControl w:val="0"/>
        <w:spacing w:after="339" w:line="1" w:lineRule="exact"/>
      </w:pP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p>
    <w:tbl>
      <w:tblPr>
        <w:tblOverlap w:val="never"/>
        <w:jc w:val="left"/>
        <w:tblLayout w:type="fixed"/>
      </w:tblPr>
      <w:tblGrid>
        <w:gridCol w:w="2707"/>
        <w:gridCol w:w="1838"/>
        <w:gridCol w:w="4339"/>
      </w:tblGrid>
      <w:tr>
        <w:trPr>
          <w:trHeight w:val="7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4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9,890,380.32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保函保证金、办理注销过程中的银行账户资金。</w:t>
            </w:r>
          </w:p>
        </w:tc>
      </w:tr>
      <w:tr>
        <w:trPr>
          <w:trHeight w:val="4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9,325,832.00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票据池质押。</w:t>
            </w:r>
          </w:p>
        </w:tc>
      </w:tr>
      <w:tr>
        <w:trPr>
          <w:trHeight w:val="47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587,137,048.37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银行借款抵押物。</w:t>
            </w:r>
          </w:p>
        </w:tc>
      </w:tr>
      <w:tr>
        <w:trPr>
          <w:trHeight w:val="46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36,091,388.34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银行借款抵押物。</w:t>
            </w:r>
          </w:p>
        </w:tc>
      </w:tr>
      <w:tr>
        <w:trPr>
          <w:trHeight w:val="171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317" w:lineRule="exact"/>
              <w:ind w:left="0" w:right="0" w:firstLine="0"/>
              <w:jc w:val="left"/>
              <w:rPr>
                <w:sz w:val="20"/>
                <w:szCs w:val="20"/>
              </w:rPr>
            </w:pPr>
            <w:r>
              <w:rPr>
                <w:color w:val="000000"/>
                <w:spacing w:val="0"/>
                <w:w w:val="100"/>
                <w:position w:val="0"/>
                <w:sz w:val="20"/>
                <w:szCs w:val="20"/>
              </w:rPr>
              <w:t>本公司所持联创智融</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银行借款质押物。本公司以子公司联创智融 </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 xml:space="preserve">股权作为质押物向中国工商银行南京玄武 支行取得并购资金借款，借款总额 </w:t>
            </w:r>
            <w:r>
              <w:rPr>
                <w:rFonts w:ascii="Times New Roman" w:eastAsia="Times New Roman" w:hAnsi="Times New Roman" w:cs="Times New Roman"/>
                <w:color w:val="000000"/>
                <w:spacing w:val="0"/>
                <w:w w:val="100"/>
                <w:position w:val="0"/>
                <w:sz w:val="20"/>
                <w:szCs w:val="20"/>
              </w:rPr>
              <w:t>400,000,000.00</w:t>
            </w:r>
            <w:r>
              <w:rPr>
                <w:color w:val="000000"/>
                <w:spacing w:val="0"/>
                <w:w w:val="100"/>
                <w:position w:val="0"/>
                <w:sz w:val="20"/>
                <w:szCs w:val="20"/>
              </w:rPr>
              <w:t>元，截至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日止，上 述借款已全部归还。</w:t>
            </w:r>
          </w:p>
        </w:tc>
      </w:tr>
      <w:tr>
        <w:trPr>
          <w:trHeight w:val="234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80" w:after="0" w:line="240" w:lineRule="auto"/>
              <w:ind w:left="0" w:right="0" w:firstLine="0"/>
              <w:jc w:val="left"/>
              <w:rPr>
                <w:sz w:val="20"/>
                <w:szCs w:val="20"/>
              </w:rPr>
            </w:pPr>
            <w:r>
              <w:rPr>
                <w:color w:val="000000"/>
                <w:spacing w:val="0"/>
                <w:w w:val="100"/>
                <w:position w:val="0"/>
                <w:sz w:val="20"/>
                <w:szCs w:val="20"/>
              </w:rPr>
              <w:t>特定资产的经营收入权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银行借款质押物。本公司子公司外包园公司以 位于软件大道</w:t>
            </w:r>
            <w:r>
              <w:rPr>
                <w:rFonts w:ascii="Times New Roman" w:eastAsia="Times New Roman" w:hAnsi="Times New Roman" w:cs="Times New Roman"/>
                <w:color w:val="000000"/>
                <w:spacing w:val="0"/>
                <w:w w:val="100"/>
                <w:position w:val="0"/>
                <w:sz w:val="20"/>
                <w:szCs w:val="20"/>
              </w:rPr>
              <w:t>168</w:t>
            </w:r>
            <w:r>
              <w:rPr>
                <w:color w:val="000000"/>
                <w:spacing w:val="0"/>
                <w:w w:val="100"/>
                <w:position w:val="0"/>
                <w:sz w:val="20"/>
                <w:szCs w:val="20"/>
              </w:rPr>
              <w:t>号的特定资产的经营收入权 利作为质押物向中国工商银行南京玄武支行取 得的固定资产支持融资借款，截至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日止，质押借款余额</w:t>
            </w:r>
            <w:r>
              <w:rPr>
                <w:rFonts w:ascii="Times New Roman" w:eastAsia="Times New Roman" w:hAnsi="Times New Roman" w:cs="Times New Roman"/>
                <w:color w:val="000000"/>
                <w:spacing w:val="0"/>
                <w:w w:val="100"/>
                <w:position w:val="0"/>
                <w:sz w:val="20"/>
                <w:szCs w:val="20"/>
              </w:rPr>
              <w:t>522,280,491.29</w:t>
            </w:r>
            <w:r>
              <w:rPr>
                <w:color w:val="000000"/>
                <w:spacing w:val="0"/>
                <w:w w:val="100"/>
                <w:position w:val="0"/>
                <w:sz w:val="20"/>
                <w:szCs w:val="20"/>
              </w:rPr>
              <w:t>元，该长 期借款期末余额中</w:t>
            </w:r>
            <w:r>
              <w:rPr>
                <w:rFonts w:ascii="Times New Roman" w:eastAsia="Times New Roman" w:hAnsi="Times New Roman" w:cs="Times New Roman"/>
                <w:color w:val="000000"/>
                <w:spacing w:val="0"/>
                <w:w w:val="100"/>
                <w:position w:val="0"/>
                <w:sz w:val="20"/>
                <w:szCs w:val="20"/>
              </w:rPr>
              <w:t>18,679,418.88</w:t>
            </w:r>
            <w:r>
              <w:rPr>
                <w:color w:val="000000"/>
                <w:spacing w:val="0"/>
                <w:w w:val="100"/>
                <w:position w:val="0"/>
                <w:sz w:val="20"/>
                <w:szCs w:val="20"/>
              </w:rPr>
              <w:t>元将于一年内 到期，重分类至一年内到期的非流动负债。</w:t>
            </w:r>
          </w:p>
        </w:tc>
      </w:tr>
      <w:tr>
        <w:trPr>
          <w:trHeight w:val="360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80" w:after="80" w:line="240" w:lineRule="auto"/>
              <w:ind w:left="0" w:right="0" w:firstLine="0"/>
              <w:jc w:val="left"/>
              <w:rPr>
                <w:sz w:val="20"/>
                <w:szCs w:val="20"/>
              </w:rPr>
            </w:pPr>
            <w:r>
              <w:rPr>
                <w:color w:val="000000"/>
                <w:spacing w:val="0"/>
                <w:w w:val="100"/>
                <w:position w:val="0"/>
                <w:sz w:val="20"/>
                <w:szCs w:val="20"/>
              </w:rPr>
              <w:t>捷科智诚对应合同</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JKYW182016</w:t>
            </w:r>
            <w:r>
              <w:rPr>
                <w:color w:val="000000"/>
                <w:spacing w:val="0"/>
                <w:w w:val="100"/>
                <w:position w:val="0"/>
                <w:sz w:val="20"/>
                <w:szCs w:val="20"/>
              </w:rPr>
              <w:t>的两年应收权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 xml:space="preserve">银行借款质押物。本公司质押借款余额 </w:t>
            </w:r>
            <w:r>
              <w:rPr>
                <w:rFonts w:ascii="Times New Roman" w:eastAsia="Times New Roman" w:hAnsi="Times New Roman" w:cs="Times New Roman"/>
                <w:color w:val="000000"/>
                <w:spacing w:val="0"/>
                <w:w w:val="100"/>
                <w:position w:val="0"/>
                <w:sz w:val="20"/>
                <w:szCs w:val="20"/>
              </w:rPr>
              <w:t>25,000,000.0</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元，系向中国银行南京江宁支行取 得的</w:t>
            </w:r>
            <w:r>
              <w:rPr>
                <w:rFonts w:ascii="Times New Roman" w:eastAsia="Times New Roman" w:hAnsi="Times New Roman" w:cs="Times New Roman"/>
                <w:color w:val="000000"/>
                <w:spacing w:val="0"/>
                <w:w w:val="100"/>
                <w:position w:val="0"/>
                <w:sz w:val="20"/>
                <w:szCs w:val="20"/>
              </w:rPr>
              <w:t>40,000,000.00</w:t>
            </w:r>
            <w:r>
              <w:rPr>
                <w:color w:val="000000"/>
                <w:spacing w:val="0"/>
                <w:w w:val="100"/>
                <w:position w:val="0"/>
                <w:sz w:val="20"/>
                <w:szCs w:val="20"/>
              </w:rPr>
              <w:t>元流动资金借款，江苏润和科 技投资集团有限公司、周红卫为该笔借款提供 保证担保，北京捷科智诚科技有限公司以合同 编号为</w:t>
            </w:r>
            <w:r>
              <w:rPr>
                <w:rFonts w:ascii="Times New Roman" w:eastAsia="Times New Roman" w:hAnsi="Times New Roman" w:cs="Times New Roman"/>
                <w:color w:val="000000"/>
                <w:spacing w:val="0"/>
                <w:w w:val="100"/>
                <w:position w:val="0"/>
                <w:sz w:val="20"/>
                <w:szCs w:val="20"/>
              </w:rPr>
              <w:t>JKYW182016</w:t>
            </w:r>
            <w:r>
              <w:rPr>
                <w:color w:val="000000"/>
                <w:spacing w:val="0"/>
                <w:w w:val="100"/>
                <w:position w:val="0"/>
                <w:sz w:val="20"/>
                <w:szCs w:val="20"/>
              </w:rPr>
              <w:t>的两年合同应收权利为该 笔借款提供质押担保；合同对应客户为中国银 行股份有限公司，截至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日止，对 应合同应收账款余额为</w:t>
            </w:r>
            <w:r>
              <w:rPr>
                <w:rFonts w:ascii="Times New Roman" w:eastAsia="Times New Roman" w:hAnsi="Times New Roman" w:cs="Times New Roman"/>
                <w:color w:val="000000"/>
                <w:spacing w:val="0"/>
                <w:w w:val="100"/>
                <w:position w:val="0"/>
                <w:sz w:val="20"/>
                <w:szCs w:val="20"/>
              </w:rPr>
              <w:t>43,718,356.97</w:t>
            </w:r>
            <w:r>
              <w:rPr>
                <w:color w:val="000000"/>
                <w:spacing w:val="0"/>
                <w:w w:val="100"/>
                <w:position w:val="0"/>
                <w:sz w:val="20"/>
                <w:szCs w:val="20"/>
              </w:rPr>
              <w:t xml:space="preserve">元。截至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日止，该长期借款期末余额 </w:t>
            </w:r>
            <w:r>
              <w:rPr>
                <w:rFonts w:ascii="Times New Roman" w:eastAsia="Times New Roman" w:hAnsi="Times New Roman" w:cs="Times New Roman"/>
                <w:color w:val="000000"/>
                <w:spacing w:val="0"/>
                <w:w w:val="100"/>
                <w:position w:val="0"/>
                <w:sz w:val="20"/>
                <w:szCs w:val="20"/>
              </w:rPr>
              <w:t>25,000,000.00</w:t>
            </w:r>
            <w:r>
              <w:rPr>
                <w:color w:val="000000"/>
                <w:spacing w:val="0"/>
                <w:w w:val="100"/>
                <w:position w:val="0"/>
                <w:sz w:val="20"/>
                <w:szCs w:val="20"/>
              </w:rPr>
              <w:t>元将于一年内到期，重分类至一年</w:t>
            </w:r>
          </w:p>
        </w:tc>
      </w:tr>
    </w:tbl>
    <w:p>
      <w:pPr>
        <w:pStyle w:val="Style2"/>
        <w:keepNext w:val="0"/>
        <w:keepLines w:val="0"/>
        <w:widowControl w:val="0"/>
        <w:shd w:val="clear" w:color="auto" w:fill="auto"/>
        <w:bidi w:val="0"/>
        <w:spacing w:before="0" w:after="700" w:line="240" w:lineRule="auto"/>
        <w:ind w:left="0" w:right="0" w:firstLine="0"/>
        <w:jc w:val="center"/>
        <w:rPr>
          <w:sz w:val="20"/>
          <w:szCs w:val="20"/>
        </w:rPr>
      </w:pPr>
      <w:r>
        <w:rPr>
          <w:color w:val="000000"/>
          <w:spacing w:val="0"/>
          <w:w w:val="100"/>
          <w:position w:val="0"/>
          <w:sz w:val="20"/>
          <w:szCs w:val="20"/>
        </w:rPr>
        <w:t>内到期的非流动负债。</w:t>
      </w:r>
    </w:p>
    <w:p>
      <w:pPr>
        <w:pStyle w:val="Style24"/>
        <w:keepNext/>
        <w:keepLines/>
        <w:widowControl w:val="0"/>
        <w:shd w:val="clear" w:color="auto" w:fill="auto"/>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五</w:t>
      </w:r>
      <w:bookmarkEnd w:id="173"/>
      <w:r>
        <w:rPr>
          <w:color w:val="000000"/>
          <w:spacing w:val="0"/>
          <w:w w:val="100"/>
          <w:position w:val="0"/>
          <w:sz w:val="24"/>
          <w:szCs w:val="24"/>
        </w:rPr>
        <w:t>、投资状况分析</w:t>
      </w:r>
      <w:bookmarkEnd w:id="171"/>
      <w:bookmarkEnd w:id="172"/>
      <w:bookmarkEnd w:id="174"/>
    </w:p>
    <w:p>
      <w:pPr>
        <w:pStyle w:val="Style30"/>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、总体情况</w:t>
      </w:r>
      <w:bookmarkEnd w:id="175"/>
      <w:bookmarkEnd w:id="176"/>
      <w:bookmarkEnd w:id="178"/>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235,131,794.37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-98.38%</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报告期内获取的重大的股权投资情况</w:t>
      </w:r>
      <w:bookmarkEnd w:id="179"/>
      <w:bookmarkEnd w:id="180"/>
      <w:bookmarkEnd w:id="18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w:t>
        <w:tab/>
        <w:t>报告期内正在进行的重大的非股权投资情况</w:t>
      </w:r>
      <w:bookmarkEnd w:id="183"/>
      <w:bookmarkEnd w:id="184"/>
      <w:bookmarkEnd w:id="18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4</w:t>
      </w:r>
      <w:bookmarkEnd w:id="189"/>
      <w:r>
        <w:rPr>
          <w:color w:val="000000"/>
          <w:spacing w:val="0"/>
          <w:w w:val="100"/>
          <w:position w:val="0"/>
        </w:rPr>
        <w:t>、</w:t>
        <w:tab/>
        <w:t>以公允价值计量的金融资产</w:t>
      </w:r>
      <w:bookmarkEnd w:id="187"/>
      <w:bookmarkEnd w:id="188"/>
      <w:bookmarkEnd w:id="19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5</w:t>
      </w:r>
      <w:bookmarkEnd w:id="193"/>
      <w:r>
        <w:rPr>
          <w:color w:val="000000"/>
          <w:spacing w:val="0"/>
          <w:w w:val="100"/>
          <w:position w:val="0"/>
        </w:rPr>
        <w:t>、</w:t>
        <w:tab/>
        <w:t>募集资金使用情况</w:t>
      </w:r>
      <w:bookmarkEnd w:id="191"/>
      <w:bookmarkEnd w:id="192"/>
      <w:bookmarkEnd w:id="194"/>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r>
        <w:rPr>
          <w:color w:val="000000"/>
          <w:spacing w:val="0"/>
          <w:w w:val="100"/>
          <w:position w:val="0"/>
        </w:rPr>
        <w:t>（</w:t>
      </w:r>
      <w:bookmarkEnd w:id="19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5"/>
      <w:bookmarkEnd w:id="196"/>
      <w:bookmarkEnd w:id="198"/>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存放募集 资金专户 及暂时补 充流动资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67,558.44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11,518.08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spacing w:lineRule="exact" w:line="1"/>
        <w:rPr>
          <w:sz w:val="2"/>
          <w:szCs w:val="2"/>
        </w:rPr>
      </w:pPr>
      <w:r>
        <w:br w:type="page"/>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4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年度，公司募集资金使用情况为：使用募集资金</w:t>
      </w:r>
      <w:r>
        <w:rPr>
          <w:rFonts w:ascii="Times New Roman" w:eastAsia="Times New Roman" w:hAnsi="Times New Roman" w:cs="Times New Roman"/>
          <w:color w:val="000000"/>
          <w:spacing w:val="0"/>
          <w:w w:val="100"/>
          <w:position w:val="0"/>
        </w:rPr>
        <w:t>16,490.69</w:t>
      </w:r>
      <w:r>
        <w:rPr>
          <w:color w:val="000000"/>
          <w:spacing w:val="0"/>
          <w:w w:val="100"/>
          <w:position w:val="0"/>
        </w:rPr>
        <w:t>万元投资金融云服务平台建设项目，使用募集资金</w:t>
      </w:r>
      <w:r>
        <w:rPr>
          <w:rFonts w:ascii="Times New Roman" w:eastAsia="Times New Roman" w:hAnsi="Times New Roman" w:cs="Times New Roman"/>
          <w:color w:val="000000"/>
          <w:spacing w:val="0"/>
          <w:w w:val="100"/>
          <w:position w:val="0"/>
        </w:rPr>
        <w:t xml:space="preserve">12,805.65 </w:t>
      </w:r>
      <w:r>
        <w:rPr>
          <w:color w:val="000000"/>
          <w:spacing w:val="0"/>
          <w:w w:val="100"/>
          <w:position w:val="0"/>
        </w:rPr>
        <w:t>万元投资能源信息化平台建设项目，合计使用募集资金</w:t>
      </w:r>
      <w:r>
        <w:rPr>
          <w:rFonts w:ascii="Times New Roman" w:eastAsia="Times New Roman" w:hAnsi="Times New Roman" w:cs="Times New Roman"/>
          <w:color w:val="000000"/>
          <w:spacing w:val="0"/>
          <w:w w:val="100"/>
          <w:position w:val="0"/>
        </w:rPr>
        <w:t>29,296.34</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日，累计使用募集资金</w:t>
      </w:r>
      <w:r>
        <w:rPr>
          <w:rFonts w:ascii="Times New Roman" w:eastAsia="Times New Roman" w:hAnsi="Times New Roman" w:cs="Times New Roman"/>
          <w:color w:val="000000"/>
          <w:spacing w:val="0"/>
          <w:w w:val="100"/>
          <w:position w:val="0"/>
        </w:rPr>
        <w:t xml:space="preserve">67,558.44 </w:t>
      </w:r>
      <w:r>
        <w:rPr>
          <w:color w:val="000000"/>
          <w:spacing w:val="0"/>
          <w:w w:val="100"/>
          <w:position w:val="0"/>
        </w:rPr>
        <w:t>万元，扣除累计已使用募集资金(不包括因销户转出利息收入</w:t>
      </w:r>
      <w:r>
        <w:rPr>
          <w:rFonts w:ascii="Times New Roman" w:eastAsia="Times New Roman" w:hAnsi="Times New Roman" w:cs="Times New Roman"/>
          <w:color w:val="000000"/>
          <w:spacing w:val="0"/>
          <w:w w:val="100"/>
          <w:position w:val="0"/>
        </w:rPr>
        <w:t>3.10</w:t>
      </w:r>
      <w:r>
        <w:rPr>
          <w:color w:val="000000"/>
          <w:spacing w:val="0"/>
          <w:w w:val="100"/>
          <w:position w:val="0"/>
        </w:rPr>
        <w:t>万元用于补充流动资金)后，募集资金余额为</w:t>
      </w:r>
      <w:r>
        <w:rPr>
          <w:rFonts w:ascii="Times New Roman" w:eastAsia="Times New Roman" w:hAnsi="Times New Roman" w:cs="Times New Roman"/>
          <w:color w:val="000000"/>
          <w:spacing w:val="0"/>
          <w:w w:val="100"/>
          <w:position w:val="0"/>
        </w:rPr>
        <w:t xml:space="preserve">11,518.08 </w:t>
      </w:r>
      <w:r>
        <w:rPr>
          <w:color w:val="000000"/>
          <w:spacing w:val="0"/>
          <w:w w:val="100"/>
          <w:position w:val="0"/>
        </w:rPr>
        <w:t>万元，募集资金专用账户累计利息收入余额(利息收入扣除手续费)为</w:t>
      </w:r>
      <w:r>
        <w:rPr>
          <w:rFonts w:ascii="Times New Roman" w:eastAsia="Times New Roman" w:hAnsi="Times New Roman" w:cs="Times New Roman"/>
          <w:color w:val="000000"/>
          <w:spacing w:val="0"/>
          <w:w w:val="100"/>
          <w:position w:val="0"/>
        </w:rPr>
        <w:t>3,717.95</w:t>
      </w:r>
      <w:r>
        <w:rPr>
          <w:color w:val="000000"/>
          <w:spacing w:val="0"/>
          <w:w w:val="100"/>
          <w:position w:val="0"/>
        </w:rPr>
        <w:t>万元，使用暂时闲置募集资金暂时补充流 动资金余额为</w:t>
      </w:r>
      <w:r>
        <w:rPr>
          <w:rFonts w:ascii="Times New Roman" w:eastAsia="Times New Roman" w:hAnsi="Times New Roman" w:cs="Times New Roman"/>
          <w:color w:val="000000"/>
          <w:spacing w:val="0"/>
          <w:w w:val="100"/>
          <w:position w:val="0"/>
        </w:rPr>
        <w:t>15,100.00</w:t>
      </w:r>
      <w:r>
        <w:rPr>
          <w:color w:val="000000"/>
          <w:spacing w:val="0"/>
          <w:w w:val="100"/>
          <w:position w:val="0"/>
        </w:rPr>
        <w:t>万元，募集资金专用账户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136.03</w:t>
      </w:r>
      <w:r>
        <w:rPr>
          <w:color w:val="000000"/>
          <w:spacing w:val="0"/>
          <w:w w:val="100"/>
          <w:position w:val="0"/>
        </w:rPr>
        <w:t>万元。</w:t>
      </w:r>
    </w:p>
    <w:p>
      <w:pPr>
        <w:pStyle w:val="Style30"/>
        <w:keepNext/>
        <w:keepLines/>
        <w:widowControl w:val="0"/>
        <w:numPr>
          <w:ilvl w:val="0"/>
          <w:numId w:val="1"/>
        </w:numPr>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募集资金承诺项目情况</w:t>
      </w:r>
      <w:bookmarkEnd w:id="199"/>
      <w:bookmarkEnd w:id="200"/>
      <w:bookmarkEnd w:id="202"/>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承诺投 资项目 和超募 资金投</w:t>
            </w:r>
          </w:p>
          <w:p>
            <w:pPr>
              <w:pStyle w:val="Style2"/>
              <w:keepNext w:val="0"/>
              <w:keepLines w:val="0"/>
              <w:widowControl w:val="0"/>
              <w:shd w:val="clear" w:color="auto" w:fill="auto"/>
              <w:bidi w:val="0"/>
              <w:spacing w:before="0" w:after="0" w:line="310"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20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 期末累计 实现的效</w:t>
            </w:r>
          </w:p>
          <w:p>
            <w:pPr>
              <w:pStyle w:val="Style2"/>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金融云 服务平 台建设 项目的 存储和 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42,481.22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42,481.22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33,982.07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7,930.65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能源信 息化平 台建设 项目的 存储和 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22,131.66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22,131.66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12,805.6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19,112.73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补充流 动资金 项目的 存储和 使用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14,463.64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29,296.3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67,558.44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9,945.24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11,111.69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79,073.42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29,296.3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67,558.44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9,945.24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11,111.69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8856"/>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 体项目）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391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金融云服务平台建设项目：由于公司目标客户金融机构在核心系统建设中对公有云的接受度低，仍以私有云为主， 同时分布式架构是金融科技的主流发展趋势，结合</w:t>
            </w:r>
            <w:r>
              <w:rPr>
                <w:rFonts w:ascii="Times New Roman" w:eastAsia="Times New Roman" w:hAnsi="Times New Roman" w:cs="Times New Roman"/>
                <w:color w:val="000000"/>
                <w:spacing w:val="0"/>
                <w:w w:val="100"/>
                <w:position w:val="0"/>
              </w:rPr>
              <w:t>2018</w:t>
            </w:r>
            <w:r>
              <w:rPr>
                <w:color w:val="000000"/>
                <w:spacing w:val="0"/>
                <w:w w:val="100"/>
                <w:position w:val="0"/>
              </w:rPr>
              <w:t>年度公司与蚂蚁金服达成战略合作后获取了其底层技术 平台支持，金融云服务平台建设项目对公司研发、实施及运维人员的数量及能力均提出更高要求，因此公司对该 项目的建设内容、商业模式、建设周期和投资结构进行了变更。</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能源信息化平台建设项目：由于配电物联网</w:t>
            </w:r>
            <w:r>
              <w:rPr>
                <w:color w:val="000000"/>
                <w:spacing w:val="0"/>
                <w:w w:val="100"/>
                <w:position w:val="0"/>
              </w:rPr>
              <w:t>（</w:t>
            </w:r>
            <w:r>
              <w:rPr>
                <w:rFonts w:ascii="Times New Roman" w:eastAsia="Times New Roman" w:hAnsi="Times New Roman" w:cs="Times New Roman"/>
                <w:color w:val="000000"/>
                <w:spacing w:val="0"/>
                <w:w w:val="100"/>
                <w:position w:val="0"/>
              </w:rPr>
              <w:t xml:space="preserve">D-IoT </w:t>
            </w:r>
            <w:r>
              <w:rPr>
                <w:color w:val="000000"/>
                <w:spacing w:val="0"/>
                <w:w w:val="100"/>
                <w:position w:val="0"/>
              </w:rPr>
              <w:t xml:space="preserve">）成为能源产业发展新理念以及基于嵌入式神经网络处理器 </w:t>
            </w:r>
            <w:r>
              <w:rPr>
                <w:color w:val="000000"/>
                <w:spacing w:val="0"/>
                <w:w w:val="100"/>
                <w:position w:val="0"/>
              </w:rPr>
              <w:t>（</w:t>
            </w:r>
            <w:r>
              <w:rPr>
                <w:rFonts w:ascii="Times New Roman" w:eastAsia="Times New Roman" w:hAnsi="Times New Roman" w:cs="Times New Roman"/>
                <w:color w:val="000000"/>
                <w:spacing w:val="0"/>
                <w:w w:val="100"/>
                <w:position w:val="0"/>
              </w:rPr>
              <w:t>NPU</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AI</w:t>
            </w:r>
            <w:r>
              <w:rPr>
                <w:color w:val="000000"/>
                <w:spacing w:val="0"/>
                <w:w w:val="100"/>
                <w:position w:val="0"/>
              </w:rPr>
              <w:t>芯片助力边缘计算在物联网</w:t>
            </w:r>
            <w:r>
              <w:rPr>
                <w:rFonts w:ascii="Times New Roman" w:eastAsia="Times New Roman" w:hAnsi="Times New Roman" w:cs="Times New Roman"/>
                <w:color w:val="000000"/>
                <w:spacing w:val="0"/>
                <w:w w:val="100"/>
                <w:position w:val="0"/>
              </w:rPr>
              <w:t>IoT</w:t>
            </w:r>
            <w:r>
              <w:rPr>
                <w:color w:val="000000"/>
                <w:spacing w:val="0"/>
                <w:w w:val="100"/>
                <w:position w:val="0"/>
              </w:rPr>
              <w:t>领域的技术应用，</w:t>
            </w:r>
            <w:r>
              <w:rPr>
                <w:rFonts w:ascii="Times New Roman" w:eastAsia="Times New Roman" w:hAnsi="Times New Roman" w:cs="Times New Roman"/>
                <w:color w:val="000000"/>
                <w:spacing w:val="0"/>
                <w:w w:val="100"/>
                <w:position w:val="0"/>
              </w:rPr>
              <w:t>5G</w:t>
            </w:r>
            <w:r>
              <w:rPr>
                <w:color w:val="000000"/>
                <w:spacing w:val="0"/>
                <w:w w:val="100"/>
                <w:position w:val="0"/>
              </w:rPr>
              <w:t>与边缘计算技术的革新减少了对计算机硬件 的需求，项目商业模式需要新增更多研发及实施维护费用，因此公司对该项目的建设内容、商业模式、建设周期 和投资结构进行了变更。</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日公司召开的第五届董事会第四十五次会议、第五届监事会第二十五次会议以及</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日公司召开的</w:t>
            </w:r>
            <w:r>
              <w:rPr>
                <w:rFonts w:ascii="Times New Roman" w:eastAsia="Times New Roman" w:hAnsi="Times New Roman" w:cs="Times New Roman"/>
                <w:color w:val="000000"/>
                <w:spacing w:val="0"/>
                <w:w w:val="100"/>
                <w:position w:val="0"/>
              </w:rPr>
              <w:t>2019</w:t>
            </w:r>
            <w:r>
              <w:rPr>
                <w:color w:val="000000"/>
                <w:spacing w:val="0"/>
                <w:w w:val="100"/>
                <w:position w:val="0"/>
              </w:rPr>
              <w:t>年第二次临时股东大会审议通过了《关于调整部分非公开发行募集资金投资项目实施方式的 议案》，同意对募集资金投资项目金融云服务平台建设项目和能源信息化平台建设项目的实施方式进行变更，具 体内容详见公司于巨潮资讯网披露的公告。</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30"/>
        <w:gridCol w:w="8856"/>
      </w:tblGrid>
      <w:tr>
        <w:trPr>
          <w:trHeight w:val="16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金投资 项目先 期投入 及置换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根据公司第六届董事会第四次会议及第六届监事会第三次会议审议通过的《关于使用部分闲置募集资金暂时补充 流动资金的议案》，同意公司在保证募集资金投资项目建设的资金需求、保证募集资金投资项目正常进行的前提 下，为满足公司生产经营对日常流动资金的需要，提高募集资金使用效率，降低公司财务费用，使用不超过人民 币</w:t>
            </w:r>
            <w:r>
              <w:rPr>
                <w:rFonts w:ascii="Times New Roman" w:eastAsia="Times New Roman" w:hAnsi="Times New Roman" w:cs="Times New Roman"/>
                <w:color w:val="000000"/>
                <w:spacing w:val="0"/>
                <w:w w:val="100"/>
                <w:position w:val="0"/>
              </w:rPr>
              <w:t>25,000.00</w:t>
            </w:r>
            <w:r>
              <w:rPr>
                <w:color w:val="000000"/>
                <w:spacing w:val="0"/>
                <w:w w:val="100"/>
                <w:position w:val="0"/>
              </w:rPr>
              <w:t>万元的闲置募集资金暂时补充流动资金，用于与公司主营业务相关的生产经营，使用期限自董事会 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个月，到期公司将及时归还至募集资金专户。截至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日，使用闲置募集 资金暂时补充流动资金余额为</w:t>
            </w:r>
            <w:r>
              <w:rPr>
                <w:rFonts w:ascii="Times New Roman" w:eastAsia="Times New Roman" w:hAnsi="Times New Roman" w:cs="Times New Roman"/>
                <w:color w:val="000000"/>
                <w:spacing w:val="0"/>
                <w:w w:val="100"/>
                <w:position w:val="0"/>
              </w:rPr>
              <w:t>15,100.00</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根据公司第六届董事会第四次会议及第六届监事会第三次会议审议通过的《关于使用部分闲置募集资金暂时补充 流动资金的议案》，同意公司在保证募集资金投资项目建设的资金需求、保证募集资金投资项目正常进行的前提 下，为满足公司生产经营对日常流动资金的需要，提高募集资金使用效率，降低公司财务费用，使用不超过人民 币</w:t>
            </w:r>
            <w:r>
              <w:rPr>
                <w:rFonts w:ascii="Times New Roman" w:eastAsia="Times New Roman" w:hAnsi="Times New Roman" w:cs="Times New Roman"/>
                <w:color w:val="000000"/>
                <w:spacing w:val="0"/>
                <w:w w:val="100"/>
                <w:position w:val="0"/>
              </w:rPr>
              <w:t>25,000.00</w:t>
            </w:r>
            <w:r>
              <w:rPr>
                <w:color w:val="000000"/>
                <w:spacing w:val="0"/>
                <w:w w:val="100"/>
                <w:position w:val="0"/>
              </w:rPr>
              <w:t>万元的闲置募集资金暂时补充流动资金，用于与公司主营业务相关的生产经营，使用期限自董事会 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个月，到期公司将及时归还至募集资金专户。截至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(含利息收入扣除手续费</w:t>
            </w:r>
            <w:r>
              <w:rPr>
                <w:rFonts w:ascii="Times New Roman" w:eastAsia="Times New Roman" w:hAnsi="Times New Roman" w:cs="Times New Roman"/>
                <w:color w:val="000000"/>
                <w:spacing w:val="0"/>
                <w:w w:val="100"/>
                <w:position w:val="0"/>
              </w:rPr>
              <w:t>3,717.95</w:t>
            </w:r>
            <w:r>
              <w:rPr>
                <w:color w:val="000000"/>
                <w:spacing w:val="0"/>
                <w:w w:val="100"/>
                <w:position w:val="0"/>
              </w:rPr>
              <w:t>万元)为</w:t>
            </w:r>
            <w:r>
              <w:rPr>
                <w:rFonts w:ascii="Times New Roman" w:eastAsia="Times New Roman" w:hAnsi="Times New Roman" w:cs="Times New Roman"/>
                <w:color w:val="000000"/>
                <w:spacing w:val="0"/>
                <w:w w:val="100"/>
                <w:position w:val="0"/>
              </w:rPr>
              <w:t>15,236.03</w:t>
            </w:r>
            <w:r>
              <w:rPr>
                <w:color w:val="000000"/>
                <w:spacing w:val="0"/>
                <w:w w:val="100"/>
                <w:position w:val="0"/>
              </w:rPr>
              <w:t>万元，使用闲置募集资金暂时补充流动资金余额为</w:t>
            </w:r>
            <w:r>
              <w:rPr>
                <w:rFonts w:ascii="Times New Roman" w:eastAsia="Times New Roman" w:hAnsi="Times New Roman" w:cs="Times New Roman"/>
                <w:color w:val="000000"/>
                <w:spacing w:val="0"/>
                <w:w w:val="100"/>
                <w:position w:val="0"/>
              </w:rPr>
              <w:t xml:space="preserve">15,100.00 </w:t>
            </w:r>
            <w:r>
              <w:rPr>
                <w:color w:val="000000"/>
                <w:spacing w:val="0"/>
                <w:w w:val="100"/>
                <w:position w:val="0"/>
              </w:rPr>
              <w:t>万元，剩余募集资金</w:t>
            </w:r>
            <w:r>
              <w:rPr>
                <w:rFonts w:ascii="Times New Roman" w:eastAsia="Times New Roman" w:hAnsi="Times New Roman" w:cs="Times New Roman"/>
                <w:color w:val="000000"/>
                <w:spacing w:val="0"/>
                <w:w w:val="100"/>
                <w:position w:val="0"/>
              </w:rPr>
              <w:t>136.03</w:t>
            </w:r>
            <w:r>
              <w:rPr>
                <w:color w:val="000000"/>
                <w:spacing w:val="0"/>
                <w:w w:val="100"/>
                <w:position w:val="0"/>
              </w:rPr>
              <w:t>万元存放在募集资金专户。</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0"/>
        <w:keepNext/>
        <w:keepLines/>
        <w:widowControl w:val="0"/>
        <w:numPr>
          <w:ilvl w:val="0"/>
          <w:numId w:val="1"/>
        </w:numPr>
        <w:shd w:val="clear" w:color="auto" w:fill="auto"/>
        <w:bidi w:val="0"/>
        <w:spacing w:before="0" w:line="240" w:lineRule="auto"/>
        <w:ind w:left="0" w:right="0" w:firstLine="0"/>
        <w:jc w:val="both"/>
      </w:pPr>
      <w:bookmarkStart w:id="203" w:name="bookmark203"/>
      <w:bookmarkStart w:id="204" w:name="bookmark204"/>
      <w:bookmarkStart w:id="205" w:name="bookmark205"/>
      <w:bookmarkStart w:id="206" w:name="bookmark206"/>
      <w:bookmarkEnd w:id="205"/>
      <w:r>
        <w:rPr>
          <w:color w:val="000000"/>
          <w:spacing w:val="0"/>
          <w:w w:val="100"/>
          <w:position w:val="0"/>
        </w:rPr>
        <w:t>募集资金变更项目情况</w:t>
      </w:r>
      <w:bookmarkEnd w:id="203"/>
      <w:bookmarkEnd w:id="204"/>
      <w:bookmarkEnd w:id="206"/>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after="36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sz w:val="24"/>
          <w:szCs w:val="24"/>
        </w:rPr>
        <w:t>六</w:t>
      </w:r>
      <w:bookmarkEnd w:id="209"/>
      <w:r>
        <w:rPr>
          <w:color w:val="000000"/>
          <w:spacing w:val="0"/>
          <w:w w:val="100"/>
          <w:position w:val="0"/>
          <w:sz w:val="24"/>
          <w:szCs w:val="24"/>
        </w:rPr>
        <w:t>、重大资产和股权出售</w:t>
      </w:r>
      <w:bookmarkEnd w:id="207"/>
      <w:bookmarkEnd w:id="208"/>
      <w:bookmarkEnd w:id="210"/>
    </w:p>
    <w:p>
      <w:pPr>
        <w:pStyle w:val="Style30"/>
        <w:keepNext/>
        <w:keepLines/>
        <w:widowControl w:val="0"/>
        <w:shd w:val="clear" w:color="auto" w:fill="auto"/>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、出售重大资产情况</w:t>
      </w:r>
      <w:bookmarkEnd w:id="211"/>
      <w:bookmarkEnd w:id="212"/>
      <w:bookmarkEnd w:id="214"/>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、出售重大股权情况</w:t>
      </w:r>
      <w:bookmarkEnd w:id="215"/>
      <w:bookmarkEnd w:id="216"/>
      <w:bookmarkEnd w:id="218"/>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w:t>
            </w:r>
          </w:p>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是否按 计划如 期实</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施，如 未按计 划实</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85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Platinu m Decade Limited </w:t>
            </w:r>
            <w:r>
              <w:rPr>
                <w:color w:val="000000"/>
                <w:spacing w:val="0"/>
                <w:w w:val="100"/>
                <w:position w:val="0"/>
              </w:rPr>
              <w:t>、宿迁 信石创 业投资 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苏州博 纳讯动 软件有 限公司</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博 纳讯 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429.53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 次转让 股权的 目的旨 在进一 步聚焦 公司经 营战 略，集 中资源 发展公 司核心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 易结合 博纳讯 动经营 现状、技 术能力、 客户结 构、行业 地位及 未来发 展等因 素，以博 纳讯动 前次股 权转让 价格为 参考,经 转让方 及受让 方友好 协商确 定博纳 讯动整 体估值 及本次 股权转 让价格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08"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 </w:t>
            </w:r>
            <w:r>
              <w:rPr>
                <w:rFonts w:ascii="Times New Roman" w:eastAsia="Times New Roman" w:hAnsi="Times New Roman" w:cs="Times New Roman"/>
                <w:color w:val="000000"/>
                <w:spacing w:val="0"/>
                <w:w w:val="100"/>
                <w:position w:val="0"/>
              </w:rPr>
              <w:t>fo.com</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cn</w:t>
            </w:r>
          </w:p>
        </w:tc>
      </w:tr>
    </w:tbl>
    <w:p>
      <w:pPr>
        <w:spacing w:lineRule="exact" w:line="1"/>
        <w:rPr>
          <w:sz w:val="2"/>
          <w:szCs w:val="2"/>
        </w:rPr>
      </w:pPr>
      <w:r>
        <w:br w:type="page"/>
      </w:r>
    </w:p>
    <w:tbl>
      <w:tblPr>
        <w:tblOverlap w:val="never"/>
        <w:jc w:val="center"/>
        <w:tblLayout w:type="fixed"/>
      </w:tblPr>
      <w:tblGrid>
        <w:gridCol w:w="691"/>
        <w:gridCol w:w="682"/>
        <w:gridCol w:w="682"/>
        <w:gridCol w:w="686"/>
        <w:gridCol w:w="682"/>
        <w:gridCol w:w="686"/>
        <w:gridCol w:w="682"/>
        <w:gridCol w:w="686"/>
        <w:gridCol w:w="682"/>
        <w:gridCol w:w="686"/>
        <w:gridCol w:w="682"/>
        <w:gridCol w:w="686"/>
        <w:gridCol w:w="682"/>
        <w:gridCol w:w="686"/>
      </w:tblGrid>
      <w:tr>
        <w:trPr>
          <w:trHeight w:val="85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王学军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苏州博 纳讯动 软件有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780.15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公司本 次转让 股权的 目的旨 在进一 步聚焦 公司经 营战 略，集 中资源 发展公 司核心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本次交 易结合 博纳讯 动经营 现状、技 术能力、 客户结 构、行业 地位及 未来发 展等因 素，以博 纳讯动 前次股 权转让 价格为 参考,经 转让方 及受让 方友好 协商确 定博纳 讯动整 体估值 及本次 股权转 让价格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08" w:lineRule="exact"/>
              <w:ind w:left="0" w:right="0" w:firstLine="0"/>
              <w:jc w:val="left"/>
            </w:pPr>
            <w:r>
              <w:rPr>
                <w:color w:val="000000"/>
                <w:spacing w:val="0"/>
                <w:w w:val="100"/>
                <w:position w:val="0"/>
              </w:rPr>
              <w:t xml:space="preserve">巨潮资 讯网 </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rPr>
              <w:t>http://w</w:t>
            </w:r>
            <w:r>
              <w:fldChar w:fldCharType="end"/>
            </w:r>
            <w:r>
              <w:rPr>
                <w:rFonts w:ascii="Times New Roman" w:eastAsia="Times New Roman" w:hAnsi="Times New Roman" w:cs="Times New Roman"/>
                <w:color w:val="000000"/>
                <w:spacing w:val="0"/>
                <w:w w:val="100"/>
                <w:position w:val="0"/>
              </w:rPr>
              <w:t xml:space="preserve"> ww.cnin </w:t>
            </w:r>
            <w:r>
              <w:rPr>
                <w:rFonts w:ascii="Times New Roman" w:eastAsia="Times New Roman" w:hAnsi="Times New Roman" w:cs="Times New Roman"/>
                <w:color w:val="000000"/>
                <w:spacing w:val="0"/>
                <w:w w:val="100"/>
                <w:position w:val="0"/>
              </w:rPr>
              <w:t>fo.com</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cn</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七</w:t>
      </w:r>
      <w:bookmarkEnd w:id="221"/>
      <w:r>
        <w:rPr>
          <w:color w:val="000000"/>
          <w:spacing w:val="0"/>
          <w:w w:val="100"/>
          <w:position w:val="0"/>
          <w:sz w:val="24"/>
          <w:szCs w:val="24"/>
        </w:rPr>
        <w:t>、主要控股参股公司分析</w:t>
      </w:r>
      <w:bookmarkEnd w:id="219"/>
      <w:bookmarkEnd w:id="220"/>
      <w:bookmarkEnd w:id="222"/>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外包园公司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软件外包园 区的投资和 管理；实业 投资；计算 机软、硬件 系统的开 发、集成、 咨询、销售 和服务；物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128,761,620.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751,500,102.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202,151,635.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73,356,295.3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-1,394,610.6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-692,527.22</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业管理；自 建房屋出 租；停车场 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捷科智诚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504,528,018.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278,348,344.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734,755,768.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74,847,135.3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71,132,371.7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联创智融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103,975,000.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485,964,767.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397,778,827.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256,940,624.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70,728,258.9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67,207,234.6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44,856,651.2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16,680,838.7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122,085,270.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-2,181,582.9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3,249,078.55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公司本次转让江苏润和智融科技有限公 司的目的旨在进一步聚焦公司经营战 略，集中资源发展公司核心业务。本次 交易对公司财务状况和经营成果不产生 重大影响，不存在损害公司及广大股东 特别是中小股东的情形。本次交易对 </w:t>
            </w:r>
            <w:r>
              <w:rPr>
                <w:rFonts w:ascii="Times New Roman" w:eastAsia="Times New Roman" w:hAnsi="Times New Roman" w:cs="Times New Roman"/>
                <w:color w:val="000000"/>
                <w:spacing w:val="0"/>
                <w:w w:val="100"/>
                <w:position w:val="0"/>
              </w:rPr>
              <w:t>2020</w:t>
            </w:r>
            <w:r>
              <w:rPr>
                <w:color w:val="000000"/>
                <w:spacing w:val="0"/>
                <w:w w:val="100"/>
                <w:position w:val="0"/>
              </w:rPr>
              <w:t>年度归属于母公司所有者的净利润 影响为</w:t>
            </w:r>
            <w:r>
              <w:rPr>
                <w:rFonts w:ascii="Times New Roman" w:eastAsia="Times New Roman" w:hAnsi="Times New Roman" w:cs="Times New Roman"/>
                <w:color w:val="000000"/>
                <w:spacing w:val="0"/>
                <w:w w:val="100"/>
                <w:position w:val="0"/>
              </w:rPr>
              <w:t>49.77</w:t>
            </w:r>
            <w:r>
              <w:rPr>
                <w:color w:val="000000"/>
                <w:spacing w:val="0"/>
                <w:w w:val="100"/>
                <w:position w:val="0"/>
              </w:rPr>
              <w:t>万元。</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南京汇聚智融信息技术有限公司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转让处置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公司本次转让南京汇聚智融信息技术有 限公司的目的旨在进一步聚焦公司经营 战略，集中资源发展公司核心业务。本 次交易对公司财务状况和经营成果不产 生重大影响，不存在损害公司及广大股 东特别是中小股东的情形。本次交易对 </w:t>
            </w:r>
            <w:r>
              <w:rPr>
                <w:rFonts w:ascii="Times New Roman" w:eastAsia="Times New Roman" w:hAnsi="Times New Roman" w:cs="Times New Roman"/>
                <w:color w:val="000000"/>
                <w:spacing w:val="0"/>
                <w:w w:val="100"/>
                <w:position w:val="0"/>
              </w:rPr>
              <w:t>2020</w:t>
            </w:r>
            <w:r>
              <w:rPr>
                <w:color w:val="000000"/>
                <w:spacing w:val="0"/>
                <w:w w:val="100"/>
                <w:position w:val="0"/>
              </w:rPr>
              <w:t>年度归属于母公司所有者的净利润 影响为</w:t>
            </w:r>
            <w:r>
              <w:rPr>
                <w:rFonts w:ascii="Times New Roman" w:eastAsia="Times New Roman" w:hAnsi="Times New Roman" w:cs="Times New Roman"/>
                <w:color w:val="000000"/>
                <w:spacing w:val="0"/>
                <w:w w:val="100"/>
                <w:position w:val="0"/>
              </w:rPr>
              <w:t>112.46</w:t>
            </w:r>
            <w:r>
              <w:rPr>
                <w:color w:val="000000"/>
                <w:spacing w:val="0"/>
                <w:w w:val="100"/>
                <w:position w:val="0"/>
              </w:rPr>
              <w:t>万元。</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合肥汇聚智融信息技术有限公司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公司全资子公司合肥汇聚智融信息技术 有限公司自成立以来未开展实际经营业 务，故公司决定予以注销。本次合肥汇 聚智融信息技术有限公司不会对公司整 体业务发展和盈利水平产生不利影响， 不存在损害公司及广大股东特别是中小 股东利益的情形。</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sz w:val="24"/>
          <w:szCs w:val="24"/>
        </w:rPr>
        <w:t>八</w:t>
      </w:r>
      <w:bookmarkEnd w:id="225"/>
      <w:r>
        <w:rPr>
          <w:color w:val="000000"/>
          <w:spacing w:val="0"/>
          <w:w w:val="100"/>
          <w:position w:val="0"/>
          <w:sz w:val="24"/>
          <w:szCs w:val="24"/>
        </w:rPr>
        <w:t>、公司控制的结构化主体情况</w:t>
      </w:r>
      <w:bookmarkEnd w:id="223"/>
      <w:bookmarkEnd w:id="224"/>
      <w:bookmarkEnd w:id="226"/>
    </w:p>
    <w:p>
      <w:pPr>
        <w:pStyle w:val="Style26"/>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九</w:t>
      </w:r>
      <w:bookmarkEnd w:id="229"/>
      <w:r>
        <w:rPr>
          <w:color w:val="000000"/>
          <w:spacing w:val="0"/>
          <w:w w:val="100"/>
          <w:position w:val="0"/>
          <w:sz w:val="24"/>
          <w:szCs w:val="24"/>
        </w:rPr>
        <w:t>、公司未来发展的展望</w:t>
      </w:r>
      <w:bookmarkEnd w:id="227"/>
      <w:bookmarkEnd w:id="228"/>
      <w:bookmarkEnd w:id="230"/>
    </w:p>
    <w:p>
      <w:pPr>
        <w:pStyle w:val="Style26"/>
        <w:keepNext w:val="0"/>
        <w:keepLines w:val="0"/>
        <w:widowControl w:val="0"/>
        <w:shd w:val="clear" w:color="auto" w:fill="auto"/>
        <w:bidi w:val="0"/>
        <w:spacing w:before="0" w:after="60" w:line="240" w:lineRule="auto"/>
        <w:ind w:left="0" w:right="0" w:firstLine="520"/>
        <w:jc w:val="both"/>
      </w:pPr>
      <w:r>
        <w:rPr>
          <w:color w:val="000000"/>
          <w:spacing w:val="0"/>
          <w:w w:val="100"/>
          <w:position w:val="0"/>
        </w:rPr>
        <w:t>（一）公司发展规划</w:t>
      </w:r>
    </w:p>
    <w:p>
      <w:pPr>
        <w:pStyle w:val="Style26"/>
        <w:keepNext w:val="0"/>
        <w:keepLines w:val="0"/>
        <w:widowControl w:val="0"/>
        <w:shd w:val="clear" w:color="auto" w:fill="auto"/>
        <w:tabs>
          <w:tab w:pos="794" w:val="left"/>
        </w:tabs>
        <w:bidi w:val="0"/>
        <w:spacing w:before="0" w:after="0" w:line="240" w:lineRule="auto"/>
        <w:ind w:left="0" w:right="0" w:firstLine="520"/>
        <w:jc w:val="both"/>
      </w:pPr>
      <w:bookmarkStart w:id="231" w:name="bookmark231"/>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坚持</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发展战略</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全社会的数字化转型，正强力重塑着多数行业的产业链与价值链，同时催生出新的需求、市场与商机，经过多年的发 展，公司基于时代与环境的双重驱动结合企业定位，形成</w:t>
      </w:r>
      <w:r>
        <w:rPr>
          <w:rFonts w:ascii="Times New Roman" w:eastAsia="Times New Roman" w:hAnsi="Times New Roman" w:cs="Times New Roman"/>
          <w:color w:val="000000"/>
          <w:spacing w:val="0"/>
          <w:w w:val="100"/>
          <w:position w:val="0"/>
        </w:rPr>
        <w:t>“</w:t>
      </w:r>
      <w:r>
        <w:rPr>
          <w:color w:val="000000"/>
          <w:spacing w:val="0"/>
          <w:w w:val="100"/>
          <w:position w:val="0"/>
        </w:rPr>
        <w:t>一体两翼</w:t>
      </w:r>
      <w:r>
        <w:rPr>
          <w:rFonts w:ascii="Times New Roman" w:eastAsia="Times New Roman" w:hAnsi="Times New Roman" w:cs="Times New Roman"/>
          <w:color w:val="000000"/>
          <w:spacing w:val="0"/>
          <w:w w:val="100"/>
          <w:position w:val="0"/>
        </w:rPr>
        <w:t>”</w:t>
      </w:r>
      <w:r>
        <w:rPr>
          <w:color w:val="000000"/>
          <w:spacing w:val="0"/>
          <w:w w:val="100"/>
          <w:position w:val="0"/>
        </w:rPr>
        <w:t>发展战略。</w:t>
      </w:r>
    </w:p>
    <w:p>
      <w:pPr>
        <w:pStyle w:val="Style26"/>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一体</w:t>
      </w:r>
      <w:r>
        <w:rPr>
          <w:rFonts w:ascii="Times New Roman" w:eastAsia="Times New Roman" w:hAnsi="Times New Roman" w:cs="Times New Roman"/>
          <w:color w:val="000000"/>
          <w:spacing w:val="0"/>
          <w:w w:val="100"/>
          <w:position w:val="0"/>
        </w:rPr>
        <w:t>”</w:t>
      </w:r>
      <w:r>
        <w:rPr>
          <w:color w:val="000000"/>
          <w:spacing w:val="0"/>
          <w:w w:val="100"/>
          <w:position w:val="0"/>
        </w:rPr>
        <w:t>即：以国产化、数字化、智能化解决方案为中心，依托</w:t>
      </w:r>
      <w:r>
        <w:rPr>
          <w:rFonts w:ascii="Times New Roman" w:eastAsia="Times New Roman" w:hAnsi="Times New Roman" w:cs="Times New Roman"/>
          <w:color w:val="000000"/>
          <w:spacing w:val="0"/>
          <w:w w:val="100"/>
          <w:position w:val="0"/>
        </w:rPr>
        <w:t>“</w:t>
      </w:r>
      <w:r>
        <w:rPr>
          <w:color w:val="000000"/>
          <w:spacing w:val="0"/>
          <w:w w:val="100"/>
          <w:position w:val="0"/>
        </w:rPr>
        <w:t>需求</w:t>
      </w:r>
      <w:r>
        <w:rPr>
          <w:color w:val="000000"/>
          <w:spacing w:val="0"/>
          <w:w w:val="100"/>
          <w:position w:val="0"/>
        </w:rPr>
        <w:t>一</w:t>
      </w:r>
      <w:r>
        <w:rPr>
          <w:color w:val="000000"/>
          <w:spacing w:val="0"/>
          <w:w w:val="100"/>
          <w:position w:val="0"/>
        </w:rPr>
        <w:t>开发</w:t>
      </w:r>
      <w:r>
        <w:rPr>
          <w:color w:val="000000"/>
          <w:spacing w:val="0"/>
          <w:w w:val="100"/>
          <w:position w:val="0"/>
        </w:rPr>
        <w:t>一</w:t>
      </w:r>
      <w:r>
        <w:rPr>
          <w:color w:val="000000"/>
          <w:spacing w:val="0"/>
          <w:w w:val="100"/>
          <w:position w:val="0"/>
        </w:rPr>
        <w:t>测试</w:t>
      </w:r>
      <w:r>
        <w:rPr>
          <w:color w:val="000000"/>
          <w:spacing w:val="0"/>
          <w:w w:val="100"/>
          <w:position w:val="0"/>
        </w:rPr>
        <w:t>一</w:t>
      </w:r>
      <w:r>
        <w:rPr>
          <w:color w:val="000000"/>
          <w:spacing w:val="0"/>
          <w:w w:val="100"/>
          <w:position w:val="0"/>
        </w:rPr>
        <w:t>运维</w:t>
      </w:r>
      <w:r>
        <w:rPr>
          <w:rFonts w:ascii="Times New Roman" w:eastAsia="Times New Roman" w:hAnsi="Times New Roman" w:cs="Times New Roman"/>
          <w:color w:val="000000"/>
          <w:spacing w:val="0"/>
          <w:w w:val="100"/>
          <w:position w:val="0"/>
        </w:rPr>
        <w:t>”</w:t>
      </w:r>
      <w:r>
        <w:rPr>
          <w:color w:val="000000"/>
          <w:spacing w:val="0"/>
          <w:w w:val="100"/>
          <w:position w:val="0"/>
        </w:rPr>
        <w:t>于一体的企业基础能力共享 平台与高效能数字化专业交付体系，重点开发从芯片、硬件、底层软件到应用平台的核心产品和解决方案。</w:t>
      </w:r>
    </w:p>
    <w:p>
      <w:pPr>
        <w:pStyle w:val="Style26"/>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rPr>
        <w:t>“</w:t>
      </w:r>
      <w:r>
        <w:rPr>
          <w:color w:val="000000"/>
          <w:spacing w:val="0"/>
          <w:w w:val="100"/>
          <w:position w:val="0"/>
        </w:rPr>
        <w:t>两翼</w:t>
      </w:r>
      <w:r>
        <w:rPr>
          <w:rFonts w:ascii="Times New Roman" w:eastAsia="Times New Roman" w:hAnsi="Times New Roman" w:cs="Times New Roman"/>
          <w:color w:val="000000"/>
          <w:spacing w:val="0"/>
          <w:w w:val="100"/>
          <w:position w:val="0"/>
        </w:rPr>
        <w:t>”</w:t>
      </w:r>
      <w:r>
        <w:rPr>
          <w:color w:val="000000"/>
          <w:spacing w:val="0"/>
          <w:w w:val="100"/>
          <w:position w:val="0"/>
        </w:rPr>
        <w:t>即：一翼为金融科技业务，重点聚焦传统金融行业的数字化升级；一翼为智能物联业务，以端到端的软硬件一 体化解决方案和综合服务体系，赋能能源、工业、零售、汽车等行业物联化、智能化、数字化升级转型。</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金融科技和智能物联都是国家战略性新兴产业的重点发展领域，发展潜力巨大。公司在这两个领域已经深耕多年，已 构建起立体式的产品体系、具有较高壁垒的综合服务与技术保障体系、以及差异化的品牌优势，并形成了一定的市场业务规 模。未来公司将通过持续的研发投入不断优化产品结构和提升服务能力，抓住产业升级发展带来的机遇，坚持价值交付，实 现业务高质量、跨越式发展。</w:t>
      </w:r>
    </w:p>
    <w:p>
      <w:pPr>
        <w:pStyle w:val="Style26"/>
        <w:keepNext w:val="0"/>
        <w:keepLines w:val="0"/>
        <w:widowControl w:val="0"/>
        <w:shd w:val="clear" w:color="auto" w:fill="auto"/>
        <w:tabs>
          <w:tab w:pos="814" w:val="left"/>
        </w:tabs>
        <w:bidi w:val="0"/>
        <w:spacing w:before="0" w:after="0" w:line="314" w:lineRule="exact"/>
        <w:ind w:left="0" w:right="0" w:firstLine="520"/>
        <w:jc w:val="both"/>
      </w:pPr>
      <w:bookmarkStart w:id="232" w:name="bookmark232"/>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加大自主产品研发投入，夯实核心基础软件能力</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我国已把发展</w:t>
      </w:r>
      <w:r>
        <w:rPr>
          <w:rFonts w:ascii="Times New Roman" w:eastAsia="Times New Roman" w:hAnsi="Times New Roman" w:cs="Times New Roman"/>
          <w:color w:val="000000"/>
          <w:spacing w:val="0"/>
          <w:w w:val="100"/>
          <w:position w:val="0"/>
        </w:rPr>
        <w:t>“</w:t>
      </w:r>
      <w:r>
        <w:rPr>
          <w:color w:val="000000"/>
          <w:spacing w:val="0"/>
          <w:w w:val="100"/>
          <w:position w:val="0"/>
        </w:rPr>
        <w:t>信创产业</w:t>
      </w:r>
      <w:r>
        <w:rPr>
          <w:rFonts w:ascii="Times New Roman" w:eastAsia="Times New Roman" w:hAnsi="Times New Roman" w:cs="Times New Roman"/>
          <w:color w:val="000000"/>
          <w:spacing w:val="0"/>
          <w:w w:val="100"/>
          <w:position w:val="0"/>
        </w:rPr>
        <w:t>”</w:t>
      </w:r>
      <w:r>
        <w:rPr>
          <w:color w:val="000000"/>
          <w:spacing w:val="0"/>
          <w:w w:val="100"/>
          <w:position w:val="0"/>
        </w:rPr>
        <w:t>提升到国家战略的高度，力争实现芯片、硬件系统、基础软件、中间件、云计算等各关键技 术的自主可控，未来这一国家战略的分步实施落地将给整个信息技术产业带来巨大市场空间。公司作为中国信息技术领域的 领军企业之一，一直积极参与信创产品和解决方案的开发与推广。</w:t>
      </w:r>
      <w:r>
        <w:rPr>
          <w:rFonts w:ascii="Times New Roman" w:eastAsia="Times New Roman" w:hAnsi="Times New Roman" w:cs="Times New Roman"/>
          <w:color w:val="000000"/>
          <w:spacing w:val="0"/>
          <w:w w:val="100"/>
          <w:position w:val="0"/>
        </w:rPr>
        <w:t>2020</w:t>
      </w:r>
      <w:r>
        <w:rPr>
          <w:color w:val="000000"/>
          <w:spacing w:val="0"/>
          <w:w w:val="100"/>
          <w:position w:val="0"/>
        </w:rPr>
        <w:t>年，公司在国产操作系统、云计算、大数据、人工智 能等技术领域已实现产品突破，并通过了与主流国产硬件平台和中间件软件的兼容性测试，初步具备了全国产化的基础软件 栈。公司将在已发布的润和软件《未来三年（</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）产品研发战略规划》的指引下，整合内外资源，紧抓软硬件产品 国产化技术主线，形成拥有自主知识产权的信创产品和解决方案，包括但不仅限于基础软件、自动化测试工具与平台、行业 业务枢纽平台、信创软硬一体化产品。</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未来，公司将围绕互联网金融创新，</w:t>
      </w:r>
      <w:r>
        <w:rPr>
          <w:rFonts w:ascii="Times New Roman" w:eastAsia="Times New Roman" w:hAnsi="Times New Roman" w:cs="Times New Roman"/>
          <w:color w:val="000000"/>
          <w:spacing w:val="0"/>
          <w:w w:val="100"/>
          <w:position w:val="0"/>
        </w:rPr>
        <w:t>AI</w:t>
      </w:r>
      <w:r>
        <w:rPr>
          <w:color w:val="000000"/>
          <w:spacing w:val="0"/>
          <w:w w:val="100"/>
          <w:position w:val="0"/>
        </w:rPr>
        <w:t>技术在电力等物联网应用场景的创新，汽车智能化创新，鸿蒙技术的研发、应 用与创新等几个大方向开展创新业务、产品研发、技术储备与团队建设。</w:t>
      </w:r>
    </w:p>
    <w:p>
      <w:pPr>
        <w:pStyle w:val="Style26"/>
        <w:keepNext w:val="0"/>
        <w:keepLines w:val="0"/>
        <w:widowControl w:val="0"/>
        <w:shd w:val="clear" w:color="auto" w:fill="auto"/>
        <w:tabs>
          <w:tab w:pos="814" w:val="left"/>
        </w:tabs>
        <w:bidi w:val="0"/>
        <w:spacing w:before="0" w:after="0" w:line="314" w:lineRule="exact"/>
        <w:ind w:left="0" w:right="0" w:firstLine="520"/>
        <w:jc w:val="both"/>
      </w:pPr>
      <w:bookmarkStart w:id="233" w:name="bookmark233"/>
      <w:r>
        <w:rPr>
          <w:rFonts w:ascii="Times New Roman" w:eastAsia="Times New Roman" w:hAnsi="Times New Roman" w:cs="Times New Roman"/>
          <w:color w:val="000000"/>
          <w:spacing w:val="0"/>
          <w:w w:val="100"/>
          <w:position w:val="0"/>
        </w:rPr>
        <w:t>3</w:t>
      </w:r>
      <w:bookmarkEnd w:id="233"/>
      <w:r>
        <w:rPr>
          <w:color w:val="000000"/>
          <w:spacing w:val="0"/>
          <w:w w:val="100"/>
          <w:position w:val="0"/>
        </w:rPr>
        <w:t>、</w:t>
        <w:tab/>
        <w:t>持续优化服务模式，坚持价值交付，提升盈利水平</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公司目前已逐步实现产品交付结合差异化服务的商业模式。相比于</w:t>
      </w:r>
      <w:r>
        <w:rPr>
          <w:rFonts w:ascii="Times New Roman" w:eastAsia="Times New Roman" w:hAnsi="Times New Roman" w:cs="Times New Roman"/>
          <w:color w:val="000000"/>
          <w:spacing w:val="0"/>
          <w:w w:val="100"/>
          <w:position w:val="0"/>
        </w:rPr>
        <w:t>“</w:t>
      </w:r>
      <w:r>
        <w:rPr>
          <w:color w:val="000000"/>
          <w:spacing w:val="0"/>
          <w:w w:val="100"/>
          <w:position w:val="0"/>
        </w:rPr>
        <w:t>基础交付</w:t>
      </w:r>
      <w:r>
        <w:rPr>
          <w:rFonts w:ascii="Times New Roman" w:eastAsia="Times New Roman" w:hAnsi="Times New Roman" w:cs="Times New Roman"/>
          <w:color w:val="000000"/>
          <w:spacing w:val="0"/>
          <w:w w:val="100"/>
          <w:position w:val="0"/>
        </w:rPr>
        <w:t>”</w:t>
      </w:r>
      <w:r>
        <w:rPr>
          <w:color w:val="000000"/>
          <w:spacing w:val="0"/>
          <w:w w:val="100"/>
          <w:position w:val="0"/>
        </w:rPr>
        <w:t>，具有更高技术壁垒和服务要求的</w:t>
      </w:r>
      <w:r>
        <w:rPr>
          <w:rFonts w:ascii="Times New Roman" w:eastAsia="Times New Roman" w:hAnsi="Times New Roman" w:cs="Times New Roman"/>
          <w:color w:val="000000"/>
          <w:spacing w:val="0"/>
          <w:w w:val="100"/>
          <w:position w:val="0"/>
        </w:rPr>
        <w:t>“</w:t>
      </w:r>
      <w:r>
        <w:rPr>
          <w:color w:val="000000"/>
          <w:spacing w:val="0"/>
          <w:w w:val="100"/>
          <w:position w:val="0"/>
        </w:rPr>
        <w:t>专 业交付</w:t>
      </w:r>
      <w:r>
        <w:rPr>
          <w:rFonts w:ascii="Times New Roman" w:eastAsia="Times New Roman" w:hAnsi="Times New Roman" w:cs="Times New Roman"/>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rPr>
        <w:t>“</w:t>
      </w:r>
      <w:r>
        <w:rPr>
          <w:color w:val="000000"/>
          <w:spacing w:val="0"/>
          <w:w w:val="100"/>
          <w:position w:val="0"/>
        </w:rPr>
        <w:t>综合服务</w:t>
      </w:r>
      <w:r>
        <w:rPr>
          <w:rFonts w:ascii="Times New Roman" w:eastAsia="Times New Roman" w:hAnsi="Times New Roman" w:cs="Times New Roman"/>
          <w:color w:val="000000"/>
          <w:spacing w:val="0"/>
          <w:w w:val="100"/>
          <w:position w:val="0"/>
        </w:rPr>
        <w:t>”</w:t>
      </w:r>
      <w:r>
        <w:rPr>
          <w:color w:val="000000"/>
          <w:spacing w:val="0"/>
          <w:w w:val="100"/>
          <w:position w:val="0"/>
        </w:rPr>
        <w:t>在整个公司业务中的占比逐步加大，为公司业务结构的优化及盈利水平的提高提供了保证。</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未来，公司将围绕既定的发展战略，从新模式、新体系、新人才三个方面持续提升。新模式是指针对不同类型的项目 和业务，采用与之相匹配的</w:t>
      </w:r>
      <w:r>
        <w:rPr>
          <w:rFonts w:ascii="Times New Roman" w:eastAsia="Times New Roman" w:hAnsi="Times New Roman" w:cs="Times New Roman"/>
          <w:color w:val="000000"/>
          <w:spacing w:val="0"/>
          <w:w w:val="100"/>
          <w:position w:val="0"/>
        </w:rPr>
        <w:t>“</w:t>
      </w:r>
      <w:r>
        <w:rPr>
          <w:color w:val="000000"/>
          <w:spacing w:val="0"/>
          <w:w w:val="100"/>
          <w:position w:val="0"/>
        </w:rPr>
        <w:t>定制化</w:t>
      </w:r>
      <w:r>
        <w:rPr>
          <w:rFonts w:ascii="Times New Roman" w:eastAsia="Times New Roman" w:hAnsi="Times New Roman" w:cs="Times New Roman"/>
          <w:color w:val="000000"/>
          <w:spacing w:val="0"/>
          <w:w w:val="100"/>
          <w:position w:val="0"/>
        </w:rPr>
        <w:t>”</w:t>
      </w:r>
      <w:r>
        <w:rPr>
          <w:color w:val="000000"/>
          <w:spacing w:val="0"/>
          <w:w w:val="100"/>
          <w:position w:val="0"/>
        </w:rPr>
        <w:t>的商业、运管、考核、激励模式，更加科学有效、有针对性地促进业务平稳快速发展。 新体系是指，优化技术研发、市场品牌、项目管理、组织流程等体系，为业务发展提供强劲有力的支撑。新人才是指，培育 高质量、高匹配度的人力资源队伍，建设灵活高效的人力资源池，做好人才发展等配套工作。</w:t>
      </w:r>
    </w:p>
    <w:p>
      <w:pPr>
        <w:pStyle w:val="Style26"/>
        <w:keepNext w:val="0"/>
        <w:keepLines w:val="0"/>
        <w:widowControl w:val="0"/>
        <w:shd w:val="clear" w:color="auto" w:fill="auto"/>
        <w:tabs>
          <w:tab w:pos="814" w:val="left"/>
        </w:tabs>
        <w:bidi w:val="0"/>
        <w:spacing w:before="0" w:after="0" w:line="314" w:lineRule="exact"/>
        <w:ind w:left="0" w:right="0" w:firstLine="520"/>
        <w:jc w:val="both"/>
      </w:pPr>
      <w:bookmarkStart w:id="234" w:name="bookmark234"/>
      <w:r>
        <w:rPr>
          <w:rFonts w:ascii="Times New Roman" w:eastAsia="Times New Roman" w:hAnsi="Times New Roman" w:cs="Times New Roman"/>
          <w:color w:val="000000"/>
          <w:spacing w:val="0"/>
          <w:w w:val="100"/>
          <w:position w:val="0"/>
        </w:rPr>
        <w:t>4</w:t>
      </w:r>
      <w:bookmarkEnd w:id="234"/>
      <w:r>
        <w:rPr>
          <w:color w:val="000000"/>
          <w:spacing w:val="0"/>
          <w:w w:val="100"/>
          <w:position w:val="0"/>
        </w:rPr>
        <w:t>、</w:t>
        <w:tab/>
        <w:t>积极融入产业生态，占据有利的位置，提升品牌影响力</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未来市场的竞争不再单纯是企业个体间的竞争，而更多的是产业生态之间的竞争。融入强势生态并且在生态中取得优 势地位将对企业的持续发展产生至关重要的作用。公司在业务发展过程中，已和阿里（包括阿里云）、华为（包括海思）达 成战略合作，并融入到阿里和华为所构建的相关生态当中，展开从技术到业务、从产品到服务的多层次合作，借助产业生态 拓展业务是公司未来重要的市场策略。</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在金融科技领域，公司是阿里云的首选生态合作伙伴，双方将在系统集成与本地化交付、</w:t>
      </w:r>
      <w:r>
        <w:rPr>
          <w:rFonts w:ascii="Times New Roman" w:eastAsia="Times New Roman" w:hAnsi="Times New Roman" w:cs="Times New Roman"/>
          <w:color w:val="000000"/>
          <w:spacing w:val="0"/>
          <w:w w:val="100"/>
          <w:position w:val="0"/>
        </w:rPr>
        <w:t>BPaaS</w:t>
      </w:r>
      <w:r>
        <w:rPr>
          <w:color w:val="000000"/>
          <w:spacing w:val="0"/>
          <w:w w:val="100"/>
          <w:position w:val="0"/>
        </w:rPr>
        <w:t>解决方案、第三方零 售资产主动风控、供应链金融等多个领域展开战略合作。</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在智能物联领域，公司和华为多部门开展了长期业务合作，</w:t>
      </w:r>
      <w:r>
        <w:rPr>
          <w:rFonts w:ascii="Times New Roman" w:eastAsia="Times New Roman" w:hAnsi="Times New Roman" w:cs="Times New Roman"/>
          <w:color w:val="000000"/>
          <w:spacing w:val="0"/>
          <w:w w:val="100"/>
          <w:position w:val="0"/>
        </w:rPr>
        <w:t>2020</w:t>
      </w:r>
      <w:r>
        <w:rPr>
          <w:color w:val="000000"/>
          <w:spacing w:val="0"/>
          <w:w w:val="100"/>
          <w:position w:val="0"/>
        </w:rPr>
        <w:t>年在华为开源三支柱（</w:t>
      </w:r>
      <w:r>
        <w:rPr>
          <w:rFonts w:ascii="Times New Roman" w:eastAsia="Times New Roman" w:hAnsi="Times New Roman" w:cs="Times New Roman"/>
          <w:color w:val="000000"/>
          <w:spacing w:val="0"/>
          <w:w w:val="100"/>
          <w:position w:val="0"/>
        </w:rPr>
        <w:t>OpenEuler</w:t>
      </w:r>
      <w:r>
        <w:rPr>
          <w:color w:val="000000"/>
          <w:spacing w:val="0"/>
          <w:w w:val="100"/>
          <w:position w:val="0"/>
        </w:rPr>
        <w:t>、</w:t>
      </w:r>
      <w:r>
        <w:rPr>
          <w:rFonts w:ascii="Times New Roman" w:eastAsia="Times New Roman" w:hAnsi="Times New Roman" w:cs="Times New Roman"/>
          <w:color w:val="000000"/>
          <w:spacing w:val="0"/>
          <w:w w:val="100"/>
          <w:position w:val="0"/>
        </w:rPr>
        <w:t>OpenGauss</w:t>
      </w:r>
      <w:r>
        <w:rPr>
          <w:color w:val="000000"/>
          <w:spacing w:val="0"/>
          <w:w w:val="100"/>
          <w:position w:val="0"/>
        </w:rPr>
        <w:t xml:space="preserve">和 </w:t>
      </w:r>
      <w:r>
        <w:rPr>
          <w:rFonts w:ascii="Times New Roman" w:eastAsia="Times New Roman" w:hAnsi="Times New Roman" w:cs="Times New Roman"/>
          <w:color w:val="000000"/>
          <w:spacing w:val="0"/>
          <w:w w:val="100"/>
          <w:position w:val="0"/>
        </w:rPr>
        <w:t xml:space="preserve">MindSpore </w:t>
      </w:r>
      <w:r>
        <w:rPr>
          <w:color w:val="000000"/>
          <w:spacing w:val="0"/>
          <w:w w:val="100"/>
          <w:position w:val="0"/>
        </w:rPr>
        <w:t>）业务生态合作方面取得突破，同时作为首批加入鲲鹏产业联盟的企业，公司开发了面向金融科技、智能电力的 一系列基于鲲鹏的解决方案，成为构建鲲鹏计算生态的先行者。未来、公司将在海思、鲲鹏、鸿蒙等全场景智能生态中继续 深化与华为的合作。</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公司将继续加强与战略伙伴的合作，巩固自身在伙伴生态中的地位，把公司的市场战略与伙伴生态的合作进行深度绑 定，充分运用生态资源，占据未来市场有利位置，提升品牌影响力，确立细分领域领军地位。</w:t>
      </w:r>
    </w:p>
    <w:p>
      <w:pPr>
        <w:pStyle w:val="Style26"/>
        <w:keepNext w:val="0"/>
        <w:keepLines w:val="0"/>
        <w:widowControl w:val="0"/>
        <w:shd w:val="clear" w:color="auto" w:fill="auto"/>
        <w:bidi w:val="0"/>
        <w:spacing w:before="0" w:after="0" w:line="312" w:lineRule="exact"/>
        <w:ind w:left="0" w:right="0" w:firstLine="520"/>
        <w:jc w:val="both"/>
      </w:pPr>
      <w:bookmarkStart w:id="235" w:name="bookmark235"/>
      <w:r>
        <w:rPr>
          <w:rFonts w:ascii="Times New Roman" w:eastAsia="Times New Roman" w:hAnsi="Times New Roman" w:cs="Times New Roman"/>
          <w:color w:val="000000"/>
          <w:spacing w:val="0"/>
          <w:w w:val="100"/>
          <w:position w:val="0"/>
        </w:rPr>
        <w:t>5</w:t>
      </w:r>
      <w:bookmarkEnd w:id="235"/>
      <w:r>
        <w:rPr>
          <w:color w:val="000000"/>
          <w:spacing w:val="0"/>
          <w:w w:val="100"/>
          <w:position w:val="0"/>
        </w:rPr>
        <w:t>、通过内外资源整合与拉动，加快创新业务的孵化培育</w:t>
      </w:r>
    </w:p>
    <w:p>
      <w:pPr>
        <w:pStyle w:val="Style26"/>
        <w:keepNext w:val="0"/>
        <w:keepLines w:val="0"/>
        <w:widowControl w:val="0"/>
        <w:shd w:val="clear" w:color="auto" w:fill="auto"/>
        <w:bidi w:val="0"/>
        <w:spacing w:before="0" w:after="300" w:line="312" w:lineRule="exact"/>
        <w:ind w:left="0" w:right="0" w:firstLine="520"/>
        <w:jc w:val="both"/>
      </w:pPr>
      <w:r>
        <w:rPr>
          <w:color w:val="000000"/>
          <w:spacing w:val="0"/>
          <w:w w:val="100"/>
          <w:position w:val="0"/>
        </w:rPr>
        <w:t>未来，在战略规划方向上，公司将采用内部赋能和外部引进相结合的方式，对新技术、新团队进行孵化培育，补齐技 术短板，补充和完善已有的产品线；以投资管理部门、战略业务部门和市场营销部门共同推动创新成果的快速落地，应对市 场变化，形成持续发展的</w:t>
      </w:r>
      <w:r>
        <w:rPr>
          <w:rFonts w:ascii="Times New Roman" w:eastAsia="Times New Roman" w:hAnsi="Times New Roman" w:cs="Times New Roman"/>
          <w:color w:val="000000"/>
          <w:spacing w:val="0"/>
          <w:w w:val="100"/>
          <w:position w:val="0"/>
        </w:rPr>
        <w:t>“</w:t>
      </w:r>
      <w:r>
        <w:rPr>
          <w:color w:val="000000"/>
          <w:spacing w:val="0"/>
          <w:w w:val="100"/>
          <w:position w:val="0"/>
        </w:rPr>
        <w:t>新动力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（二）公司经营面临的风险因素</w:t>
      </w:r>
    </w:p>
    <w:p>
      <w:pPr>
        <w:pStyle w:val="Style26"/>
        <w:keepNext w:val="0"/>
        <w:keepLines w:val="0"/>
        <w:widowControl w:val="0"/>
        <w:shd w:val="clear" w:color="auto" w:fill="auto"/>
        <w:tabs>
          <w:tab w:pos="794" w:val="left"/>
        </w:tabs>
        <w:bidi w:val="0"/>
        <w:spacing w:before="0" w:after="0" w:line="313" w:lineRule="exact"/>
        <w:ind w:left="0" w:right="0" w:firstLine="520"/>
        <w:jc w:val="both"/>
      </w:pPr>
      <w:bookmarkStart w:id="236" w:name="bookmark236"/>
      <w:r>
        <w:rPr>
          <w:rFonts w:ascii="Times New Roman" w:eastAsia="Times New Roman" w:hAnsi="Times New Roman" w:cs="Times New Roman"/>
          <w:color w:val="000000"/>
          <w:spacing w:val="0"/>
          <w:w w:val="100"/>
          <w:position w:val="0"/>
        </w:rPr>
        <w:t>1</w:t>
      </w:r>
      <w:bookmarkEnd w:id="236"/>
      <w:r>
        <w:rPr>
          <w:color w:val="000000"/>
          <w:spacing w:val="0"/>
          <w:w w:val="100"/>
          <w:position w:val="0"/>
        </w:rPr>
        <w:t>、</w:t>
        <w:tab/>
        <w:t>技术创新及新产品开发风险</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技术创新和新产品开发对公司的市场竞争力和未来发展具有重要影响。公司所处行业技术革新速度较快，随着</w:t>
      </w:r>
      <w:r>
        <w:rPr>
          <w:rFonts w:ascii="Times New Roman" w:eastAsia="Times New Roman" w:hAnsi="Times New Roman" w:cs="Times New Roman"/>
          <w:color w:val="000000"/>
          <w:spacing w:val="0"/>
          <w:w w:val="100"/>
          <w:position w:val="0"/>
        </w:rPr>
        <w:t>5G</w:t>
      </w:r>
      <w:r>
        <w:rPr>
          <w:color w:val="000000"/>
          <w:spacing w:val="0"/>
          <w:w w:val="100"/>
          <w:position w:val="0"/>
        </w:rPr>
        <w:t xml:space="preserve">、 </w:t>
      </w:r>
      <w:r>
        <w:rPr>
          <w:color w:val="000000"/>
          <w:spacing w:val="0"/>
          <w:w w:val="100"/>
          <w:position w:val="0"/>
        </w:rPr>
        <w:t>物联网、大数据、人工智能等技术的加速应用和普及，相关技术的应用深度、广度不断拓展，新技术、新产品不断涌现，如 果公司无法基于目前已有的核心技术紧跟市场方向进一步取得技术创新及突破，将会导致公司无法保持其市场占有规模并优 先取得市场发展机会，对公司进一步发展产生不利影响。公司将进一步加强行业发展趋势的研究，进一步加强对市场的调研， 收集客户当前和未来的需求信息，做好新产品研发的可行性分析；进一步完善激励机制，鼓励技术人员技术创新和新产品开 发；同时，公司将继续保持研发投入，研究前瞻性软件技术、产品和行业业务模式，保证公司的技术先进性。</w:t>
      </w:r>
    </w:p>
    <w:p>
      <w:pPr>
        <w:pStyle w:val="Style26"/>
        <w:keepNext w:val="0"/>
        <w:keepLines w:val="0"/>
        <w:widowControl w:val="0"/>
        <w:shd w:val="clear" w:color="auto" w:fill="auto"/>
        <w:tabs>
          <w:tab w:pos="814" w:val="left"/>
        </w:tabs>
        <w:bidi w:val="0"/>
        <w:spacing w:before="0" w:after="0" w:line="313" w:lineRule="exact"/>
        <w:ind w:left="0" w:right="0" w:firstLine="520"/>
        <w:jc w:val="both"/>
      </w:pPr>
      <w:bookmarkStart w:id="237" w:name="bookmark237"/>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核心员工流失的管理风险</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公司属于人才密集型行业，企业发展高度依赖人力资源，近些年来人力资源成本快速上涨，而行业竞争日趋激烈，对 人才的争夺亦趋于白热化，企业间的高薪招聘等因素都为核心员工的流动提供了客观条件。公司为了避免核心人员流失，稳 定员工团队，一直重点关注人力资源体系的建设，通过多年的建设和实践已建成一个高效的人力资源体系，包括建立以人为 本的企业文化、员工职业生涯发展规划、渐进式的培训体系、技术人员任职资格鉴定、科学合理的薪酬及绩效体系、优秀人 才特别奖励办法等。同时公司也将采用股权激励、员工持股计划等激励方式，与优秀员工共享公司发展成果。</w:t>
      </w:r>
    </w:p>
    <w:p>
      <w:pPr>
        <w:pStyle w:val="Style26"/>
        <w:keepNext w:val="0"/>
        <w:keepLines w:val="0"/>
        <w:widowControl w:val="0"/>
        <w:shd w:val="clear" w:color="auto" w:fill="auto"/>
        <w:tabs>
          <w:tab w:pos="814" w:val="left"/>
        </w:tabs>
        <w:bidi w:val="0"/>
        <w:spacing w:before="0" w:after="0" w:line="313" w:lineRule="exact"/>
        <w:ind w:left="0" w:right="0" w:firstLine="520"/>
        <w:jc w:val="both"/>
      </w:pPr>
      <w:bookmarkStart w:id="238" w:name="bookmark238"/>
      <w:r>
        <w:rPr>
          <w:rFonts w:ascii="Times New Roman" w:eastAsia="Times New Roman" w:hAnsi="Times New Roman" w:cs="Times New Roman"/>
          <w:color w:val="000000"/>
          <w:spacing w:val="0"/>
          <w:w w:val="100"/>
          <w:position w:val="0"/>
        </w:rPr>
        <w:t>3</w:t>
      </w:r>
      <w:bookmarkEnd w:id="238"/>
      <w:r>
        <w:rPr>
          <w:color w:val="000000"/>
          <w:spacing w:val="0"/>
          <w:w w:val="100"/>
          <w:position w:val="0"/>
        </w:rPr>
        <w:t>、</w:t>
        <w:tab/>
        <w:t>人力成本上升的风险</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作为人才密集型企业，公司最主要的经营成本是人力成本。随着中国经济的快速发展，城市生活成本的上升，社会平 均工资逐年递增，尤其是大中城市，具有丰富业务经验的中高端人才工资薪酬呈上升趋势。随着生活水平的提高以及社会工 资水平的上涨，公司面临人力成本上升导致利润水平下降的风险。公司将采用提高效率，提高价值附加，优化成本与收入结 构以及提高员工利用效率等方法来保障利润水平的增长，并以数字化升级战略推动公司从人才与技术密集型向科技密集型升 级。</w:t>
      </w:r>
    </w:p>
    <w:p>
      <w:pPr>
        <w:pStyle w:val="Style26"/>
        <w:keepNext w:val="0"/>
        <w:keepLines w:val="0"/>
        <w:widowControl w:val="0"/>
        <w:shd w:val="clear" w:color="auto" w:fill="auto"/>
        <w:tabs>
          <w:tab w:pos="814" w:val="left"/>
        </w:tabs>
        <w:bidi w:val="0"/>
        <w:spacing w:before="0" w:after="0" w:line="313" w:lineRule="exact"/>
        <w:ind w:left="0" w:right="0" w:firstLine="520"/>
        <w:jc w:val="both"/>
      </w:pPr>
      <w:bookmarkStart w:id="239" w:name="bookmark239"/>
      <w:r>
        <w:rPr>
          <w:rFonts w:ascii="Times New Roman" w:eastAsia="Times New Roman" w:hAnsi="Times New Roman" w:cs="Times New Roman"/>
          <w:color w:val="000000"/>
          <w:spacing w:val="0"/>
          <w:w w:val="100"/>
          <w:position w:val="0"/>
        </w:rPr>
        <w:t>4</w:t>
      </w:r>
      <w:bookmarkEnd w:id="239"/>
      <w:r>
        <w:rPr>
          <w:color w:val="000000"/>
          <w:spacing w:val="0"/>
          <w:w w:val="100"/>
          <w:position w:val="0"/>
        </w:rPr>
        <w:t>、</w:t>
        <w:tab/>
        <w:t>应收账款回收风险</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公司开发的软件业务从合同签订到验收需要经历设计、开发、测试和上线试运行阶段，周期较长，且大多项目依据合 同分阶段验收，项目验收与客户付款之间存在时间差，同时，随着新客户的开发和业务规模的扩大，在原有的回款政策不变 的情形下，应收账款余额会不断增加，虽然期末应收账款都在结算期内，公司也已按照坏账准备政策提取了坏账准备，但仍 不排除因客户信用恶化导致坏账准备提取不足和应收款项发生坏账损失的风险。公司不断建立和完善信用审批前的信用调 查、建立并有效执行了谨慎合理的坏账准备计提政策、严格的应收账款催收制度以及应收账款回收率与销售业绩挂钩的业务 考核机制，将应收账款发生坏账的风险降低到可承受的水平。</w:t>
      </w:r>
    </w:p>
    <w:p>
      <w:pPr>
        <w:pStyle w:val="Style26"/>
        <w:keepNext w:val="0"/>
        <w:keepLines w:val="0"/>
        <w:widowControl w:val="0"/>
        <w:shd w:val="clear" w:color="auto" w:fill="auto"/>
        <w:tabs>
          <w:tab w:pos="814" w:val="left"/>
        </w:tabs>
        <w:bidi w:val="0"/>
        <w:spacing w:before="0" w:after="0" w:line="313" w:lineRule="exact"/>
        <w:ind w:left="0" w:right="0" w:firstLine="520"/>
        <w:jc w:val="both"/>
      </w:pPr>
      <w:bookmarkStart w:id="240" w:name="bookmark240"/>
      <w:r>
        <w:rPr>
          <w:rFonts w:ascii="Times New Roman" w:eastAsia="Times New Roman" w:hAnsi="Times New Roman" w:cs="Times New Roman"/>
          <w:color w:val="000000"/>
          <w:spacing w:val="0"/>
          <w:w w:val="100"/>
          <w:position w:val="0"/>
        </w:rPr>
        <w:t>5</w:t>
      </w:r>
      <w:bookmarkEnd w:id="240"/>
      <w:r>
        <w:rPr>
          <w:color w:val="000000"/>
          <w:spacing w:val="0"/>
          <w:w w:val="100"/>
          <w:position w:val="0"/>
        </w:rPr>
        <w:t>、</w:t>
        <w:tab/>
        <w:t>商誉减值风险</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经测试，本报告期商誉虽未发生减值，但未来若发生因国家政策变化、金融科技行业发展不乐观、自身业务下降或者 其他因素导致未来经营状况和盈利能力未达预期，则公司存在商誉减值的风险，若一旦集中计提大额的商誉减值，将对公司 盈利水平产生较大的不利影响。公司将建立相应的内控管理制度，每年对商誉进行减值测试。公司仍将以现有金融科技业务 板块为基础，加强对并购标的资产在企业文化、业务战略、市场开拓、人员发展、技术开发、经营管理等方面的整合，提高 标的资产的盈利能力，从而降低商誉减值风险。</w:t>
      </w:r>
    </w:p>
    <w:p>
      <w:pPr>
        <w:pStyle w:val="Style26"/>
        <w:keepNext w:val="0"/>
        <w:keepLines w:val="0"/>
        <w:widowControl w:val="0"/>
        <w:shd w:val="clear" w:color="auto" w:fill="auto"/>
        <w:tabs>
          <w:tab w:pos="809" w:val="left"/>
        </w:tabs>
        <w:bidi w:val="0"/>
        <w:spacing w:before="0" w:after="0" w:line="313" w:lineRule="exact"/>
        <w:ind w:left="0" w:right="0" w:firstLine="520"/>
        <w:jc w:val="both"/>
      </w:pPr>
      <w:bookmarkStart w:id="241" w:name="bookmark241"/>
      <w:r>
        <w:rPr>
          <w:rFonts w:ascii="Times New Roman" w:eastAsia="Times New Roman" w:hAnsi="Times New Roman" w:cs="Times New Roman"/>
          <w:color w:val="000000"/>
          <w:spacing w:val="0"/>
          <w:w w:val="100"/>
          <w:position w:val="0"/>
        </w:rPr>
        <w:t>6</w:t>
      </w:r>
      <w:bookmarkEnd w:id="241"/>
      <w:r>
        <w:rPr>
          <w:color w:val="000000"/>
          <w:spacing w:val="0"/>
          <w:w w:val="100"/>
          <w:position w:val="0"/>
        </w:rPr>
        <w:t>、</w:t>
        <w:tab/>
        <w:t>新冠肺炎疫情带来的不确定风险</w:t>
      </w:r>
    </w:p>
    <w:p>
      <w:pPr>
        <w:pStyle w:val="Style26"/>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年初，国内新型冠状病毒肺炎疫情爆发，致使全国众多行业均受到不同程度的影响。公司业务主要分布在国内， 国际业务占比较小。此次疫情对公司的影响主要表现为客户延期复工，当前国内疫情已得到有效控制，但海外疫情仍呈现一 定不确定性，若国内疫情出现反复或加剧，将可能对公司未来生产经营和盈利水平产生不利影响。</w:t>
      </w:r>
    </w:p>
    <w:p>
      <w:pPr>
        <w:pStyle w:val="Style24"/>
        <w:keepNext/>
        <w:keepLines/>
        <w:widowControl w:val="0"/>
        <w:shd w:val="clear" w:color="auto" w:fill="auto"/>
        <w:bidi w:val="0"/>
        <w:spacing w:before="0" w:after="360" w:line="240" w:lineRule="auto"/>
        <w:ind w:left="0" w:right="0" w:firstLine="0"/>
        <w:jc w:val="left"/>
      </w:pPr>
      <w:bookmarkStart w:id="242" w:name="bookmark242"/>
      <w:bookmarkStart w:id="243" w:name="bookmark243"/>
      <w:bookmarkStart w:id="244" w:name="bookmark244"/>
      <w:r>
        <w:rPr>
          <w:color w:val="000000"/>
          <w:spacing w:val="0"/>
          <w:w w:val="100"/>
          <w:position w:val="0"/>
          <w:sz w:val="24"/>
          <w:szCs w:val="24"/>
        </w:rPr>
        <w:t>十、接待调研、沟通、采访等活动登记表</w:t>
      </w:r>
      <w:bookmarkEnd w:id="242"/>
      <w:bookmarkEnd w:id="243"/>
      <w:bookmarkEnd w:id="244"/>
    </w:p>
    <w:p>
      <w:pPr>
        <w:pStyle w:val="Style30"/>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、报告期内接待调研、沟通、采访等活动登记表</w:t>
      </w:r>
      <w:bookmarkEnd w:id="245"/>
      <w:bookmarkEnd w:id="246"/>
      <w:bookmarkEnd w:id="248"/>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0" w:right="1071" w:bottom="1441" w:left="1052"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540" w:line="240" w:lineRule="auto"/>
        <w:ind w:left="0" w:right="0" w:firstLine="0"/>
        <w:jc w:val="center"/>
      </w:pPr>
      <w:bookmarkStart w:id="249" w:name="bookmark249"/>
      <w:bookmarkStart w:id="250" w:name="bookmark250"/>
      <w:bookmarkStart w:id="251" w:name="bookmark251"/>
      <w:r>
        <w:rPr>
          <w:color w:val="000000"/>
          <w:spacing w:val="0"/>
          <w:w w:val="100"/>
          <w:position w:val="0"/>
        </w:rPr>
        <w:t>第五节重要事项</w:t>
      </w:r>
      <w:bookmarkEnd w:id="249"/>
      <w:bookmarkEnd w:id="250"/>
      <w:bookmarkEnd w:id="251"/>
    </w:p>
    <w:p>
      <w:pPr>
        <w:pStyle w:val="Style24"/>
        <w:keepNext/>
        <w:keepLines/>
        <w:widowControl w:val="0"/>
        <w:shd w:val="clear" w:color="auto" w:fill="auto"/>
        <w:bidi w:val="0"/>
        <w:spacing w:before="0" w:after="220" w:line="240" w:lineRule="auto"/>
        <w:ind w:left="0" w:right="0" w:firstLine="0"/>
        <w:jc w:val="left"/>
      </w:pPr>
      <w:bookmarkStart w:id="252" w:name="bookmark252"/>
      <w:bookmarkStart w:id="253" w:name="bookmark253"/>
      <w:bookmarkStart w:id="254" w:name="bookmark254"/>
      <w:bookmarkStart w:id="255" w:name="bookmark255"/>
      <w:bookmarkStart w:id="256" w:name="bookmark256"/>
      <w:r>
        <w:rPr>
          <w:color w:val="000000"/>
          <w:spacing w:val="0"/>
          <w:w w:val="100"/>
          <w:position w:val="0"/>
          <w:sz w:val="24"/>
          <w:szCs w:val="24"/>
        </w:rPr>
        <w:t>一</w:t>
      </w:r>
      <w:bookmarkEnd w:id="255"/>
      <w:r>
        <w:rPr>
          <w:color w:val="000000"/>
          <w:spacing w:val="0"/>
          <w:w w:val="100"/>
          <w:position w:val="0"/>
          <w:sz w:val="24"/>
          <w:szCs w:val="24"/>
        </w:rPr>
        <w:t>、公司普通股利润分配及资本公积金转增股本情况</w:t>
      </w:r>
      <w:bookmarkEnd w:id="253"/>
      <w:bookmarkEnd w:id="254"/>
      <w:bookmarkEnd w:id="256"/>
      <w:bookmarkEnd w:id="252"/>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报告期内普通股利润分配政策，特别是现金分红政策的制定、执行或调整情况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报告期内，公司严格按照《公司章程》中相关利润分配政策和审议程序执行利润分配方案，相关的决策程序和机制完备。 在分配预案拟定和决策时，独立董事尽职履责发表了独立意见。公司以详细公告形式向全体股东发出股东大会通知，并提供 网络投票方式，中小股东有充分表达意见和诉求的机会，以充分维护中小股东的合法权益。</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日召开第六届董事会第五次会议、第六届监事会第四次会议，于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年年度股东 大会，审议通过了《</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年度利润分配预案》，根据《公司法》、《上市公司监管指引第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号——上市公司现金分红》及《公 司章程》等的相关规定，结合公司实际经营情况和现金流情况，公司拟定</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年度利润分配预案为：不派发现金红利，不送 红股，不以公积金转增股本。</w:t>
      </w:r>
    </w:p>
    <w:p>
      <w:pPr>
        <w:pStyle w:val="Style26"/>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根据中国证券监督管理委员会《关于支持上市公司回购股份的意见》、《深圳证券交易所上市公司回购股份实施细则》 的相关规定，公司以现金为对价，采用要约方式、集中竞价方式回购股份的，当年已实施的回购股份金额视同现金分红金额， 纳入该年度现金分红的相关比例计算。</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年度，公司通过股份回购专用证券账户以集中竞价交易方式累计回购股份数量为 </w:t>
      </w:r>
      <w:r>
        <w:rPr>
          <w:rFonts w:ascii="Times New Roman" w:eastAsia="Times New Roman" w:hAnsi="Times New Roman" w:cs="Times New Roman"/>
          <w:color w:val="000000"/>
          <w:spacing w:val="0"/>
          <w:w w:val="100"/>
          <w:position w:val="0"/>
        </w:rPr>
        <w:t>1,486,844</w:t>
      </w:r>
      <w:r>
        <w:rPr>
          <w:color w:val="000000"/>
          <w:spacing w:val="0"/>
          <w:w w:val="100"/>
          <w:position w:val="0"/>
        </w:rPr>
        <w:t>股，累计成交总金额</w:t>
      </w:r>
      <w:r>
        <w:rPr>
          <w:rFonts w:ascii="Times New Roman" w:eastAsia="Times New Roman" w:hAnsi="Times New Roman" w:cs="Times New Roman"/>
          <w:color w:val="000000"/>
          <w:spacing w:val="0"/>
          <w:w w:val="100"/>
          <w:position w:val="0"/>
        </w:rPr>
        <w:t>13,991,786.34</w:t>
      </w:r>
      <w:r>
        <w:rPr>
          <w:color w:val="000000"/>
          <w:spacing w:val="0"/>
          <w:w w:val="100"/>
          <w:position w:val="0"/>
        </w:rPr>
        <w:t>元（不含交易费用），视同现金分红金额为</w:t>
      </w:r>
      <w:r>
        <w:rPr>
          <w:rFonts w:ascii="Times New Roman" w:eastAsia="Times New Roman" w:hAnsi="Times New Roman" w:cs="Times New Roman"/>
          <w:color w:val="000000"/>
          <w:spacing w:val="0"/>
          <w:w w:val="100"/>
          <w:position w:val="0"/>
        </w:rPr>
        <w:t>13,991,786.34</w:t>
      </w:r>
      <w:r>
        <w:rPr>
          <w:color w:val="000000"/>
          <w:spacing w:val="0"/>
          <w:w w:val="100"/>
          <w:position w:val="0"/>
        </w:rPr>
        <w:t>元。</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779,924,552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-702,452,254.16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8" w:lineRule="exact"/>
        <w:ind w:left="0" w:right="0" w:firstLine="0"/>
        <w:jc w:val="center"/>
      </w:pPr>
      <w:r>
        <w:rPr>
          <w:color w:val="000000"/>
          <w:spacing w:val="0"/>
          <w:w w:val="100"/>
          <w:position w:val="0"/>
        </w:rPr>
        <w:t>本次现金分红情况</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8" w:lineRule="exact"/>
        <w:ind w:left="0" w:right="0" w:firstLine="0"/>
        <w:jc w:val="left"/>
      </w:pPr>
      <w:r>
        <w:rPr>
          <w:color w:val="000000"/>
          <w:spacing w:val="0"/>
          <w:w w:val="100"/>
          <w:position w:val="0"/>
        </w:rPr>
        <w:t>其他</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8" w:lineRule="exact"/>
        <w:ind w:left="0" w:right="0" w:firstLine="0"/>
        <w:jc w:val="center"/>
      </w:pPr>
      <w:r>
        <w:rPr>
          <w:color w:val="000000"/>
          <w:spacing w:val="0"/>
          <w:w w:val="100"/>
          <w:position w:val="0"/>
        </w:rPr>
        <w:t>利润分配或资本公积金转增预案的详细情况说明</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0" w:lineRule="exact"/>
        <w:ind w:left="0" w:right="0" w:firstLine="0"/>
        <w:jc w:val="left"/>
      </w:pPr>
      <w:r>
        <w:rPr>
          <w:color w:val="000000"/>
          <w:spacing w:val="0"/>
          <w:w w:val="100"/>
          <w:position w:val="0"/>
        </w:rPr>
        <w:t>经容诚会计师事务所（特殊普通合伙）审计，公司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年度实现归属于上市公司股东的净利润为</w:t>
      </w:r>
      <w:r>
        <w:rPr>
          <w:rFonts w:ascii="Times New Roman" w:eastAsia="Times New Roman" w:hAnsi="Times New Roman" w:cs="Times New Roman"/>
          <w:color w:val="000000"/>
          <w:spacing w:val="0"/>
          <w:w w:val="100"/>
          <w:position w:val="0"/>
        </w:rPr>
        <w:t>167,066,328.21</w:t>
      </w:r>
      <w:r>
        <w:rPr>
          <w:color w:val="000000"/>
          <w:spacing w:val="0"/>
          <w:w w:val="100"/>
          <w:position w:val="0"/>
        </w:rPr>
        <w:t>元，母公 司实现的净利润为</w:t>
      </w:r>
      <w:r>
        <w:rPr>
          <w:rFonts w:ascii="Times New Roman" w:eastAsia="Times New Roman" w:hAnsi="Times New Roman" w:cs="Times New Roman"/>
          <w:color w:val="000000"/>
          <w:spacing w:val="0"/>
          <w:w w:val="100"/>
          <w:position w:val="0"/>
        </w:rPr>
        <w:t>127,066,755.42</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年末公司累计未分配的利润为</w:t>
      </w:r>
      <w:r>
        <w:rPr>
          <w:rFonts w:ascii="Times New Roman" w:eastAsia="Times New Roman" w:hAnsi="Times New Roman" w:cs="Times New Roman"/>
          <w:color w:val="000000"/>
          <w:spacing w:val="0"/>
          <w:w w:val="100"/>
          <w:position w:val="0"/>
        </w:rPr>
        <w:t>-702,452,254.16</w:t>
      </w:r>
      <w:r>
        <w:rPr>
          <w:color w:val="000000"/>
          <w:spacing w:val="0"/>
          <w:w w:val="100"/>
          <w:position w:val="0"/>
        </w:rPr>
        <w:t xml:space="preserve">元，母公司累计未分配的利润为 </w:t>
      </w:r>
      <w:r>
        <w:rPr>
          <w:rFonts w:ascii="Times New Roman" w:eastAsia="Times New Roman" w:hAnsi="Times New Roman" w:cs="Times New Roman"/>
          <w:color w:val="000000"/>
          <w:spacing w:val="0"/>
          <w:w w:val="100"/>
          <w:position w:val="0"/>
        </w:rPr>
        <w:t xml:space="preserve">-933,268,366.63 </w:t>
      </w:r>
      <w:r>
        <w:rPr>
          <w:color w:val="000000"/>
          <w:spacing w:val="0"/>
          <w:w w:val="100"/>
          <w:position w:val="0"/>
        </w:rPr>
        <w:t>元。</w:t>
      </w:r>
    </w:p>
    <w:p>
      <w:pPr>
        <w:pStyle w:val="Style2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12" w:lineRule="exact"/>
        <w:ind w:left="0" w:right="0" w:firstLine="0"/>
        <w:jc w:val="left"/>
      </w:pPr>
      <w:r>
        <w:rPr>
          <w:color w:val="000000"/>
          <w:spacing w:val="0"/>
          <w:w w:val="100"/>
          <w:position w:val="0"/>
        </w:rPr>
        <w:t>根据《公司法》、《上市公司监管指引第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号——上市公司现金分红》及《公司章程》等的相关规定，结合公司实际经营情 况和现金流情况，公司拟定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年度利润分配预案为：不派发现金红利，不送红股，不以公积金转增股本。</w:t>
      </w:r>
    </w:p>
    <w:p>
      <w:pPr>
        <w:pStyle w:val="Style26"/>
        <w:keepNext w:val="0"/>
        <w:keepLines w:val="0"/>
        <w:widowControl w:val="0"/>
        <w:shd w:val="clear" w:color="auto" w:fill="auto"/>
        <w:bidi w:val="0"/>
        <w:spacing w:before="0" w:after="60" w:line="318"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6"/>
        <w:keepNext w:val="0"/>
        <w:keepLines w:val="0"/>
        <w:widowControl w:val="0"/>
        <w:shd w:val="clear" w:color="auto" w:fill="auto"/>
        <w:tabs>
          <w:tab w:pos="704" w:val="left"/>
        </w:tabs>
        <w:bidi w:val="0"/>
        <w:spacing w:before="0" w:after="0" w:line="318" w:lineRule="exact"/>
        <w:ind w:left="0" w:right="0" w:firstLine="360"/>
        <w:jc w:val="both"/>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年年度股东大会议审议通过了公司</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rPr>
        <w:t>2018</w:t>
      </w:r>
      <w:r>
        <w:rPr>
          <w:color w:val="000000"/>
          <w:spacing w:val="0"/>
          <w:w w:val="100"/>
          <w:position w:val="0"/>
        </w:rPr>
        <w:t>年度拟不派发现金红 利，不送红股，不以公积金转增股本，剩余未分配利润结转至下年度。</w:t>
      </w:r>
    </w:p>
    <w:p>
      <w:pPr>
        <w:pStyle w:val="Style26"/>
        <w:keepNext w:val="0"/>
        <w:keepLines w:val="0"/>
        <w:widowControl w:val="0"/>
        <w:shd w:val="clear" w:color="auto" w:fill="auto"/>
        <w:bidi w:val="0"/>
        <w:spacing w:before="0" w:after="0" w:line="318" w:lineRule="exact"/>
        <w:ind w:left="0" w:right="0" w:firstLine="36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年年度股东大会议审议通过了公司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rPr>
        <w:t>2019</w:t>
      </w:r>
      <w:r>
        <w:rPr>
          <w:color w:val="000000"/>
          <w:spacing w:val="0"/>
          <w:w w:val="100"/>
          <w:position w:val="0"/>
        </w:rPr>
        <w:t>年度拟不派发现金红 利，不送红股，不以公积金转增股本。</w:t>
      </w:r>
    </w:p>
    <w:p>
      <w:pPr>
        <w:pStyle w:val="Style26"/>
        <w:keepNext w:val="0"/>
        <w:keepLines w:val="0"/>
        <w:widowControl w:val="0"/>
        <w:shd w:val="clear" w:color="auto" w:fill="auto"/>
        <w:bidi w:val="0"/>
        <w:spacing w:before="0" w:after="60" w:line="318" w:lineRule="exact"/>
        <w:ind w:left="0" w:right="0" w:firstLine="360"/>
        <w:jc w:val="both"/>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日，公司第六届董事会第十一次会议审议通过了公司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年度利润分配预案：公司</w:t>
      </w:r>
      <w:r>
        <w:rPr>
          <w:rFonts w:ascii="Times New Roman" w:eastAsia="Times New Roman" w:hAnsi="Times New Roman" w:cs="Times New Roman"/>
          <w:color w:val="000000"/>
          <w:spacing w:val="0"/>
          <w:w w:val="100"/>
          <w:position w:val="0"/>
        </w:rPr>
        <w:t>2020</w:t>
      </w:r>
      <w:r>
        <w:rPr>
          <w:color w:val="000000"/>
          <w:spacing w:val="0"/>
          <w:w w:val="100"/>
          <w:position w:val="0"/>
        </w:rPr>
        <w:t>年度拟不派发现 金红利，不送红股，不以公积金转增股本。本次利润分配预案尚需经公司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年年度股东大会审议批准。</w:t>
      </w:r>
    </w:p>
    <w:p>
      <w:pPr>
        <w:pStyle w:val="Style26"/>
        <w:keepNext w:val="0"/>
        <w:keepLines w:val="0"/>
        <w:widowControl w:val="0"/>
        <w:shd w:val="clear" w:color="auto" w:fill="auto"/>
        <w:bidi w:val="0"/>
        <w:spacing w:before="0" w:after="140" w:line="318"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167,066,328.21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-1,794,232,923.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13,991,786.34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13,991,786.34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314,377,918.28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148,753,014.66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148,753,014.66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47.32%</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、承诺事项履行情况</w:t>
      </w:r>
      <w:bookmarkEnd w:id="260"/>
      <w:bookmarkEnd w:id="261"/>
      <w:bookmarkEnd w:id="263"/>
    </w:p>
    <w:p>
      <w:pPr>
        <w:pStyle w:val="Style30"/>
        <w:keepNext/>
        <w:keepLines/>
        <w:widowControl w:val="0"/>
        <w:shd w:val="clear" w:color="auto" w:fill="auto"/>
        <w:bidi w:val="0"/>
        <w:spacing w:before="0" w:line="312" w:lineRule="exact"/>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1</w:t>
      </w:r>
      <w:bookmarkEnd w:id="266"/>
      <w:r>
        <w:rPr>
          <w:color w:val="000000"/>
          <w:spacing w:val="0"/>
          <w:w w:val="100"/>
          <w:position w:val="0"/>
        </w:rPr>
        <w:t>、公司实际控制人、股东、关联方、收购人以及公司等承诺相关方在报告期内履行完毕及截至报告期末 尚未履行完毕的承诺事项</w:t>
      </w:r>
      <w:bookmarkEnd w:id="264"/>
      <w:bookmarkEnd w:id="265"/>
      <w:bookmarkEnd w:id="267"/>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01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 完成后，公司 承诺在业务、 资产、财务、 人员、机构等 方面与实际 控制人及其 关联方将继 续保持独立。</w:t>
            </w:r>
          </w:p>
          <w:p>
            <w:pPr>
              <w:pStyle w:val="Style2"/>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本次交易 完成后，公司 与控股股东 润和投资、实 际控制人周 红卫、姚宁之 间也不会形 成同业竞争 或增加新的 关联交易。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r>
        <w:trPr>
          <w:trHeight w:val="786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润和投资、周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 业竞争、减少 和规范关联 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（一）避免同 业竞争：</w:t>
            </w:r>
            <w:r>
              <w:rPr>
                <w:rFonts w:ascii="Times New Roman" w:eastAsia="Times New Roman" w:hAnsi="Times New Roman" w:cs="Times New Roman"/>
                <w:color w:val="000000"/>
                <w:spacing w:val="0"/>
                <w:w w:val="100"/>
                <w:position w:val="0"/>
              </w:rPr>
              <w:t>1</w:t>
            </w:r>
            <w:r>
              <w:rPr>
                <w:color w:val="000000"/>
                <w:spacing w:val="0"/>
                <w:w w:val="100"/>
                <w:position w:val="0"/>
              </w:rPr>
              <w:t>、 本公司</w:t>
            </w:r>
            <w:r>
              <w:rPr>
                <w:rFonts w:ascii="Times New Roman" w:eastAsia="Times New Roman" w:hAnsi="Times New Roman" w:cs="Times New Roman"/>
                <w:color w:val="000000"/>
                <w:spacing w:val="0"/>
                <w:w w:val="100"/>
                <w:position w:val="0"/>
              </w:rPr>
              <w:t>/</w:t>
            </w:r>
            <w:r>
              <w:rPr>
                <w:color w:val="000000"/>
                <w:spacing w:val="0"/>
                <w:w w:val="100"/>
                <w:position w:val="0"/>
              </w:rPr>
              <w:t>本人 及本公司</w:t>
            </w:r>
            <w:r>
              <w:rPr>
                <w:rFonts w:ascii="Times New Roman" w:eastAsia="Times New Roman" w:hAnsi="Times New Roman" w:cs="Times New Roman"/>
                <w:color w:val="000000"/>
                <w:spacing w:val="0"/>
                <w:w w:val="100"/>
                <w:position w:val="0"/>
              </w:rPr>
              <w:t>/</w:t>
            </w:r>
            <w:r>
              <w:rPr>
                <w:color w:val="000000"/>
                <w:spacing w:val="0"/>
                <w:w w:val="100"/>
                <w:position w:val="0"/>
              </w:rPr>
              <w:t>本 人控股和实 际控制的其 他企业目前 均未从事与 润和软件及 其子公司相 竞争的业务。</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 人保证本公 司</w:t>
            </w:r>
            <w:r>
              <w:rPr>
                <w:rFonts w:ascii="Times New Roman" w:eastAsia="Times New Roman" w:hAnsi="Times New Roman" w:cs="Times New Roman"/>
                <w:color w:val="000000"/>
                <w:spacing w:val="0"/>
                <w:w w:val="100"/>
                <w:position w:val="0"/>
              </w:rPr>
              <w:t>/</w:t>
            </w:r>
            <w:r>
              <w:rPr>
                <w:color w:val="000000"/>
                <w:spacing w:val="0"/>
                <w:w w:val="100"/>
                <w:position w:val="0"/>
              </w:rPr>
              <w:t>本人及本 公司</w:t>
            </w:r>
            <w:r>
              <w:rPr>
                <w:rFonts w:ascii="Times New Roman" w:eastAsia="Times New Roman" w:hAnsi="Times New Roman" w:cs="Times New Roman"/>
                <w:color w:val="000000"/>
                <w:spacing w:val="0"/>
                <w:w w:val="100"/>
                <w:position w:val="0"/>
              </w:rPr>
              <w:t>/</w:t>
            </w:r>
            <w:r>
              <w:rPr>
                <w:color w:val="000000"/>
                <w:spacing w:val="0"/>
                <w:w w:val="100"/>
                <w:position w:val="0"/>
              </w:rPr>
              <w:t>本人控 股和实际控 制的其他企 业未来不会 以任何形式 直接或间接 地从事与润 和软件及其 子公司相同 或相似的业 务。</w:t>
            </w:r>
            <w:r>
              <w:rPr>
                <w:rFonts w:ascii="Times New Roman" w:eastAsia="Times New Roman" w:hAnsi="Times New Roman" w:cs="Times New Roman"/>
                <w:color w:val="000000"/>
                <w:spacing w:val="0"/>
                <w:w w:val="100"/>
                <w:position w:val="0"/>
              </w:rPr>
              <w:t>3</w:t>
            </w:r>
            <w:r>
              <w:rPr>
                <w:color w:val="000000"/>
                <w:spacing w:val="0"/>
                <w:w w:val="100"/>
                <w:position w:val="0"/>
              </w:rPr>
              <w:t>、本公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存在违反上 述承诺的情 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rPr>
              <w:t>/</w:t>
            </w:r>
            <w:r>
              <w:rPr>
                <w:color w:val="000000"/>
                <w:spacing w:val="0"/>
                <w:w w:val="100"/>
                <w:position w:val="0"/>
              </w:rPr>
              <w:t>本人保证 严格遵守中 国证监会、证 券交易所有 关规章及润 和软件公司 章程的规定， 与其他股东 一样平等的 行使股东权 利、履行股东 义务，不利用 控股股东</w:t>
            </w:r>
            <w:r>
              <w:rPr>
                <w:rFonts w:ascii="Times New Roman" w:eastAsia="Times New Roman" w:hAnsi="Times New Roman" w:cs="Times New Roman"/>
                <w:color w:val="000000"/>
                <w:spacing w:val="0"/>
                <w:w w:val="100"/>
                <w:position w:val="0"/>
              </w:rPr>
              <w:t>/</w:t>
            </w:r>
            <w:r>
              <w:rPr>
                <w:color w:val="000000"/>
                <w:spacing w:val="0"/>
                <w:w w:val="100"/>
                <w:position w:val="0"/>
              </w:rPr>
              <w:t xml:space="preserve">实 际控制人的 地位谋取不 当利益，不损 害润和软件 和其他股东 的合法权益。 </w:t>
            </w:r>
            <w:r>
              <w:rPr>
                <w:rFonts w:ascii="Times New Roman" w:eastAsia="Times New Roman" w:hAnsi="Times New Roman" w:cs="Times New Roman"/>
                <w:color w:val="000000"/>
                <w:spacing w:val="0"/>
                <w:w w:val="100"/>
                <w:position w:val="0"/>
              </w:rPr>
              <w:t>4</w:t>
            </w:r>
            <w:r>
              <w:rPr>
                <w:color w:val="000000"/>
                <w:spacing w:val="0"/>
                <w:w w:val="100"/>
                <w:position w:val="0"/>
              </w:rPr>
              <w:t>、如果本公 司</w:t>
            </w:r>
            <w:r>
              <w:rPr>
                <w:rFonts w:ascii="Times New Roman" w:eastAsia="Times New Roman" w:hAnsi="Times New Roman" w:cs="Times New Roman"/>
                <w:color w:val="000000"/>
                <w:spacing w:val="0"/>
                <w:w w:val="100"/>
                <w:position w:val="0"/>
              </w:rPr>
              <w:t>/</w:t>
            </w:r>
            <w:r>
              <w:rPr>
                <w:color w:val="000000"/>
                <w:spacing w:val="0"/>
                <w:w w:val="100"/>
                <w:position w:val="0"/>
              </w:rPr>
              <w:t>本人违反 上述声明、保 证与承诺造 成润和软件 经济损失的， 承诺人同意 赔偿相应损 失。（二）减 少和规范关 联交易：</w:t>
            </w:r>
            <w:r>
              <w:rPr>
                <w:rFonts w:ascii="Times New Roman" w:eastAsia="Times New Roman" w:hAnsi="Times New Roman" w:cs="Times New Roman"/>
                <w:color w:val="000000"/>
                <w:spacing w:val="0"/>
                <w:w w:val="100"/>
                <w:position w:val="0"/>
              </w:rPr>
              <w:t>1</w:t>
            </w:r>
            <w:r>
              <w:rPr>
                <w:color w:val="000000"/>
                <w:spacing w:val="0"/>
                <w:w w:val="100"/>
                <w:position w:val="0"/>
              </w:rPr>
              <w:t>、 本公司</w:t>
            </w:r>
            <w:r>
              <w:rPr>
                <w:rFonts w:ascii="Times New Roman" w:eastAsia="Times New Roman" w:hAnsi="Times New Roman" w:cs="Times New Roman"/>
                <w:color w:val="000000"/>
                <w:spacing w:val="0"/>
                <w:w w:val="100"/>
                <w:position w:val="0"/>
              </w:rPr>
              <w:t>/</w:t>
            </w:r>
            <w:r>
              <w:rPr>
                <w:color w:val="000000"/>
                <w:spacing w:val="0"/>
                <w:w w:val="100"/>
                <w:position w:val="0"/>
              </w:rPr>
              <w:t>本人 及本公司</w:t>
            </w:r>
            <w:r>
              <w:rPr>
                <w:rFonts w:ascii="Times New Roman" w:eastAsia="Times New Roman" w:hAnsi="Times New Roman" w:cs="Times New Roman"/>
                <w:color w:val="000000"/>
                <w:spacing w:val="0"/>
                <w:w w:val="100"/>
                <w:position w:val="0"/>
              </w:rPr>
              <w:t>/</w:t>
            </w:r>
            <w:r>
              <w:rPr>
                <w:color w:val="000000"/>
                <w:spacing w:val="0"/>
                <w:w w:val="100"/>
                <w:position w:val="0"/>
              </w:rPr>
              <w:t>本 人关联方将 不会通过借 款、代偿债 务、代垫款项 或者其他方 式占用润和 软件及其子 公司之资金。</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本 人及本公司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本人关联方 将采取措施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81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尽量减少与 润和软件及 其子公司发 生关联交易； 若发生必要 且不可避免 的关联交易， 本公司</w:t>
            </w:r>
            <w:r>
              <w:rPr>
                <w:rFonts w:ascii="Times New Roman" w:eastAsia="Times New Roman" w:hAnsi="Times New Roman" w:cs="Times New Roman"/>
                <w:color w:val="000000"/>
                <w:spacing w:val="0"/>
                <w:w w:val="100"/>
                <w:position w:val="0"/>
              </w:rPr>
              <w:t>/</w:t>
            </w:r>
            <w:r>
              <w:rPr>
                <w:color w:val="000000"/>
                <w:spacing w:val="0"/>
                <w:w w:val="100"/>
                <w:position w:val="0"/>
              </w:rPr>
              <w:t>本人 及本公司</w:t>
            </w:r>
            <w:r>
              <w:rPr>
                <w:rFonts w:ascii="Times New Roman" w:eastAsia="Times New Roman" w:hAnsi="Times New Roman" w:cs="Times New Roman"/>
                <w:color w:val="000000"/>
                <w:spacing w:val="0"/>
                <w:w w:val="100"/>
                <w:position w:val="0"/>
              </w:rPr>
              <w:t>/</w:t>
            </w:r>
            <w:r>
              <w:rPr>
                <w:color w:val="000000"/>
                <w:spacing w:val="0"/>
                <w:w w:val="100"/>
                <w:position w:val="0"/>
              </w:rPr>
              <w:t>本 人关联方将 严格按照法 律法规、规范 性文件及润 和软件公司 制度的规定 履行信息披 露义务及相 关内部决策 程序和回避 制度，保证交 易条件和价 格公正公允， 确保不损害 润和软件及 其他股东的 合法权益。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王杰、王拥 军、吴向东、 郭小宇、吴天 波、许峰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关于规范资 金占用行为、 减少和规范 关联交易的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一、规范资金 占用行为：</w:t>
            </w:r>
            <w:r>
              <w:rPr>
                <w:rFonts w:ascii="Times New Roman" w:eastAsia="Times New Roman" w:hAnsi="Times New Roman" w:cs="Times New Roman"/>
                <w:color w:val="000000"/>
                <w:spacing w:val="0"/>
                <w:w w:val="100"/>
                <w:position w:val="0"/>
              </w:rPr>
              <w:t>1</w:t>
            </w:r>
            <w:r>
              <w:rPr>
                <w:color w:val="000000"/>
                <w:spacing w:val="0"/>
                <w:w w:val="100"/>
                <w:position w:val="0"/>
              </w:rPr>
              <w:t>、 截至本承诺 出具之日，本 人及本人对 外投资（包括 直接持股、间 接持股或委 托持股）、实 际控制的企 业与捷科智 诚及其子公 司之间的非 经营性资金 往来已全部 清理完毕，不 存在纠纷。</w:t>
            </w:r>
            <w:r>
              <w:rPr>
                <w:rFonts w:ascii="Times New Roman" w:eastAsia="Times New Roman" w:hAnsi="Times New Roman" w:cs="Times New Roman"/>
                <w:color w:val="000000"/>
                <w:spacing w:val="0"/>
                <w:w w:val="100"/>
                <w:position w:val="0"/>
              </w:rPr>
              <w:t>2</w:t>
            </w:r>
            <w:r>
              <w:rPr>
                <w:color w:val="000000"/>
                <w:spacing w:val="0"/>
                <w:w w:val="100"/>
                <w:position w:val="0"/>
              </w:rPr>
              <w:t>、 本承诺出具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日后，本人及 本人对外投 资、实际控制 的企业不会 利用本人的 股东身份或 职务便利以 借款、代偿债 务、代垫款项 或者其他方 式占用捷科 智诚及其子 公司之资金。 </w:t>
            </w:r>
            <w:r>
              <w:rPr>
                <w:rFonts w:ascii="Times New Roman" w:eastAsia="Times New Roman" w:hAnsi="Times New Roman" w:cs="Times New Roman"/>
                <w:color w:val="000000"/>
                <w:spacing w:val="0"/>
                <w:w w:val="100"/>
                <w:position w:val="0"/>
              </w:rPr>
              <w:t>3</w:t>
            </w:r>
            <w:r>
              <w:rPr>
                <w:color w:val="000000"/>
                <w:spacing w:val="0"/>
                <w:w w:val="100"/>
                <w:position w:val="0"/>
              </w:rPr>
              <w:t>、本人保证 本人关系密 切的家庭成 员（包括配 偶、父母及配 偶的父母、兄 弟姐妹及其 配偶、年满</w:t>
            </w:r>
            <w:r>
              <w:rPr>
                <w:rFonts w:ascii="Times New Roman" w:eastAsia="Times New Roman" w:hAnsi="Times New Roman" w:cs="Times New Roman"/>
                <w:color w:val="000000"/>
                <w:spacing w:val="0"/>
                <w:w w:val="100"/>
                <w:position w:val="0"/>
              </w:rPr>
              <w:t xml:space="preserve">18 </w:t>
            </w:r>
            <w:r>
              <w:rPr>
                <w:color w:val="000000"/>
                <w:spacing w:val="0"/>
                <w:w w:val="100"/>
                <w:position w:val="0"/>
              </w:rPr>
              <w:t>周岁的子女 及其配偶、配 偶的兄弟姐 妹和子女配 偶的父母等） 也遵守以上 承诺。二、减 少和规范关 联交易：</w:t>
            </w:r>
            <w:r>
              <w:rPr>
                <w:rFonts w:ascii="Times New Roman" w:eastAsia="Times New Roman" w:hAnsi="Times New Roman" w:cs="Times New Roman"/>
                <w:color w:val="000000"/>
                <w:spacing w:val="0"/>
                <w:w w:val="100"/>
                <w:position w:val="0"/>
              </w:rPr>
              <w:t>1</w:t>
            </w:r>
            <w:r>
              <w:rPr>
                <w:color w:val="000000"/>
                <w:spacing w:val="0"/>
                <w:w w:val="100"/>
                <w:position w:val="0"/>
              </w:rPr>
              <w:t>、 本次交易完 成后，本人及 本人对外投 资的企业（包 括但不限于 直接持股、间 接持股或委 托持股）、实 际控制或担 任董事、高级 管理人员的 企业将尽可 能减少与润 和软件及其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下属公司（包 括但不限于 捷科智诚）的 关联交易，不 会利用自身 作为润和软 件股东之地 位谋求与润 和软件及其 下属公司（包 括但不限于 捷科智诚）在 业务合作等 方面给予优 于市场第三 方的权利；不 会利用自身 作为润和软 件股东之地 位谋求与润 和软件及其 下属公司（包 括但不限于 捷科智诚）达 成交易的优 先权利。</w:t>
            </w:r>
            <w:r>
              <w:rPr>
                <w:rFonts w:ascii="Times New Roman" w:eastAsia="Times New Roman" w:hAnsi="Times New Roman" w:cs="Times New Roman"/>
                <w:color w:val="000000"/>
                <w:spacing w:val="0"/>
                <w:w w:val="100"/>
                <w:position w:val="0"/>
              </w:rPr>
              <w:t>2</w:t>
            </w:r>
            <w:r>
              <w:rPr>
                <w:color w:val="000000"/>
                <w:spacing w:val="0"/>
                <w:w w:val="100"/>
                <w:position w:val="0"/>
              </w:rPr>
              <w:t>、 若发生必要 且不可避免 的关联交易， 本人及本人 对外投资的 企业（包括但 不限于直接 持股、间接持 股或委托持 股）、实际控 制或担任董 事、高级管理 人员的企业 将与润和软 件及其下属 公司（包括但 不限于捷科 智诚）按照公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平、公允、等 价有偿等原 则依法签订 协议，履行合 法程序，并将 按照有关法 律法规和《江 苏润和软件 股份有限公 司章程》的规 定履行信息 披露义务及 相关内部决 策程序和回 避制度，关联 交易价格依 照与无关联 关系的独立 第三方进行 相同或相似 交易时的价 格确定，保证 关联交易价 格具有公允 性，亦不利用 该等交易从 事任何损害 润和软件及 润和软件股 东的合法权 益的行为。</w:t>
            </w:r>
            <w:r>
              <w:rPr>
                <w:rFonts w:ascii="Times New Roman" w:eastAsia="Times New Roman" w:hAnsi="Times New Roman" w:cs="Times New Roman"/>
                <w:color w:val="000000"/>
                <w:spacing w:val="0"/>
                <w:w w:val="100"/>
                <w:position w:val="0"/>
              </w:rPr>
              <w:t>3</w:t>
            </w:r>
            <w:r>
              <w:rPr>
                <w:color w:val="000000"/>
                <w:spacing w:val="0"/>
                <w:w w:val="100"/>
                <w:position w:val="0"/>
              </w:rPr>
              <w:t>、 本人保证将 依照《江苏润 和软件股份 有限公司章 程》的规定参 加股东大会， 平等地行使 相应权利，承 担相应义务， 不利用股东 地位谋取不 正当利益，不 利用关联交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易非法转移 润和软件及 其下属子公 司（包括但不 限于捷科智 诚）的资金、 利润，保证不 损害润和软 件及股东的 合法权益。</w:t>
            </w:r>
            <w:r>
              <w:rPr>
                <w:rFonts w:ascii="Times New Roman" w:eastAsia="Times New Roman" w:hAnsi="Times New Roman" w:cs="Times New Roman"/>
                <w:color w:val="000000"/>
                <w:spacing w:val="0"/>
                <w:w w:val="100"/>
                <w:position w:val="0"/>
              </w:rPr>
              <w:t>4</w:t>
            </w:r>
            <w:r>
              <w:rPr>
                <w:color w:val="000000"/>
                <w:spacing w:val="0"/>
                <w:w w:val="100"/>
                <w:position w:val="0"/>
              </w:rPr>
              <w:t>、 若违反上述 声明和保证， 本人将对前 述行为给润 和软件造成 的损失向润 和软件进行 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宁波宏创股 权投资合伙 企业（有限合 伙）、周帮建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、关于利润 承诺及补偿： 标的公司 </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年和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2015-2018 </w:t>
            </w:r>
            <w:r>
              <w:rPr>
                <w:color w:val="000000"/>
                <w:spacing w:val="0"/>
                <w:w w:val="100"/>
                <w:position w:val="0"/>
              </w:rPr>
              <w:t>年度简称''考 核期</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实现的 经上市公司 指定具有证 券从业资格 会计师事务 所审计的扣 除非经常性 损益后归属 于母公司所 有者的净利 润分别不低 于</w:t>
            </w:r>
            <w:r>
              <w:rPr>
                <w:rFonts w:ascii="Times New Roman" w:eastAsia="Times New Roman" w:hAnsi="Times New Roman" w:cs="Times New Roman"/>
                <w:color w:val="000000"/>
                <w:spacing w:val="0"/>
                <w:w w:val="100"/>
                <w:position w:val="0"/>
              </w:rPr>
              <w:t>13,000</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16,600 </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18,800 </w:t>
            </w:r>
            <w:r>
              <w:rPr>
                <w:color w:val="000000"/>
                <w:spacing w:val="0"/>
                <w:w w:val="100"/>
                <w:position w:val="0"/>
              </w:rPr>
              <w:t>万 元和</w:t>
            </w:r>
            <w:r>
              <w:rPr>
                <w:rFonts w:ascii="Times New Roman" w:eastAsia="Times New Roman" w:hAnsi="Times New Roman" w:cs="Times New Roman"/>
                <w:color w:val="000000"/>
                <w:spacing w:val="0"/>
                <w:w w:val="100"/>
                <w:position w:val="0"/>
              </w:rPr>
              <w:t xml:space="preserve">22,600 </w:t>
            </w:r>
            <w:r>
              <w:rPr>
                <w:color w:val="000000"/>
                <w:spacing w:val="0"/>
                <w:w w:val="100"/>
                <w:position w:val="0"/>
              </w:rPr>
              <w:t>万元，考核期 实现的净利 润之和不低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承诺人超期 未能履行应 收账款回款 的补偿承诺。</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71,000</w:t>
            </w:r>
            <w:r>
              <w:rPr>
                <w:color w:val="000000"/>
                <w:spacing w:val="0"/>
                <w:w w:val="100"/>
                <w:position w:val="0"/>
              </w:rPr>
              <w:t>万 元。在考核期 内每个会计 年度结束后， 如标的公司 截至当年度 实现的实际 净利润之和 未达到截至 当年度的承 诺净利润之 和，则宁波宏 创将以交易 中取得的上 市公司股份 优先补偿，不 足部分以现 金形式补偿。</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、关于应收 账款承诺及 补偿：标的公 司截至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经审计的应 收账款余额， 在</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年应 收回不低于 </w:t>
            </w:r>
            <w:r>
              <w:rPr>
                <w:rFonts w:ascii="Times New Roman" w:eastAsia="Times New Roman" w:hAnsi="Times New Roman" w:cs="Times New Roman"/>
                <w:color w:val="000000"/>
                <w:spacing w:val="0"/>
                <w:w w:val="100"/>
                <w:position w:val="0"/>
              </w:rPr>
              <w:t>70%</w:t>
            </w:r>
            <w:r>
              <w:rPr>
                <w:color w:val="000000"/>
                <w:spacing w:val="0"/>
                <w:w w:val="100"/>
                <w:position w:val="0"/>
              </w:rPr>
              <w:t>。应收账 款收回情况 以有证券从 业资格的会 计师事务所 的专项审核 报告为准。如 截至</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标的公司未 完成上述应 收账款回收 指标，则宁波 宏创应将差 额部分以现 金形式补偿 给标的公司，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日之前 一次性支付 完毕。</w:t>
            </w:r>
            <w:r>
              <w:rPr>
                <w:rFonts w:ascii="Times New Roman" w:eastAsia="Times New Roman" w:hAnsi="Times New Roman" w:cs="Times New Roman"/>
                <w:color w:val="000000"/>
                <w:spacing w:val="0"/>
                <w:w w:val="100"/>
                <w:position w:val="0"/>
              </w:rPr>
              <w:t>3</w:t>
            </w:r>
            <w:r>
              <w:rPr>
                <w:color w:val="000000"/>
                <w:spacing w:val="0"/>
                <w:w w:val="100"/>
                <w:position w:val="0"/>
              </w:rPr>
              <w:t xml:space="preserve">、关 于减值测试 及补偿：在 </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年度届 满后，由上市 公司指定的 具有证券业 务资格的会 计师事务所 对标的公司 依照中国证 监会的规则 及要求进行 减值测试，如 标的资产 </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年末减 值额 </w:t>
            </w:r>
            <w:r>
              <w:rPr>
                <w:rFonts w:ascii="Times New Roman" w:eastAsia="Times New Roman" w:hAnsi="Times New Roman" w:cs="Times New Roman"/>
                <w:color w:val="000000"/>
                <w:spacing w:val="0"/>
                <w:w w:val="100"/>
                <w:position w:val="0"/>
              </w:rPr>
              <w:t xml:space="preserve">&gt; </w:t>
            </w:r>
            <w:r>
              <w:rPr>
                <w:color w:val="000000"/>
                <w:spacing w:val="0"/>
                <w:w w:val="100"/>
                <w:position w:val="0"/>
              </w:rPr>
              <w:t>已回 购股份总数</w:t>
            </w:r>
            <w:r>
              <w:rPr>
                <w:rFonts w:ascii="Times New Roman" w:eastAsia="Times New Roman" w:hAnsi="Times New Roman" w:cs="Times New Roman"/>
                <w:color w:val="000000"/>
                <w:spacing w:val="0"/>
                <w:w w:val="100"/>
                <w:position w:val="0"/>
              </w:rPr>
              <w:t xml:space="preserve">* </w:t>
            </w:r>
            <w:r>
              <w:rPr>
                <w:color w:val="000000"/>
                <w:spacing w:val="0"/>
                <w:w w:val="100"/>
                <w:position w:val="0"/>
              </w:rPr>
              <w:t>本次股票发 行价格</w:t>
            </w:r>
            <w:r>
              <w:rPr>
                <w:rFonts w:ascii="Times New Roman" w:eastAsia="Times New Roman" w:hAnsi="Times New Roman" w:cs="Times New Roman"/>
                <w:color w:val="000000"/>
                <w:spacing w:val="0"/>
                <w:w w:val="100"/>
                <w:position w:val="0"/>
              </w:rPr>
              <w:t>+</w:t>
            </w:r>
            <w:r>
              <w:rPr>
                <w:color w:val="000000"/>
                <w:spacing w:val="0"/>
                <w:w w:val="100"/>
                <w:position w:val="0"/>
              </w:rPr>
              <w:t>已补 偿现金额，则 宁波宏创应 当对上市公 司另行补偿。</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、关于联创 智融实际控 制人承担连 带保证责任</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联创智融实 际控制人周 帮建承诺，周 帮建将督促 宁波宏创按 照《盈利补偿 协议》的约定 进行股份及 现金补偿，并 对宁波宏创 在《盈利补偿 协议》下的所 有补偿责任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承担连带保 证责任。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宁波宏创股 权投资合伙 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关于减少和 规范关联交 易、规范资金 占用行为的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一、关于减少 和规范关联 交易的承诺： </w:t>
            </w:r>
            <w:r>
              <w:rPr>
                <w:rFonts w:ascii="Times New Roman" w:eastAsia="Times New Roman" w:hAnsi="Times New Roman" w:cs="Times New Roman"/>
                <w:color w:val="000000"/>
                <w:spacing w:val="0"/>
                <w:w w:val="100"/>
                <w:position w:val="0"/>
              </w:rPr>
              <w:t>1</w:t>
            </w:r>
            <w:r>
              <w:rPr>
                <w:color w:val="000000"/>
                <w:spacing w:val="0"/>
                <w:w w:val="100"/>
                <w:position w:val="0"/>
              </w:rPr>
              <w:t>、本次交易 完成后，本企 业及本企业 对外投资的 企业（包括但 不限于直接 持股、间接持 股或委托持 股）、实际控 制的企业将 尽可能减少 与润和软件 及其下属公 司（包括但不 限于联创智 融）的关联交 易，不会利用 自身作为润 和软件股东 之地位谋求 与润和软件 及其下属公 司（包括但不 限于联创智 融）在业务合 作等方面给 予优于市场 第三方的权 利或达成交 易的优先权 利。</w:t>
            </w:r>
            <w:r>
              <w:rPr>
                <w:rFonts w:ascii="Times New Roman" w:eastAsia="Times New Roman" w:hAnsi="Times New Roman" w:cs="Times New Roman"/>
                <w:color w:val="000000"/>
                <w:spacing w:val="0"/>
                <w:w w:val="100"/>
                <w:position w:val="0"/>
              </w:rPr>
              <w:t>2</w:t>
            </w:r>
            <w:r>
              <w:rPr>
                <w:color w:val="000000"/>
                <w:spacing w:val="0"/>
                <w:w w:val="100"/>
                <w:position w:val="0"/>
              </w:rPr>
              <w:t>、若发 生必要且不 可避免的关 联交易，本企 业及本企业 对外投资的 企业（包括但 不限于直接 持股、间接持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股或委托持 股）、实际控 制的企业将 与润和软件 及其下属公 司（包括但不 限于联创智 融）按照公 平、公允、等 价有偿等原 则依法签订 协议，履行合 法程序，并将 按照有关法 律法规和《江 苏润和软件 股份有限公 司章程》的规 定履行信息 披露义务及 相关内部决 策程序和回 避制度，关联 交易价格依 照与无关联 关系的独立 第三方进行 相同或相似 交易时的价 格确定，保证 关联交易价 格具有公允 性，亦不利用 该等交易从 事任何损害 润和软件及 润和软件股 东的合法权 益的行为。</w:t>
            </w:r>
            <w:r>
              <w:rPr>
                <w:rFonts w:ascii="Times New Roman" w:eastAsia="Times New Roman" w:hAnsi="Times New Roman" w:cs="Times New Roman"/>
                <w:color w:val="000000"/>
                <w:spacing w:val="0"/>
                <w:w w:val="100"/>
                <w:position w:val="0"/>
              </w:rPr>
              <w:t>3</w:t>
            </w:r>
            <w:r>
              <w:rPr>
                <w:color w:val="000000"/>
                <w:spacing w:val="0"/>
                <w:w w:val="100"/>
                <w:position w:val="0"/>
              </w:rPr>
              <w:t>、 本企业保证 将依照《江苏 润和软件股 份有限公司 章程》的规定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参加股东大 会，平等地行 使相应权利， 承担相应义 务，不利用股 东地位谋取 不正当利益， 不利用关联 交易非法转 移润和软件 及其下属子 公司（包括但 不限于联创 智融）的资 金、利润，保 证不损害润 和软件及股 东的合法权 益。</w:t>
            </w:r>
            <w:r>
              <w:rPr>
                <w:rFonts w:ascii="Times New Roman" w:eastAsia="Times New Roman" w:hAnsi="Times New Roman" w:cs="Times New Roman"/>
                <w:color w:val="000000"/>
                <w:spacing w:val="0"/>
                <w:w w:val="100"/>
                <w:position w:val="0"/>
              </w:rPr>
              <w:t>4</w:t>
            </w:r>
            <w:r>
              <w:rPr>
                <w:color w:val="000000"/>
                <w:spacing w:val="0"/>
                <w:w w:val="100"/>
                <w:position w:val="0"/>
              </w:rPr>
              <w:t>、若违 反上述声明 和保证，本企 业将对前述 行为给润和 软件造成的 损失向润和 软件进行赔 偿。二、关于 规范资金占 用行为的承 诺：</w:t>
            </w:r>
            <w:r>
              <w:rPr>
                <w:rFonts w:ascii="Times New Roman" w:eastAsia="Times New Roman" w:hAnsi="Times New Roman" w:cs="Times New Roman"/>
                <w:color w:val="000000"/>
                <w:spacing w:val="0"/>
                <w:w w:val="100"/>
                <w:position w:val="0"/>
              </w:rPr>
              <w:t>1</w:t>
            </w:r>
            <w:r>
              <w:rPr>
                <w:color w:val="000000"/>
                <w:spacing w:val="0"/>
                <w:w w:val="100"/>
                <w:position w:val="0"/>
              </w:rPr>
              <w:t>、截至 本承诺出具 之日，本企业 及本企业对 外投资（包括 直接持股、间 接持股或委 托持股）、实 际控制的企 业与联创智 融及其子公 司之间的非 经营性资金 往来已全部 清理完毕，不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91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存在纠纷。</w:t>
            </w:r>
            <w:r>
              <w:rPr>
                <w:rFonts w:ascii="Times New Roman" w:eastAsia="Times New Roman" w:hAnsi="Times New Roman" w:cs="Times New Roman"/>
                <w:color w:val="000000"/>
                <w:spacing w:val="0"/>
                <w:w w:val="100"/>
                <w:position w:val="0"/>
              </w:rPr>
              <w:t>2</w:t>
            </w:r>
            <w:r>
              <w:rPr>
                <w:color w:val="000000"/>
                <w:spacing w:val="0"/>
                <w:w w:val="100"/>
                <w:position w:val="0"/>
              </w:rPr>
              <w:t>、 本承诺出具 日后，本企业 及本企业对 外投资、实际 控制的企业 不会利用本 企业的股东 身份或职务 便利以借款、 代偿债务、代 垫款项或者 其他方式占 用联创智融 及其子公司 之资金。</w:t>
            </w:r>
            <w:r>
              <w:rPr>
                <w:rFonts w:ascii="Times New Roman" w:eastAsia="Times New Roman" w:hAnsi="Times New Roman" w:cs="Times New Roman"/>
                <w:color w:val="000000"/>
                <w:spacing w:val="0"/>
                <w:w w:val="100"/>
                <w:position w:val="0"/>
              </w:rPr>
              <w:t>3</w:t>
            </w:r>
            <w:r>
              <w:rPr>
                <w:color w:val="000000"/>
                <w:spacing w:val="0"/>
                <w:w w:val="100"/>
                <w:position w:val="0"/>
              </w:rPr>
              <w:t>、 若未来联创 智融因本次 交易完成前 的资金占用 情形或本企 业违反上述 承诺而受到 有关主管部 门处罚的，本 企业将对联 创智融遭受 的全部损失 予以赔偿。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周帮建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关于减少和 规范关联交 易、规范资金 占用行为的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一、关于减少 和规范关联 交易的承诺：</w:t>
            </w:r>
          </w:p>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、本次交易 完成后，本人 及本人对外 投资的企业</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（包括但不 限于直接持 股、间接持股 或委托持 股）、实际控 制或担任董 事、高级管理 人员的企业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将尽可能减 少与润和软 件及其下属 公司（包括但 不限于联创 智融）的关联 交易，不会利 用本人作为 润和软件董 事之地位或 宁波宏创作 为润和软件 股东之地位 谋求与润和 软件及其下 属公司（包括 但不限于联 创智融）在业 务合作等方 面给予优于 市场第三方 的权利或达 成交易的优 先权利。</w:t>
            </w:r>
            <w:r>
              <w:rPr>
                <w:rFonts w:ascii="Times New Roman" w:eastAsia="Times New Roman" w:hAnsi="Times New Roman" w:cs="Times New Roman"/>
                <w:color w:val="000000"/>
                <w:spacing w:val="0"/>
                <w:w w:val="100"/>
                <w:position w:val="0"/>
              </w:rPr>
              <w:t>2</w:t>
            </w:r>
            <w:r>
              <w:rPr>
                <w:color w:val="000000"/>
                <w:spacing w:val="0"/>
                <w:w w:val="100"/>
                <w:position w:val="0"/>
              </w:rPr>
              <w:t>、 若发生必要 且不可避免 的关联交易， 本人及本人 对外投资的 企业（包括但 不限于直接 持股、间接持 股或委托持 股）、实际控 制或担任董 事、高级管理 人员的企业 将与润和软 件及其下属 公司（包括但 不限于联创 智融）按照公 平、公允、等 价有偿等原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则依法签订 协议，履行合 法程序，并将 按照有关法 律法规和《江 苏润和软件 股份有限公 司章程》的规 定履行信息 披露义务及 相关内部决 策程序和回 避制度，关联 交易价格依 照与无关联 关系的独立 第三方进行 相同或相似 交易时的价 格确定，保证 关联交易价 格具有公允 性，亦不利用 该等交易从 事任何损害 润和软件及 润和软件股 东的合法权 益的行为。</w:t>
            </w:r>
            <w:r>
              <w:rPr>
                <w:rFonts w:ascii="Times New Roman" w:eastAsia="Times New Roman" w:hAnsi="Times New Roman" w:cs="Times New Roman"/>
                <w:color w:val="000000"/>
                <w:spacing w:val="0"/>
                <w:w w:val="100"/>
                <w:position w:val="0"/>
              </w:rPr>
              <w:t>3</w:t>
            </w:r>
            <w:r>
              <w:rPr>
                <w:color w:val="000000"/>
                <w:spacing w:val="0"/>
                <w:w w:val="100"/>
                <w:position w:val="0"/>
              </w:rPr>
              <w:t>、 本人保证将 依照《江苏润 和软件股份 有限公司章 程》的规定参 加董事会、股 东大会，平等 地行使相应 权利，承担相 应义务，不利 用董事或股 东地位谋取 不正当利益， 不利用关联 交易非法转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移润和软件 及其下属子 公司（包括但 不限于联创 智融）的资 金、利润，保 证不损害润 和软件及股 东的合法权 益。</w:t>
            </w:r>
            <w:r>
              <w:rPr>
                <w:rFonts w:ascii="Times New Roman" w:eastAsia="Times New Roman" w:hAnsi="Times New Roman" w:cs="Times New Roman"/>
                <w:color w:val="000000"/>
                <w:spacing w:val="0"/>
                <w:w w:val="100"/>
                <w:position w:val="0"/>
              </w:rPr>
              <w:t>4</w:t>
            </w:r>
            <w:r>
              <w:rPr>
                <w:color w:val="000000"/>
                <w:spacing w:val="0"/>
                <w:w w:val="100"/>
                <w:position w:val="0"/>
              </w:rPr>
              <w:t>、若违 反上述声明 和保证，本人 将对前述行 为给润和软 件造成的损 失向润和软 件进行赔偿。</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二、关于规范 资金占用行 为的承诺：</w:t>
            </w:r>
            <w:r>
              <w:rPr>
                <w:rFonts w:ascii="Times New Roman" w:eastAsia="Times New Roman" w:hAnsi="Times New Roman" w:cs="Times New Roman"/>
                <w:color w:val="000000"/>
                <w:spacing w:val="0"/>
                <w:w w:val="100"/>
                <w:position w:val="0"/>
              </w:rPr>
              <w:t>1</w:t>
            </w:r>
            <w:r>
              <w:rPr>
                <w:color w:val="000000"/>
                <w:spacing w:val="0"/>
                <w:w w:val="100"/>
                <w:position w:val="0"/>
              </w:rPr>
              <w:t>、 截至本承诺 出具之日，本 人及本人对 外投资（包括 直接持股、间 接持股或委 托持股）、实 际控制的企 业与联创智 融及其子公 司之间的非 经营性资金 往来已全部 清理完毕，不 存在纠纷。</w:t>
            </w:r>
            <w:r>
              <w:rPr>
                <w:rFonts w:ascii="Times New Roman" w:eastAsia="Times New Roman" w:hAnsi="Times New Roman" w:cs="Times New Roman"/>
                <w:color w:val="000000"/>
                <w:spacing w:val="0"/>
                <w:w w:val="100"/>
                <w:position w:val="0"/>
              </w:rPr>
              <w:t>2</w:t>
            </w:r>
            <w:r>
              <w:rPr>
                <w:color w:val="000000"/>
                <w:spacing w:val="0"/>
                <w:w w:val="100"/>
                <w:position w:val="0"/>
              </w:rPr>
              <w:t>、 本承诺出具 日后，本人及 本人对外投 资、实际控制 的企业不会 利用本人的 股东身份或 职务便利以 借款、代偿债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务、代垫款项 或者其他方 式占用联创 智融及其子 公司之资金。</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、若未来联 创智融因本 次交易完成 前的资金占 用情形或本 人违反上述 承诺而受到 有关主管部 门处罚的，本 人将对联创 智融遭受的 全部损失予 以赔偿。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宁波宏创股 权投资合伙 企业（有限合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一、保证润和 软件及其下 属公司、联创 智融及其下 属公司的人 员独立：</w:t>
            </w:r>
            <w:r>
              <w:rPr>
                <w:rFonts w:ascii="Times New Roman" w:eastAsia="Times New Roman" w:hAnsi="Times New Roman" w:cs="Times New Roman"/>
                <w:color w:val="000000"/>
                <w:spacing w:val="0"/>
                <w:w w:val="100"/>
                <w:position w:val="0"/>
              </w:rPr>
              <w:t>1</w:t>
            </w:r>
            <w:r>
              <w:rPr>
                <w:color w:val="000000"/>
                <w:spacing w:val="0"/>
                <w:w w:val="100"/>
                <w:position w:val="0"/>
              </w:rPr>
              <w:t>.保 证本次交易 完成后润和 软件及其下 属公司、联创 智融及其下 属公司的劳 动、人事及薪 酬管理与本 企业及本企 业控制的其 他公司或者 其他经济组 织等关联方 之间完全独 立。</w:t>
            </w:r>
            <w:r>
              <w:rPr>
                <w:rFonts w:ascii="Times New Roman" w:eastAsia="Times New Roman" w:hAnsi="Times New Roman" w:cs="Times New Roman"/>
                <w:color w:val="000000"/>
                <w:spacing w:val="0"/>
                <w:w w:val="100"/>
                <w:position w:val="0"/>
              </w:rPr>
              <w:t>2</w:t>
            </w:r>
            <w:r>
              <w:rPr>
                <w:color w:val="000000"/>
                <w:spacing w:val="0"/>
                <w:w w:val="100"/>
                <w:position w:val="0"/>
              </w:rPr>
              <w:t>.保证 本次交易完 成后润和软 件及其下属 公司、联创智 融及其下属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公司的高级 管理人员均 专职在润和 软件及其下 属公司、联创 智融及其下 属公司任职 并领取薪酬， 不在本企业 及本企业控 制的其他公 司、企业或者 其他经济组 织等关联方 担任董事以 外的职务。</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.保证本次 交易完成后 不干预润和 软件及其下 属公司、联创 智融及其下 属公司股东</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（大）会、董 事会行使职 权进行人事 任免。二、保 证润和软件 及其下属公 司、联创智融 及其下属公 司的机构独 立：</w:t>
            </w:r>
            <w:r>
              <w:rPr>
                <w:rFonts w:ascii="Times New Roman" w:eastAsia="Times New Roman" w:hAnsi="Times New Roman" w:cs="Times New Roman"/>
                <w:color w:val="000000"/>
                <w:spacing w:val="0"/>
                <w:w w:val="100"/>
                <w:position w:val="0"/>
              </w:rPr>
              <w:t>1</w:t>
            </w:r>
            <w:r>
              <w:rPr>
                <w:color w:val="000000"/>
                <w:spacing w:val="0"/>
                <w:w w:val="100"/>
                <w:position w:val="0"/>
              </w:rPr>
              <w:t>.保证 本次交易完 成后润和软 件及其下属 公司、联创智 融及其下属 公司构建健 全的公司法 人治理结构， 拥有独立、完 整的组织机 构。</w:t>
            </w:r>
            <w:r>
              <w:rPr>
                <w:rFonts w:ascii="Times New Roman" w:eastAsia="Times New Roman" w:hAnsi="Times New Roman" w:cs="Times New Roman"/>
                <w:color w:val="000000"/>
                <w:spacing w:val="0"/>
                <w:w w:val="100"/>
                <w:position w:val="0"/>
              </w:rPr>
              <w:t xml:space="preserve">2 </w:t>
            </w:r>
            <w:r>
              <w:rPr>
                <w:color w:val="000000"/>
                <w:spacing w:val="0"/>
                <w:w w:val="100"/>
                <w:position w:val="0"/>
              </w:rPr>
              <w:t>.保证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本次交易完 成后润和软 件及其下属 公司、联创智 融及其下属 公司的股东</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（大）会、董 事会、监事会 等依照法律、 法规及润和 软件及其下 属公司、联创 智融及其下 属公司公司 章程的规定 独立行使职 权。三、保证 润和软件及 其下属公司、 联创智融及 其下属公司 的资产独立、 完整：</w:t>
            </w:r>
            <w:r>
              <w:rPr>
                <w:rFonts w:ascii="Times New Roman" w:eastAsia="Times New Roman" w:hAnsi="Times New Roman" w:cs="Times New Roman"/>
                <w:color w:val="000000"/>
                <w:spacing w:val="0"/>
                <w:w w:val="100"/>
                <w:position w:val="0"/>
              </w:rPr>
              <w:t>1</w:t>
            </w:r>
            <w:r>
              <w:rPr>
                <w:color w:val="000000"/>
                <w:spacing w:val="0"/>
                <w:w w:val="100"/>
                <w:position w:val="0"/>
              </w:rPr>
              <w:t xml:space="preserve">.保 证本次交易 完成后润和 软件及其下 属公司、联创 智融及其下 属公司拥有 与生产经营 有关的独立、 完整的资产。 </w:t>
            </w:r>
            <w:r>
              <w:rPr>
                <w:rFonts w:ascii="Times New Roman" w:eastAsia="Times New Roman" w:hAnsi="Times New Roman" w:cs="Times New Roman"/>
                <w:color w:val="000000"/>
                <w:spacing w:val="0"/>
                <w:w w:val="100"/>
                <w:position w:val="0"/>
              </w:rPr>
              <w:t>2</w:t>
            </w:r>
            <w:r>
              <w:rPr>
                <w:color w:val="000000"/>
                <w:spacing w:val="0"/>
                <w:w w:val="100"/>
                <w:position w:val="0"/>
              </w:rPr>
              <w:t>.保证本次 交易完成后 润和软件及 其下属公司、 联创智融及 其下属公司 的经营场所 独立于本企 业及本企业 控制的其他 公司、企业或 者其他经济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组织等关联 方。</w:t>
            </w:r>
            <w:r>
              <w:rPr>
                <w:rFonts w:ascii="Times New Roman" w:eastAsia="Times New Roman" w:hAnsi="Times New Roman" w:cs="Times New Roman"/>
                <w:color w:val="000000"/>
                <w:spacing w:val="0"/>
                <w:w w:val="100"/>
                <w:position w:val="0"/>
              </w:rPr>
              <w:t>3</w:t>
            </w:r>
            <w:r>
              <w:rPr>
                <w:color w:val="000000"/>
                <w:spacing w:val="0"/>
                <w:w w:val="100"/>
                <w:position w:val="0"/>
              </w:rPr>
              <w:t>.除正 常经营性往 来外，保证本 次交易完成 后润和软件 及其下属公 司、联创智融 及其下属公 司不存在资 金、资产被本 企业及本企 业控制的其 他公司、企业 或者其他经 济组织等关 联方占用的 情形。四、保 证润和软件 及其下属公 司、联创智融 及其下属公 司的业务独 立：</w:t>
            </w:r>
            <w:r>
              <w:rPr>
                <w:rFonts w:ascii="Times New Roman" w:eastAsia="Times New Roman" w:hAnsi="Times New Roman" w:cs="Times New Roman"/>
                <w:color w:val="000000"/>
                <w:spacing w:val="0"/>
                <w:w w:val="100"/>
                <w:position w:val="0"/>
              </w:rPr>
              <w:t>1</w:t>
            </w:r>
            <w:r>
              <w:rPr>
                <w:color w:val="000000"/>
                <w:spacing w:val="0"/>
                <w:w w:val="100"/>
                <w:position w:val="0"/>
              </w:rPr>
              <w:t>.保证 本次交易完 成后润和软 件及其下属 公司、联创智 融及其下属 公司拥有独 立开展经营 活动的相关 资质，具有面 向市场的独 立、自主、持 续的经营能 力。</w:t>
            </w:r>
            <w:r>
              <w:rPr>
                <w:rFonts w:ascii="Times New Roman" w:eastAsia="Times New Roman" w:hAnsi="Times New Roman" w:cs="Times New Roman"/>
                <w:color w:val="000000"/>
                <w:spacing w:val="0"/>
                <w:w w:val="100"/>
                <w:position w:val="0"/>
              </w:rPr>
              <w:t>2</w:t>
            </w:r>
            <w:r>
              <w:rPr>
                <w:color w:val="000000"/>
                <w:spacing w:val="0"/>
                <w:w w:val="100"/>
                <w:position w:val="0"/>
              </w:rPr>
              <w:t>.保证 本次交易完 成后本企业 及本企业控 制的其他公 司、企业或者 其他经济组 织等关联方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避免从事与 润和软件及 其下属公司、 联创智融及 其下属公司 及其控制的 其他公司、企 业或者其他 经济组织具 有竞争关系 的业务。</w:t>
            </w:r>
            <w:r>
              <w:rPr>
                <w:rFonts w:ascii="Times New Roman" w:eastAsia="Times New Roman" w:hAnsi="Times New Roman" w:cs="Times New Roman"/>
                <w:color w:val="000000"/>
                <w:spacing w:val="0"/>
                <w:w w:val="100"/>
                <w:position w:val="0"/>
              </w:rPr>
              <w:t xml:space="preserve">3 </w:t>
            </w:r>
            <w:r>
              <w:rPr>
                <w:color w:val="000000"/>
                <w:spacing w:val="0"/>
                <w:w w:val="100"/>
                <w:position w:val="0"/>
              </w:rPr>
              <w:t>.保 证本次交易 完成后本企 业及本企业 控制的其他 公司、企业或 者其他经济 组织等关联 方减少与润 和软件及其 下属公司、联 创智融及其 下属公司及 其控制的其 他公司、企业 或者其他经 济组织的关 联交易；对于 确有必要且 无法避免的 关联交易，保 证按市场原 则和公允价 格进行公平 操作，并按相 关法律、法规 及规范性文 件的规定履 行相关审批 程序及信息 披露义务。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五、保证润和 软件及其下 属公司、联创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智融及其下 属公司的财 务独立：</w:t>
            </w:r>
            <w:r>
              <w:rPr>
                <w:rFonts w:ascii="Times New Roman" w:eastAsia="Times New Roman" w:hAnsi="Times New Roman" w:cs="Times New Roman"/>
                <w:color w:val="000000"/>
                <w:spacing w:val="0"/>
                <w:w w:val="100"/>
                <w:position w:val="0"/>
              </w:rPr>
              <w:t>1</w:t>
            </w:r>
            <w:r>
              <w:rPr>
                <w:color w:val="000000"/>
                <w:spacing w:val="0"/>
                <w:w w:val="100"/>
                <w:position w:val="0"/>
              </w:rPr>
              <w:t>.保 证润和软件 及其下属公 司、联创智融 及其下属公 司本次交易 完成后分别 具备独立的 财务部门以 及独立的财 务核算体系， 具有规范、独 立的财务会 计制度。</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保 证润和软件 及其下属公 司、联创智融 及其下属公 司本次交易 完成后独立 在银行开户， 不与本企业 及本企业控 制的其他公 司、企业或者 其他经济组 织等关联方 共用银行账 户。</w:t>
            </w:r>
            <w:r>
              <w:rPr>
                <w:rFonts w:ascii="Times New Roman" w:eastAsia="Times New Roman" w:hAnsi="Times New Roman" w:cs="Times New Roman"/>
                <w:color w:val="000000"/>
                <w:spacing w:val="0"/>
                <w:w w:val="100"/>
                <w:position w:val="0"/>
              </w:rPr>
              <w:t xml:space="preserve">3 </w:t>
            </w:r>
            <w:r>
              <w:rPr>
                <w:color w:val="000000"/>
                <w:spacing w:val="0"/>
                <w:w w:val="100"/>
                <w:position w:val="0"/>
              </w:rPr>
              <w:t>.保证 本次交易完 成后润和软 件及其下属 公司、联创智 融及其下属 公司的财务 人员不在本 企业及本企 业控制的其 他公司、企业 或者其他经 济组织等关 联方兼职。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.保证本次 交易完成后 润和软件及 其下属公司、 联创智融及 其下属公司 能够独立做 出财务决策， 本企业不干 预润和软件 及其下属公 司、联创智融 及其下属公 司的资金使 用。</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保证 本次交易完 成后润和软 件及其下属 公司、联创智 融及其下属 公司依法独 立纳税。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关于避免同 业竞争、避免 和减少关联 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避免同业 竞争：</w:t>
            </w:r>
            <w:r>
              <w:rPr>
                <w:rFonts w:ascii="Times New Roman" w:eastAsia="Times New Roman" w:hAnsi="Times New Roman" w:cs="Times New Roman"/>
                <w:color w:val="000000"/>
                <w:spacing w:val="0"/>
                <w:w w:val="100"/>
                <w:position w:val="0"/>
              </w:rPr>
              <w:t>1</w:t>
            </w:r>
            <w:r>
              <w:rPr>
                <w:color w:val="000000"/>
                <w:spacing w:val="0"/>
                <w:w w:val="100"/>
                <w:position w:val="0"/>
              </w:rPr>
              <w:t>、作 为公司的实 际控制人，周 红卫和姚宁 及周红卫和 姚宁控股和 实际控制下 的其他企业 目前未从事 与公司相竞 争的业务。周 红卫和姚宁 将对其他控 股、实际控制 的企业按本 协议进行监 督，并行使必 要的权力，促 使其遵守本 协议。周红卫 和姚宁保证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周红卫和姚 宁及其控股 和实际控制 的其他企业 不会以任何 形式直接或 间接地从事 与公司相同 或相似的业 务。</w:t>
            </w:r>
            <w:r>
              <w:rPr>
                <w:rFonts w:ascii="Times New Roman" w:eastAsia="Times New Roman" w:hAnsi="Times New Roman" w:cs="Times New Roman"/>
                <w:color w:val="000000"/>
                <w:spacing w:val="0"/>
                <w:w w:val="100"/>
                <w:position w:val="0"/>
              </w:rPr>
              <w:t>2</w:t>
            </w:r>
            <w:r>
              <w:rPr>
                <w:color w:val="000000"/>
                <w:spacing w:val="0"/>
                <w:w w:val="100"/>
                <w:position w:val="0"/>
              </w:rPr>
              <w:t>、在公 司审议是否 与周红卫和 姚宁存在同 业竞争的董 事会或股东 大会上，周红 卫和姚宁将 按规定进行 回避，不参与 表决。如公司 认定周红卫 和姚宁或其 控股、实际控 制的其他企 业正在或将 要从事的业 务与公司存 在同业竞争， 则周红卫和 姚宁将在公 司提出异议 后自行或要 求相关企业 及时转让或 终止上述业 务或以获得 周红卫和姚 宁及证券监 管部门共同 认可的其他 方式对上述 业务进行处 理；如公司进 一步提出受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让请求，则周 红卫和姚宁 应无条件按 有证券从业 资格的中介 机构审计或 评估后的公 允价格将上 述业务和资 产优先转让 给公司。</w:t>
            </w:r>
            <w:r>
              <w:rPr>
                <w:rFonts w:ascii="Times New Roman" w:eastAsia="Times New Roman" w:hAnsi="Times New Roman" w:cs="Times New Roman"/>
                <w:color w:val="000000"/>
                <w:spacing w:val="0"/>
                <w:w w:val="100"/>
                <w:position w:val="0"/>
              </w:rPr>
              <w:t>3</w:t>
            </w:r>
            <w:r>
              <w:rPr>
                <w:color w:val="000000"/>
                <w:spacing w:val="0"/>
                <w:w w:val="100"/>
                <w:position w:val="0"/>
              </w:rPr>
              <w:t>、 周红卫和姚 宁保证严格 遵守中国证 监会、证券交 易所有关规 章及公司《公 司章程》的规 定，与其他股 东一样平等 的行使股东 权利、履行股 东义务，不利 用大股东的 地位谋取不 当利益，不损 害公司和其 他股东的合 法权益。（二） 避免和减少 关联交易：公 司实际控制 人周红卫和 姚宁出具了</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《关于避免 和减少关联 交易的承诺 书》，承诺将 尽可能避免 和减少与公 司之间的关 联交易。若有 关的关联交 易为公司日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常经营所必 须或者无法 避免，承诺方 保证该等关 联交易所列 之交易条件 公允，不损害 公司及股东 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业竞争、避免 和减少关联 交易的承诺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 业竞争：</w:t>
            </w:r>
            <w:r>
              <w:rPr>
                <w:rFonts w:ascii="Times New Roman" w:eastAsia="Times New Roman" w:hAnsi="Times New Roman" w:cs="Times New Roman"/>
                <w:color w:val="000000"/>
                <w:spacing w:val="0"/>
                <w:w w:val="100"/>
                <w:position w:val="0"/>
              </w:rPr>
              <w:t>1</w:t>
            </w:r>
            <w:r>
              <w:rPr>
                <w:color w:val="000000"/>
                <w:spacing w:val="0"/>
                <w:w w:val="100"/>
                <w:position w:val="0"/>
              </w:rPr>
              <w:t>、 作为公司的 控股股东，润 和投资及控 股实际控制 下的其他企 业目前未从 事与公司相 竞争的业务。 润和投资将 对其他控股、 实际控制的 企业按本协 议进行监督， 并行使必要 的权力促使 其遵守本协 议。润和投资 保证润和投 资及其控股 和实际控制 的其他企业 不会以任何 形式直接或 间接地从事 与公司相同 或相似的业 务。</w:t>
            </w:r>
            <w:r>
              <w:rPr>
                <w:rFonts w:ascii="Times New Roman" w:eastAsia="Times New Roman" w:hAnsi="Times New Roman" w:cs="Times New Roman"/>
                <w:color w:val="000000"/>
                <w:spacing w:val="0"/>
                <w:w w:val="100"/>
                <w:position w:val="0"/>
              </w:rPr>
              <w:t>2</w:t>
            </w:r>
            <w:r>
              <w:rPr>
                <w:color w:val="000000"/>
                <w:spacing w:val="0"/>
                <w:w w:val="100"/>
                <w:position w:val="0"/>
              </w:rPr>
              <w:t>、在公 司审议是否 与润和投资 存在同业竞 争的董事会 或股东大会 上，润和投资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将按规定进 行回避，不参 与表决。如公 司认定润和 投资或其控 股、实际控制 的其他企业 正在或将要 从事的业务 与公司存在 同业竞争，则 润和投资将 在公司提出 异议后自行 或要求相关 企业及时转 让或终止上 述业务或以 获得润和投 资及证券监 管部门共同 认可的其他 方式对上述 业务进行处 理；如公司进 一步提出受 让请求，则润 和投资应无 条件按有证 券从业资格 的中介机构 审计或评估 后的公允价 格将上述业 务和资产优 先转让给公 司。</w:t>
            </w:r>
            <w:r>
              <w:rPr>
                <w:rFonts w:ascii="Times New Roman" w:eastAsia="Times New Roman" w:hAnsi="Times New Roman" w:cs="Times New Roman"/>
                <w:color w:val="000000"/>
                <w:spacing w:val="0"/>
                <w:w w:val="100"/>
                <w:position w:val="0"/>
              </w:rPr>
              <w:t>3</w:t>
            </w:r>
            <w:r>
              <w:rPr>
                <w:color w:val="000000"/>
                <w:spacing w:val="0"/>
                <w:w w:val="100"/>
                <w:position w:val="0"/>
              </w:rPr>
              <w:t>、润和 投资保证严 格遵守中国 证监会、证券 交易所有关 规章及《公司 章程》的规 定，与其他股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东一样平等 的行使股东 权利、履行股 东义务，不利 用大股东的 地位谋取不 当利益，不损 害公司和其 他股东的合 法权益。（二） 避免和减少 关联交易：润 和投资出具 了《关于避免 和减少关联 交易的承诺 书》，承诺将 尽可能避免 和减少与公 司之间的关 联交易。若有 关的关联交 易为公司日 常经营所必 须或者无法 避免，承诺方 保证该等关 联交易所列 之交易条件 公允，不损害 公司及股东 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若公司在执 行社会保障 法律法规及 缴纳住房公 积金方面，经 有关主管部 门认定需为 员工补缴保 险金或住房 公积金，或受 到主管部门 处罚，或任何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利益相关方 以任何方式 提出权利要 求且该等要 求获有关主 管部门支持， 润和投资将 无条件全额 承担相关补 缴、处罚款 项、利益相关 方提出的赔 偿或补偿，以 及发行人因 此所支付的 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润和投资、周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红卫、姚宁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为保障公司 填补回报措 施能够得到 切实履行，公 司实际控制 人及控股股 东承诺：不越 权干预公司 经营管理活 动，不侵占公 司利益。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报告期内，承</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诺人存在违 反上述承诺 的情况。</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本次非公开 发行募集资 金拟投资项 目不涉及向 金融行业客 户提供硬件 设施租赁服 务或机房托 管业务，公司 同时承诺：</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（一）公司承 诺''金融云服 务平台建设 项目</w:t>
            </w:r>
            <w:r>
              <w:rPr>
                <w:rFonts w:ascii="Times New Roman" w:eastAsia="Times New Roman" w:hAnsi="Times New Roman" w:cs="Times New Roman"/>
                <w:color w:val="000000"/>
                <w:spacing w:val="0"/>
                <w:w w:val="100"/>
                <w:position w:val="0"/>
              </w:rPr>
              <w:t>"</w:t>
            </w:r>
            <w:r>
              <w:rPr>
                <w:color w:val="000000"/>
                <w:spacing w:val="0"/>
                <w:w w:val="100"/>
                <w:position w:val="0"/>
              </w:rPr>
              <w:t>仅以软 件产品销售 或租赁的形 式交付给金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融机构使用， 软件产品的 使用权、运营 权，以及运营 过程中产生 的数据完全 归属于使用 机构，公司不 参与金融机 构后续软件 系统的运营， 并将严格采 取安全措施 避免利用便 利条件获取 客户数据情 形；公司将严 格遵守有关 法律法规和 金融行业监 管规则，严格 遵循只为持 牌金融机构 开展持牌金 融业务提供 </w:t>
            </w:r>
            <w:r>
              <w:rPr>
                <w:rFonts w:ascii="Times New Roman" w:eastAsia="Times New Roman" w:hAnsi="Times New Roman" w:cs="Times New Roman"/>
                <w:color w:val="000000"/>
                <w:spacing w:val="0"/>
                <w:w w:val="100"/>
                <w:position w:val="0"/>
              </w:rPr>
              <w:t>IT</w:t>
            </w:r>
            <w:r>
              <w:rPr>
                <w:color w:val="000000"/>
                <w:spacing w:val="0"/>
                <w:w w:val="100"/>
                <w:position w:val="0"/>
              </w:rPr>
              <w:t>服务的基 本原则，并严 格遵循润和 软件只参与 自身持牌业 务的基本原 则。（二）自 本次募集资 金到账之日 起</w:t>
            </w:r>
            <w:r>
              <w:rPr>
                <w:rFonts w:ascii="Times New Roman" w:eastAsia="Times New Roman" w:hAnsi="Times New Roman" w:cs="Times New Roman"/>
                <w:color w:val="000000"/>
                <w:spacing w:val="0"/>
                <w:w w:val="100"/>
                <w:position w:val="0"/>
              </w:rPr>
              <w:t>24</w:t>
            </w:r>
            <w:r>
              <w:rPr>
                <w:color w:val="000000"/>
                <w:spacing w:val="0"/>
                <w:w w:val="100"/>
                <w:position w:val="0"/>
              </w:rPr>
              <w:t>个月内， 公司不向金 融行业客户 提供硬件设 施租赁服务 或机房托管 业务。（三） 上述承诺一 经作出即不 可变更或撤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6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利润分配承 诺：公司每年 以现金方式 分配的利润 不少于当年 实现的可分 配利润的 </w:t>
            </w:r>
            <w:r>
              <w:rPr>
                <w:rFonts w:ascii="Times New Roman" w:eastAsia="Times New Roman" w:hAnsi="Times New Roman" w:cs="Times New Roman"/>
                <w:color w:val="000000"/>
                <w:spacing w:val="0"/>
                <w:w w:val="100"/>
                <w:position w:val="0"/>
              </w:rPr>
              <w:t xml:space="preserve">20% </w:t>
            </w:r>
            <w:r>
              <w:rPr>
                <w:color w:val="000000"/>
                <w:spacing w:val="0"/>
                <w:w w:val="100"/>
                <w:position w:val="0"/>
              </w:rPr>
              <w:t>；对于公 司当年的利 润分配计划， 公司董事会 应当在定期 报告中披露 当年未分配 利润的使用 计划、安排或 原则。公司董 事会未做出 年度现金利 润分配预案 或年度现金 利润分配比 例不足</w:t>
            </w:r>
            <w:r>
              <w:rPr>
                <w:rFonts w:ascii="Times New Roman" w:eastAsia="Times New Roman" w:hAnsi="Times New Roman" w:cs="Times New Roman"/>
                <w:color w:val="000000"/>
                <w:spacing w:val="0"/>
                <w:w w:val="100"/>
                <w:position w:val="0"/>
              </w:rPr>
              <w:t xml:space="preserve">20% </w:t>
            </w:r>
            <w:r>
              <w:rPr>
                <w:color w:val="000000"/>
                <w:spacing w:val="0"/>
                <w:w w:val="100"/>
                <w:position w:val="0"/>
              </w:rPr>
              <w:t>的，应当在定 期报告中披 露原因、公司 留存资金的 使用计划和 安排，该等年 度现金利润 分配方案须 经董事会审 议、监事会审 核后提交股 东大会审议； 股东大会审 议该等年度 现金利润分 配方案时，公 司应当提供 网络投票表 决方式为社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会公众股东 参加股东大 会提供便利； 对于该等年 度现金利润 分配方案，独 立董事应当 发表独立意 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股东一致行 动承诺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日，周红卫 先生、姚宁先 生续签了《一 致行动人协 议》，就今后 在润和投资 股东会及润 和软件股东 大会、董事会 的一致表决 及维持对润 和投资及润 和软件的共 同控制达成 一致，协议主 要内容如下： </w:t>
            </w:r>
            <w:r>
              <w:rPr>
                <w:rFonts w:ascii="Times New Roman" w:eastAsia="Times New Roman" w:hAnsi="Times New Roman" w:cs="Times New Roman"/>
                <w:color w:val="000000"/>
                <w:spacing w:val="0"/>
                <w:w w:val="100"/>
                <w:position w:val="0"/>
              </w:rPr>
              <w:t>1</w:t>
            </w:r>
            <w:r>
              <w:rPr>
                <w:color w:val="000000"/>
                <w:spacing w:val="0"/>
                <w:w w:val="100"/>
                <w:position w:val="0"/>
              </w:rPr>
              <w:t>、本协议一 方拟向润和 投资股东会 和</w:t>
            </w:r>
            <w:r>
              <w:rPr>
                <w:rFonts w:ascii="Times New Roman" w:eastAsia="Times New Roman" w:hAnsi="Times New Roman" w:cs="Times New Roman"/>
                <w:color w:val="000000"/>
                <w:spacing w:val="0"/>
                <w:w w:val="100"/>
                <w:position w:val="0"/>
              </w:rPr>
              <w:t>/</w:t>
            </w:r>
            <w:r>
              <w:rPr>
                <w:color w:val="000000"/>
                <w:spacing w:val="0"/>
                <w:w w:val="100"/>
                <w:position w:val="0"/>
              </w:rPr>
              <w:t>或润和软 件董事会、股 东大会提出 应由股东会 和</w:t>
            </w:r>
            <w:r>
              <w:rPr>
                <w:rFonts w:ascii="Times New Roman" w:eastAsia="Times New Roman" w:hAnsi="Times New Roman" w:cs="Times New Roman"/>
                <w:color w:val="000000"/>
                <w:spacing w:val="0"/>
                <w:w w:val="100"/>
                <w:position w:val="0"/>
              </w:rPr>
              <w:t>/</w:t>
            </w:r>
            <w:r>
              <w:rPr>
                <w:color w:val="000000"/>
                <w:spacing w:val="0"/>
                <w:w w:val="100"/>
                <w:position w:val="0"/>
              </w:rPr>
              <w:t>或董事会 和</w:t>
            </w:r>
            <w:r>
              <w:rPr>
                <w:rFonts w:ascii="Times New Roman" w:eastAsia="Times New Roman" w:hAnsi="Times New Roman" w:cs="Times New Roman"/>
                <w:color w:val="000000"/>
                <w:spacing w:val="0"/>
                <w:w w:val="100"/>
                <w:position w:val="0"/>
              </w:rPr>
              <w:t>/</w:t>
            </w:r>
            <w:r>
              <w:rPr>
                <w:color w:val="000000"/>
                <w:spacing w:val="0"/>
                <w:w w:val="100"/>
                <w:position w:val="0"/>
              </w:rPr>
              <w:t>或股东大 会审议的议 案时，应当事 先就该议案 内容与另一 方进行充分 的沟通和交 流，如果另一 方对议案内 容有异议，在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不违反法律 法规、监管机 构的规定和 润和投资</w:t>
            </w:r>
            <w:r>
              <w:rPr>
                <w:rFonts w:ascii="Times New Roman" w:eastAsia="Times New Roman" w:hAnsi="Times New Roman" w:cs="Times New Roman"/>
                <w:color w:val="000000"/>
                <w:spacing w:val="0"/>
                <w:w w:val="100"/>
                <w:position w:val="0"/>
              </w:rPr>
              <w:t>/</w:t>
            </w:r>
            <w:r>
              <w:rPr>
                <w:color w:val="000000"/>
                <w:spacing w:val="0"/>
                <w:w w:val="100"/>
                <w:position w:val="0"/>
              </w:rPr>
              <w:t>润 和软件公司 章程规定的 前提下，双方 均应当做出 适当让步，对 议案内容进 行修改，直至 双方共同认 可议案的内 容后，以其中 一方的名义 或双方的名 义向润和投 资股东会和</w:t>
            </w:r>
            <w:r>
              <w:rPr>
                <w:rFonts w:ascii="Times New Roman" w:eastAsia="Times New Roman" w:hAnsi="Times New Roman" w:cs="Times New Roman"/>
                <w:color w:val="000000"/>
                <w:spacing w:val="0"/>
                <w:w w:val="100"/>
                <w:position w:val="0"/>
              </w:rPr>
              <w:t xml:space="preserve">/ </w:t>
            </w:r>
            <w:r>
              <w:rPr>
                <w:color w:val="000000"/>
                <w:spacing w:val="0"/>
                <w:w w:val="100"/>
                <w:position w:val="0"/>
              </w:rPr>
              <w:t>或润和软件 董事会、股东 大会提出相 关议案，并对 议案做出相 同的表决意 见。</w:t>
            </w:r>
            <w:r>
              <w:rPr>
                <w:rFonts w:ascii="Times New Roman" w:eastAsia="Times New Roman" w:hAnsi="Times New Roman" w:cs="Times New Roman"/>
                <w:color w:val="000000"/>
                <w:spacing w:val="0"/>
                <w:w w:val="100"/>
                <w:position w:val="0"/>
              </w:rPr>
              <w:t>2</w:t>
            </w:r>
            <w:r>
              <w:rPr>
                <w:color w:val="000000"/>
                <w:spacing w:val="0"/>
                <w:w w:val="100"/>
                <w:position w:val="0"/>
              </w:rPr>
              <w:t>、对于 非由本协议 的一方或双 方提出的议 案，在润和投 资股东会和</w:t>
            </w:r>
            <w:r>
              <w:rPr>
                <w:rFonts w:ascii="Times New Roman" w:eastAsia="Times New Roman" w:hAnsi="Times New Roman" w:cs="Times New Roman"/>
                <w:color w:val="000000"/>
                <w:spacing w:val="0"/>
                <w:w w:val="100"/>
                <w:position w:val="0"/>
              </w:rPr>
              <w:t xml:space="preserve">/ </w:t>
            </w:r>
            <w:r>
              <w:rPr>
                <w:color w:val="000000"/>
                <w:spacing w:val="0"/>
                <w:w w:val="100"/>
                <w:position w:val="0"/>
              </w:rPr>
              <w:t>或润和软件 董事会和</w:t>
            </w:r>
            <w:r>
              <w:rPr>
                <w:rFonts w:ascii="Times New Roman" w:eastAsia="Times New Roman" w:hAnsi="Times New Roman" w:cs="Times New Roman"/>
                <w:color w:val="000000"/>
                <w:spacing w:val="0"/>
                <w:w w:val="100"/>
                <w:position w:val="0"/>
              </w:rPr>
              <w:t>/</w:t>
            </w:r>
            <w:r>
              <w:rPr>
                <w:color w:val="000000"/>
                <w:spacing w:val="0"/>
                <w:w w:val="100"/>
                <w:position w:val="0"/>
              </w:rPr>
              <w:t>或 股东大会召 开前，双方应 当就待审议 的议案进行 充分的沟通 和交流，尽快 达成一致意 见，并以自身 的名义或一 方授权另一 方按照形成 的一致意见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在润和投资 和</w:t>
            </w:r>
            <w:r>
              <w:rPr>
                <w:rFonts w:ascii="Times New Roman" w:eastAsia="Times New Roman" w:hAnsi="Times New Roman" w:cs="Times New Roman"/>
                <w:color w:val="000000"/>
                <w:spacing w:val="0"/>
                <w:w w:val="100"/>
                <w:position w:val="0"/>
              </w:rPr>
              <w:t>/</w:t>
            </w:r>
            <w:r>
              <w:rPr>
                <w:color w:val="000000"/>
                <w:spacing w:val="0"/>
                <w:w w:val="100"/>
                <w:position w:val="0"/>
              </w:rPr>
              <w:t>或润和软 件董事会和</w:t>
            </w:r>
            <w:r>
              <w:rPr>
                <w:rFonts w:ascii="Times New Roman" w:eastAsia="Times New Roman" w:hAnsi="Times New Roman" w:cs="Times New Roman"/>
                <w:color w:val="000000"/>
                <w:spacing w:val="0"/>
                <w:w w:val="100"/>
                <w:position w:val="0"/>
              </w:rPr>
              <w:t xml:space="preserve">/ </w:t>
            </w:r>
            <w:r>
              <w:rPr>
                <w:color w:val="000000"/>
                <w:spacing w:val="0"/>
                <w:w w:val="100"/>
                <w:position w:val="0"/>
              </w:rPr>
              <w:t>或股东大会 会议上做出 相同的表决 意见。如果难 以达成一致 意见，以多数 持股原则处 理，即如对某 一议案出现 一方拟投同 意票，一方拟 投反对或弃 权票的情况， 在议案内容 符合法律法 规、监管机构 的规定和润 和投资</w:t>
            </w:r>
            <w:r>
              <w:rPr>
                <w:rFonts w:ascii="Times New Roman" w:eastAsia="Times New Roman" w:hAnsi="Times New Roman" w:cs="Times New Roman"/>
                <w:color w:val="000000"/>
                <w:spacing w:val="0"/>
                <w:w w:val="100"/>
                <w:position w:val="0"/>
              </w:rPr>
              <w:t>/</w:t>
            </w:r>
            <w:r>
              <w:rPr>
                <w:color w:val="000000"/>
                <w:spacing w:val="0"/>
                <w:w w:val="100"/>
                <w:position w:val="0"/>
              </w:rPr>
              <w:t>润和 软件公司章 程规定的前 提下，则双方 均应按在公 司持股多的 一方的意见 投票。</w:t>
            </w:r>
            <w:r>
              <w:rPr>
                <w:rFonts w:ascii="Times New Roman" w:eastAsia="Times New Roman" w:hAnsi="Times New Roman" w:cs="Times New Roman"/>
                <w:color w:val="000000"/>
                <w:spacing w:val="0"/>
                <w:w w:val="100"/>
                <w:position w:val="0"/>
              </w:rPr>
              <w:t>3</w:t>
            </w:r>
            <w:r>
              <w:rPr>
                <w:color w:val="000000"/>
                <w:spacing w:val="0"/>
                <w:w w:val="100"/>
                <w:position w:val="0"/>
              </w:rPr>
              <w:t>、若 一方（以下简 称</w:t>
            </w:r>
            <w:r>
              <w:rPr>
                <w:rFonts w:ascii="Times New Roman" w:eastAsia="Times New Roman" w:hAnsi="Times New Roman" w:cs="Times New Roman"/>
                <w:color w:val="000000"/>
                <w:spacing w:val="0"/>
                <w:w w:val="100"/>
                <w:position w:val="0"/>
              </w:rPr>
              <w:t>"</w:t>
            </w:r>
            <w:r>
              <w:rPr>
                <w:color w:val="000000"/>
                <w:spacing w:val="0"/>
                <w:w w:val="100"/>
                <w:position w:val="0"/>
              </w:rPr>
              <w:t>出让方</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欲转让其持 有润和投资 和</w:t>
            </w:r>
            <w:r>
              <w:rPr>
                <w:rFonts w:ascii="Times New Roman" w:eastAsia="Times New Roman" w:hAnsi="Times New Roman" w:cs="Times New Roman"/>
                <w:color w:val="000000"/>
                <w:spacing w:val="0"/>
                <w:w w:val="100"/>
                <w:position w:val="0"/>
              </w:rPr>
              <w:t>/</w:t>
            </w:r>
            <w:r>
              <w:rPr>
                <w:color w:val="000000"/>
                <w:spacing w:val="0"/>
                <w:w w:val="100"/>
                <w:position w:val="0"/>
              </w:rPr>
              <w:t>或润和软 件的全部或 部分股权（以 下简称</w:t>
            </w:r>
            <w:r>
              <w:rPr>
                <w:rFonts w:ascii="Times New Roman" w:eastAsia="Times New Roman" w:hAnsi="Times New Roman" w:cs="Times New Roman"/>
                <w:color w:val="000000"/>
                <w:spacing w:val="0"/>
                <w:w w:val="100"/>
                <w:position w:val="0"/>
              </w:rPr>
              <w:t>"</w:t>
            </w:r>
            <w:r>
              <w:rPr>
                <w:color w:val="000000"/>
                <w:spacing w:val="0"/>
                <w:w w:val="100"/>
                <w:position w:val="0"/>
              </w:rPr>
              <w:t>标的 股权</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除非 另一方也将 同时转让其 全部或部分 股权，则另一 方拥有优先 受让权，即在 符合法律法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规、监管机构 的规定和公 司章程规定 和价格同等 的前提下，出 让方应将标 的股权转让 给本协议另 一方。</w:t>
            </w:r>
            <w:r>
              <w:rPr>
                <w:rFonts w:ascii="Times New Roman" w:eastAsia="Times New Roman" w:hAnsi="Times New Roman" w:cs="Times New Roman"/>
                <w:color w:val="000000"/>
                <w:spacing w:val="0"/>
                <w:w w:val="100"/>
                <w:position w:val="0"/>
              </w:rPr>
              <w:t>4</w:t>
            </w:r>
            <w:r>
              <w:rPr>
                <w:color w:val="000000"/>
                <w:spacing w:val="0"/>
                <w:w w:val="100"/>
                <w:position w:val="0"/>
              </w:rPr>
              <w:t>、本 协议签订后， 各方应积极 履行有关义 务，任何违反 本协议规定 及保证条款 的行为均构 成违约，违约 方应赔偿守 约方因之造 成的全部损 失。损失的赔 偿不影响违 约方按照本 规定的约定 继续履行本 协议。</w:t>
            </w:r>
            <w:r>
              <w:rPr>
                <w:rFonts w:ascii="Times New Roman" w:eastAsia="Times New Roman" w:hAnsi="Times New Roman" w:cs="Times New Roman"/>
                <w:color w:val="000000"/>
                <w:spacing w:val="0"/>
                <w:w w:val="100"/>
                <w:position w:val="0"/>
              </w:rPr>
              <w:t>5</w:t>
            </w:r>
            <w:r>
              <w:rPr>
                <w:color w:val="000000"/>
                <w:spacing w:val="0"/>
                <w:w w:val="100"/>
                <w:position w:val="0"/>
              </w:rPr>
              <w:t>、甲 方、乙方共同 承诺：甲方、 乙方作为润 和投资股东 及或润和软 件股东或董 事行使表决 权时将严格 遵守《公司 法》、《证券 法》等相关法 律法规及公 司章程的规 定，不损害润 和投资及或 润和软件中 小股东和润 和投资及或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润和软件的 合法利益。</w:t>
            </w:r>
            <w:r>
              <w:rPr>
                <w:rFonts w:ascii="Times New Roman" w:eastAsia="Times New Roman" w:hAnsi="Times New Roman" w:cs="Times New Roman"/>
                <w:color w:val="000000"/>
                <w:spacing w:val="0"/>
                <w:w w:val="100"/>
                <w:position w:val="0"/>
              </w:rPr>
              <w:t>6</w:t>
            </w:r>
            <w:r>
              <w:rPr>
                <w:color w:val="000000"/>
                <w:spacing w:val="0"/>
                <w:w w:val="100"/>
                <w:position w:val="0"/>
              </w:rPr>
              <w:t>、 本协议自甲 方、乙方签字 之日起生效， 有效期为自 本协议签订 之日起</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润和投资、周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红卫、姚宁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周红卫、姚宁 申请豁免履 行其在公司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《首次公开 发行股票并 在创业板上 市招股说明 书》中作出的 </w:t>
            </w:r>
            <w:r>
              <w:rPr>
                <w:rFonts w:ascii="Times New Roman" w:eastAsia="Times New Roman" w:hAnsi="Times New Roman" w:cs="Times New Roman"/>
                <w:color w:val="000000"/>
                <w:spacing w:val="0"/>
                <w:w w:val="100"/>
                <w:position w:val="0"/>
              </w:rPr>
              <w:t>“</w:t>
            </w:r>
            <w:r>
              <w:rPr>
                <w:color w:val="000000"/>
                <w:spacing w:val="0"/>
                <w:w w:val="100"/>
                <w:position w:val="0"/>
              </w:rPr>
              <w:t>在担任公司 的董事、监事 或高级管理 人员期间，每 年转让的股 份不超过其 间接持有公 司股份总数 的百分之二 十五</w:t>
            </w:r>
            <w:r>
              <w:rPr>
                <w:rFonts w:ascii="Times New Roman" w:eastAsia="Times New Roman" w:hAnsi="Times New Roman" w:cs="Times New Roman"/>
                <w:color w:val="000000"/>
                <w:spacing w:val="0"/>
                <w:w w:val="100"/>
                <w:position w:val="0"/>
              </w:rPr>
              <w:t>”</w:t>
            </w:r>
            <w:r>
              <w:rPr>
                <w:color w:val="000000"/>
                <w:spacing w:val="0"/>
                <w:w w:val="100"/>
                <w:position w:val="0"/>
              </w:rPr>
              <w:t>的自愿 性股份锁定 承诺。</w:t>
            </w:r>
            <w:r>
              <w:rPr>
                <w:rFonts w:ascii="Times New Roman" w:eastAsia="Times New Roman" w:hAnsi="Times New Roman" w:cs="Times New Roman"/>
                <w:color w:val="000000"/>
                <w:spacing w:val="0"/>
                <w:w w:val="100"/>
                <w:position w:val="0"/>
              </w:rPr>
              <w:t>1</w:t>
            </w:r>
            <w:r>
              <w:rPr>
                <w:color w:val="000000"/>
                <w:spacing w:val="0"/>
                <w:w w:val="100"/>
                <w:position w:val="0"/>
              </w:rPr>
              <w:t>、公 司控股股东 润和投资自 愿做出如下 承诺:</w:t>
            </w:r>
            <w:r>
              <w:rPr>
                <w:rFonts w:ascii="Times New Roman" w:eastAsia="Times New Roman" w:hAnsi="Times New Roman" w:cs="Times New Roman"/>
                <w:color w:val="000000"/>
                <w:spacing w:val="0"/>
                <w:w w:val="100"/>
                <w:position w:val="0"/>
              </w:rPr>
              <w:t>“</w:t>
            </w:r>
            <w:r>
              <w:rPr>
                <w:color w:val="000000"/>
                <w:spacing w:val="0"/>
                <w:w w:val="100"/>
                <w:position w:val="0"/>
              </w:rPr>
              <w:t>自润和 软件股东大 会审议通过 豁免上述自 愿性股份锁 定承诺之日 起至润和投 资可交换公 司债券换股 期限届满或 润和投资可 交换公司债 券全部完成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截至本报告 期末，承诺人 严格履行承 诺，未出现违 反上述承诺 的情况。</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3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换股之日止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（以先发生 者为准），除 可交换公司 债券换股外， 不通过其他 方式转让本 公司直接持 有的润和软 件股份。</w:t>
            </w:r>
            <w:r>
              <w:rPr>
                <w:rFonts w:ascii="Times New Roman" w:eastAsia="Times New Roman" w:hAnsi="Times New Roman" w:cs="Times New Roman"/>
                <w:color w:val="000000"/>
                <w:spacing w:val="0"/>
                <w:w w:val="100"/>
                <w:position w:val="0"/>
              </w:rPr>
              <w:t>”2</w:t>
            </w:r>
            <w:r>
              <w:rPr>
                <w:color w:val="000000"/>
                <w:spacing w:val="0"/>
                <w:w w:val="100"/>
                <w:position w:val="0"/>
              </w:rPr>
              <w:t>、 公司实际控 制人周红卫 和姚宁分别 自愿做出如 下承诺:</w:t>
            </w:r>
            <w:r>
              <w:rPr>
                <w:rFonts w:ascii="Times New Roman" w:eastAsia="Times New Roman" w:hAnsi="Times New Roman" w:cs="Times New Roman"/>
                <w:color w:val="000000"/>
                <w:spacing w:val="0"/>
                <w:w w:val="100"/>
                <w:position w:val="0"/>
              </w:rPr>
              <w:t>“</w:t>
            </w:r>
            <w:r>
              <w:rPr>
                <w:color w:val="000000"/>
                <w:spacing w:val="0"/>
                <w:w w:val="100"/>
                <w:position w:val="0"/>
              </w:rPr>
              <w:t>自润 和软件股东 大会审议通 过豁免上述 自愿性股份 锁定承诺之 日起至润和 投资可交换 公司债券换 股期限届满 或润和投资 可交换公司 债券全部完 成换股之日 止（以先发生 者为准），不 转让本人直 接持有的润 和软件股份。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1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、宁波宏创、周帮建超期未能履行应收账款回款的补偿承诺。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 司第五届董事会第五十三次会议及第五届监事会第三十一次会议，审议通过了《关于 北京联创智融信息技术有限公司应收账款收回及补偿情况的议案》。在上述议案审议通 过后，公司即以书面方式通知宁波宏创及周帮建本次补偿的事宜及补偿的具体数额、 方式，要求宁波宏创在收到该书面通知后</w:t>
            </w:r>
            <w:r>
              <w:rPr>
                <w:rFonts w:ascii="Times New Roman" w:eastAsia="Times New Roman" w:hAnsi="Times New Roman" w:cs="Times New Roman"/>
                <w:color w:val="000000"/>
                <w:spacing w:val="0"/>
                <w:w w:val="100"/>
                <w:position w:val="0"/>
              </w:rPr>
              <w:t>30</w:t>
            </w:r>
            <w:r>
              <w:rPr>
                <w:color w:val="000000"/>
                <w:spacing w:val="0"/>
                <w:w w:val="100"/>
                <w:position w:val="0"/>
              </w:rPr>
              <w:t>日内完成相应补偿，要求周帮建督促宁波 宏创进行现金补偿、并对宁波宏创的所有补偿责任承担连带保证责任。为保障公司和 股东的利益，公司于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日向江苏省南京市中级人民法院递交了《起诉状》 等资料，就履行应收账款回款承诺的补偿事宜起诉宁波宏创及周帮建。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公司收到江苏省南京市中级人民法院出具的《民事判决书》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）苏</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 xml:space="preserve">394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p>
        </w:tc>
      </w:tr>
    </w:tbl>
    <w:p>
      <w:pPr>
        <w:spacing w:lineRule="exact" w:line="1"/>
        <w:rPr>
          <w:sz w:val="2"/>
          <w:szCs w:val="2"/>
        </w:rPr>
      </w:pPr>
      <w:r>
        <w:br w:type="page"/>
      </w:r>
    </w:p>
    <w:tbl>
      <w:tblPr>
        <w:tblOverlap w:val="never"/>
        <w:jc w:val="center"/>
        <w:tblLayout w:type="fixed"/>
      </w:tblPr>
      <w:tblGrid>
        <w:gridCol w:w="2846"/>
        <w:gridCol w:w="6739"/>
      </w:tblGrid>
      <w:tr>
        <w:trPr>
          <w:trHeight w:val="455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日在中国证监会指定的创业板信息披露网站相关公告。</w:t>
            </w:r>
          </w:p>
          <w:p>
            <w:pPr>
              <w:pStyle w:val="Style2"/>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公司持续努力向联创智融客户催收尚未收回的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日经审计的应收账款， </w:t>
            </w:r>
            <w:r>
              <w:rPr>
                <w:rFonts w:ascii="Times New Roman" w:eastAsia="Times New Roman" w:hAnsi="Times New Roman" w:cs="Times New Roman"/>
                <w:color w:val="000000"/>
                <w:spacing w:val="0"/>
                <w:w w:val="100"/>
                <w:position w:val="0"/>
              </w:rPr>
              <w:t>2020</w:t>
            </w:r>
            <w:r>
              <w:rPr>
                <w:color w:val="000000"/>
                <w:spacing w:val="0"/>
                <w:w w:val="100"/>
                <w:position w:val="0"/>
              </w:rPr>
              <w:t>年度，公司及联创智融共收回上述应收账款银行到账</w:t>
            </w:r>
            <w:r>
              <w:rPr>
                <w:rFonts w:ascii="Times New Roman" w:eastAsia="Times New Roman" w:hAnsi="Times New Roman" w:cs="Times New Roman"/>
                <w:color w:val="000000"/>
                <w:spacing w:val="0"/>
                <w:w w:val="100"/>
                <w:position w:val="0"/>
              </w:rPr>
              <w:t>177,842,556.82</w:t>
            </w:r>
            <w:r>
              <w:rPr>
                <w:color w:val="000000"/>
                <w:spacing w:val="0"/>
                <w:w w:val="100"/>
                <w:position w:val="0"/>
              </w:rPr>
              <w:t>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日，尚有</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w:t>
            </w:r>
            <w:r>
              <w:rPr>
                <w:rFonts w:ascii="Times New Roman" w:eastAsia="Times New Roman" w:hAnsi="Times New Roman" w:cs="Times New Roman"/>
                <w:color w:val="000000"/>
                <w:spacing w:val="0"/>
                <w:w w:val="100"/>
                <w:position w:val="0"/>
              </w:rPr>
              <w:t>177,681,555.01</w:t>
            </w:r>
            <w:r>
              <w:rPr>
                <w:color w:val="000000"/>
                <w:spacing w:val="0"/>
                <w:w w:val="100"/>
                <w:position w:val="0"/>
              </w:rPr>
              <w:t>元未收回。 同时，根据法院判决结果，公司从宁波宏创应收账款补偿款保证金账户扣除违约金、 律师费等，合计</w:t>
            </w:r>
            <w:r>
              <w:rPr>
                <w:rFonts w:ascii="Times New Roman" w:eastAsia="Times New Roman" w:hAnsi="Times New Roman" w:cs="Times New Roman"/>
                <w:color w:val="000000"/>
                <w:spacing w:val="0"/>
                <w:w w:val="100"/>
                <w:position w:val="0"/>
              </w:rPr>
              <w:t>4,339,381</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日，公司及联创智融宁波宏创应 收账款补偿款保证金余额</w:t>
            </w:r>
            <w:r>
              <w:rPr>
                <w:rFonts w:ascii="Times New Roman" w:eastAsia="Times New Roman" w:hAnsi="Times New Roman" w:cs="Times New Roman"/>
                <w:color w:val="000000"/>
                <w:spacing w:val="0"/>
                <w:w w:val="100"/>
                <w:position w:val="0"/>
              </w:rPr>
              <w:t>16,060,619.00</w:t>
            </w:r>
            <w:r>
              <w:rPr>
                <w:color w:val="000000"/>
                <w:spacing w:val="0"/>
                <w:w w:val="100"/>
                <w:position w:val="0"/>
              </w:rPr>
              <w:t>元，保证金余额已覆盖宁波宏创应收账款回款 的补偿承诺金额。</w:t>
            </w:r>
          </w:p>
          <w:p>
            <w:pPr>
              <w:pStyle w:val="Style2"/>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 xml:space="preserve">、报告期内，存在控股股东润和投资因资金占用行为违反相关承诺的情况。控股股东 </w:t>
            </w:r>
            <w:r>
              <w:rPr>
                <w:rFonts w:ascii="Times New Roman" w:eastAsia="Times New Roman" w:hAnsi="Times New Roman" w:cs="Times New Roman"/>
                <w:color w:val="000000"/>
                <w:spacing w:val="0"/>
                <w:w w:val="100"/>
                <w:position w:val="0"/>
              </w:rPr>
              <w:t>2020</w:t>
            </w:r>
            <w:r>
              <w:rPr>
                <w:color w:val="000000"/>
                <w:spacing w:val="0"/>
                <w:w w:val="100"/>
                <w:position w:val="0"/>
              </w:rPr>
              <w:t>年度累计资金占用金额合计</w:t>
            </w:r>
            <w:r>
              <w:rPr>
                <w:rFonts w:ascii="Times New Roman" w:eastAsia="Times New Roman" w:hAnsi="Times New Roman" w:cs="Times New Roman"/>
                <w:color w:val="000000"/>
                <w:spacing w:val="0"/>
                <w:w w:val="100"/>
                <w:position w:val="0"/>
              </w:rPr>
              <w:t>6,923.00</w:t>
            </w:r>
            <w:r>
              <w:rPr>
                <w:color w:val="000000"/>
                <w:spacing w:val="0"/>
                <w:w w:val="100"/>
                <w:position w:val="0"/>
              </w:rPr>
              <w:t>万元，在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日前归还</w:t>
            </w:r>
            <w:r>
              <w:rPr>
                <w:rFonts w:ascii="Times New Roman" w:eastAsia="Times New Roman" w:hAnsi="Times New Roman" w:cs="Times New Roman"/>
                <w:color w:val="000000"/>
                <w:spacing w:val="0"/>
                <w:w w:val="100"/>
                <w:position w:val="0"/>
              </w:rPr>
              <w:t xml:space="preserve">5,500 </w:t>
            </w:r>
            <w:r>
              <w:rPr>
                <w:color w:val="000000"/>
                <w:spacing w:val="0"/>
                <w:w w:val="100"/>
                <w:position w:val="0"/>
              </w:rPr>
              <w:t>万元，剩余占用资金</w:t>
            </w:r>
            <w:r>
              <w:rPr>
                <w:rFonts w:ascii="Times New Roman" w:eastAsia="Times New Roman" w:hAnsi="Times New Roman" w:cs="Times New Roman"/>
                <w:color w:val="000000"/>
                <w:spacing w:val="0"/>
                <w:w w:val="100"/>
                <w:position w:val="0"/>
              </w:rPr>
              <w:t>1,423.00</w:t>
            </w:r>
            <w:r>
              <w:rPr>
                <w:color w:val="000000"/>
                <w:spacing w:val="0"/>
                <w:w w:val="100"/>
                <w:position w:val="0"/>
              </w:rPr>
              <w:t>万元及利息</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22.66</w:t>
            </w:r>
            <w:r>
              <w:rPr>
                <w:color w:val="000000"/>
                <w:spacing w:val="0"/>
                <w:w w:val="100"/>
                <w:position w:val="0"/>
              </w:rPr>
              <w:t>万元（利息按公司同期银行贷款最高 利率</w:t>
            </w:r>
            <w:r>
              <w:rPr>
                <w:rFonts w:ascii="Times New Roman" w:eastAsia="Times New Roman" w:hAnsi="Times New Roman" w:cs="Times New Roman"/>
                <w:color w:val="000000"/>
                <w:spacing w:val="0"/>
                <w:w w:val="100"/>
                <w:position w:val="0"/>
              </w:rPr>
              <w:t>5.91%</w:t>
            </w:r>
            <w:r>
              <w:rPr>
                <w:color w:val="000000"/>
                <w:spacing w:val="0"/>
                <w:w w:val="100"/>
                <w:position w:val="0"/>
              </w:rPr>
              <w:t>计算）已于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日之前归还完成。</w:t>
            </w:r>
            <w:r>
              <w:rPr>
                <w:rFonts w:ascii="Times New Roman" w:eastAsia="Times New Roman" w:hAnsi="Times New Roman" w:cs="Times New Roman"/>
                <w:color w:val="000000"/>
                <w:spacing w:val="0"/>
                <w:w w:val="100"/>
                <w:position w:val="0"/>
              </w:rPr>
              <w:t>2021</w:t>
            </w:r>
            <w:r>
              <w:rPr>
                <w:color w:val="000000"/>
                <w:spacing w:val="0"/>
                <w:w w:val="100"/>
                <w:position w:val="0"/>
              </w:rPr>
              <w:t>年初占用资金</w:t>
            </w:r>
            <w:r>
              <w:rPr>
                <w:rFonts w:ascii="Times New Roman" w:eastAsia="Times New Roman" w:hAnsi="Times New Roman" w:cs="Times New Roman"/>
                <w:color w:val="000000"/>
                <w:spacing w:val="0"/>
                <w:w w:val="100"/>
                <w:position w:val="0"/>
              </w:rPr>
              <w:t xml:space="preserve">7,744.04 </w:t>
            </w:r>
            <w:r>
              <w:rPr>
                <w:color w:val="000000"/>
                <w:spacing w:val="0"/>
                <w:w w:val="100"/>
                <w:position w:val="0"/>
              </w:rPr>
              <w:t>万元及利息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10.28</w:t>
            </w:r>
            <w:r>
              <w:rPr>
                <w:color w:val="000000"/>
                <w:spacing w:val="0"/>
                <w:w w:val="100"/>
                <w:position w:val="0"/>
              </w:rPr>
              <w:t>万元（利息按公司同期银行贷款最高利率</w:t>
            </w:r>
            <w:r>
              <w:rPr>
                <w:rFonts w:ascii="Times New Roman" w:eastAsia="Times New Roman" w:hAnsi="Times New Roman" w:cs="Times New Roman"/>
                <w:color w:val="000000"/>
                <w:spacing w:val="0"/>
                <w:w w:val="100"/>
                <w:position w:val="0"/>
              </w:rPr>
              <w:t>5.91%</w:t>
            </w:r>
            <w:r>
              <w:rPr>
                <w:color w:val="000000"/>
                <w:spacing w:val="0"/>
                <w:w w:val="100"/>
                <w:position w:val="0"/>
              </w:rPr>
              <w:t>计算）已于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日之前归还完成。</w:t>
            </w:r>
          </w:p>
        </w:tc>
      </w:tr>
    </w:tbl>
    <w:p>
      <w:pPr>
        <w:widowControl w:val="0"/>
        <w:spacing w:after="239" w:line="1" w:lineRule="exact"/>
      </w:pPr>
    </w:p>
    <w:p>
      <w:pPr>
        <w:pStyle w:val="Style30"/>
        <w:keepNext/>
        <w:keepLines/>
        <w:widowControl w:val="0"/>
        <w:shd w:val="clear" w:color="auto" w:fill="auto"/>
        <w:bidi w:val="0"/>
        <w:spacing w:before="0" w:line="322"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2</w:t>
      </w:r>
      <w:bookmarkEnd w:id="270"/>
      <w:r>
        <w:rPr>
          <w:color w:val="000000"/>
          <w:spacing w:val="0"/>
          <w:w w:val="100"/>
          <w:position w:val="0"/>
        </w:rPr>
        <w:t>、公司资产或项目存在盈利预测，且报告期仍处在盈利预测期间，公司就资产或项目达到原盈利预测及 其原因做出说明</w:t>
      </w:r>
      <w:bookmarkEnd w:id="268"/>
      <w:bookmarkEnd w:id="269"/>
      <w:bookmarkEnd w:id="27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三</w:t>
      </w:r>
      <w:bookmarkEnd w:id="274"/>
      <w:r>
        <w:rPr>
          <w:color w:val="000000"/>
          <w:spacing w:val="0"/>
          <w:w w:val="100"/>
          <w:position w:val="0"/>
          <w:sz w:val="24"/>
          <w:szCs w:val="24"/>
        </w:rPr>
        <w:t>、控股股东及其关联方对上市公司的非经营性占用资金情况</w:t>
      </w:r>
      <w:bookmarkEnd w:id="272"/>
      <w:bookmarkEnd w:id="273"/>
      <w:bookmarkEnd w:id="275"/>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38"/>
        <w:gridCol w:w="629"/>
        <w:gridCol w:w="629"/>
        <w:gridCol w:w="773"/>
        <w:gridCol w:w="629"/>
        <w:gridCol w:w="629"/>
        <w:gridCol w:w="629"/>
        <w:gridCol w:w="778"/>
        <w:gridCol w:w="518"/>
        <w:gridCol w:w="547"/>
        <w:gridCol w:w="782"/>
        <w:gridCol w:w="898"/>
        <w:gridCol w:w="150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股东或 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 新增占 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偿还总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预计偿还时间（月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江苏润 和科技 投资集 团有限 公司</w:t>
            </w:r>
          </w:p>
        </w:tc>
        <w:tc>
          <w:tcPr>
            <w:tcBorders>
              <w:top w:val="single" w:sz="4"/>
              <w:left w:val="single" w:sz="4"/>
            </w:tcBorders>
            <w:shd w:val="clear" w:color="auto" w:fill="FFFFFF"/>
            <w:vAlign w:val="center"/>
          </w:tcPr>
          <w:p>
            <w:pPr>
              <w:pStyle w:val="Style2"/>
              <w:keepNext w:val="0"/>
              <w:keepLines w:val="0"/>
              <w:widowControl w:val="0"/>
              <w:numPr>
                <w:ilvl w:val="0"/>
                <w:numId w:val="3"/>
              </w:numPr>
              <w:shd w:val="clear" w:color="auto" w:fill="auto"/>
              <w:tabs>
                <w:tab w:pos="408" w:val="left"/>
              </w:tabs>
              <w:bidi w:val="0"/>
              <w:spacing w:before="0" w:after="100" w:line="240" w:lineRule="auto"/>
              <w:ind w:left="0" w:right="0" w:firstLine="0"/>
              <w:jc w:val="center"/>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月至</w:t>
            </w:r>
          </w:p>
          <w:p>
            <w:pPr>
              <w:pStyle w:val="Style2"/>
              <w:keepNext w:val="0"/>
              <w:keepLines w:val="0"/>
              <w:widowControl w:val="0"/>
              <w:numPr>
                <w:ilvl w:val="0"/>
                <w:numId w:val="3"/>
              </w:numPr>
              <w:shd w:val="clear" w:color="auto" w:fill="auto"/>
              <w:tabs>
                <w:tab w:pos="408" w:val="left"/>
              </w:tabs>
              <w:bidi w:val="0"/>
              <w:spacing w:before="0" w:after="10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偿还借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 和科技 投资集 团有限 公司</w:t>
            </w:r>
          </w:p>
        </w:tc>
        <w:tc>
          <w:tcPr>
            <w:tcBorders>
              <w:top w:val="single" w:sz="4"/>
              <w:left w:val="single" w:sz="4"/>
            </w:tcBorders>
            <w:shd w:val="clear" w:color="auto" w:fill="FFFFFF"/>
            <w:vAlign w:val="center"/>
          </w:tcPr>
          <w:p>
            <w:pPr>
              <w:pStyle w:val="Style2"/>
              <w:keepNext w:val="0"/>
              <w:keepLines w:val="0"/>
              <w:widowControl w:val="0"/>
              <w:numPr>
                <w:ilvl w:val="0"/>
                <w:numId w:val="5"/>
              </w:numPr>
              <w:shd w:val="clear" w:color="auto" w:fill="auto"/>
              <w:tabs>
                <w:tab w:pos="408" w:val="left"/>
              </w:tabs>
              <w:bidi w:val="0"/>
              <w:spacing w:before="0" w:after="10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月至</w:t>
            </w:r>
          </w:p>
          <w:p>
            <w:pPr>
              <w:pStyle w:val="Style2"/>
              <w:keepNext w:val="0"/>
              <w:keepLines w:val="0"/>
              <w:widowControl w:val="0"/>
              <w:numPr>
                <w:ilvl w:val="0"/>
                <w:numId w:val="5"/>
              </w:numPr>
              <w:shd w:val="clear" w:color="auto" w:fill="auto"/>
              <w:tabs>
                <w:tab w:pos="408" w:val="left"/>
              </w:tabs>
              <w:bidi w:val="0"/>
              <w:spacing w:before="0" w:after="10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资金占 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896"/>
        <w:gridCol w:w="769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766" w:val="left"/>
              </w:tabs>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w:t>
              <w:tab/>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9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当期新增大股东及其附 属企业非经营性资金占 用情况的原因、责任人 追究及董事会拟定采取 措施的情况说明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、非经营性资金占用情况的原因</w:t>
            </w:r>
          </w:p>
          <w:p>
            <w:pPr>
              <w:pStyle w:val="Style2"/>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年度，控股股东江苏润和科技投资集团有限公司（以下简称润和投资）通过相关供应商间接 向润和软件拆借资金</w:t>
            </w:r>
            <w:r>
              <w:rPr>
                <w:rFonts w:ascii="Times New Roman" w:eastAsia="Times New Roman" w:hAnsi="Times New Roman" w:cs="Times New Roman"/>
                <w:color w:val="000000"/>
                <w:spacing w:val="0"/>
                <w:w w:val="100"/>
                <w:position w:val="0"/>
              </w:rPr>
              <w:t>6,923.00</w:t>
            </w:r>
            <w:r>
              <w:rPr>
                <w:color w:val="000000"/>
                <w:spacing w:val="0"/>
                <w:w w:val="100"/>
                <w:position w:val="0"/>
              </w:rPr>
              <w:t>万元，用于归还润和投资的对外借款，形成了对润和软件的非经营 性资金占用。截至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日，资金占用余额为</w:t>
            </w:r>
            <w:r>
              <w:rPr>
                <w:rFonts w:ascii="Times New Roman" w:eastAsia="Times New Roman" w:hAnsi="Times New Roman" w:cs="Times New Roman"/>
                <w:color w:val="000000"/>
                <w:spacing w:val="0"/>
                <w:w w:val="100"/>
                <w:position w:val="0"/>
              </w:rPr>
              <w:t>1,624.63</w:t>
            </w:r>
            <w:r>
              <w:rPr>
                <w:color w:val="000000"/>
                <w:spacing w:val="0"/>
                <w:w w:val="100"/>
                <w:position w:val="0"/>
              </w:rPr>
              <w:t>万元，其中本金</w:t>
            </w:r>
            <w:r>
              <w:rPr>
                <w:rFonts w:ascii="Times New Roman" w:eastAsia="Times New Roman" w:hAnsi="Times New Roman" w:cs="Times New Roman"/>
                <w:color w:val="000000"/>
                <w:spacing w:val="0"/>
                <w:w w:val="100"/>
                <w:position w:val="0"/>
              </w:rPr>
              <w:t>1,423.00</w:t>
            </w:r>
            <w:r>
              <w:rPr>
                <w:color w:val="000000"/>
                <w:spacing w:val="0"/>
                <w:w w:val="100"/>
                <w:position w:val="0"/>
              </w:rPr>
              <w:t>万元， 利息</w:t>
            </w:r>
            <w:r>
              <w:rPr>
                <w:rFonts w:ascii="Times New Roman" w:eastAsia="Times New Roman" w:hAnsi="Times New Roman" w:cs="Times New Roman"/>
                <w:color w:val="000000"/>
                <w:spacing w:val="0"/>
                <w:w w:val="100"/>
                <w:position w:val="0"/>
              </w:rPr>
              <w:t>201.63</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日，润和软件已收到润和投资归还的上述占用资金</w:t>
            </w:r>
            <w:r>
              <w:rPr>
                <w:rFonts w:ascii="Times New Roman" w:eastAsia="Times New Roman" w:hAnsi="Times New Roman" w:cs="Times New Roman"/>
                <w:color w:val="000000"/>
                <w:spacing w:val="0"/>
                <w:w w:val="100"/>
                <w:position w:val="0"/>
              </w:rPr>
              <w:t xml:space="preserve">1,624.63 </w:t>
            </w:r>
            <w:r>
              <w:rPr>
                <w:color w:val="000000"/>
                <w:spacing w:val="0"/>
                <w:w w:val="100"/>
                <w:position w:val="0"/>
              </w:rPr>
              <w:t>万元及期后利息</w:t>
            </w:r>
            <w:r>
              <w:rPr>
                <w:rFonts w:ascii="Times New Roman" w:eastAsia="Times New Roman" w:hAnsi="Times New Roman" w:cs="Times New Roman"/>
                <w:color w:val="000000"/>
                <w:spacing w:val="0"/>
                <w:w w:val="100"/>
                <w:position w:val="0"/>
              </w:rPr>
              <w:t>21.03</w:t>
            </w:r>
            <w:r>
              <w:rPr>
                <w:color w:val="000000"/>
                <w:spacing w:val="0"/>
                <w:w w:val="100"/>
                <w:position w:val="0"/>
              </w:rPr>
              <w:t>万元合计</w:t>
            </w:r>
            <w:r>
              <w:rPr>
                <w:rFonts w:ascii="Times New Roman" w:eastAsia="Times New Roman" w:hAnsi="Times New Roman" w:cs="Times New Roman"/>
                <w:color w:val="000000"/>
                <w:spacing w:val="0"/>
                <w:w w:val="100"/>
                <w:position w:val="0"/>
              </w:rPr>
              <w:t>1,645.66</w:t>
            </w:r>
            <w:r>
              <w:rPr>
                <w:color w:val="000000"/>
                <w:spacing w:val="0"/>
                <w:w w:val="100"/>
                <w:position w:val="0"/>
              </w:rPr>
              <w:t>万元。</w:t>
            </w:r>
          </w:p>
          <w:p>
            <w:pPr>
              <w:pStyle w:val="Style2"/>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年初控股股东润和投资通过相关供应商间接向润和软件拆借资金</w:t>
            </w:r>
            <w:r>
              <w:rPr>
                <w:rFonts w:ascii="Times New Roman" w:eastAsia="Times New Roman" w:hAnsi="Times New Roman" w:cs="Times New Roman"/>
                <w:color w:val="000000"/>
                <w:spacing w:val="0"/>
                <w:w w:val="100"/>
                <w:position w:val="0"/>
              </w:rPr>
              <w:t>7,744.04</w:t>
            </w:r>
            <w:r>
              <w:rPr>
                <w:color w:val="000000"/>
                <w:spacing w:val="0"/>
                <w:w w:val="100"/>
                <w:position w:val="0"/>
              </w:rPr>
              <w:t>万元，用于归还润 和投资的对外借款，形成了对润和软件的非经营性资金占用。截至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日，润和软件 已收到润和投资归还的上述占用资金本金及利息合计</w:t>
            </w:r>
            <w:r>
              <w:rPr>
                <w:rFonts w:ascii="Times New Roman" w:eastAsia="Times New Roman" w:hAnsi="Times New Roman" w:cs="Times New Roman"/>
                <w:color w:val="000000"/>
                <w:spacing w:val="0"/>
                <w:w w:val="100"/>
                <w:position w:val="0"/>
              </w:rPr>
              <w:t>7,854.32</w:t>
            </w:r>
            <w:r>
              <w:rPr>
                <w:color w:val="000000"/>
                <w:spacing w:val="0"/>
                <w:w w:val="100"/>
                <w:position w:val="0"/>
              </w:rPr>
              <w:t>万元。</w:t>
            </w:r>
          </w:p>
          <w:p>
            <w:pPr>
              <w:pStyle w:val="Style2"/>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为了杜绝此类事件再次发生，公司将采取以下整改措施：</w:t>
            </w:r>
          </w:p>
          <w:p>
            <w:pPr>
              <w:pStyle w:val="Style2"/>
              <w:keepNext w:val="0"/>
              <w:keepLines w:val="0"/>
              <w:widowControl w:val="0"/>
              <w:shd w:val="clear" w:color="auto" w:fill="auto"/>
              <w:tabs>
                <w:tab w:pos="542" w:val="left"/>
              </w:tabs>
              <w:bidi w:val="0"/>
              <w:spacing w:before="0" w:after="40" w:line="312" w:lineRule="exact"/>
              <w:ind w:left="0" w:right="0" w:firstLine="0"/>
              <w:jc w:val="left"/>
            </w:pPr>
            <w:r>
              <w:rPr>
                <w:color w:val="000000"/>
                <w:spacing w:val="0"/>
                <w:w w:val="100"/>
                <w:position w:val="0"/>
              </w:rPr>
              <w:t>（一）</w:t>
              <w:tab/>
              <w:t>资金占用事项暴露了公司内部控制方面的不足。针对上述事项，公司将进一步完善内控制 度，根据《企业内部控制基本规范》（财会</w:t>
            </w:r>
            <w:r>
              <w:rPr>
                <w:rFonts w:ascii="Times New Roman" w:eastAsia="Times New Roman" w:hAnsi="Times New Roman" w:cs="Times New Roman"/>
                <w:color w:val="000000"/>
                <w:spacing w:val="0"/>
                <w:w w:val="100"/>
                <w:position w:val="0"/>
              </w:rPr>
              <w:t>[2008]7</w:t>
            </w:r>
            <w:r>
              <w:rPr>
                <w:color w:val="000000"/>
                <w:spacing w:val="0"/>
                <w:w w:val="100"/>
                <w:position w:val="0"/>
              </w:rPr>
              <w:t>号）及配套指引的有关要求进一步健全内部控 制制度，完善内控运行程序，强化资金使用的管理制度，杜绝资金占用问题。</w:t>
            </w:r>
          </w:p>
          <w:p>
            <w:pPr>
              <w:pStyle w:val="Style2"/>
              <w:keepNext w:val="0"/>
              <w:keepLines w:val="0"/>
              <w:widowControl w:val="0"/>
              <w:shd w:val="clear" w:color="auto" w:fill="auto"/>
              <w:tabs>
                <w:tab w:pos="538" w:val="left"/>
              </w:tabs>
              <w:bidi w:val="0"/>
              <w:spacing w:before="0" w:after="40" w:line="312" w:lineRule="exact"/>
              <w:ind w:left="0" w:right="0" w:firstLine="0"/>
              <w:jc w:val="left"/>
            </w:pPr>
            <w:r>
              <w:rPr>
                <w:color w:val="000000"/>
                <w:spacing w:val="0"/>
                <w:w w:val="100"/>
                <w:position w:val="0"/>
              </w:rPr>
              <w:t>（二）</w:t>
              <w:tab/>
              <w:t>完善公司内部审计部门的职能，在董事会审计委员会的领导下行使监督权，加强内部审计 部门对公司内部控制制度执行情况的监督力度，提高内部审计工作的深度和广度，对相关业务部 门大额资金使用进行动态跟踪，督促公司严格履行相关审批程序，促进企业规范发展。</w:t>
            </w:r>
          </w:p>
          <w:p>
            <w:pPr>
              <w:pStyle w:val="Style2"/>
              <w:keepNext w:val="0"/>
              <w:keepLines w:val="0"/>
              <w:widowControl w:val="0"/>
              <w:shd w:val="clear" w:color="auto" w:fill="auto"/>
              <w:tabs>
                <w:tab w:pos="538" w:val="left"/>
              </w:tabs>
              <w:bidi w:val="0"/>
              <w:spacing w:before="0" w:after="40" w:line="313" w:lineRule="exact"/>
              <w:ind w:left="0" w:right="0" w:firstLine="0"/>
              <w:jc w:val="left"/>
            </w:pPr>
            <w:r>
              <w:rPr>
                <w:color w:val="000000"/>
                <w:spacing w:val="0"/>
                <w:w w:val="100"/>
                <w:position w:val="0"/>
              </w:rPr>
              <w:t>（三）</w:t>
              <w:tab/>
              <w:t>组织公司控股股东、实际控制人、董事、监事、高级管理人员及相关财务人员学习《公司 法》、《证券法》、《深圳证券交易所创业板上市公司规范运作指引（</w:t>
            </w:r>
            <w:r>
              <w:rPr>
                <w:rFonts w:ascii="Times New Roman" w:eastAsia="Times New Roman" w:hAnsi="Times New Roman" w:cs="Times New Roman"/>
                <w:color w:val="000000"/>
                <w:spacing w:val="0"/>
                <w:w w:val="100"/>
                <w:position w:val="0"/>
              </w:rPr>
              <w:t>2020</w:t>
            </w:r>
            <w:r>
              <w:rPr>
                <w:color w:val="000000"/>
                <w:spacing w:val="0"/>
                <w:w w:val="100"/>
                <w:position w:val="0"/>
              </w:rPr>
              <w:t>年修订）》、《上市公司信息 披露管理办法》、《深圳证券交易所创业板股票上市规则》等相关法律法规，充分认识资金占用问 题的危害性，不断增强自我规范意识，严格落实各项规定的执行，防止公司控股股东及其他关联 方资金占用情况的再次发生。</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 性资金占用的原因、责 任追究情况及董事会拟 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注册会计师对资金占用 的专项审核意见的披露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11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注册会计师对资金占用 的专项审核意见的披露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关于江苏润和软件股份有限公司非经营性资金占用及其他关联资金往来情况专项说明、关于江苏 润和软件股份有限公司大股东及其附属企业非经营性资金占用及清偿情况的专项审核报告</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fldChar w:fldCharType="end"/>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6"/>
      <w:bookmarkEnd w:id="277"/>
      <w:bookmarkEnd w:id="279"/>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0"/>
      <w:bookmarkEnd w:id="281"/>
      <w:bookmarkEnd w:id="283"/>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pPr>
      <w:bookmarkStart w:id="284" w:name="bookmark284"/>
      <w:r>
        <w:rPr>
          <w:color w:val="000000"/>
          <w:spacing w:val="0"/>
          <w:w w:val="100"/>
          <w:position w:val="0"/>
        </w:rPr>
        <w:t>（</w:t>
      </w:r>
      <w:bookmarkEnd w:id="284"/>
      <w:r>
        <w:rPr>
          <w:color w:val="000000"/>
          <w:spacing w:val="0"/>
          <w:w w:val="100"/>
          <w:position w:val="0"/>
        </w:rPr>
        <w:t xml:space="preserve">一）董事会意见 </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日召开的第六届董事会第十一次会议审议通过了《关于对会计师事务所出具无保留意见审计报告中强调 事项段涉及事项的专项说明》。我们认为：容诚会计师事务所在强调事项段提醒财务报告使用者关注的事项是客观、真实存 在的。公司控股股东已于审计报告出具日前全额归还了占用资金及利息，该事项的影响已消除。容诚会计师事务所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 通合伙</w:t>
      </w:r>
      <w:r>
        <w:rPr>
          <w:rFonts w:ascii="Times New Roman" w:eastAsia="Times New Roman" w:hAnsi="Times New Roman" w:cs="Times New Roman"/>
          <w:color w:val="000000"/>
          <w:spacing w:val="0"/>
          <w:w w:val="100"/>
          <w:position w:val="0"/>
        </w:rPr>
        <w:t>）</w:t>
      </w:r>
      <w:r>
        <w:rPr>
          <w:color w:val="000000"/>
          <w:spacing w:val="0"/>
          <w:w w:val="100"/>
          <w:position w:val="0"/>
        </w:rPr>
        <w:t>依据相关情况，本着严格、谨慎的原则出具强调事项段的无保留意见，符合《企业会计准则》等相关法律法规。公 司已采取有效措施，尽力消除该事项对公司的影响，切实维护公司及全体股东利益。</w:t>
      </w:r>
    </w:p>
    <w:p>
      <w:pPr>
        <w:pStyle w:val="Style26"/>
        <w:keepNext w:val="0"/>
        <w:keepLines w:val="0"/>
        <w:widowControl w:val="0"/>
        <w:shd w:val="clear" w:color="auto" w:fill="auto"/>
        <w:bidi w:val="0"/>
        <w:spacing w:before="0" w:after="0" w:line="313" w:lineRule="exact"/>
        <w:ind w:left="0" w:right="0" w:firstLine="0"/>
        <w:jc w:val="left"/>
      </w:pPr>
      <w:bookmarkStart w:id="285" w:name="bookmark285"/>
      <w:r>
        <w:rPr>
          <w:color w:val="000000"/>
          <w:spacing w:val="0"/>
          <w:w w:val="100"/>
          <w:position w:val="0"/>
        </w:rPr>
        <w:t>（</w:t>
      </w:r>
      <w:bookmarkEnd w:id="285"/>
      <w:r>
        <w:rPr>
          <w:color w:val="000000"/>
          <w:spacing w:val="0"/>
          <w:w w:val="100"/>
          <w:position w:val="0"/>
        </w:rPr>
        <w:t>二）独立董事意见</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我们审阅了容诚会计师事务所（特殊普通合伙）《关于对江苏润和软件股份有限公司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年度财务报告无保留意见审计报告 中强调事项段涉及事项的专项说明》以及公司《关于对会计师事务所出具无保留意见审计报告中强调事项段涉及事项的专项 说明》，并在此基础上发表如下独立意见：</w:t>
      </w:r>
      <w:r>
        <w:rPr>
          <w:rFonts w:ascii="Times New Roman" w:eastAsia="Times New Roman" w:hAnsi="Times New Roman" w:cs="Times New Roman"/>
          <w:color w:val="000000"/>
          <w:spacing w:val="0"/>
          <w:w w:val="100"/>
          <w:position w:val="0"/>
        </w:rPr>
        <w:t>1</w:t>
      </w:r>
      <w:r>
        <w:rPr>
          <w:color w:val="000000"/>
          <w:spacing w:val="0"/>
          <w:w w:val="100"/>
          <w:position w:val="0"/>
        </w:rPr>
        <w:t>、容诚会计师事务所（特殊普通合伙）出具的带强调事项段无保留意见审计报 告，客观反映了公司</w:t>
      </w:r>
      <w:r>
        <w:rPr>
          <w:rFonts w:ascii="Times New Roman" w:eastAsia="Times New Roman" w:hAnsi="Times New Roman" w:cs="Times New Roman"/>
          <w:color w:val="000000"/>
          <w:spacing w:val="0"/>
          <w:w w:val="100"/>
          <w:position w:val="0"/>
        </w:rPr>
        <w:t>2020</w:t>
      </w:r>
      <w:r>
        <w:rPr>
          <w:color w:val="000000"/>
          <w:spacing w:val="0"/>
          <w:w w:val="100"/>
          <w:position w:val="0"/>
        </w:rPr>
        <w:t>年度的财务状况和经营情况，我们对上述审计报告无异议。</w:t>
      </w:r>
      <w:r>
        <w:rPr>
          <w:rFonts w:ascii="Times New Roman" w:eastAsia="Times New Roman" w:hAnsi="Times New Roman" w:cs="Times New Roman"/>
          <w:color w:val="000000"/>
          <w:spacing w:val="0"/>
          <w:w w:val="100"/>
          <w:position w:val="0"/>
        </w:rPr>
        <w:t>2</w:t>
      </w:r>
      <w:r>
        <w:rPr>
          <w:color w:val="000000"/>
          <w:spacing w:val="0"/>
          <w:w w:val="100"/>
          <w:position w:val="0"/>
        </w:rPr>
        <w:t>、我们同意《关于对会计师事务所出 具无保留意见审计报告中强调事项段涉及事项的专项说明》。我们将持续关注并监督公司董事会及管理层进一步建立健全内 部控制制度，加强内部控制制度的执行，严格执行资金支付制度，提升规范运作水平，杜绝资金占用问题，切实维护上市公 司合法权益，提升上市公司质量。</w:t>
      </w:r>
    </w:p>
    <w:p>
      <w:pPr>
        <w:pStyle w:val="Style26"/>
        <w:keepNext w:val="0"/>
        <w:keepLines w:val="0"/>
        <w:widowControl w:val="0"/>
        <w:shd w:val="clear" w:color="auto" w:fill="auto"/>
        <w:bidi w:val="0"/>
        <w:spacing w:before="0" w:after="0" w:line="313" w:lineRule="exact"/>
        <w:ind w:left="0" w:right="0" w:firstLine="0"/>
        <w:jc w:val="both"/>
      </w:pPr>
      <w:bookmarkStart w:id="286" w:name="bookmark286"/>
      <w:r>
        <w:rPr>
          <w:color w:val="000000"/>
          <w:spacing w:val="0"/>
          <w:w w:val="100"/>
          <w:position w:val="0"/>
        </w:rPr>
        <w:t>（</w:t>
      </w:r>
      <w:bookmarkEnd w:id="286"/>
      <w:r>
        <w:rPr>
          <w:color w:val="000000"/>
          <w:spacing w:val="0"/>
          <w:w w:val="100"/>
          <w:position w:val="0"/>
        </w:rPr>
        <w:t>三）监事会意见</w:t>
      </w:r>
    </w:p>
    <w:p>
      <w:pPr>
        <w:pStyle w:val="Style26"/>
        <w:keepNext w:val="0"/>
        <w:keepLines w:val="0"/>
        <w:widowControl w:val="0"/>
        <w:shd w:val="clear" w:color="auto" w:fill="auto"/>
        <w:bidi w:val="0"/>
        <w:spacing w:before="0" w:after="680" w:line="313" w:lineRule="exact"/>
        <w:ind w:left="0" w:right="0" w:firstLine="0"/>
        <w:jc w:val="both"/>
      </w:pPr>
      <w:r>
        <w:rPr>
          <w:color w:val="000000"/>
          <w:spacing w:val="0"/>
          <w:w w:val="100"/>
          <w:position w:val="0"/>
        </w:rPr>
        <w:t>我们认为：容诚会计师事务所在强调事项段提醒财务报告使用者关注的事项是客观、真实存在的。公司控股股东已于审计报 告出具日前全额归还了占用资金及利息，该事项的影响已消除。容诚会计师事务所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依据相关情况，本着严格、 谨慎的原则出具强调事项段的无保留意见，符合《企业会计准则》等相关法律法规。我们将持续关注并监督公司董事会及管 理层针对此类事项自查自纠自改，杜绝类似事项的发生，促进公司健康、稳定、可持续发展，维护广大股东的利益。</w:t>
      </w:r>
    </w:p>
    <w:p>
      <w:pPr>
        <w:pStyle w:val="Style24"/>
        <w:keepNext/>
        <w:keepLines/>
        <w:widowControl w:val="0"/>
        <w:shd w:val="clear" w:color="auto" w:fill="auto"/>
        <w:tabs>
          <w:tab w:pos="485" w:val="left"/>
        </w:tabs>
        <w:bidi w:val="0"/>
        <w:spacing w:before="0" w:after="360" w:line="240" w:lineRule="auto"/>
        <w:ind w:left="0" w:right="0" w:firstLine="0"/>
        <w:jc w:val="both"/>
      </w:pPr>
      <w:bookmarkStart w:id="287" w:name="bookmark287"/>
      <w:bookmarkStart w:id="288" w:name="bookmark288"/>
      <w:bookmarkStart w:id="289" w:name="bookmark289"/>
      <w:bookmarkStart w:id="290" w:name="bookmark290"/>
      <w:r>
        <w:rPr>
          <w:color w:val="000000"/>
          <w:spacing w:val="0"/>
          <w:w w:val="100"/>
          <w:position w:val="0"/>
          <w:sz w:val="24"/>
          <w:szCs w:val="24"/>
        </w:rPr>
        <w:t>六</w:t>
      </w:r>
      <w:bookmarkEnd w:id="289"/>
      <w:r>
        <w:rPr>
          <w:color w:val="000000"/>
          <w:spacing w:val="0"/>
          <w:w w:val="100"/>
          <w:position w:val="0"/>
          <w:sz w:val="24"/>
          <w:szCs w:val="24"/>
        </w:rPr>
        <w:t>、</w:t>
        <w:tab/>
        <w:t>董事会关于报告期会计政策、会计估计变更或重大会计差错更正的说明</w:t>
      </w:r>
      <w:bookmarkEnd w:id="287"/>
      <w:bookmarkEnd w:id="288"/>
      <w:bookmarkEnd w:id="290"/>
    </w:p>
    <w:p>
      <w:pPr>
        <w:pStyle w:val="Style26"/>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公司聘请容诚会计师事务所（特殊普通合伙）对公司</w:t>
      </w:r>
      <w:r>
        <w:rPr>
          <w:rFonts w:ascii="Times New Roman" w:eastAsia="Times New Roman" w:hAnsi="Times New Roman" w:cs="Times New Roman"/>
          <w:color w:val="000000"/>
          <w:spacing w:val="0"/>
          <w:w w:val="100"/>
          <w:position w:val="0"/>
        </w:rPr>
        <w:t>2020</w:t>
      </w:r>
      <w:r>
        <w:rPr>
          <w:color w:val="000000"/>
          <w:spacing w:val="0"/>
          <w:w w:val="100"/>
          <w:position w:val="0"/>
        </w:rPr>
        <w:t>年年度财务报表进行审计，过程中会同相关人员共同深入研究、探 讨新收入准则，并结合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日财政部发布的《收入准则应用案例</w:t>
      </w:r>
      <w:r>
        <w:rPr>
          <w:rFonts w:ascii="Times New Roman" w:eastAsia="Times New Roman" w:hAnsi="Times New Roman" w:cs="Times New Roman"/>
          <w:color w:val="000000"/>
          <w:spacing w:val="0"/>
          <w:w w:val="100"/>
          <w:position w:val="0"/>
        </w:rPr>
        <w:t>-</w:t>
      </w:r>
      <w:r>
        <w:rPr>
          <w:color w:val="000000"/>
          <w:spacing w:val="0"/>
          <w:w w:val="100"/>
          <w:position w:val="0"/>
        </w:rPr>
        <w:t>定制软件开发服务的收入确认》，对</w:t>
      </w:r>
      <w:r>
        <w:rPr>
          <w:rFonts w:ascii="Times New Roman" w:eastAsia="Times New Roman" w:hAnsi="Times New Roman" w:cs="Times New Roman"/>
          <w:color w:val="000000"/>
          <w:spacing w:val="0"/>
          <w:w w:val="100"/>
          <w:position w:val="0"/>
        </w:rPr>
        <w:t>2020</w:t>
      </w:r>
      <w:r>
        <w:rPr>
          <w:color w:val="000000"/>
          <w:spacing w:val="0"/>
          <w:w w:val="100"/>
          <w:position w:val="0"/>
        </w:rPr>
        <w:t>年度公司 定制软件开发业务进行了重新判断，认为公司在定制软件开发业务过程中，客户是否能够合理利用开发过程中形成的程序、 文档，从中获得几乎全部的经济利益，并能否控制履约过程中的在建商品尚存在不确定性，从审慎角度将公司定制软件开发 业务归属于在某一时点履行的履约义务，公司将按照履约进度确认收入调整为在客户取得相关商品控制权时点确认收入。另 因公司</w:t>
      </w:r>
      <w:r>
        <w:rPr>
          <w:rFonts w:ascii="Times New Roman" w:eastAsia="Times New Roman" w:hAnsi="Times New Roman" w:cs="Times New Roman"/>
          <w:color w:val="000000"/>
          <w:spacing w:val="0"/>
          <w:w w:val="100"/>
          <w:position w:val="0"/>
        </w:rPr>
        <w:t>2021</w:t>
      </w:r>
      <w:r>
        <w:rPr>
          <w:color w:val="000000"/>
          <w:spacing w:val="0"/>
          <w:w w:val="100"/>
          <w:position w:val="0"/>
        </w:rPr>
        <w:t>年初对</w:t>
      </w:r>
      <w:r>
        <w:rPr>
          <w:rFonts w:ascii="Times New Roman" w:eastAsia="Times New Roman" w:hAnsi="Times New Roman" w:cs="Times New Roman"/>
          <w:color w:val="000000"/>
          <w:spacing w:val="0"/>
          <w:w w:val="100"/>
          <w:position w:val="0"/>
        </w:rPr>
        <w:t>2020</w:t>
      </w:r>
      <w:r>
        <w:rPr>
          <w:color w:val="000000"/>
          <w:spacing w:val="0"/>
          <w:w w:val="100"/>
          <w:position w:val="0"/>
        </w:rPr>
        <w:t>年度财务账目及相关资料进行深入自查，发现控股股东江苏润和科技投资集团有限公司（以下简称润 和投资）通过相关供应商间接向公司拆借资金，形成了对公司的非经营性资金占用，原业务对应的报表项目需调整至</w:t>
      </w:r>
      <w:r>
        <w:rPr>
          <w:rFonts w:ascii="Times New Roman" w:eastAsia="Times New Roman" w:hAnsi="Times New Roman" w:cs="Times New Roman"/>
          <w:color w:val="000000"/>
          <w:spacing w:val="0"/>
          <w:w w:val="100"/>
          <w:position w:val="0"/>
        </w:rPr>
        <w:t>“</w:t>
      </w:r>
      <w:r>
        <w:rPr>
          <w:color w:val="000000"/>
          <w:spacing w:val="0"/>
          <w:w w:val="100"/>
          <w:position w:val="0"/>
        </w:rPr>
        <w:t>其他 应收款</w:t>
      </w:r>
      <w:r>
        <w:rPr>
          <w:rFonts w:ascii="Times New Roman" w:eastAsia="Times New Roman" w:hAnsi="Times New Roman" w:cs="Times New Roman"/>
          <w:color w:val="000000"/>
          <w:spacing w:val="0"/>
          <w:w w:val="100"/>
          <w:position w:val="0"/>
        </w:rPr>
        <w:t>”</w:t>
      </w:r>
      <w:r>
        <w:rPr>
          <w:color w:val="000000"/>
          <w:spacing w:val="0"/>
          <w:w w:val="100"/>
          <w:position w:val="0"/>
        </w:rPr>
        <w:t>项目。综上，现一并对</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年半年度报告和</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年第三季度报告中涉及的相关财务信息进行 更正调整。</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公司董事会认为，本次会计差错更正符合《企业会计准则第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color w:val="000000"/>
          <w:spacing w:val="0"/>
          <w:w w:val="100"/>
          <w:position w:val="0"/>
        </w:rPr>
        <w:t>一</w:t>
      </w:r>
      <w:r>
        <w:rPr>
          <w:color w:val="000000"/>
          <w:spacing w:val="0"/>
          <w:w w:val="100"/>
          <w:position w:val="0"/>
        </w:rPr>
        <w:t>会计政策、会计估计变更和差错更正》及《公开发行证券 的公司信息披露编报规则第</w:t>
      </w:r>
      <w:r>
        <w:rPr>
          <w:rFonts w:ascii="Times New Roman" w:eastAsia="Times New Roman" w:hAnsi="Times New Roman" w:cs="Times New Roman"/>
          <w:color w:val="000000"/>
          <w:spacing w:val="0"/>
          <w:w w:val="100"/>
          <w:position w:val="0"/>
        </w:rPr>
        <w:t>19</w:t>
      </w:r>
      <w:r>
        <w:rPr>
          <w:color w:val="000000"/>
          <w:spacing w:val="0"/>
          <w:w w:val="100"/>
          <w:position w:val="0"/>
        </w:rPr>
        <w:t>号</w:t>
      </w:r>
      <w:r>
        <w:rPr>
          <w:color w:val="000000"/>
          <w:spacing w:val="0"/>
          <w:w w:val="100"/>
          <w:position w:val="0"/>
        </w:rPr>
        <w:t>一</w:t>
      </w:r>
      <w:r>
        <w:rPr>
          <w:color w:val="000000"/>
          <w:spacing w:val="0"/>
          <w:w w:val="100"/>
          <w:position w:val="0"/>
        </w:rPr>
        <w:t>财务信息的更正及相关披露》的有关规定，是对公司实际经营状况的客观反映，更正后的 财务数据及财务报表能够更加客观、准确地反映公司财务状况及经营成果，有利于提高公司财务信息质量。</w:t>
      </w:r>
    </w:p>
    <w:p>
      <w:pPr>
        <w:pStyle w:val="Style26"/>
        <w:keepNext w:val="0"/>
        <w:keepLines w:val="0"/>
        <w:widowControl w:val="0"/>
        <w:shd w:val="clear" w:color="auto" w:fill="auto"/>
        <w:bidi w:val="0"/>
        <w:spacing w:before="0" w:after="360" w:line="313" w:lineRule="exact"/>
        <w:ind w:left="0" w:right="0" w:firstLine="0"/>
        <w:jc w:val="both"/>
      </w:pPr>
      <w:r>
        <w:rPr>
          <w:color w:val="000000"/>
          <w:spacing w:val="0"/>
          <w:w w:val="100"/>
          <w:position w:val="0"/>
        </w:rPr>
        <w:t>上述会计政策变更具体详见第二十节、五、</w:t>
      </w:r>
      <w:r>
        <w:rPr>
          <w:rFonts w:ascii="Times New Roman" w:eastAsia="Times New Roman" w:hAnsi="Times New Roman" w:cs="Times New Roman"/>
          <w:color w:val="000000"/>
          <w:spacing w:val="0"/>
          <w:w w:val="100"/>
          <w:position w:val="0"/>
        </w:rPr>
        <w:t>“</w:t>
      </w:r>
      <w:r>
        <w:rPr>
          <w:color w:val="000000"/>
          <w:spacing w:val="0"/>
          <w:w w:val="100"/>
          <w:position w:val="0"/>
        </w:rPr>
        <w:t>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之第</w:t>
      </w:r>
      <w:r>
        <w:rPr>
          <w:rFonts w:ascii="Times New Roman" w:eastAsia="Times New Roman" w:hAnsi="Times New Roman" w:cs="Times New Roman"/>
          <w:color w:val="000000"/>
          <w:spacing w:val="0"/>
          <w:w w:val="100"/>
          <w:position w:val="0"/>
        </w:rPr>
        <w:t>44</w:t>
      </w:r>
      <w:r>
        <w:rPr>
          <w:color w:val="000000"/>
          <w:spacing w:val="0"/>
          <w:w w:val="100"/>
          <w:position w:val="0"/>
        </w:rPr>
        <w:t>项</w:t>
      </w:r>
      <w:r>
        <w:rPr>
          <w:rFonts w:ascii="Times New Roman" w:eastAsia="Times New Roman" w:hAnsi="Times New Roman" w:cs="Times New Roman"/>
          <w:color w:val="000000"/>
          <w:spacing w:val="0"/>
          <w:w w:val="100"/>
          <w:position w:val="0"/>
        </w:rPr>
        <w:t>“</w:t>
      </w:r>
      <w:r>
        <w:rPr>
          <w:color w:val="000000"/>
          <w:spacing w:val="0"/>
          <w:w w:val="100"/>
          <w:position w:val="0"/>
        </w:rPr>
        <w:t>重要重要会计政策和会计估计变更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tabs>
          <w:tab w:pos="485" w:val="left"/>
        </w:tabs>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七</w:t>
      </w:r>
      <w:bookmarkEnd w:id="293"/>
      <w:r>
        <w:rPr>
          <w:color w:val="000000"/>
          <w:spacing w:val="0"/>
          <w:w w:val="100"/>
          <w:position w:val="0"/>
          <w:sz w:val="24"/>
          <w:szCs w:val="24"/>
        </w:rPr>
        <w:t>、</w:t>
        <w:tab/>
        <w:t>与上年度财务报告相比，合并报表范围发生变化的情况说明</w:t>
      </w:r>
      <w:bookmarkEnd w:id="291"/>
      <w:bookmarkEnd w:id="292"/>
      <w:bookmarkEnd w:id="294"/>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详情见第十二节、八、合并范围的变更。</w:t>
      </w:r>
      <w:r>
        <w:br w:type="page"/>
      </w:r>
    </w:p>
    <w:p>
      <w:pPr>
        <w:pStyle w:val="Style24"/>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八</w:t>
      </w:r>
      <w:bookmarkEnd w:id="297"/>
      <w:r>
        <w:rPr>
          <w:color w:val="000000"/>
          <w:spacing w:val="0"/>
          <w:w w:val="100"/>
          <w:position w:val="0"/>
          <w:sz w:val="24"/>
          <w:szCs w:val="24"/>
        </w:rPr>
        <w:t>、聘任、解聘会计师事务所情况</w:t>
      </w:r>
      <w:bookmarkEnd w:id="295"/>
      <w:bookmarkEnd w:id="296"/>
      <w:bookmarkEnd w:id="298"/>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褚诗伟、孔令莉、李丹</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褚诗伟</w:t>
            </w:r>
            <w:r>
              <w:rPr>
                <w:rFonts w:ascii="Times New Roman" w:eastAsia="Times New Roman" w:hAnsi="Times New Roman" w:cs="Times New Roman"/>
                <w:color w:val="000000"/>
                <w:spacing w:val="0"/>
                <w:w w:val="100"/>
                <w:position w:val="0"/>
              </w:rPr>
              <w:t>1</w:t>
            </w:r>
            <w:r>
              <w:rPr>
                <w:color w:val="000000"/>
                <w:spacing w:val="0"/>
                <w:w w:val="100"/>
                <w:position w:val="0"/>
              </w:rPr>
              <w:t>年、孔令莉</w:t>
            </w:r>
            <w:r>
              <w:rPr>
                <w:rFonts w:ascii="Times New Roman" w:eastAsia="Times New Roman" w:hAnsi="Times New Roman" w:cs="Times New Roman"/>
                <w:color w:val="000000"/>
                <w:spacing w:val="0"/>
                <w:w w:val="100"/>
                <w:position w:val="0"/>
              </w:rPr>
              <w:t>3</w:t>
            </w:r>
            <w:r>
              <w:rPr>
                <w:color w:val="000000"/>
                <w:spacing w:val="0"/>
                <w:w w:val="100"/>
                <w:position w:val="0"/>
              </w:rPr>
              <w:t>年、李丹</w:t>
            </w:r>
            <w:r>
              <w:rPr>
                <w:rFonts w:ascii="Times New Roman" w:eastAsia="Times New Roman" w:hAnsi="Times New Roman" w:cs="Times New Roman"/>
                <w:color w:val="000000"/>
                <w:spacing w:val="0"/>
                <w:w w:val="100"/>
                <w:position w:val="0"/>
              </w:rPr>
              <w:t>3</w:t>
            </w:r>
            <w:r>
              <w:rPr>
                <w:color w:val="000000"/>
                <w:spacing w:val="0"/>
                <w:w w:val="100"/>
                <w:position w:val="0"/>
              </w:rPr>
              <w:t>年</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是否改聘会计师事务所</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九</w:t>
      </w:r>
      <w:bookmarkEnd w:id="301"/>
      <w:r>
        <w:rPr>
          <w:color w:val="000000"/>
          <w:spacing w:val="0"/>
          <w:w w:val="100"/>
          <w:position w:val="0"/>
          <w:sz w:val="24"/>
          <w:szCs w:val="24"/>
        </w:rPr>
        <w:t>、年度报告披露后面临退市情况</w:t>
      </w:r>
      <w:bookmarkEnd w:id="299"/>
      <w:bookmarkEnd w:id="300"/>
      <w:bookmarkEnd w:id="302"/>
    </w:p>
    <w:p>
      <w:pPr>
        <w:pStyle w:val="Style26"/>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十、破产重整相关事项</w:t>
      </w:r>
      <w:bookmarkEnd w:id="303"/>
      <w:bookmarkEnd w:id="304"/>
      <w:bookmarkEnd w:id="305"/>
    </w:p>
    <w:p>
      <w:pPr>
        <w:pStyle w:val="Style2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十一、重大诉讼、仲裁事项</w:t>
      </w:r>
      <w:bookmarkEnd w:id="306"/>
      <w:bookmarkEnd w:id="307"/>
      <w:bookmarkEnd w:id="308"/>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7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鉴于公司全资子 公司联创智融的 原股东宁波宏创 未能按时完成《发 行股份及支付现 金购买资产之盈 利补偿协议》约定 的应收账款承诺 补偿、自然人周帮 建未承担相应连 带保证责任，为保 障公司和股东的 利益,公司于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日向江 苏省南京市中级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一审已判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江苏省南京市中 级人民法院一审 判决如下：（一） 宁波宏创股权投 资合伙企业（有 限合伙）向江苏 润和软件股份有 限公司支付违约 金 </w:t>
            </w:r>
            <w:r>
              <w:rPr>
                <w:rFonts w:ascii="Times New Roman" w:eastAsia="Times New Roman" w:hAnsi="Times New Roman" w:cs="Times New Roman"/>
                <w:color w:val="000000"/>
                <w:spacing w:val="0"/>
                <w:w w:val="100"/>
                <w:position w:val="0"/>
              </w:rPr>
              <w:t xml:space="preserve">3,028,194 </w:t>
            </w:r>
            <w:r>
              <w:rPr>
                <w:color w:val="000000"/>
                <w:spacing w:val="0"/>
                <w:w w:val="100"/>
                <w:position w:val="0"/>
              </w:rPr>
              <w:t>元、 律师费</w:t>
            </w:r>
            <w:r>
              <w:rPr>
                <w:rFonts w:ascii="Times New Roman" w:eastAsia="Times New Roman" w:hAnsi="Times New Roman" w:cs="Times New Roman"/>
                <w:color w:val="000000"/>
                <w:spacing w:val="0"/>
                <w:w w:val="100"/>
                <w:position w:val="0"/>
              </w:rPr>
              <w:t>30</w:t>
            </w:r>
            <w:r>
              <w:rPr>
                <w:color w:val="000000"/>
                <w:spacing w:val="0"/>
                <w:w w:val="100"/>
                <w:position w:val="0"/>
              </w:rPr>
              <w:t xml:space="preserve">万元， 合计 </w:t>
            </w:r>
            <w:r>
              <w:rPr>
                <w:rFonts w:ascii="Times New Roman" w:eastAsia="Times New Roman" w:hAnsi="Times New Roman" w:cs="Times New Roman"/>
                <w:color w:val="000000"/>
                <w:spacing w:val="0"/>
                <w:w w:val="100"/>
                <w:position w:val="0"/>
              </w:rPr>
              <w:t xml:space="preserve">3,328,194 </w:t>
            </w:r>
            <w:r>
              <w:rPr>
                <w:color w:val="000000"/>
                <w:spacing w:val="0"/>
                <w:w w:val="100"/>
                <w:position w:val="0"/>
              </w:rPr>
              <w:t>元。（二）周帮建 就宁波宏创股权 投资合伙企业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公司持续努力 向联创智融客 户催收尚未收 回的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日经审计 的应收账款，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年度，公 司及联创智融 共收回上述应 收账款银行到 账 </w:t>
            </w:r>
            <w:r>
              <w:rPr>
                <w:rFonts w:ascii="Times New Roman" w:eastAsia="Times New Roman" w:hAnsi="Times New Roman" w:cs="Times New Roman"/>
                <w:color w:val="000000"/>
                <w:spacing w:val="0"/>
                <w:w w:val="100"/>
                <w:position w:val="0"/>
              </w:rPr>
              <w:t xml:space="preserve">177,842,556.82 </w:t>
            </w:r>
            <w:r>
              <w:rPr>
                <w:color w:val="000000"/>
                <w:spacing w:val="0"/>
                <w:w w:val="100"/>
                <w:position w:val="0"/>
              </w:rPr>
              <w:t>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尚有</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巨潮资讯网， 公告编 号</w:t>
            </w:r>
            <w:r>
              <w:rPr>
                <w:rFonts w:ascii="Times New Roman" w:eastAsia="Times New Roman" w:hAnsi="Times New Roman" w:cs="Times New Roman"/>
                <w:color w:val="000000"/>
                <w:spacing w:val="0"/>
                <w:w w:val="100"/>
                <w:position w:val="0"/>
              </w:rPr>
              <w:t>;2020-005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2020-031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2020-038</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2020-091</w:t>
            </w:r>
          </w:p>
        </w:tc>
      </w:tr>
    </w:tbl>
    <w:p>
      <w:pPr>
        <w:sectPr>
          <w:footnotePr>
            <w:pos w:val="pageBottom"/>
            <w:numFmt w:val="decimal"/>
            <w:numRestart w:val="continuous"/>
          </w:footnotePr>
          <w:pgSz w:w="11900" w:h="16840"/>
          <w:pgMar w:top="1388" w:right="1096" w:bottom="1470" w:left="1032"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7" w:right="1138" w:bottom="1158" w:left="1109" w:header="0" w:footer="3" w:gutter="0"/>
          <w:cols w:space="720"/>
          <w:noEndnote/>
          <w:rtlGutter w:val="0"/>
          <w:docGrid w:linePitch="360"/>
        </w:sectPr>
      </w:pPr>
    </w:p>
    <w:tbl>
      <w:tblPr>
        <w:tblOverlap w:val="never"/>
        <w:jc w:val="left"/>
        <w:tblLayout w:type="fixed"/>
      </w:tblPr>
      <w:tblGrid>
        <w:gridCol w:w="1459"/>
        <w:gridCol w:w="1085"/>
        <w:gridCol w:w="1267"/>
        <w:gridCol w:w="960"/>
      </w:tblGrid>
      <w:tr>
        <w:trPr>
          <w:trHeight w:val="11294" w:hRule="exact"/>
        </w:trPr>
        <w:tc>
          <w:tcPr>
            <w:tcBorders>
              <w:top w:val="single" w:sz="4"/>
              <w:left w:val="single" w:sz="4"/>
              <w:bottom w:val="single" w:sz="4"/>
            </w:tcBorders>
            <w:shd w:val="clear" w:color="auto" w:fill="FFFFFF"/>
            <w:vAlign w:val="top"/>
          </w:tcPr>
          <w:p>
            <w:pPr>
              <w:pStyle w:val="Style2"/>
              <w:keepNext w:val="0"/>
              <w:keepLines w:val="0"/>
              <w:framePr w:w="4771" w:h="11294" w:wrap="none" w:vAnchor="text" w:hAnchor="page" w:x="1120" w:y="21"/>
              <w:widowControl w:val="0"/>
              <w:shd w:val="clear" w:color="auto" w:fill="auto"/>
              <w:bidi w:val="0"/>
              <w:spacing w:before="0" w:after="0" w:line="311" w:lineRule="exact"/>
              <w:ind w:left="0" w:right="0" w:firstLine="0"/>
              <w:jc w:val="left"/>
            </w:pPr>
            <w:r>
              <w:rPr>
                <w:color w:val="000000"/>
                <w:spacing w:val="0"/>
                <w:w w:val="100"/>
                <w:position w:val="0"/>
              </w:rPr>
              <w:t>人民法院递交了</w:t>
            </w:r>
          </w:p>
          <w:p>
            <w:pPr>
              <w:pStyle w:val="Style2"/>
              <w:keepNext w:val="0"/>
              <w:keepLines w:val="0"/>
              <w:framePr w:w="4771" w:h="11294" w:wrap="none" w:vAnchor="text" w:hAnchor="page" w:x="1120" w:y="21"/>
              <w:widowControl w:val="0"/>
              <w:shd w:val="clear" w:color="auto" w:fill="auto"/>
              <w:bidi w:val="0"/>
              <w:spacing w:before="0" w:after="0" w:line="311" w:lineRule="exact"/>
              <w:ind w:left="0" w:right="0" w:firstLine="0"/>
              <w:jc w:val="left"/>
            </w:pPr>
            <w:r>
              <w:rPr>
                <w:color w:val="000000"/>
                <w:spacing w:val="0"/>
                <w:w w:val="100"/>
                <w:position w:val="0"/>
              </w:rPr>
              <w:t>《起诉状》等资 料，就履行应收账 款回款承诺的补 偿事宜起诉宁波 宏创及周帮建。</w:t>
            </w:r>
          </w:p>
        </w:tc>
        <w:tc>
          <w:tcPr>
            <w:tcBorders>
              <w:top w:val="single" w:sz="4"/>
              <w:left w:val="single" w:sz="4"/>
              <w:bottom w:val="single" w:sz="4"/>
            </w:tcBorders>
            <w:shd w:val="clear" w:color="auto" w:fill="FFFFFF"/>
            <w:vAlign w:val="top"/>
          </w:tcPr>
          <w:p>
            <w:pPr>
              <w:framePr w:w="4771" w:h="11294"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4771" w:h="11294" w:wrap="none" w:vAnchor="text" w:hAnchor="page" w:x="1120" w:y="21"/>
              <w:widowControl w:val="0"/>
              <w:rPr>
                <w:sz w:val="10"/>
                <w:szCs w:val="10"/>
              </w:rPr>
            </w:pPr>
          </w:p>
        </w:tc>
        <w:tc>
          <w:tcPr>
            <w:tcBorders>
              <w:top w:val="single" w:sz="4"/>
              <w:left w:val="single" w:sz="4"/>
              <w:bottom w:val="single" w:sz="4"/>
              <w:right w:val="single" w:sz="4"/>
            </w:tcBorders>
            <w:shd w:val="clear" w:color="auto" w:fill="FFFFFF"/>
            <w:vAlign w:val="top"/>
          </w:tcPr>
          <w:p>
            <w:pPr>
              <w:framePr w:w="4771" w:h="11294" w:wrap="none" w:vAnchor="text" w:hAnchor="page" w:x="1120" w:y="21"/>
              <w:widowControl w:val="0"/>
              <w:rPr>
                <w:sz w:val="10"/>
                <w:szCs w:val="10"/>
              </w:rPr>
            </w:pPr>
          </w:p>
        </w:tc>
      </w:tr>
    </w:tbl>
    <w:p>
      <w:pPr>
        <w:framePr w:w="4771" w:h="11294" w:wrap="none" w:vAnchor="text" w:hAnchor="page" w:x="1120" w:y="21"/>
        <w:widowControl w:val="0"/>
        <w:spacing w:line="1" w:lineRule="exact"/>
      </w:pPr>
    </w:p>
    <w:tbl>
      <w:tblPr>
        <w:tblOverlap w:val="never"/>
        <w:jc w:val="left"/>
        <w:tblLayout w:type="fixed"/>
      </w:tblPr>
      <w:tblGrid>
        <w:gridCol w:w="1406"/>
        <w:gridCol w:w="1262"/>
        <w:gridCol w:w="1080"/>
        <w:gridCol w:w="1090"/>
      </w:tblGrid>
      <w:tr>
        <w:trPr>
          <w:trHeight w:val="11294" w:hRule="exact"/>
        </w:trPr>
        <w:tc>
          <w:tcPr>
            <w:tcBorders>
              <w:top w:val="single" w:sz="4"/>
              <w:left w:val="single" w:sz="4"/>
              <w:bottom w:val="single" w:sz="4"/>
            </w:tcBorders>
            <w:shd w:val="clear" w:color="auto" w:fill="FFFFFF"/>
            <w:vAlign w:val="center"/>
          </w:tcPr>
          <w:p>
            <w:pPr>
              <w:pStyle w:val="Style2"/>
              <w:keepNext w:val="0"/>
              <w:keepLines w:val="0"/>
              <w:framePr w:w="4838" w:h="11294" w:wrap="none" w:vAnchor="text" w:hAnchor="page" w:x="5872" w:y="21"/>
              <w:widowControl w:val="0"/>
              <w:shd w:val="clear" w:color="auto" w:fill="auto"/>
              <w:bidi w:val="0"/>
              <w:spacing w:before="0" w:after="0" w:line="312" w:lineRule="exact"/>
              <w:ind w:left="0" w:right="0" w:firstLine="0"/>
              <w:jc w:val="both"/>
            </w:pPr>
            <w:r>
              <w:rPr>
                <w:color w:val="000000"/>
                <w:spacing w:val="0"/>
                <w:w w:val="100"/>
                <w:position w:val="0"/>
              </w:rPr>
              <w:t>述债务向江苏润 和软件股份有限 公司承担连带清 偿责任。周帮建 承清偿责任后， 有权向宁波宏创 股权投资合伙企 业（有限合伙） 追偿。（三）驳回 江苏润和软件股 份有限公司的其 他诉讼请求。如 未按本判决指定 的期间履行给付 义务，应当依照</w:t>
            </w:r>
          </w:p>
          <w:p>
            <w:pPr>
              <w:pStyle w:val="Style2"/>
              <w:keepNext w:val="0"/>
              <w:keepLines w:val="0"/>
              <w:framePr w:w="4838" w:h="11294" w:wrap="none" w:vAnchor="text" w:hAnchor="page" w:x="5872" w:y="21"/>
              <w:widowControl w:val="0"/>
              <w:shd w:val="clear" w:color="auto" w:fill="auto"/>
              <w:bidi w:val="0"/>
              <w:spacing w:before="0" w:after="0" w:line="312" w:lineRule="exact"/>
              <w:ind w:left="0" w:right="0" w:firstLine="0"/>
              <w:jc w:val="both"/>
            </w:pPr>
            <w:r>
              <w:rPr>
                <w:color w:val="000000"/>
                <w:spacing w:val="0"/>
                <w:w w:val="100"/>
                <w:position w:val="0"/>
              </w:rPr>
              <w:t xml:space="preserve">《中华人民共和 国民事诉讼法》 第二百五十三条 的规定，加倍支 付迟延履行期间 的债务利息。本 案应收案件受理 费 </w:t>
            </w:r>
            <w:r>
              <w:rPr>
                <w:rFonts w:ascii="Times New Roman" w:eastAsia="Times New Roman" w:hAnsi="Times New Roman" w:cs="Times New Roman"/>
                <w:color w:val="000000"/>
                <w:spacing w:val="0"/>
                <w:w w:val="100"/>
                <w:position w:val="0"/>
              </w:rPr>
              <w:t xml:space="preserve">1,006,187 </w:t>
            </w:r>
            <w:r>
              <w:rPr>
                <w:color w:val="000000"/>
                <w:spacing w:val="0"/>
                <w:w w:val="100"/>
                <w:position w:val="0"/>
              </w:rPr>
              <w:t>元、 财产保全费</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 xml:space="preserve">元，合计 </w:t>
            </w:r>
            <w:r>
              <w:rPr>
                <w:rFonts w:ascii="Times New Roman" w:eastAsia="Times New Roman" w:hAnsi="Times New Roman" w:cs="Times New Roman"/>
                <w:color w:val="000000"/>
                <w:spacing w:val="0"/>
                <w:w w:val="100"/>
                <w:position w:val="0"/>
              </w:rPr>
              <w:t xml:space="preserve">1,011,187 </w:t>
            </w:r>
            <w:r>
              <w:rPr>
                <w:color w:val="000000"/>
                <w:spacing w:val="0"/>
                <w:w w:val="100"/>
                <w:position w:val="0"/>
              </w:rPr>
              <w:t>元，由 两被告负担。如 不服本判决，可 在判决书送达之 日起十五日内， 向本院递交上诉 状，并按对方当 事人的人数提出 副本，上诉于江 苏省高级人民法 院。</w:t>
            </w:r>
          </w:p>
        </w:tc>
        <w:tc>
          <w:tcPr>
            <w:tcBorders>
              <w:top w:val="single" w:sz="4"/>
              <w:left w:val="single" w:sz="4"/>
              <w:bottom w:val="single" w:sz="4"/>
            </w:tcBorders>
            <w:shd w:val="clear" w:color="auto" w:fill="FFFFFF"/>
            <w:vAlign w:val="top"/>
          </w:tcPr>
          <w:p>
            <w:pPr>
              <w:pStyle w:val="Style2"/>
              <w:keepNext w:val="0"/>
              <w:keepLines w:val="0"/>
              <w:framePr w:w="4838" w:h="11294" w:wrap="none" w:vAnchor="text" w:hAnchor="page" w:x="5872" w:y="21"/>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日经审计 的应收账款 </w:t>
            </w:r>
            <w:r>
              <w:rPr>
                <w:rFonts w:ascii="Times New Roman" w:eastAsia="Times New Roman" w:hAnsi="Times New Roman" w:cs="Times New Roman"/>
                <w:color w:val="000000"/>
                <w:spacing w:val="0"/>
                <w:w w:val="100"/>
                <w:position w:val="0"/>
              </w:rPr>
              <w:t xml:space="preserve">177,681,555.01 </w:t>
            </w:r>
            <w:r>
              <w:rPr>
                <w:color w:val="000000"/>
                <w:spacing w:val="0"/>
                <w:w w:val="100"/>
                <w:position w:val="0"/>
              </w:rPr>
              <w:t xml:space="preserve">元未收回。同 时，根据法院判 决结果，公司从 宁波宏创应收 账款补偿款保 证金账户扣除 违约金、律师费 等，合计 </w:t>
            </w:r>
            <w:r>
              <w:rPr>
                <w:rFonts w:ascii="Times New Roman" w:eastAsia="Times New Roman" w:hAnsi="Times New Roman" w:cs="Times New Roman"/>
                <w:color w:val="000000"/>
                <w:spacing w:val="0"/>
                <w:w w:val="100"/>
                <w:position w:val="0"/>
              </w:rPr>
              <w:t xml:space="preserve">4,339,381 </w:t>
            </w:r>
            <w:r>
              <w:rPr>
                <w:color w:val="000000"/>
                <w:spacing w:val="0"/>
                <w:w w:val="100"/>
                <w:position w:val="0"/>
              </w:rPr>
              <w:t>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日，公司 及联创智融宁 波宏创应收账 款补偿款保证 金余额 </w:t>
            </w:r>
            <w:r>
              <w:rPr>
                <w:rFonts w:ascii="Times New Roman" w:eastAsia="Times New Roman" w:hAnsi="Times New Roman" w:cs="Times New Roman"/>
                <w:color w:val="000000"/>
                <w:spacing w:val="0"/>
                <w:w w:val="100"/>
                <w:position w:val="0"/>
              </w:rPr>
              <w:t xml:space="preserve">16,060,619.00 </w:t>
            </w:r>
            <w:r>
              <w:rPr>
                <w:color w:val="000000"/>
                <w:spacing w:val="0"/>
                <w:w w:val="100"/>
                <w:position w:val="0"/>
              </w:rPr>
              <w:t>元，保证金余额 已覆盖宁波宏 创应收账款回 款的补偿承诺 金额。</w:t>
            </w:r>
          </w:p>
        </w:tc>
        <w:tc>
          <w:tcPr>
            <w:tcBorders>
              <w:top w:val="single" w:sz="4"/>
              <w:left w:val="single" w:sz="4"/>
              <w:bottom w:val="single" w:sz="4"/>
            </w:tcBorders>
            <w:shd w:val="clear" w:color="auto" w:fill="FFFFFF"/>
            <w:vAlign w:val="top"/>
          </w:tcPr>
          <w:p>
            <w:pPr>
              <w:framePr w:w="4838" w:h="11294" w:wrap="none" w:vAnchor="text" w:hAnchor="page" w:x="5872" w:y="21"/>
              <w:widowControl w:val="0"/>
              <w:rPr>
                <w:sz w:val="10"/>
                <w:szCs w:val="10"/>
              </w:rPr>
            </w:pPr>
          </w:p>
        </w:tc>
        <w:tc>
          <w:tcPr>
            <w:tcBorders>
              <w:top w:val="single" w:sz="4"/>
              <w:left w:val="single" w:sz="4"/>
              <w:bottom w:val="single" w:sz="4"/>
              <w:right w:val="single" w:sz="4"/>
            </w:tcBorders>
            <w:shd w:val="clear" w:color="auto" w:fill="FFFFFF"/>
            <w:vAlign w:val="top"/>
          </w:tcPr>
          <w:p>
            <w:pPr>
              <w:framePr w:w="4838" w:h="11294" w:wrap="none" w:vAnchor="text" w:hAnchor="page" w:x="5872" w:y="21"/>
              <w:widowControl w:val="0"/>
              <w:rPr>
                <w:sz w:val="10"/>
                <w:szCs w:val="10"/>
              </w:rPr>
            </w:pPr>
          </w:p>
        </w:tc>
      </w:tr>
    </w:tbl>
    <w:p>
      <w:pPr>
        <w:framePr w:w="4838" w:h="11294" w:wrap="none" w:vAnchor="text" w:hAnchor="page" w:x="5872" w:y="21"/>
        <w:widowControl w:val="0"/>
        <w:spacing w:line="1" w:lineRule="exact"/>
      </w:pPr>
    </w:p>
    <w:p>
      <w:pPr>
        <w:pStyle w:val="Style24"/>
        <w:keepNext/>
        <w:keepLines/>
        <w:framePr w:w="2918" w:h="1224" w:wrap="none" w:vAnchor="text" w:hAnchor="page" w:x="1110" w:y="11612"/>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十二、处罚及整改情况</w:t>
      </w:r>
      <w:bookmarkEnd w:id="309"/>
      <w:bookmarkEnd w:id="310"/>
      <w:bookmarkEnd w:id="311"/>
    </w:p>
    <w:p>
      <w:pPr>
        <w:pStyle w:val="Style26"/>
        <w:keepNext w:val="0"/>
        <w:keepLines w:val="0"/>
        <w:framePr w:w="2918" w:h="1224" w:wrap="none" w:vAnchor="text" w:hAnchor="page" w:x="1110" w:y="11612"/>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framePr w:w="2918" w:h="1224" w:wrap="none" w:vAnchor="text" w:hAnchor="page" w:x="1110" w:y="11612"/>
        <w:widowControl w:val="0"/>
        <w:shd w:val="clear" w:color="auto" w:fill="auto"/>
        <w:bidi w:val="0"/>
        <w:spacing w:before="0" w:after="240" w:line="240" w:lineRule="auto"/>
        <w:ind w:left="0" w:right="0" w:firstLine="0"/>
        <w:jc w:val="left"/>
      </w:pPr>
      <w:r>
        <w:rPr>
          <w:color w:val="000000"/>
          <w:spacing w:val="0"/>
          <w:w w:val="100"/>
          <w:position w:val="0"/>
        </w:rPr>
        <w:t>公司报告期不存在处罚及整改情况。</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1900" w:h="16840"/>
          <w:pgMar w:top="1157" w:right="1138" w:bottom="1158" w:left="1109" w:header="0" w:footer="3" w:gutter="0"/>
          <w:cols w:space="720"/>
          <w:noEndnote/>
          <w:rtlGutter w:val="0"/>
          <w:docGrid w:linePitch="360"/>
        </w:sectPr>
      </w:pPr>
    </w:p>
    <w:p>
      <w:pPr>
        <w:pStyle w:val="Style24"/>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十三、公司及其控股股东、实际控制人的诚信状况</w:t>
      </w:r>
      <w:bookmarkEnd w:id="315"/>
      <w:bookmarkEnd w:id="316"/>
      <w:bookmarkEnd w:id="31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十四、公司股权激励计划、员工持股计划或其他员工激励措施的实施情况</w:t>
      </w:r>
      <w:bookmarkEnd w:id="318"/>
      <w:bookmarkEnd w:id="319"/>
      <w:bookmarkEnd w:id="32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6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十五、重大关联交易</w:t>
      </w:r>
      <w:bookmarkEnd w:id="321"/>
      <w:bookmarkEnd w:id="322"/>
      <w:bookmarkEnd w:id="323"/>
    </w:p>
    <w:p>
      <w:pPr>
        <w:pStyle w:val="Style30"/>
        <w:keepNext/>
        <w:keepLines/>
        <w:widowControl w:val="0"/>
        <w:shd w:val="clear" w:color="auto" w:fill="auto"/>
        <w:tabs>
          <w:tab w:pos="368" w:val="left"/>
        </w:tabs>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w:t>
        <w:tab/>
        <w:t>与日常经营相关的关联交易</w:t>
      </w:r>
      <w:bookmarkEnd w:id="324"/>
      <w:bookmarkEnd w:id="325"/>
      <w:bookmarkEnd w:id="32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w:t>
        <w:tab/>
        <w:t>资产或股权收购、出售发生的关联交易</w:t>
      </w:r>
      <w:bookmarkEnd w:id="328"/>
      <w:bookmarkEnd w:id="329"/>
      <w:bookmarkEnd w:id="331"/>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w:t>
        <w:tab/>
        <w:t>共同对外投资的关联交易</w:t>
      </w:r>
      <w:bookmarkEnd w:id="332"/>
      <w:bookmarkEnd w:id="333"/>
      <w:bookmarkEnd w:id="33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关联债权债务往来</w:t>
      </w:r>
      <w:bookmarkEnd w:id="336"/>
      <w:bookmarkEnd w:id="337"/>
      <w:bookmarkEnd w:id="33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其他重大关联交易</w:t>
      </w:r>
      <w:bookmarkEnd w:id="340"/>
      <w:bookmarkEnd w:id="341"/>
      <w:bookmarkEnd w:id="34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十六、重大合同及其履行情况</w:t>
      </w:r>
      <w:bookmarkEnd w:id="344"/>
      <w:bookmarkEnd w:id="345"/>
      <w:bookmarkEnd w:id="346"/>
    </w:p>
    <w:p>
      <w:pPr>
        <w:pStyle w:val="Style30"/>
        <w:keepNext/>
        <w:keepLines/>
        <w:widowControl w:val="0"/>
        <w:shd w:val="clear" w:color="auto" w:fill="auto"/>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、托管、承包、租赁事项情况</w:t>
      </w:r>
      <w:bookmarkEnd w:id="347"/>
      <w:bookmarkEnd w:id="348"/>
      <w:bookmarkEnd w:id="350"/>
    </w:p>
    <w:p>
      <w:pPr>
        <w:pStyle w:val="Style30"/>
        <w:keepNext/>
        <w:keepLines/>
        <w:widowControl w:val="0"/>
        <w:shd w:val="clear" w:color="auto" w:fill="auto"/>
        <w:bidi w:val="0"/>
        <w:spacing w:before="0" w:line="240" w:lineRule="auto"/>
        <w:ind w:left="0" w:right="0" w:firstLine="0"/>
        <w:jc w:val="left"/>
      </w:pPr>
      <w:bookmarkStart w:id="347" w:name="bookmark347"/>
      <w:bookmarkStart w:id="348" w:name="bookmark348"/>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47"/>
      <w:bookmarkEnd w:id="348"/>
      <w:bookmarkEnd w:id="35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0"/>
        <w:keepNext/>
        <w:keepLines/>
        <w:widowControl w:val="0"/>
        <w:shd w:val="clear" w:color="auto" w:fill="auto"/>
        <w:tabs>
          <w:tab w:pos="493"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3"/>
      <w:bookmarkEnd w:id="354"/>
      <w:bookmarkEnd w:id="356"/>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0"/>
        <w:keepNext/>
        <w:keepLines/>
        <w:widowControl w:val="0"/>
        <w:shd w:val="clear" w:color="auto" w:fill="auto"/>
        <w:tabs>
          <w:tab w:pos="493"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7"/>
      <w:bookmarkEnd w:id="358"/>
      <w:bookmarkEnd w:id="360"/>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、重大担保</w:t>
      </w:r>
      <w:bookmarkEnd w:id="361"/>
      <w:bookmarkEnd w:id="362"/>
      <w:bookmarkEnd w:id="36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5"/>
      <w:bookmarkEnd w:id="366"/>
      <w:bookmarkEnd w:id="36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2"/>
        <w:gridCol w:w="1301"/>
        <w:gridCol w:w="1061"/>
        <w:gridCol w:w="1037"/>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北京捷科智诚科技有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北京联创智融信息技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上海润和信息技术服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西安润和软件信息技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bl>
    <w:p>
      <w:pPr>
        <w:widowControl w:val="0"/>
        <w:spacing w:line="1" w:lineRule="exact"/>
      </w:pPr>
      <w:r>
        <w:br w:type="page"/>
      </w:r>
    </w:p>
    <w:tbl>
      <w:tblPr>
        <w:tblOverlap w:val="never"/>
        <w:jc w:val="center"/>
        <w:tblLayout w:type="fixed"/>
      </w:tblPr>
      <w:tblGrid>
        <w:gridCol w:w="2640"/>
        <w:gridCol w:w="2222"/>
        <w:gridCol w:w="2098"/>
        <w:gridCol w:w="2630"/>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30"/>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9"/>
      <w:bookmarkEnd w:id="370"/>
      <w:bookmarkEnd w:id="37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0"/>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、日常经营重大合同</w:t>
      </w:r>
      <w:bookmarkEnd w:id="373"/>
      <w:bookmarkEnd w:id="374"/>
      <w:bookmarkEnd w:id="37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、委托他人进行现金资产管理情况</w:t>
      </w:r>
      <w:bookmarkEnd w:id="377"/>
      <w:bookmarkEnd w:id="378"/>
      <w:bookmarkEnd w:id="380"/>
    </w:p>
    <w:p>
      <w:pPr>
        <w:pStyle w:val="Style30"/>
        <w:keepNext/>
        <w:keepLines/>
        <w:widowControl w:val="0"/>
        <w:shd w:val="clear" w:color="auto" w:fill="auto"/>
        <w:bidi w:val="0"/>
        <w:spacing w:before="0" w:line="240" w:lineRule="auto"/>
        <w:ind w:left="0" w:right="0" w:firstLine="0"/>
        <w:jc w:val="left"/>
      </w:pPr>
      <w:bookmarkStart w:id="377" w:name="bookmark377"/>
      <w:bookmarkStart w:id="378" w:name="bookmark378"/>
      <w:bookmarkStart w:id="381" w:name="bookmark381"/>
      <w:bookmarkStart w:id="382" w:name="bookmark382"/>
      <w:r>
        <w:rPr>
          <w:color w:val="000000"/>
          <w:spacing w:val="0"/>
          <w:w w:val="100"/>
          <w:position w:val="0"/>
        </w:rPr>
        <w:t>（</w:t>
      </w:r>
      <w:bookmarkEnd w:id="38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7"/>
      <w:bookmarkEnd w:id="378"/>
      <w:bookmarkEnd w:id="38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1877"/>
        <w:gridCol w:w="1963"/>
        <w:gridCol w:w="1978"/>
        <w:gridCol w:w="1910"/>
        <w:gridCol w:w="18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6"/>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受托 机构 名称</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（或 受托 人姓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受托 机构 （或</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200" w:right="0" w:hanging="200"/>
              <w:jc w:val="both"/>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起始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预期 收益</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（如</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 期实 际损 益金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期损 益实 际收 回情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计提 减值 准备 金额</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未来 是否 还有 委托 理财 计划</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事项 概述 及相 关查 询索 引（如 有）</w:t>
            </w:r>
          </w:p>
        </w:tc>
      </w:tr>
      <w:tr>
        <w:trPr>
          <w:trHeight w:val="74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 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 资讯</w:t>
            </w: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闲置 募集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096</w:t>
            </w:r>
            <w:r>
              <w:rPr>
                <w:color w:val="000000"/>
                <w:spacing w:val="0"/>
                <w:w w:val="100"/>
                <w:position w:val="0"/>
              </w:rPr>
              <w:t>、</w:t>
            </w: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44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w:t>
            </w:r>
          </w:p>
        </w:tc>
      </w:tr>
      <w:tr>
        <w:trPr>
          <w:trHeight w:val="9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 资讯</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096</w:t>
            </w: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w:t>
            </w:r>
          </w:p>
        </w:tc>
      </w:tr>
      <w:tr>
        <w:trPr>
          <w:trHeight w:val="37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32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闲置 募集</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17,000</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挂钩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096</w:t>
            </w:r>
            <w:r>
              <w:rPr>
                <w:color w:val="000000"/>
                <w:spacing w:val="0"/>
                <w:w w:val="100"/>
                <w:position w:val="0"/>
              </w:rPr>
              <w:t>、</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28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w:t>
            </w: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23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 有限 公司 南京 奥体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9" w:lineRule="exact"/>
              <w:ind w:left="0" w:right="0" w:firstLine="0"/>
              <w:jc w:val="left"/>
            </w:pPr>
            <w:r>
              <w:rPr>
                <w:color w:val="000000"/>
                <w:spacing w:val="0"/>
                <w:w w:val="100"/>
                <w:position w:val="0"/>
              </w:rPr>
              <w:t xml:space="preserve">网，公 告编 号 </w:t>
            </w:r>
            <w:r>
              <w:rPr>
                <w:rFonts w:ascii="Times New Roman" w:eastAsia="Times New Roman" w:hAnsi="Times New Roman" w:cs="Times New Roman"/>
                <w:color w:val="000000"/>
                <w:spacing w:val="0"/>
                <w:w w:val="100"/>
                <w:position w:val="0"/>
              </w:rPr>
              <w:t xml:space="preserve">2019- </w:t>
            </w:r>
            <w:r>
              <w:rPr>
                <w:rFonts w:ascii="Times New Roman" w:eastAsia="Times New Roman" w:hAnsi="Times New Roman" w:cs="Times New Roman"/>
                <w:color w:val="000000"/>
                <w:spacing w:val="0"/>
                <w:w w:val="100"/>
                <w:position w:val="0"/>
              </w:rPr>
              <w:t>096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012</w:t>
            </w:r>
          </w:p>
        </w:tc>
      </w:tr>
      <w:tr>
        <w:trPr>
          <w:trHeight w:val="9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 资讯</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w:t>
            </w: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064</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 紫金 农村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 资讯</w:t>
            </w: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闲置 募集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48.56</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28</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w:t>
            </w:r>
            <w:r>
              <w:rPr>
                <w:color w:val="000000"/>
                <w:spacing w:val="0"/>
                <w:w w:val="100"/>
                <w:position w:val="0"/>
              </w:rPr>
              <w:t>、</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064</w:t>
            </w: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8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 紫金 农村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 资讯</w:t>
            </w:r>
          </w:p>
        </w:tc>
      </w:tr>
      <w:tr>
        <w:trPr>
          <w:trHeight w:val="16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闲置 募集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5,500</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17</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w:t>
            </w:r>
            <w:r>
              <w:rPr>
                <w:color w:val="000000"/>
                <w:spacing w:val="0"/>
                <w:w w:val="100"/>
                <w:position w:val="0"/>
              </w:rPr>
              <w:t>、</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064</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61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银行 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存款</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3,800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闲置 募集</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结构 性存</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资讯 网，公</w:t>
            </w: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公司</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浮动收 益型）</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告编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9"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城西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012</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softHyphen/>
            </w:r>
          </w:p>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064</w:t>
            </w:r>
          </w:p>
        </w:tc>
      </w:tr>
      <w:tr>
        <w:trPr>
          <w:trHeight w:val="9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巨潮 资讯</w:t>
            </w:r>
          </w:p>
        </w:tc>
      </w:tr>
      <w:tr>
        <w:trPr>
          <w:trHeight w:val="16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网，公</w:t>
            </w:r>
          </w:p>
        </w:tc>
      </w:tr>
      <w:tr>
        <w:trPr>
          <w:trHeight w:val="14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54"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012</w:t>
            </w:r>
            <w:r>
              <w:rPr>
                <w:color w:val="000000"/>
                <w:spacing w:val="0"/>
                <w:w w:val="100"/>
                <w:position w:val="0"/>
              </w:rPr>
              <w:t>、</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064</w:t>
            </w: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网，公 告编</w:t>
            </w:r>
          </w:p>
        </w:tc>
      </w:tr>
      <w:tr>
        <w:trPr>
          <w:trHeight w:val="16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挂钩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w:t>
            </w:r>
            <w:r>
              <w:rPr>
                <w:color w:val="000000"/>
                <w:spacing w:val="0"/>
                <w:w w:val="100"/>
                <w:position w:val="0"/>
              </w:rPr>
              <w:t>、</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w:t>
            </w:r>
          </w:p>
        </w:tc>
      </w:tr>
      <w:tr>
        <w:trPr>
          <w:trHeight w:val="9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网，公</w:t>
            </w:r>
          </w:p>
        </w:tc>
      </w:tr>
      <w:tr>
        <w:trPr>
          <w:trHeight w:val="15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16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 公司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6,500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59.15</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w:t>
            </w:r>
            <w:r>
              <w:rPr>
                <w:color w:val="000000"/>
                <w:spacing w:val="0"/>
                <w:w w:val="100"/>
                <w:position w:val="0"/>
              </w:rPr>
              <w:t>、</w:t>
            </w:r>
          </w:p>
        </w:tc>
      </w:tr>
      <w:tr>
        <w:trPr>
          <w:trHeight w:val="13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奥体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r>
      <w:tr>
        <w:trPr>
          <w:trHeight w:val="43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064</w:t>
            </w:r>
          </w:p>
        </w:tc>
      </w:tr>
      <w:tr>
        <w:trPr>
          <w:trHeight w:val="10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浦东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巨潮 资讯 网，公</w:t>
            </w:r>
          </w:p>
        </w:tc>
      </w:tr>
      <w:tr>
        <w:trPr>
          <w:trHeight w:val="30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 资金</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告编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064</w:t>
            </w: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协议 约定</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w:t>
            </w:r>
          </w:p>
        </w:tc>
      </w:tr>
      <w:tr>
        <w:trPr>
          <w:trHeight w:val="283"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紫金</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性存</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资讯</w:t>
            </w:r>
          </w:p>
        </w:tc>
      </w:tr>
    </w:tbl>
    <w:p>
      <w:pPr>
        <w:widowControl w:val="0"/>
        <w:spacing w:line="1" w:lineRule="exact"/>
      </w:pPr>
      <w:r>
        <w:br w:type="page"/>
      </w:r>
    </w:p>
    <w:tbl>
      <w:tblPr>
        <w:tblOverlap w:val="never"/>
        <w:jc w:val="center"/>
        <w:tblLayout w:type="fixed"/>
      </w:tblPr>
      <w:tblGrid>
        <w:gridCol w:w="581"/>
        <w:gridCol w:w="590"/>
        <w:gridCol w:w="605"/>
        <w:gridCol w:w="576"/>
        <w:gridCol w:w="562"/>
        <w:gridCol w:w="557"/>
        <w:gridCol w:w="562"/>
        <w:gridCol w:w="562"/>
        <w:gridCol w:w="562"/>
        <w:gridCol w:w="562"/>
        <w:gridCol w:w="562"/>
        <w:gridCol w:w="562"/>
        <w:gridCol w:w="562"/>
        <w:gridCol w:w="547"/>
        <w:gridCol w:w="547"/>
        <w:gridCol w:w="547"/>
        <w:gridCol w:w="547"/>
      </w:tblGrid>
      <w:tr>
        <w:trPr>
          <w:trHeight w:val="25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农村 商业 银行 股份 有限 公司 江宁 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（保证 收益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网，公 告编 号 </w:t>
            </w:r>
            <w:r>
              <w:rPr>
                <w:rFonts w:ascii="Times New Roman" w:eastAsia="Times New Roman" w:hAnsi="Times New Roman" w:cs="Times New Roman"/>
                <w:color w:val="000000"/>
                <w:spacing w:val="0"/>
                <w:w w:val="100"/>
                <w:position w:val="0"/>
              </w:rPr>
              <w:t>2020</w:t>
              <w:softHyphen/>
              <w:t>064</w:t>
            </w: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民生 银行 银行 股份</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保证收</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 工商 银行 股份</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浮动收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玄武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民生 银行 银行 股份</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（利率</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性存</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23</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挂钩</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城东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88,100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3"/>
      <w:bookmarkEnd w:id="384"/>
      <w:bookmarkEnd w:id="38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26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5</w:t>
      </w:r>
      <w:bookmarkEnd w:id="389"/>
      <w:r>
        <w:rPr>
          <w:color w:val="000000"/>
          <w:spacing w:val="0"/>
          <w:w w:val="100"/>
          <w:position w:val="0"/>
        </w:rPr>
        <w:t>、其他重大合同</w:t>
      </w:r>
      <w:bookmarkEnd w:id="387"/>
      <w:bookmarkEnd w:id="388"/>
      <w:bookmarkEnd w:id="390"/>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十七、社会责任情况</w:t>
      </w:r>
      <w:bookmarkEnd w:id="391"/>
      <w:bookmarkEnd w:id="392"/>
      <w:bookmarkEnd w:id="393"/>
    </w:p>
    <w:p>
      <w:pPr>
        <w:pStyle w:val="Style30"/>
        <w:keepNext/>
        <w:keepLines/>
        <w:widowControl w:val="0"/>
        <w:shd w:val="clear" w:color="auto" w:fill="auto"/>
        <w:tabs>
          <w:tab w:pos="337" w:val="left"/>
        </w:tabs>
        <w:bidi w:val="0"/>
        <w:spacing w:before="0" w:after="26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w:t>
        <w:tab/>
        <w:t>履行社会责任情况</w:t>
      </w:r>
      <w:bookmarkEnd w:id="394"/>
      <w:bookmarkEnd w:id="395"/>
      <w:bookmarkEnd w:id="397"/>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公司积极履行企业社会责任，在不断努力创造经济效益的同时</w:t>
      </w:r>
      <w:r>
        <w:rPr>
          <w:color w:val="000000"/>
          <w:spacing w:val="0"/>
          <w:w w:val="100"/>
          <w:position w:val="0"/>
        </w:rPr>
        <w:t>，</w:t>
      </w:r>
      <w:r>
        <w:rPr>
          <w:color w:val="000000"/>
          <w:spacing w:val="0"/>
          <w:w w:val="100"/>
          <w:position w:val="0"/>
        </w:rPr>
        <w:t>也积极承担对员工、客户、社会等方面的责任，注重企 业经济效益与社会效益的同步共赢。公司建立健全公司内部管理和控制制度，组织协调各职能部门工作，持续深入开展公司 治理活动，促进了公司规范运作，提高了公司治理水平。公司严格按照《公司章程》的规定和要求，规范股东大会的召集、 召开及表决程序，通过现场、网络等合法有效的方式，让更多的股东特别是中小股东能够参加股东大会，确保股东对公司重 大事项的知情权、参与权和表决权</w:t>
      </w:r>
      <w:r>
        <w:rPr>
          <w:rFonts w:ascii="Times New Roman" w:eastAsia="Times New Roman" w:hAnsi="Times New Roman" w:cs="Times New Roman"/>
          <w:color w:val="000000"/>
          <w:spacing w:val="0"/>
          <w:w w:val="100"/>
          <w:position w:val="0"/>
        </w:rPr>
        <w:t>,</w:t>
      </w:r>
      <w:r>
        <w:rPr>
          <w:color w:val="000000"/>
          <w:spacing w:val="0"/>
          <w:w w:val="100"/>
          <w:position w:val="0"/>
        </w:rPr>
        <w:t>公司认真履行信息披露义务，秉持公平、公正、公开的原则对待全体投资者，维护广大 投资者的利益。公司长期以来一直坚持以人为本的人才理念，严格遵守《劳动法》、《劳动合同法》等相关法律法规，尊重 和维护员工的个人权益，切实关注切实关注员工健康、安全和满意度，依据</w:t>
      </w:r>
      <w:r>
        <w:rPr>
          <w:rFonts w:ascii="Times New Roman" w:eastAsia="Times New Roman" w:hAnsi="Times New Roman" w:cs="Times New Roman"/>
          <w:color w:val="000000"/>
          <w:spacing w:val="0"/>
          <w:w w:val="100"/>
          <w:position w:val="0"/>
        </w:rPr>
        <w:t>IS014001</w:t>
      </w:r>
      <w:r>
        <w:rPr>
          <w:color w:val="000000"/>
          <w:spacing w:val="0"/>
          <w:w w:val="100"/>
          <w:position w:val="0"/>
        </w:rPr>
        <w:t>、</w:t>
      </w:r>
      <w:r>
        <w:rPr>
          <w:rFonts w:ascii="Times New Roman" w:eastAsia="Times New Roman" w:hAnsi="Times New Roman" w:cs="Times New Roman"/>
          <w:color w:val="000000"/>
          <w:spacing w:val="0"/>
          <w:w w:val="100"/>
          <w:position w:val="0"/>
        </w:rPr>
        <w:t>OHSAS18001</w:t>
      </w:r>
      <w:r>
        <w:rPr>
          <w:color w:val="000000"/>
          <w:spacing w:val="0"/>
          <w:w w:val="100"/>
          <w:position w:val="0"/>
        </w:rPr>
        <w:t>等国际先进标准，制定 了人力资源管理制度及环境和职业健康安全管理体系，对人员录用、员工培训、工资薪酬、福利保障、工作环境、职业健康 等进行了详细规定，建立了较为完善的绩效考核体系，为员工提供了良好的劳动环境，重视人才培养，通过多种方式为员工 提供平等的发展机会，实现员工与企业的共同成长。公司严格遵守《工会法》，按照有关规定建立工会组织，支持工会依法 开展工作，保障员工依法行使民主管理的权利。</w:t>
      </w:r>
    </w:p>
    <w:p>
      <w:pPr>
        <w:pStyle w:val="Style26"/>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公司长期以来一致践行社会公益责任，</w:t>
      </w:r>
      <w:r>
        <w:rPr>
          <w:rFonts w:ascii="Times New Roman" w:eastAsia="Times New Roman" w:hAnsi="Times New Roman" w:cs="Times New Roman"/>
          <w:color w:val="000000"/>
          <w:spacing w:val="0"/>
          <w:w w:val="100"/>
          <w:position w:val="0"/>
        </w:rPr>
        <w:t>2020</w:t>
      </w:r>
      <w:r>
        <w:rPr>
          <w:color w:val="000000"/>
          <w:spacing w:val="0"/>
          <w:w w:val="100"/>
          <w:position w:val="0"/>
        </w:rPr>
        <w:t>年爆发新冠疫情，公司制定了代号为</w:t>
      </w:r>
      <w:r>
        <w:rPr>
          <w:rFonts w:ascii="Times New Roman" w:eastAsia="Times New Roman" w:hAnsi="Times New Roman" w:cs="Times New Roman"/>
          <w:color w:val="000000"/>
          <w:spacing w:val="0"/>
          <w:w w:val="100"/>
          <w:position w:val="0"/>
        </w:rPr>
        <w:t>“</w:t>
      </w:r>
      <w:r>
        <w:rPr>
          <w:color w:val="000000"/>
          <w:spacing w:val="0"/>
          <w:w w:val="100"/>
          <w:position w:val="0"/>
        </w:rPr>
        <w:t>春天</w:t>
      </w:r>
      <w:r>
        <w:rPr>
          <w:rFonts w:ascii="Times New Roman" w:eastAsia="Times New Roman" w:hAnsi="Times New Roman" w:cs="Times New Roman"/>
          <w:color w:val="000000"/>
          <w:spacing w:val="0"/>
          <w:w w:val="100"/>
          <w:position w:val="0"/>
        </w:rPr>
        <w:t>”</w:t>
      </w:r>
      <w:r>
        <w:rPr>
          <w:color w:val="000000"/>
          <w:spacing w:val="0"/>
          <w:w w:val="100"/>
          <w:position w:val="0"/>
        </w:rPr>
        <w:t xml:space="preserve">的社会公益捐赠计划，公司捐赠 </w:t>
      </w:r>
      <w:r>
        <w:rPr>
          <w:rFonts w:ascii="Times New Roman" w:eastAsia="Times New Roman" w:hAnsi="Times New Roman" w:cs="Times New Roman"/>
          <w:color w:val="000000"/>
          <w:spacing w:val="0"/>
          <w:w w:val="100"/>
          <w:position w:val="0"/>
        </w:rPr>
        <w:t>413</w:t>
      </w:r>
      <w:r>
        <w:rPr>
          <w:color w:val="000000"/>
          <w:spacing w:val="0"/>
          <w:w w:val="100"/>
          <w:position w:val="0"/>
        </w:rPr>
        <w:t>万元，公司党员爱心捐款共计</w:t>
      </w:r>
      <w:r>
        <w:rPr>
          <w:rFonts w:ascii="Times New Roman" w:eastAsia="Times New Roman" w:hAnsi="Times New Roman" w:cs="Times New Roman"/>
          <w:color w:val="000000"/>
          <w:spacing w:val="0"/>
          <w:w w:val="100"/>
          <w:position w:val="0"/>
        </w:rPr>
        <w:t>16</w:t>
      </w:r>
      <w:r>
        <w:rPr>
          <w:color w:val="000000"/>
          <w:spacing w:val="0"/>
          <w:w w:val="100"/>
          <w:position w:val="0"/>
        </w:rPr>
        <w:t>万元，公司员工自发捐款</w:t>
      </w:r>
      <w:r>
        <w:rPr>
          <w:rFonts w:ascii="Times New Roman" w:eastAsia="Times New Roman" w:hAnsi="Times New Roman" w:cs="Times New Roman"/>
          <w:color w:val="000000"/>
          <w:spacing w:val="0"/>
          <w:w w:val="100"/>
          <w:position w:val="0"/>
        </w:rPr>
        <w:t>30</w:t>
      </w:r>
      <w:r>
        <w:rPr>
          <w:color w:val="000000"/>
          <w:spacing w:val="0"/>
          <w:w w:val="100"/>
          <w:position w:val="0"/>
        </w:rPr>
        <w:t>万元。此外，公司紧急动员开发力量，聚焦全社会疫情防控 的重点和难点，推出了一系列抗疫防疫的信息化方案和应用，全部免费捐赠给相关单位和企业，为各级政府和部门、社区街 道以及中小企业疫情防控进行科技赋能。</w:t>
      </w:r>
    </w:p>
    <w:p>
      <w:pPr>
        <w:pStyle w:val="Style30"/>
        <w:keepNext/>
        <w:keepLines/>
        <w:widowControl w:val="0"/>
        <w:shd w:val="clear" w:color="auto" w:fill="auto"/>
        <w:tabs>
          <w:tab w:pos="347" w:val="left"/>
        </w:tabs>
        <w:bidi w:val="0"/>
        <w:spacing w:before="0" w:after="26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履行精准扶贫社会责任情况</w:t>
      </w:r>
      <w:bookmarkEnd w:id="398"/>
      <w:bookmarkEnd w:id="399"/>
      <w:bookmarkEnd w:id="401"/>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公司报告年度暂未开展精准扶贫工作，也暂无后续精准扶贫计划。</w:t>
      </w:r>
    </w:p>
    <w:p>
      <w:pPr>
        <w:pStyle w:val="Style30"/>
        <w:keepNext/>
        <w:keepLines/>
        <w:widowControl w:val="0"/>
        <w:shd w:val="clear" w:color="auto" w:fill="auto"/>
        <w:tabs>
          <w:tab w:pos="347" w:val="left"/>
        </w:tabs>
        <w:bidi w:val="0"/>
        <w:spacing w:before="0" w:after="26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环境保护相关的情况</w:t>
      </w:r>
      <w:bookmarkEnd w:id="402"/>
      <w:bookmarkEnd w:id="403"/>
      <w:bookmarkEnd w:id="405"/>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不适用 上市公司及其子公司不属于环境保护部门公布的重点排污单位。</w:t>
      </w:r>
    </w:p>
    <w:p>
      <w:pPr>
        <w:pStyle w:val="Style24"/>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十八、其他重大事项的说明</w:t>
      </w:r>
      <w:bookmarkEnd w:id="406"/>
      <w:bookmarkEnd w:id="407"/>
      <w:bookmarkEnd w:id="408"/>
    </w:p>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313" w:lineRule="exact"/>
        <w:ind w:left="0" w:right="0" w:firstLine="0"/>
        <w:jc w:val="both"/>
      </w:pPr>
      <w:bookmarkStart w:id="409" w:name="bookmark409"/>
      <w:r>
        <w:rPr>
          <w:rFonts w:ascii="Times New Roman" w:eastAsia="Times New Roman" w:hAnsi="Times New Roman" w:cs="Times New Roman"/>
          <w:color w:val="000000"/>
          <w:spacing w:val="0"/>
          <w:w w:val="100"/>
          <w:position w:val="0"/>
        </w:rPr>
        <w:t>1</w:t>
      </w:r>
      <w:bookmarkEnd w:id="409"/>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日收到公司独立董事周斌先生提交的书面辞职报告，周斌先生因个人原因申请辞去公司独立董事、董 事会薪酬与考核委员会主任委员和董事会审计委员会委员职务，周斌先生的辞职将在公司股东大会选举出新任独立董事后生 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日收到公司总裁陈斌先生提交的书面辞职报告，其因个人原因申请辞去公司总裁职务，辞职报告自 送达公司董事会时起生效。鉴于公司第五届董事会、监事会任期届满，公司于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日召开第五届董事会第五十四次 会议和第五届监事会第三十二次会议、于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年第一次临时股东大会，分别审议通过了《关于公司董事 </w:t>
      </w:r>
      <w:r>
        <w:rPr>
          <w:color w:val="000000"/>
          <w:spacing w:val="0"/>
          <w:w w:val="100"/>
          <w:position w:val="0"/>
        </w:rPr>
        <w:t>会换届选举暨提名第六届董事会非独立董事候选人的议案》、《关于公司董事会换届选举暨提名第六届董事会独立董事候选 人的议案》、《关于公司监事会换届选举暨提名第六届监事会非职工监事候选人的议案》等有关董事会、监事会换届选举的 相关议案。公司于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日召开第六届董事会第一次会议和第六届监事会第一次会议、审议通过了《关于选举公司第 六届董事会董事长的议案》、《关于选举公司第六届董事会各专门委员会委员的议案》、《关于聘任公司总裁的议案》、《关 于聘任公司高级副总裁的议案》、《关于聘任公司财务总监的议案》、《关于聘任公司董事会秘书的议案》、《关于聘任公 司审计部部长的议案》、《关于聘任公司证券事务代表的议案》、《关于选举公司第六届监事会主席的议案》等有关选举董 事长、选举董事会各专门委员会委员、选举监事会主席、聘任高级管理人员的相关议案。</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日以通讯表决方式召开了职工代表大会，经公司职工代表大会审议，同意选举赵澍先生为公司第六届监 事会职工监事，赵澍先生与公司</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年第一次临时股东大会选举产生的</w:t>
      </w:r>
      <w:r>
        <w:rPr>
          <w:rFonts w:ascii="Times New Roman" w:eastAsia="Times New Roman" w:hAnsi="Times New Roman" w:cs="Times New Roman"/>
          <w:color w:val="000000"/>
          <w:spacing w:val="0"/>
          <w:w w:val="100"/>
          <w:position w:val="0"/>
        </w:rPr>
        <w:t>2</w:t>
      </w:r>
      <w:r>
        <w:rPr>
          <w:color w:val="000000"/>
          <w:spacing w:val="0"/>
          <w:w w:val="100"/>
          <w:position w:val="0"/>
        </w:rPr>
        <w:t>名非职工监事共同组成第六届监事会，任期与第六 届监事会任期一致。</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294" w:val="left"/>
        </w:tabs>
        <w:bidi w:val="0"/>
        <w:spacing w:before="0" w:after="0" w:line="314" w:lineRule="exact"/>
        <w:ind w:left="0" w:right="0" w:firstLine="0"/>
        <w:jc w:val="both"/>
      </w:pPr>
      <w:bookmarkStart w:id="410" w:name="bookmark410"/>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月收到中国证券监督管理委员会江苏监管局（以下简称</w:t>
      </w:r>
      <w:r>
        <w:rPr>
          <w:rFonts w:ascii="Times New Roman" w:eastAsia="Times New Roman" w:hAnsi="Times New Roman" w:cs="Times New Roman"/>
          <w:color w:val="000000"/>
          <w:spacing w:val="0"/>
          <w:w w:val="100"/>
          <w:position w:val="0"/>
        </w:rPr>
        <w:t>“</w:t>
      </w:r>
      <w:r>
        <w:rPr>
          <w:color w:val="000000"/>
          <w:spacing w:val="0"/>
          <w:w w:val="100"/>
          <w:position w:val="0"/>
        </w:rPr>
        <w:t>江苏证监局</w:t>
      </w:r>
      <w:r>
        <w:rPr>
          <w:rFonts w:ascii="Times New Roman" w:eastAsia="Times New Roman" w:hAnsi="Times New Roman" w:cs="Times New Roman"/>
          <w:color w:val="000000"/>
          <w:spacing w:val="0"/>
          <w:w w:val="100"/>
          <w:position w:val="0"/>
        </w:rPr>
        <w:t>”</w:t>
      </w:r>
      <w:r>
        <w:rPr>
          <w:color w:val="000000"/>
          <w:spacing w:val="0"/>
          <w:w w:val="100"/>
          <w:position w:val="0"/>
        </w:rPr>
        <w:t>）出具的《江苏证监局关于对江苏 润和软件股份有限公司采取责令改正措施的决定》（</w:t>
      </w:r>
      <w:r>
        <w:rPr>
          <w:rFonts w:ascii="Times New Roman" w:eastAsia="Times New Roman" w:hAnsi="Times New Roman" w:cs="Times New Roman"/>
          <w:color w:val="000000"/>
          <w:spacing w:val="0"/>
          <w:w w:val="100"/>
          <w:position w:val="0"/>
        </w:rPr>
        <w:t>[2019]109</w:t>
      </w:r>
      <w:r>
        <w:rPr>
          <w:color w:val="000000"/>
          <w:spacing w:val="0"/>
          <w:w w:val="100"/>
          <w:position w:val="0"/>
        </w:rPr>
        <w:t>号），文中指出公司</w:t>
      </w:r>
      <w:r>
        <w:rPr>
          <w:rFonts w:ascii="Times New Roman" w:eastAsia="Times New Roman" w:hAnsi="Times New Roman" w:cs="Times New Roman"/>
          <w:color w:val="000000"/>
          <w:spacing w:val="0"/>
          <w:w w:val="100"/>
          <w:position w:val="0"/>
        </w:rPr>
        <w:t>2019</w:t>
      </w:r>
      <w:r>
        <w:rPr>
          <w:color w:val="000000"/>
          <w:spacing w:val="0"/>
          <w:w w:val="100"/>
          <w:position w:val="0"/>
        </w:rPr>
        <w:t>年半年度报告等定期报告中，将募 集资金购买理财产品产生的现金流采用净额法计算，会计政策使用不当，造成现金流量表中投资支付的现金等科目披露数据 不准确。江苏证监局决定对公司采取责令改正的监督管理措施，要求公司应当切实整改，依据相关规定采用适当的会计政策 编制财务报表，并于收到决定书之日起</w:t>
      </w:r>
      <w:r>
        <w:rPr>
          <w:rFonts w:ascii="Times New Roman" w:eastAsia="Times New Roman" w:hAnsi="Times New Roman" w:cs="Times New Roman"/>
          <w:color w:val="000000"/>
          <w:spacing w:val="0"/>
          <w:w w:val="100"/>
          <w:position w:val="0"/>
        </w:rPr>
        <w:t>30</w:t>
      </w:r>
      <w:r>
        <w:rPr>
          <w:color w:val="000000"/>
          <w:spacing w:val="0"/>
          <w:w w:val="100"/>
          <w:position w:val="0"/>
        </w:rPr>
        <w:t>日内向江苏证监局报送整改报告。公司高度重视上述问题，严格按照相关要求，切 实整改，依据相关规定采用适当的会计政策编制财务报表，在规定时间内报送整改报告，并于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日披露了《关于 </w:t>
      </w:r>
      <w:r>
        <w:rPr>
          <w:rFonts w:ascii="Times New Roman" w:eastAsia="Times New Roman" w:hAnsi="Times New Roman" w:cs="Times New Roman"/>
          <w:color w:val="000000"/>
          <w:spacing w:val="0"/>
          <w:w w:val="100"/>
          <w:position w:val="0"/>
        </w:rPr>
        <w:t>2019</w:t>
      </w:r>
      <w:r>
        <w:rPr>
          <w:color w:val="000000"/>
          <w:spacing w:val="0"/>
          <w:w w:val="100"/>
          <w:position w:val="0"/>
        </w:rPr>
        <w:t>年半年度报告的更正公告》，本次更正不会对公司</w:t>
      </w:r>
      <w:r>
        <w:rPr>
          <w:rFonts w:ascii="Times New Roman" w:eastAsia="Times New Roman" w:hAnsi="Times New Roman" w:cs="Times New Roman"/>
          <w:color w:val="000000"/>
          <w:spacing w:val="0"/>
          <w:w w:val="100"/>
          <w:position w:val="0"/>
        </w:rPr>
        <w:t>2019</w:t>
      </w:r>
      <w:r>
        <w:rPr>
          <w:color w:val="000000"/>
          <w:spacing w:val="0"/>
          <w:w w:val="100"/>
          <w:position w:val="0"/>
        </w:rPr>
        <w:t>年半年度财务状况和经营成果产生任何影响。公司将加大内控治 理力度，组织和督促相关人员认真学习相关法律法规和规范性文件，履行勤勉尽责义务，进一步加强定期报告编制的审核工 作，不断提高规范运作意识和信息披露质量，切实维护全体股东权益。以上具体内容请详见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294" w:val="left"/>
        </w:tabs>
        <w:bidi w:val="0"/>
        <w:spacing w:before="0" w:after="0" w:line="314" w:lineRule="exact"/>
        <w:ind w:left="0" w:right="0" w:firstLine="0"/>
        <w:jc w:val="both"/>
      </w:pPr>
      <w:bookmarkStart w:id="411" w:name="bookmark411"/>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t>公司控股股东润和投资、实际控制人及其一致行动人周红卫先生、姚宁先生，因补充流动资金需要，</w:t>
      </w:r>
      <w:r>
        <w:rPr>
          <w:rFonts w:ascii="Times New Roman" w:eastAsia="Times New Roman" w:hAnsi="Times New Roman" w:cs="Times New Roman"/>
          <w:color w:val="000000"/>
          <w:spacing w:val="0"/>
          <w:w w:val="100"/>
          <w:position w:val="0"/>
        </w:rPr>
        <w:t>2020</w:t>
      </w:r>
      <w:r>
        <w:rPr>
          <w:color w:val="000000"/>
          <w:spacing w:val="0"/>
          <w:w w:val="100"/>
          <w:position w:val="0"/>
        </w:rPr>
        <w:t>年度将其持有 的公司股票进行了质押和解质押业务。以上具体内容请详见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日在中国证监会 指定的创业板信息披露网站披露的公告。</w:t>
      </w:r>
    </w:p>
    <w:p>
      <w:pPr>
        <w:pStyle w:val="Style26"/>
        <w:keepNext w:val="0"/>
        <w:keepLines w:val="0"/>
        <w:widowControl w:val="0"/>
        <w:shd w:val="clear" w:color="auto" w:fill="auto"/>
        <w:tabs>
          <w:tab w:pos="294" w:val="left"/>
        </w:tabs>
        <w:bidi w:val="0"/>
        <w:spacing w:before="0" w:after="0" w:line="314" w:lineRule="exact"/>
        <w:ind w:left="0" w:right="0" w:firstLine="0"/>
        <w:jc w:val="both"/>
      </w:pPr>
      <w:bookmarkStart w:id="412" w:name="bookmark412"/>
      <w:r>
        <w:rPr>
          <w:rFonts w:ascii="Times New Roman" w:eastAsia="Times New Roman" w:hAnsi="Times New Roman" w:cs="Times New Roman"/>
          <w:color w:val="000000"/>
          <w:spacing w:val="0"/>
          <w:w w:val="100"/>
          <w:position w:val="0"/>
        </w:rPr>
        <w:t>4</w:t>
      </w:r>
      <w:bookmarkEnd w:id="412"/>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日召开第六届董事会第二次会议和第六届监事会第二次会议、于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年第二次临 时股东大会，分别审议通过了《关于继续使用部分闲置募集资金进行现金管理的议案》，同意公司使用不超过人民币</w:t>
      </w:r>
      <w:r>
        <w:rPr>
          <w:rFonts w:ascii="Times New Roman" w:eastAsia="Times New Roman" w:hAnsi="Times New Roman" w:cs="Times New Roman"/>
          <w:color w:val="000000"/>
          <w:spacing w:val="0"/>
          <w:w w:val="100"/>
          <w:position w:val="0"/>
        </w:rPr>
        <w:t xml:space="preserve">43,000 </w:t>
      </w:r>
      <w:r>
        <w:rPr>
          <w:color w:val="000000"/>
          <w:spacing w:val="0"/>
          <w:w w:val="100"/>
          <w:position w:val="0"/>
        </w:rPr>
        <w:t>万元的暂时闲置募集资金进行现金管理，使用期限自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日起</w:t>
      </w:r>
      <w:r>
        <w:rPr>
          <w:rFonts w:ascii="Times New Roman" w:eastAsia="Times New Roman" w:hAnsi="Times New Roman" w:cs="Times New Roman"/>
          <w:color w:val="000000"/>
          <w:spacing w:val="0"/>
          <w:w w:val="100"/>
          <w:position w:val="0"/>
        </w:rPr>
        <w:t>24</w:t>
      </w:r>
      <w:r>
        <w:rPr>
          <w:color w:val="000000"/>
          <w:spacing w:val="0"/>
          <w:w w:val="100"/>
          <w:position w:val="0"/>
        </w:rPr>
        <w:t>个月内有效。报告期内公司继续使用部分闲置募集资 金进行现金管理。以上具体内容请详见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日在中国证监会指定的创业板信息披露 网站公告。</w:t>
      </w:r>
    </w:p>
    <w:p>
      <w:pPr>
        <w:pStyle w:val="Style26"/>
        <w:keepNext w:val="0"/>
        <w:keepLines w:val="0"/>
        <w:widowControl w:val="0"/>
        <w:shd w:val="clear" w:color="auto" w:fill="auto"/>
        <w:tabs>
          <w:tab w:pos="298" w:val="left"/>
        </w:tabs>
        <w:bidi w:val="0"/>
        <w:spacing w:before="0" w:after="0" w:line="314" w:lineRule="exact"/>
        <w:ind w:left="0" w:right="0" w:firstLine="0"/>
        <w:jc w:val="both"/>
      </w:pPr>
      <w:bookmarkStart w:id="413" w:name="bookmark413"/>
      <w:r>
        <w:rPr>
          <w:rFonts w:ascii="Times New Roman" w:eastAsia="Times New Roman" w:hAnsi="Times New Roman" w:cs="Times New Roman"/>
          <w:color w:val="000000"/>
          <w:spacing w:val="0"/>
          <w:w w:val="100"/>
          <w:position w:val="0"/>
        </w:rPr>
        <w:t>5</w:t>
      </w:r>
      <w:bookmarkEnd w:id="413"/>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日召开的第六届董事会第四次会议和第六届监事会第三次会议，分别审议通过了《关于使用部分闲置 募集资金暂时补充流动资金的议案》，同意公司使用不超过人民币</w:t>
      </w:r>
      <w:r>
        <w:rPr>
          <w:rFonts w:ascii="Times New Roman" w:eastAsia="Times New Roman" w:hAnsi="Times New Roman" w:cs="Times New Roman"/>
          <w:color w:val="000000"/>
          <w:spacing w:val="0"/>
          <w:w w:val="100"/>
          <w:position w:val="0"/>
        </w:rPr>
        <w:t>25,000</w:t>
      </w:r>
      <w:r>
        <w:rPr>
          <w:color w:val="000000"/>
          <w:spacing w:val="0"/>
          <w:w w:val="100"/>
          <w:position w:val="0"/>
        </w:rPr>
        <w:t>万元的暂时闲置募集资金暂时补充流动资金，用于 与公司主营业务相关的生产经营，使用期限自董事会审议通过之日起不超过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个月，到期公司将及时归还至募集资金专户。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日，公司已将用于暂时补充流动资金的闲置募集资金全部归还至公司募集资金专户，公司本次使用部分闲 置募集资金暂时补充流动资金的期限未超过</w:t>
      </w:r>
      <w:r>
        <w:rPr>
          <w:rFonts w:ascii="Times New Roman" w:eastAsia="Times New Roman" w:hAnsi="Times New Roman" w:cs="Times New Roman"/>
          <w:color w:val="000000"/>
          <w:spacing w:val="0"/>
          <w:w w:val="100"/>
          <w:position w:val="0"/>
        </w:rPr>
        <w:t>12</w:t>
      </w:r>
      <w:r>
        <w:rPr>
          <w:color w:val="000000"/>
          <w:spacing w:val="0"/>
          <w:w w:val="100"/>
          <w:position w:val="0"/>
        </w:rPr>
        <w:t>个月。以上具体内容请详见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日在中国证监会指定 的创业板信息披露网站公告。</w:t>
      </w:r>
    </w:p>
    <w:p>
      <w:pPr>
        <w:pStyle w:val="Style26"/>
        <w:keepNext w:val="0"/>
        <w:keepLines w:val="0"/>
        <w:widowControl w:val="0"/>
        <w:shd w:val="clear" w:color="auto" w:fill="auto"/>
        <w:tabs>
          <w:tab w:pos="294" w:val="left"/>
        </w:tabs>
        <w:bidi w:val="0"/>
        <w:spacing w:before="0" w:after="100" w:line="314" w:lineRule="exact"/>
        <w:ind w:left="0" w:right="0" w:firstLine="0"/>
        <w:jc w:val="both"/>
      </w:pPr>
      <w:bookmarkStart w:id="414" w:name="bookmark414"/>
      <w:r>
        <w:rPr>
          <w:rFonts w:ascii="Times New Roman" w:eastAsia="Times New Roman" w:hAnsi="Times New Roman" w:cs="Times New Roman"/>
          <w:color w:val="000000"/>
          <w:spacing w:val="0"/>
          <w:w w:val="100"/>
          <w:position w:val="0"/>
        </w:rPr>
        <w:t>6</w:t>
      </w:r>
      <w:bookmarkEnd w:id="414"/>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日召开的第六届董事会第五次会议、第六届监事会第四次会议以及于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 度股东大会分别审议通过了《关于公司及子公司</w:t>
      </w:r>
      <w:r>
        <w:rPr>
          <w:rFonts w:ascii="Times New Roman" w:eastAsia="Times New Roman" w:hAnsi="Times New Roman" w:cs="Times New Roman"/>
          <w:color w:val="000000"/>
          <w:spacing w:val="0"/>
          <w:w w:val="100"/>
          <w:position w:val="0"/>
        </w:rPr>
        <w:t>2020</w:t>
      </w:r>
      <w:r>
        <w:rPr>
          <w:color w:val="000000"/>
          <w:spacing w:val="0"/>
          <w:w w:val="100"/>
          <w:position w:val="0"/>
        </w:rPr>
        <w:t>年度向银行申请综合授信额度的议案》。为满足生产经营和发展的需要， 公司拟向中国农业银行股份有限公司南京城北支行申请人民币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万元的流动资金借款，上述流动资金借款事项在综合授 信额度内。公司全资子公司北京捷科智诚科技有限公司（以下简称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捷科智诚</w:t>
      </w:r>
      <w:r>
        <w:rPr>
          <w:rFonts w:ascii="Times New Roman" w:eastAsia="Times New Roman" w:hAnsi="Times New Roman" w:cs="Times New Roman"/>
          <w:color w:val="000000"/>
          <w:spacing w:val="0"/>
          <w:w w:val="100"/>
          <w:position w:val="0"/>
        </w:rPr>
        <w:t>”</w:t>
      </w:r>
      <w:r>
        <w:rPr>
          <w:color w:val="000000"/>
          <w:spacing w:val="0"/>
          <w:w w:val="100"/>
          <w:position w:val="0"/>
        </w:rPr>
        <w:t>）与中国农业银行股份有限公司南京城北支行 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日签署了《保证合同》，捷科智诚拟为公司上述流动资金借款事项提供担保，担保方式为连带责任保证。上 述担保事项已经捷科智诚董事会、股东审议通过。以上具体内容请详见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日在中国证监会指定的创业板信息披露 网站公告。</w:t>
      </w:r>
    </w:p>
    <w:p>
      <w:pPr>
        <w:pStyle w:val="Style26"/>
        <w:keepNext w:val="0"/>
        <w:keepLines w:val="0"/>
        <w:widowControl w:val="0"/>
        <w:shd w:val="clear" w:color="auto" w:fill="auto"/>
        <w:tabs>
          <w:tab w:pos="294" w:val="left"/>
        </w:tabs>
        <w:bidi w:val="0"/>
        <w:spacing w:before="0" w:after="0"/>
        <w:ind w:left="0" w:right="0" w:firstLine="0"/>
        <w:jc w:val="both"/>
      </w:pPr>
      <w:bookmarkStart w:id="415" w:name="bookmark415"/>
      <w:r>
        <w:rPr>
          <w:rFonts w:ascii="Times New Roman" w:eastAsia="Times New Roman" w:hAnsi="Times New Roman" w:cs="Times New Roman"/>
          <w:color w:val="000000"/>
          <w:spacing w:val="0"/>
          <w:w w:val="100"/>
          <w:position w:val="0"/>
        </w:rPr>
        <w:t>7</w:t>
      </w:r>
      <w:bookmarkEnd w:id="41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日，公司与北京太极华保科技股份有限公司（以下简称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太极华保</w:t>
      </w:r>
      <w:r>
        <w:rPr>
          <w:rFonts w:ascii="Times New Roman" w:eastAsia="Times New Roman" w:hAnsi="Times New Roman" w:cs="Times New Roman"/>
          <w:color w:val="000000"/>
          <w:spacing w:val="0"/>
          <w:w w:val="100"/>
          <w:position w:val="0"/>
        </w:rPr>
        <w:t>”</w:t>
      </w:r>
      <w:r>
        <w:rPr>
          <w:color w:val="000000"/>
          <w:spacing w:val="0"/>
          <w:w w:val="100"/>
          <w:position w:val="0"/>
        </w:rPr>
        <w:t>）签署了《股份转让意向协议》，于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召开第六届董事会第十次会议，审议通过了《关于转让全资子公司股权暨增资北京太极华保科技股份有限公司的议 案》。拟将持有的全资子公司菲耐得</w:t>
      </w:r>
      <w:r>
        <w:rPr>
          <w:rFonts w:ascii="Times New Roman" w:eastAsia="Times New Roman" w:hAnsi="Times New Roman" w:cs="Times New Roman"/>
          <w:color w:val="000000"/>
          <w:spacing w:val="0"/>
          <w:w w:val="100"/>
          <w:position w:val="0"/>
        </w:rPr>
        <w:t>100%</w:t>
      </w:r>
      <w:r>
        <w:rPr>
          <w:color w:val="000000"/>
          <w:spacing w:val="0"/>
          <w:w w:val="100"/>
          <w:position w:val="0"/>
        </w:rPr>
        <w:t>的股权转让给太极华保，转让对价为人民币</w:t>
      </w:r>
      <w:r>
        <w:rPr>
          <w:rFonts w:ascii="Times New Roman" w:eastAsia="Times New Roman" w:hAnsi="Times New Roman" w:cs="Times New Roman"/>
          <w:color w:val="000000"/>
          <w:spacing w:val="0"/>
          <w:w w:val="100"/>
          <w:position w:val="0"/>
        </w:rPr>
        <w:t>7,000.00</w:t>
      </w:r>
      <w:r>
        <w:rPr>
          <w:color w:val="000000"/>
          <w:spacing w:val="0"/>
          <w:w w:val="100"/>
          <w:position w:val="0"/>
        </w:rPr>
        <w:t>万元，由太极华保以发行股份 和现金相结合的方式支付。本次交易完成后，公司将不再直接持有菲耐得股权，菲耐得将不再纳入公司合并报表范围；通过 本次交易，公司将持有太极华保</w:t>
      </w:r>
      <w:r>
        <w:rPr>
          <w:rFonts w:ascii="Times New Roman" w:eastAsia="Times New Roman" w:hAnsi="Times New Roman" w:cs="Times New Roman"/>
          <w:color w:val="000000"/>
          <w:spacing w:val="0"/>
          <w:w w:val="100"/>
          <w:position w:val="0"/>
        </w:rPr>
        <w:t>6,650,000</w:t>
      </w:r>
      <w:r>
        <w:rPr>
          <w:color w:val="000000"/>
          <w:spacing w:val="0"/>
          <w:w w:val="100"/>
          <w:position w:val="0"/>
        </w:rPr>
        <w:t>股股份，太极华保将成为公司的参股公司。以上具体内容请详见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日和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日在中国证监会指定的创业板信息披露网站公告。截止目前，菲耐得股权转让手续已办理完毕，公司持有太极 华保</w:t>
      </w:r>
    </w:p>
    <w:p>
      <w:pPr>
        <w:pStyle w:val="Style26"/>
        <w:keepNext w:val="0"/>
        <w:keepLines w:val="0"/>
        <w:widowControl w:val="0"/>
        <w:shd w:val="clear" w:color="auto" w:fill="auto"/>
        <w:bidi w:val="0"/>
        <w:spacing w:before="0" w:after="0" w:line="313" w:lineRule="exact"/>
        <w:ind w:left="0" w:right="0" w:firstLine="0"/>
        <w:jc w:val="both"/>
      </w:pPr>
      <w:bookmarkStart w:id="416" w:name="bookmark416"/>
      <w:r>
        <w:rPr>
          <w:rFonts w:ascii="Times New Roman" w:eastAsia="Times New Roman" w:hAnsi="Times New Roman" w:cs="Times New Roman"/>
          <w:color w:val="000000"/>
          <w:spacing w:val="0"/>
          <w:w w:val="100"/>
          <w:position w:val="0"/>
        </w:rPr>
        <w:t>8</w:t>
      </w:r>
      <w:bookmarkEnd w:id="416"/>
      <w:r>
        <w:rPr>
          <w:color w:val="000000"/>
          <w:spacing w:val="0"/>
          <w:w w:val="100"/>
          <w:position w:val="0"/>
        </w:rPr>
        <w:t>、 公司控股股东润和投资于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日非公开发行可交换公司债券（债券简称：</w:t>
      </w:r>
      <w:r>
        <w:rPr>
          <w:rFonts w:ascii="Times New Roman" w:eastAsia="Times New Roman" w:hAnsi="Times New Roman" w:cs="Times New Roman"/>
          <w:color w:val="000000"/>
          <w:spacing w:val="0"/>
          <w:w w:val="100"/>
          <w:position w:val="0"/>
        </w:rPr>
        <w:t>T6</w:t>
      </w:r>
      <w:r>
        <w:rPr>
          <w:color w:val="000000"/>
          <w:spacing w:val="0"/>
          <w:w w:val="100"/>
          <w:position w:val="0"/>
        </w:rPr>
        <w:t>润和债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T17037”</w:t>
      </w:r>
      <w:r>
        <w:rPr>
          <w:color w:val="000000"/>
          <w:spacing w:val="0"/>
          <w:w w:val="100"/>
          <w:position w:val="0"/>
        </w:rPr>
        <w:t>）</w:t>
      </w:r>
      <w:r>
        <w:rPr>
          <w:color w:val="000000"/>
          <w:spacing w:val="0"/>
          <w:w w:val="100"/>
          <w:position w:val="0"/>
        </w:rPr>
        <w:t>，换 股期限自</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日（实际以深交所安排为准）止。截至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日，润和投资可交换公司债券已 全部完成换股，累计完成换股</w:t>
      </w:r>
      <w:r>
        <w:rPr>
          <w:rFonts w:ascii="Times New Roman" w:eastAsia="Times New Roman" w:hAnsi="Times New Roman" w:cs="Times New Roman"/>
          <w:color w:val="000000"/>
          <w:spacing w:val="0"/>
          <w:w w:val="100"/>
          <w:position w:val="0"/>
        </w:rPr>
        <w:t>73,541,664</w:t>
      </w:r>
      <w:r>
        <w:rPr>
          <w:color w:val="000000"/>
          <w:spacing w:val="0"/>
          <w:w w:val="100"/>
          <w:position w:val="0"/>
        </w:rPr>
        <w:t>股，换股完成后润和投资持有公司股份</w:t>
      </w:r>
      <w:r>
        <w:rPr>
          <w:rFonts w:ascii="Times New Roman" w:eastAsia="Times New Roman" w:hAnsi="Times New Roman" w:cs="Times New Roman"/>
          <w:color w:val="000000"/>
          <w:spacing w:val="0"/>
          <w:w w:val="100"/>
          <w:position w:val="0"/>
        </w:rPr>
        <w:t>47,131,019</w:t>
      </w:r>
      <w:r>
        <w:rPr>
          <w:color w:val="000000"/>
          <w:spacing w:val="0"/>
          <w:w w:val="100"/>
          <w:position w:val="0"/>
        </w:rPr>
        <w:t>股。以上具体内容请详见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日在中国证监会指定的创业板信息披露网站公告。</w:t>
      </w:r>
    </w:p>
    <w:p>
      <w:pPr>
        <w:pStyle w:val="Style26"/>
        <w:keepNext w:val="0"/>
        <w:keepLines w:val="0"/>
        <w:widowControl w:val="0"/>
        <w:shd w:val="clear" w:color="auto" w:fill="auto"/>
        <w:bidi w:val="0"/>
        <w:spacing w:before="0" w:after="0" w:line="313" w:lineRule="exact"/>
        <w:ind w:left="0" w:right="0" w:firstLine="0"/>
        <w:jc w:val="both"/>
      </w:pPr>
      <w:bookmarkStart w:id="417" w:name="bookmark417"/>
      <w:r>
        <w:rPr>
          <w:rFonts w:ascii="Times New Roman" w:eastAsia="Times New Roman" w:hAnsi="Times New Roman" w:cs="Times New Roman"/>
          <w:color w:val="000000"/>
          <w:spacing w:val="0"/>
          <w:w w:val="100"/>
          <w:position w:val="0"/>
        </w:rPr>
        <w:t>9</w:t>
      </w:r>
      <w:bookmarkEnd w:id="417"/>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日召开第六届董事会第三次会议，审议通过了《关于转让参股公司部分股权的议案》，公司将持有的 苏州博纳讯动软件有限公司（以下简称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博纳讯动</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2.93%</w:t>
      </w:r>
      <w:r>
        <w:rPr>
          <w:color w:val="000000"/>
          <w:spacing w:val="0"/>
          <w:w w:val="100"/>
          <w:position w:val="0"/>
        </w:rPr>
        <w:t>股权（对应注册资本人民币</w:t>
      </w:r>
      <w:r>
        <w:rPr>
          <w:rFonts w:ascii="Times New Roman" w:eastAsia="Times New Roman" w:hAnsi="Times New Roman" w:cs="Times New Roman"/>
          <w:color w:val="000000"/>
          <w:spacing w:val="0"/>
          <w:w w:val="100"/>
          <w:position w:val="0"/>
        </w:rPr>
        <w:t>488,549</w:t>
      </w:r>
      <w:r>
        <w:rPr>
          <w:color w:val="000000"/>
          <w:spacing w:val="0"/>
          <w:w w:val="100"/>
          <w:position w:val="0"/>
        </w:rPr>
        <w:t>元）转让给自然人王学军， 转让对价为人民币</w:t>
      </w:r>
      <w:r>
        <w:rPr>
          <w:rFonts w:ascii="Times New Roman" w:eastAsia="Times New Roman" w:hAnsi="Times New Roman" w:cs="Times New Roman"/>
          <w:color w:val="000000"/>
          <w:spacing w:val="0"/>
          <w:w w:val="100"/>
          <w:position w:val="0"/>
        </w:rPr>
        <w:t>12,853,724</w:t>
      </w:r>
      <w:r>
        <w:rPr>
          <w:color w:val="000000"/>
          <w:spacing w:val="0"/>
          <w:w w:val="100"/>
          <w:position w:val="0"/>
        </w:rPr>
        <w:t>元。本次交易完成后，公司仍持有博纳讯动</w:t>
      </w:r>
      <w:r>
        <w:rPr>
          <w:rFonts w:ascii="Times New Roman" w:eastAsia="Times New Roman" w:hAnsi="Times New Roman" w:cs="Times New Roman"/>
          <w:color w:val="000000"/>
          <w:spacing w:val="0"/>
          <w:w w:val="100"/>
          <w:position w:val="0"/>
        </w:rPr>
        <w:t>4.5430%</w:t>
      </w:r>
      <w:r>
        <w:rPr>
          <w:color w:val="000000"/>
          <w:spacing w:val="0"/>
          <w:w w:val="100"/>
          <w:position w:val="0"/>
        </w:rPr>
        <w:t>的股权，博纳讯动仍为公司的参股公司。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日召开的第六届董事会第八次会议审议通过了《关于转让参股公司股权的议案》，公司将持有的博纳讯 动的</w:t>
      </w:r>
      <w:r>
        <w:rPr>
          <w:rFonts w:ascii="Times New Roman" w:eastAsia="Times New Roman" w:hAnsi="Times New Roman" w:cs="Times New Roman"/>
          <w:color w:val="000000"/>
          <w:spacing w:val="0"/>
          <w:w w:val="100"/>
          <w:position w:val="0"/>
        </w:rPr>
        <w:t>3.8194%</w:t>
      </w:r>
      <w:r>
        <w:rPr>
          <w:color w:val="000000"/>
          <w:spacing w:val="0"/>
          <w:w w:val="100"/>
          <w:position w:val="0"/>
        </w:rPr>
        <w:t>股权（对应注册资本人民币</w:t>
      </w:r>
      <w:r>
        <w:rPr>
          <w:rFonts w:ascii="Times New Roman" w:eastAsia="Times New Roman" w:hAnsi="Times New Roman" w:cs="Times New Roman"/>
          <w:color w:val="000000"/>
          <w:spacing w:val="0"/>
          <w:w w:val="100"/>
          <w:position w:val="0"/>
        </w:rPr>
        <w:t>757,500</w:t>
      </w:r>
      <w:r>
        <w:rPr>
          <w:color w:val="000000"/>
          <w:spacing w:val="0"/>
          <w:w w:val="100"/>
          <w:position w:val="0"/>
        </w:rPr>
        <w:t>元）转让给自然人孙兵，转让对价为人民币</w:t>
      </w:r>
      <w:r>
        <w:rPr>
          <w:rFonts w:ascii="Times New Roman" w:eastAsia="Times New Roman" w:hAnsi="Times New Roman" w:cs="Times New Roman"/>
          <w:color w:val="000000"/>
          <w:spacing w:val="0"/>
          <w:w w:val="100"/>
          <w:position w:val="0"/>
        </w:rPr>
        <w:t>26,042,850</w:t>
      </w:r>
      <w:r>
        <w:rPr>
          <w:color w:val="000000"/>
          <w:spacing w:val="0"/>
          <w:w w:val="100"/>
          <w:position w:val="0"/>
        </w:rPr>
        <w:t>元。本次交易完成后， 公司不再持有博纳讯动的股权。</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366" w:val="left"/>
        </w:tabs>
        <w:bidi w:val="0"/>
        <w:spacing w:before="0" w:after="0" w:line="313" w:lineRule="exact"/>
        <w:ind w:left="0" w:right="0" w:firstLine="0"/>
        <w:jc w:val="both"/>
      </w:pPr>
      <w:bookmarkStart w:id="418" w:name="bookmark418"/>
      <w:r>
        <w:rPr>
          <w:rFonts w:ascii="Times New Roman" w:eastAsia="Times New Roman" w:hAnsi="Times New Roman" w:cs="Times New Roman"/>
          <w:color w:val="000000"/>
          <w:spacing w:val="0"/>
          <w:w w:val="100"/>
          <w:position w:val="0"/>
        </w:rPr>
        <w:t>1</w:t>
      </w:r>
      <w:bookmarkEnd w:id="418"/>
      <w:r>
        <w:rPr>
          <w:rFonts w:ascii="Times New Roman" w:eastAsia="Times New Roman" w:hAnsi="Times New Roman" w:cs="Times New Roman"/>
          <w:color w:val="000000"/>
          <w:spacing w:val="0"/>
          <w:w w:val="100"/>
          <w:position w:val="0"/>
        </w:rPr>
        <w:t>0</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日召开的第六届董事会第九次会议及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年第三次临时股东大会审议通过了 《关于变更公司经营范围并修改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相应条款的议案》。于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月完成了工商变更登记。以上内容详见公司于</w:t>
      </w:r>
    </w:p>
    <w:p>
      <w:pPr>
        <w:pStyle w:val="Style26"/>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日在中国证监会指定的创业板信息披露网站披露的公告。</w:t>
      </w:r>
    </w:p>
    <w:p>
      <w:pPr>
        <w:pStyle w:val="Style26"/>
        <w:keepNext w:val="0"/>
        <w:keepLines w:val="0"/>
        <w:widowControl w:val="0"/>
        <w:shd w:val="clear" w:color="auto" w:fill="auto"/>
        <w:tabs>
          <w:tab w:pos="380" w:val="left"/>
        </w:tabs>
        <w:bidi w:val="0"/>
        <w:spacing w:before="0" w:after="0" w:line="313" w:lineRule="exact"/>
        <w:ind w:left="0" w:right="0" w:firstLine="0"/>
        <w:jc w:val="both"/>
      </w:pPr>
      <w:bookmarkStart w:id="419" w:name="bookmark419"/>
      <w:r>
        <w:rPr>
          <w:rFonts w:ascii="Times New Roman" w:eastAsia="Times New Roman" w:hAnsi="Times New Roman" w:cs="Times New Roman"/>
          <w:color w:val="000000"/>
          <w:spacing w:val="0"/>
          <w:w w:val="100"/>
          <w:position w:val="0"/>
        </w:rPr>
        <w:t>1</w:t>
      </w:r>
      <w:bookmarkEnd w:id="419"/>
      <w:r>
        <w:rPr>
          <w:rFonts w:ascii="Times New Roman" w:eastAsia="Times New Roman" w:hAnsi="Times New Roman" w:cs="Times New Roman"/>
          <w:color w:val="000000"/>
          <w:spacing w:val="0"/>
          <w:w w:val="100"/>
          <w:position w:val="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日召开第五届董事会第五十三次会议和第五届监事会第三十一次会议，分别审议通过了《关于北京 联创智融信息技术有限公司应收账款收回及补偿情况的议案》，公司于</w:t>
      </w:r>
      <w:r>
        <w:rPr>
          <w:rFonts w:ascii="Times New Roman" w:eastAsia="Times New Roman" w:hAnsi="Times New Roman" w:cs="Times New Roman"/>
          <w:color w:val="000000"/>
          <w:spacing w:val="0"/>
          <w:w w:val="100"/>
          <w:position w:val="0"/>
        </w:rPr>
        <w:t>2 015</w:t>
      </w:r>
      <w:r>
        <w:rPr>
          <w:color w:val="000000"/>
          <w:spacing w:val="0"/>
          <w:w w:val="100"/>
          <w:position w:val="0"/>
        </w:rPr>
        <w:t xml:space="preserve">年通过发行股份及支付现金方式购买联创智融 </w:t>
      </w:r>
      <w:r>
        <w:rPr>
          <w:rFonts w:ascii="Times New Roman" w:eastAsia="Times New Roman" w:hAnsi="Times New Roman" w:cs="Times New Roman"/>
          <w:color w:val="000000"/>
          <w:spacing w:val="0"/>
          <w:w w:val="100"/>
          <w:position w:val="0"/>
        </w:rPr>
        <w:t>100.00%</w:t>
      </w:r>
      <w:r>
        <w:rPr>
          <w:color w:val="000000"/>
          <w:spacing w:val="0"/>
          <w:w w:val="100"/>
          <w:position w:val="0"/>
        </w:rPr>
        <w:t>股权，根据公司与宁波宏创及周帮建签署的《发行股份及支付现金购买资产之盈利补偿协议》的约定，宁波宏创及 周帮建承诺：截至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日经审计的应收账款余额，在</w:t>
      </w:r>
      <w:r>
        <w:rPr>
          <w:rFonts w:ascii="Times New Roman" w:eastAsia="Times New Roman" w:hAnsi="Times New Roman" w:cs="Times New Roman"/>
          <w:color w:val="000000"/>
          <w:spacing w:val="0"/>
          <w:w w:val="100"/>
          <w:position w:val="0"/>
        </w:rPr>
        <w:t>2019</w:t>
      </w:r>
      <w:r>
        <w:rPr>
          <w:color w:val="000000"/>
          <w:spacing w:val="0"/>
          <w:w w:val="100"/>
          <w:position w:val="0"/>
        </w:rPr>
        <w:t>年应收回不低于</w:t>
      </w:r>
      <w:r>
        <w:rPr>
          <w:rFonts w:ascii="Times New Roman" w:eastAsia="Times New Roman" w:hAnsi="Times New Roman" w:cs="Times New Roman"/>
          <w:color w:val="000000"/>
          <w:spacing w:val="0"/>
          <w:w w:val="100"/>
          <w:position w:val="0"/>
        </w:rPr>
        <w:t>70%</w:t>
      </w:r>
      <w:r>
        <w:rPr>
          <w:color w:val="000000"/>
          <w:spacing w:val="0"/>
          <w:w w:val="100"/>
          <w:position w:val="0"/>
        </w:rPr>
        <w:t>，应收账款收回情况以有证券从业资 格的会计师事务所的专项审核报告为准。如截至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联创智融未完成上述应收账款回收指标，则宁波宏创应将 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日已实际收回的应收账款金额与截至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日经审计的应收账款余额的</w:t>
      </w:r>
      <w:r>
        <w:rPr>
          <w:rFonts w:ascii="Times New Roman" w:eastAsia="Times New Roman" w:hAnsi="Times New Roman" w:cs="Times New Roman"/>
          <w:color w:val="000000"/>
          <w:spacing w:val="0"/>
          <w:w w:val="100"/>
          <w:position w:val="0"/>
        </w:rPr>
        <w:t>70%</w:t>
      </w:r>
      <w:r>
        <w:rPr>
          <w:color w:val="000000"/>
          <w:spacing w:val="0"/>
          <w:w w:val="100"/>
          <w:position w:val="0"/>
        </w:rPr>
        <w:t>的差额部分以现金形 式补偿给联创智融，在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sz w:val="22"/>
          <w:szCs w:val="22"/>
        </w:rPr>
        <w:t>0</w:t>
      </w:r>
      <w:r>
        <w:rPr>
          <w:color w:val="000000"/>
          <w:spacing w:val="0"/>
          <w:w w:val="100"/>
          <w:position w:val="0"/>
        </w:rPr>
        <w:t>之前一次性支付完毕。周帮建应督促宁波宏创进行现金补偿，并对宁波宏创的所有补 偿责任承担连带保证责任。</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根据容诚会计师事务所（特殊普通合伙）出具的</w:t>
      </w:r>
      <w:r>
        <w:rPr>
          <w:rFonts w:ascii="Times New Roman" w:eastAsia="Times New Roman" w:hAnsi="Times New Roman" w:cs="Times New Roman"/>
          <w:color w:val="000000"/>
          <w:spacing w:val="0"/>
          <w:w w:val="100"/>
          <w:position w:val="0"/>
        </w:rPr>
        <w:t>“</w:t>
      </w:r>
      <w:r>
        <w:rPr>
          <w:color w:val="000000"/>
          <w:spacing w:val="0"/>
          <w:w w:val="100"/>
          <w:position w:val="0"/>
        </w:rPr>
        <w:t>会审字</w:t>
      </w:r>
      <w:r>
        <w:rPr>
          <w:rFonts w:ascii="Times New Roman" w:eastAsia="Times New Roman" w:hAnsi="Times New Roman" w:cs="Times New Roman"/>
          <w:color w:val="000000"/>
          <w:spacing w:val="0"/>
          <w:w w:val="100"/>
          <w:position w:val="0"/>
        </w:rPr>
        <w:t>［2019］2645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《审计报告》，联创智融</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 收账款余额为</w:t>
      </w:r>
      <w:r>
        <w:rPr>
          <w:rFonts w:ascii="Times New Roman" w:eastAsia="Times New Roman" w:hAnsi="Times New Roman" w:cs="Times New Roman"/>
          <w:color w:val="000000"/>
          <w:spacing w:val="0"/>
          <w:w w:val="100"/>
          <w:position w:val="0"/>
        </w:rPr>
        <w:t>489,351,019.13</w:t>
      </w:r>
      <w:r>
        <w:rPr>
          <w:color w:val="000000"/>
          <w:spacing w:val="0"/>
          <w:w w:val="100"/>
          <w:position w:val="0"/>
        </w:rPr>
        <w:t>元，另联创智融通过润和软件向终端客户提供服务和销售产品，在终端客户尚未回款情况下， 润和软件将相关款项提前支付给联创智融，对应终端客户应收账款余额为</w:t>
      </w:r>
      <w:r>
        <w:rPr>
          <w:rFonts w:ascii="Times New Roman" w:eastAsia="Times New Roman" w:hAnsi="Times New Roman" w:cs="Times New Roman"/>
          <w:color w:val="000000"/>
          <w:spacing w:val="0"/>
          <w:w w:val="100"/>
          <w:position w:val="0"/>
        </w:rPr>
        <w:t>57,137,982.67</w:t>
      </w:r>
      <w:r>
        <w:rPr>
          <w:color w:val="000000"/>
          <w:spacing w:val="0"/>
          <w:w w:val="100"/>
          <w:position w:val="0"/>
        </w:rPr>
        <w:t>元，合计</w:t>
      </w:r>
      <w:r>
        <w:rPr>
          <w:rFonts w:ascii="Times New Roman" w:eastAsia="Times New Roman" w:hAnsi="Times New Roman" w:cs="Times New Roman"/>
          <w:color w:val="000000"/>
          <w:spacing w:val="0"/>
          <w:w w:val="100"/>
          <w:position w:val="0"/>
        </w:rPr>
        <w:t>546,489,001.8</w:t>
      </w:r>
      <w:r>
        <w:rPr>
          <w:rFonts w:ascii="Times New Roman" w:eastAsia="Times New Roman" w:hAnsi="Times New Roman" w:cs="Times New Roman"/>
          <w:color w:val="000000"/>
          <w:spacing w:val="0"/>
          <w:w w:val="100"/>
          <w:position w:val="0"/>
        </w:rPr>
        <w:t>0</w:t>
      </w:r>
      <w:r>
        <w:rPr>
          <w:color w:val="000000"/>
          <w:spacing w:val="0"/>
          <w:w w:val="100"/>
          <w:position w:val="0"/>
        </w:rPr>
        <w:t>元，于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年收回</w:t>
      </w:r>
      <w:r>
        <w:rPr>
          <w:rFonts w:ascii="Times New Roman" w:eastAsia="Times New Roman" w:hAnsi="Times New Roman" w:cs="Times New Roman"/>
          <w:color w:val="000000"/>
          <w:spacing w:val="0"/>
          <w:w w:val="100"/>
          <w:position w:val="0"/>
        </w:rPr>
        <w:t>190,964,889.98</w:t>
      </w:r>
      <w:r>
        <w:rPr>
          <w:color w:val="000000"/>
          <w:spacing w:val="0"/>
          <w:w w:val="100"/>
          <w:position w:val="0"/>
        </w:rPr>
        <w:t>元，收回率为</w:t>
      </w:r>
      <w:r>
        <w:rPr>
          <w:rFonts w:ascii="Times New Roman" w:eastAsia="Times New Roman" w:hAnsi="Times New Roman" w:cs="Times New Roman"/>
          <w:color w:val="000000"/>
          <w:spacing w:val="0"/>
          <w:w w:val="100"/>
          <w:position w:val="0"/>
        </w:rPr>
        <w:t>34.94%</w:t>
      </w:r>
      <w:r>
        <w:rPr>
          <w:color w:val="000000"/>
          <w:spacing w:val="0"/>
          <w:w w:val="100"/>
          <w:position w:val="0"/>
        </w:rPr>
        <w:t>。联创智融应收账款承诺未实现。根据公司与宁波宏创和周帮建签署的《发行股 份及支付现金购买资产之盈利补偿协议》的约定，宁波宏创应将截至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sz w:val="22"/>
          <w:szCs w:val="22"/>
        </w:rPr>
        <w:t>0</w:t>
      </w:r>
      <w:r>
        <w:rPr>
          <w:color w:val="000000"/>
          <w:spacing w:val="0"/>
          <w:w w:val="100"/>
          <w:position w:val="0"/>
        </w:rPr>
        <w:t>已实际收回的应收账款金额与截至</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日经审计的应收账款余额的</w:t>
      </w:r>
      <w:r>
        <w:rPr>
          <w:rFonts w:ascii="Times New Roman" w:eastAsia="Times New Roman" w:hAnsi="Times New Roman" w:cs="Times New Roman"/>
          <w:color w:val="000000"/>
          <w:spacing w:val="0"/>
          <w:w w:val="100"/>
          <w:position w:val="0"/>
        </w:rPr>
        <w:t>70%</w:t>
      </w:r>
      <w:r>
        <w:rPr>
          <w:color w:val="000000"/>
          <w:spacing w:val="0"/>
          <w:w w:val="100"/>
          <w:position w:val="0"/>
        </w:rPr>
        <w:t>的差额部分</w:t>
      </w:r>
      <w:r>
        <w:rPr>
          <w:rFonts w:ascii="Times New Roman" w:eastAsia="Times New Roman" w:hAnsi="Times New Roman" w:cs="Times New Roman"/>
          <w:color w:val="000000"/>
          <w:spacing w:val="0"/>
          <w:w w:val="100"/>
          <w:position w:val="0"/>
        </w:rPr>
        <w:t>191,577,411.28</w:t>
      </w:r>
      <w:r>
        <w:rPr>
          <w:color w:val="000000"/>
          <w:spacing w:val="0"/>
          <w:w w:val="100"/>
          <w:position w:val="0"/>
        </w:rPr>
        <w:t>元以现金形式于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sz w:val="22"/>
          <w:szCs w:val="22"/>
        </w:rPr>
        <w:t>0</w:t>
      </w:r>
      <w:r>
        <w:rPr>
          <w:color w:val="000000"/>
          <w:spacing w:val="0"/>
          <w:w w:val="100"/>
          <w:position w:val="0"/>
        </w:rPr>
        <w:t>之前补偿给联创智融，截 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sz w:val="22"/>
          <w:szCs w:val="22"/>
        </w:rPr>
        <w:t>0</w:t>
      </w:r>
      <w:r>
        <w:rPr>
          <w:color w:val="000000"/>
          <w:spacing w:val="0"/>
          <w:w w:val="100"/>
          <w:position w:val="0"/>
        </w:rPr>
        <w:t>，联创智融尚未收到上述补偿款。容诚会计师事务所（特殊普通合伙）对联创智融应收账款回款事项出具 了</w:t>
      </w:r>
      <w:r>
        <w:rPr>
          <w:rFonts w:ascii="Times New Roman" w:eastAsia="Times New Roman" w:hAnsi="Times New Roman" w:cs="Times New Roman"/>
          <w:color w:val="000000"/>
          <w:spacing w:val="0"/>
          <w:w w:val="100"/>
          <w:position w:val="0"/>
        </w:rPr>
        <w:t>“</w:t>
      </w:r>
      <w:r>
        <w:rPr>
          <w:color w:val="000000"/>
          <w:spacing w:val="0"/>
          <w:w w:val="100"/>
          <w:position w:val="0"/>
        </w:rPr>
        <w:t>容诚专字</w:t>
      </w:r>
      <w:r>
        <w:rPr>
          <w:rFonts w:ascii="Times New Roman" w:eastAsia="Times New Roman" w:hAnsi="Times New Roman" w:cs="Times New Roman"/>
          <w:color w:val="000000"/>
          <w:spacing w:val="0"/>
          <w:w w:val="100"/>
          <w:position w:val="0"/>
        </w:rPr>
        <w:t>［2020］230Z0031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专项审核报告。在上述议案审议通过后，公司以书面方式通知宁波宏创及周帮建本次补偿的 事宜及补偿的具体数额、方式，宁波宏创应在收到书面通知后</w:t>
      </w:r>
      <w:r>
        <w:rPr>
          <w:rFonts w:ascii="Times New Roman" w:eastAsia="Times New Roman" w:hAnsi="Times New Roman" w:cs="Times New Roman"/>
          <w:color w:val="000000"/>
          <w:spacing w:val="0"/>
          <w:w w:val="100"/>
          <w:position w:val="0"/>
        </w:rPr>
        <w:t>30</w:t>
      </w:r>
      <w:r>
        <w:rPr>
          <w:color w:val="000000"/>
          <w:spacing w:val="0"/>
          <w:w w:val="100"/>
          <w:position w:val="0"/>
        </w:rPr>
        <w:t>日内完成相应补偿。周帮建应督促宁波宏创进行现金补偿， 并对宁波宏创的所有补偿责任承担连带保证责任。</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鉴于宁波宏创未能按时完成应收账款承诺补偿、周帮建未承担相应连带保证责任，为保障公司和股东的利益，公司于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sz w:val="22"/>
          <w:szCs w:val="22"/>
        </w:rPr>
        <w:t>0</w:t>
      </w:r>
      <w:r>
        <w:rPr>
          <w:color w:val="000000"/>
          <w:spacing w:val="0"/>
          <w:w w:val="100"/>
          <w:position w:val="0"/>
        </w:rPr>
        <w:t>向江苏省南京市中级人民法院递交了《起诉状》、《财产保全申请书》及《网络执行查控申请书》等资料，就履 行应收账款回款承诺的补偿事宜起诉宁波宏创及周帮建，同时请求江苏省南京市中级人民法院依法通过网络执行查控系统查 询宁波宏创及周帮建名下的银行存款、不动产、车辆、股票等信息，并请求对宁波宏创及周帮建上述名下价值人民币</w:t>
      </w:r>
      <w:r>
        <w:rPr>
          <w:rFonts w:ascii="Times New Roman" w:eastAsia="Times New Roman" w:hAnsi="Times New Roman" w:cs="Times New Roman"/>
          <w:color w:val="000000"/>
          <w:spacing w:val="0"/>
          <w:w w:val="100"/>
          <w:position w:val="0"/>
        </w:rPr>
        <w:t xml:space="preserve">21,000 </w:t>
      </w:r>
      <w:r>
        <w:rPr>
          <w:color w:val="000000"/>
          <w:spacing w:val="0"/>
          <w:w w:val="100"/>
          <w:position w:val="0"/>
        </w:rPr>
        <w:t>万元的财产采取保全措施，江苏省南京市中级人民法院已立案并向公司送达了《受理案件通知书》及《民事裁定书》</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苏</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394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,裁定冻结被申请人宁波宏创、周帮建</w:t>
      </w:r>
      <w:r>
        <w:rPr>
          <w:rFonts w:ascii="Times New Roman" w:eastAsia="Times New Roman" w:hAnsi="Times New Roman" w:cs="Times New Roman"/>
          <w:color w:val="000000"/>
          <w:spacing w:val="0"/>
          <w:w w:val="100"/>
          <w:position w:val="0"/>
        </w:rPr>
        <w:t>2</w:t>
      </w:r>
      <w:r>
        <w:rPr>
          <w:color w:val="000000"/>
          <w:spacing w:val="0"/>
          <w:w w:val="100"/>
          <w:position w:val="0"/>
        </w:rPr>
        <w:t xml:space="preserve">亿元的银行存款或查封、扣押、冻结其相应价值的财产。 </w:t>
      </w:r>
      <w:r>
        <w:rPr>
          <w:color w:val="000000"/>
          <w:spacing w:val="0"/>
          <w:w w:val="100"/>
          <w:position w:val="0"/>
        </w:rPr>
        <w:t>上述案件已开庭审理，且</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月公司收到江苏省南京市中级人民法院出具的《民事判决书》</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）苏</w:t>
      </w:r>
      <w:r>
        <w:rPr>
          <w:rFonts w:ascii="Times New Roman" w:eastAsia="Times New Roman" w:hAnsi="Times New Roman" w:cs="Times New Roman"/>
          <w:color w:val="000000"/>
          <w:spacing w:val="0"/>
          <w:w w:val="100"/>
          <w:position w:val="0"/>
        </w:rPr>
        <w:t>01</w:t>
      </w:r>
      <w:r>
        <w:rPr>
          <w:color w:val="000000"/>
          <w:spacing w:val="0"/>
          <w:w w:val="100"/>
          <w:position w:val="0"/>
        </w:rPr>
        <w:t>民初</w:t>
      </w:r>
      <w:r>
        <w:rPr>
          <w:rFonts w:ascii="Times New Roman" w:eastAsia="Times New Roman" w:hAnsi="Times New Roman" w:cs="Times New Roman"/>
          <w:color w:val="000000"/>
          <w:spacing w:val="0"/>
          <w:w w:val="100"/>
          <w:position w:val="0"/>
        </w:rPr>
        <w:t>394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南京市中级人民法院对本案判决如下：（一）宁波宏创股权投资合伙企业（有限合伙）向江苏润和软件股份有限公司支付违 约金</w:t>
      </w:r>
      <w:r>
        <w:rPr>
          <w:rFonts w:ascii="Times New Roman" w:eastAsia="Times New Roman" w:hAnsi="Times New Roman" w:cs="Times New Roman"/>
          <w:color w:val="000000"/>
          <w:spacing w:val="0"/>
          <w:w w:val="100"/>
          <w:position w:val="0"/>
        </w:rPr>
        <w:t>3,028,194</w:t>
      </w:r>
      <w:r>
        <w:rPr>
          <w:color w:val="000000"/>
          <w:spacing w:val="0"/>
          <w:w w:val="100"/>
          <w:position w:val="0"/>
        </w:rPr>
        <w:t>元、律师费</w:t>
      </w:r>
      <w:r>
        <w:rPr>
          <w:rFonts w:ascii="Times New Roman" w:eastAsia="Times New Roman" w:hAnsi="Times New Roman" w:cs="Times New Roman"/>
          <w:color w:val="000000"/>
          <w:spacing w:val="0"/>
          <w:w w:val="100"/>
          <w:position w:val="0"/>
        </w:rPr>
        <w:t>30</w:t>
      </w:r>
      <w:r>
        <w:rPr>
          <w:color w:val="000000"/>
          <w:spacing w:val="0"/>
          <w:w w:val="100"/>
          <w:position w:val="0"/>
        </w:rPr>
        <w:t>万元，合计</w:t>
      </w:r>
      <w:r>
        <w:rPr>
          <w:rFonts w:ascii="Times New Roman" w:eastAsia="Times New Roman" w:hAnsi="Times New Roman" w:cs="Times New Roman"/>
          <w:color w:val="000000"/>
          <w:spacing w:val="0"/>
          <w:w w:val="100"/>
          <w:position w:val="0"/>
        </w:rPr>
        <w:t>3,328,194</w:t>
      </w:r>
      <w:r>
        <w:rPr>
          <w:color w:val="000000"/>
          <w:spacing w:val="0"/>
          <w:w w:val="100"/>
          <w:position w:val="0"/>
        </w:rPr>
        <w:t>元。（二）周帮建就宁波宏创股权投资合伙企业（有限合伙）前述债务向江 苏润和软件股份有限公司承担连带清偿责任。周帮建承清偿责任后，有权向宁波宏创股权投资合伙企业（有限合伙）追偿。</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（三）驳回江苏润和软件股份有限公司的其他诉讼请求。如未按本判决指定的期间履行给付义务，应当依照《中华人民共和 国民事诉讼法》第二百五十三条的规定，加倍支付迟延履行期间的债务利息。本案应收件受理费</w:t>
      </w:r>
      <w:r>
        <w:rPr>
          <w:rFonts w:ascii="Times New Roman" w:eastAsia="Times New Roman" w:hAnsi="Times New Roman" w:cs="Times New Roman"/>
          <w:color w:val="000000"/>
          <w:spacing w:val="0"/>
          <w:w w:val="100"/>
          <w:position w:val="0"/>
        </w:rPr>
        <w:t>1,006,187</w:t>
      </w:r>
      <w:r>
        <w:rPr>
          <w:color w:val="000000"/>
          <w:spacing w:val="0"/>
          <w:w w:val="100"/>
          <w:position w:val="0"/>
        </w:rPr>
        <w:t>元、财产保全费</w:t>
      </w:r>
      <w:r>
        <w:rPr>
          <w:rFonts w:ascii="Times New Roman" w:eastAsia="Times New Roman" w:hAnsi="Times New Roman" w:cs="Times New Roman"/>
          <w:color w:val="000000"/>
          <w:spacing w:val="0"/>
          <w:w w:val="100"/>
          <w:position w:val="0"/>
        </w:rPr>
        <w:t xml:space="preserve">5000 </w:t>
      </w:r>
      <w:r>
        <w:rPr>
          <w:color w:val="000000"/>
          <w:spacing w:val="0"/>
          <w:w w:val="100"/>
          <w:position w:val="0"/>
        </w:rPr>
        <w:t>元，合计</w:t>
      </w:r>
      <w:r>
        <w:rPr>
          <w:rFonts w:ascii="Times New Roman" w:eastAsia="Times New Roman" w:hAnsi="Times New Roman" w:cs="Times New Roman"/>
          <w:color w:val="000000"/>
          <w:spacing w:val="0"/>
          <w:w w:val="100"/>
          <w:position w:val="0"/>
        </w:rPr>
        <w:t>1,011,187</w:t>
      </w:r>
      <w:r>
        <w:rPr>
          <w:color w:val="000000"/>
          <w:spacing w:val="0"/>
          <w:w w:val="100"/>
          <w:position w:val="0"/>
        </w:rPr>
        <w:t>元，由两被告负担。如不服本判决，可在判决书送达之日起十五日内，向本院递交上诉状，并按对方当事 人的人数提出副本，上诉于江苏省高级人民法院。</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公司持续努力向联创智融客户催收尚未收回的</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w:t>
      </w:r>
      <w:r>
        <w:rPr>
          <w:rFonts w:ascii="Times New Roman" w:eastAsia="Times New Roman" w:hAnsi="Times New Roman" w:cs="Times New Roman"/>
          <w:color w:val="000000"/>
          <w:spacing w:val="0"/>
          <w:w w:val="100"/>
          <w:position w:val="0"/>
        </w:rPr>
        <w:t>2020</w:t>
      </w:r>
      <w:r>
        <w:rPr>
          <w:color w:val="000000"/>
          <w:spacing w:val="0"/>
          <w:w w:val="100"/>
          <w:position w:val="0"/>
        </w:rPr>
        <w:t>年度，公司及联创智融共收回上述应 收账款银行到账</w:t>
      </w:r>
      <w:r>
        <w:rPr>
          <w:rFonts w:ascii="Times New Roman" w:eastAsia="Times New Roman" w:hAnsi="Times New Roman" w:cs="Times New Roman"/>
          <w:color w:val="000000"/>
          <w:spacing w:val="0"/>
          <w:w w:val="100"/>
          <w:position w:val="0"/>
        </w:rPr>
        <w:t>177,842,556.8</w:t>
      </w:r>
      <w:r>
        <w:rPr>
          <w:rFonts w:ascii="Times New Roman" w:eastAsia="Times New Roman" w:hAnsi="Times New Roman" w:cs="Times New Roman"/>
          <w:color w:val="000000"/>
          <w:spacing w:val="0"/>
          <w:w w:val="100"/>
          <w:position w:val="0"/>
        </w:rPr>
        <w:t>2</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日，尚有</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日经审计的应收账款</w:t>
      </w:r>
      <w:r>
        <w:rPr>
          <w:rFonts w:ascii="Times New Roman" w:eastAsia="Times New Roman" w:hAnsi="Times New Roman" w:cs="Times New Roman"/>
          <w:color w:val="000000"/>
          <w:spacing w:val="0"/>
          <w:w w:val="100"/>
          <w:position w:val="0"/>
        </w:rPr>
        <w:t>177,681,555.01</w:t>
      </w:r>
      <w:r>
        <w:rPr>
          <w:color w:val="000000"/>
          <w:spacing w:val="0"/>
          <w:w w:val="100"/>
          <w:position w:val="0"/>
        </w:rPr>
        <w:t>元未收回。</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同时，根据法院判决结果，公司从宁波宏创应收账款补偿款保证金账户扣除违约金、律师费等，合计</w:t>
      </w:r>
      <w:r>
        <w:rPr>
          <w:rFonts w:ascii="Times New Roman" w:eastAsia="Times New Roman" w:hAnsi="Times New Roman" w:cs="Times New Roman"/>
          <w:color w:val="000000"/>
          <w:spacing w:val="0"/>
          <w:w w:val="100"/>
          <w:position w:val="0"/>
        </w:rPr>
        <w:t>4,339,381</w:t>
      </w:r>
      <w:r>
        <w:rPr>
          <w:color w:val="000000"/>
          <w:spacing w:val="0"/>
          <w:w w:val="100"/>
          <w:position w:val="0"/>
        </w:rPr>
        <w:t>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日，公司及联创智融宁波宏创应收账款补偿款保证金余额</w:t>
      </w:r>
      <w:r>
        <w:rPr>
          <w:rFonts w:ascii="Times New Roman" w:eastAsia="Times New Roman" w:hAnsi="Times New Roman" w:cs="Times New Roman"/>
          <w:color w:val="000000"/>
          <w:spacing w:val="0"/>
          <w:w w:val="100"/>
          <w:position w:val="0"/>
        </w:rPr>
        <w:t>16,060,619.00</w:t>
      </w:r>
      <w:r>
        <w:rPr>
          <w:color w:val="000000"/>
          <w:spacing w:val="0"/>
          <w:w w:val="100"/>
          <w:position w:val="0"/>
        </w:rPr>
        <w:t>元，保证金余额已覆盖宁波宏创应收账款回 款的补偿承诺金额。</w:t>
      </w:r>
    </w:p>
    <w:p>
      <w:pPr>
        <w:pStyle w:val="Style26"/>
        <w:keepNext w:val="0"/>
        <w:keepLines w:val="0"/>
        <w:widowControl w:val="0"/>
        <w:shd w:val="clear" w:color="auto" w:fill="auto"/>
        <w:bidi w:val="0"/>
        <w:spacing w:before="0" w:after="360" w:line="326" w:lineRule="exact"/>
        <w:ind w:left="0" w:right="0" w:firstLine="0"/>
        <w:jc w:val="left"/>
      </w:pPr>
      <w:r>
        <w:rPr>
          <w:color w:val="000000"/>
          <w:spacing w:val="0"/>
          <w:w w:val="100"/>
          <w:position w:val="0"/>
        </w:rPr>
        <w:t>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日在 中国证监会指定的创业板信息披露网站公告。</w:t>
      </w:r>
    </w:p>
    <w:p>
      <w:pPr>
        <w:pStyle w:val="Style24"/>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十九、公司子公司重大事项</w:t>
      </w:r>
      <w:bookmarkEnd w:id="420"/>
      <w:bookmarkEnd w:id="421"/>
      <w:bookmarkEnd w:id="422"/>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tabs>
          <w:tab w:pos="294" w:val="left"/>
        </w:tabs>
        <w:bidi w:val="0"/>
        <w:spacing w:before="0" w:after="0" w:line="312" w:lineRule="exact"/>
        <w:ind w:left="0" w:right="0" w:firstLine="0"/>
        <w:jc w:val="left"/>
      </w:pPr>
      <w:bookmarkStart w:id="423" w:name="bookmark423"/>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日召开第五届董事会第五十二次会议，审议通过了《关于全资子公司以未分配利润转增注册资本的 议案》，公司全资子公司捷科智诚为满足业务发展需要，使用其截止</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日经审计的部分未分配利润</w:t>
      </w:r>
      <w:r>
        <w:rPr>
          <w:rFonts w:ascii="Times New Roman" w:eastAsia="Times New Roman" w:hAnsi="Times New Roman" w:cs="Times New Roman"/>
          <w:color w:val="000000"/>
          <w:spacing w:val="0"/>
          <w:w w:val="100"/>
          <w:position w:val="0"/>
        </w:rPr>
        <w:t>4,000</w:t>
      </w:r>
      <w:r>
        <w:rPr>
          <w:color w:val="000000"/>
          <w:spacing w:val="0"/>
          <w:w w:val="100"/>
          <w:position w:val="0"/>
        </w:rPr>
        <w:t>万元人 民币转增注册资本。完成本次未分配利润转增注册资本后，捷科智诚的注册资本将由</w:t>
      </w:r>
      <w:r>
        <w:rPr>
          <w:rFonts w:ascii="Times New Roman" w:eastAsia="Times New Roman" w:hAnsi="Times New Roman" w:cs="Times New Roman"/>
          <w:color w:val="000000"/>
          <w:spacing w:val="0"/>
          <w:w w:val="100"/>
          <w:position w:val="0"/>
        </w:rPr>
        <w:t>6,000</w:t>
      </w:r>
      <w:r>
        <w:rPr>
          <w:color w:val="000000"/>
          <w:spacing w:val="0"/>
          <w:w w:val="100"/>
          <w:position w:val="0"/>
        </w:rPr>
        <w:t>万元人民币增加至</w:t>
      </w:r>
      <w:r>
        <w:rPr>
          <w:rFonts w:ascii="Times New Roman" w:eastAsia="Times New Roman" w:hAnsi="Times New Roman" w:cs="Times New Roman"/>
          <w:color w:val="000000"/>
          <w:spacing w:val="0"/>
          <w:w w:val="100"/>
          <w:position w:val="0"/>
        </w:rPr>
        <w:t>10,000</w:t>
      </w:r>
      <w:r>
        <w:rPr>
          <w:color w:val="000000"/>
          <w:spacing w:val="0"/>
          <w:w w:val="100"/>
          <w:position w:val="0"/>
        </w:rPr>
        <w:t>万元人民 币，公司仍持有捷科智诚</w:t>
      </w:r>
      <w:r>
        <w:rPr>
          <w:rFonts w:ascii="Times New Roman" w:eastAsia="Times New Roman" w:hAnsi="Times New Roman" w:cs="Times New Roman"/>
          <w:color w:val="000000"/>
          <w:spacing w:val="0"/>
          <w:w w:val="100"/>
          <w:position w:val="0"/>
        </w:rPr>
        <w:t>100%</w:t>
      </w:r>
      <w:r>
        <w:rPr>
          <w:color w:val="000000"/>
          <w:spacing w:val="0"/>
          <w:w w:val="100"/>
          <w:position w:val="0"/>
        </w:rPr>
        <w:t>的股权。捷科智诚已完成了上述工商变更登记手续。以上具体内容请详见</w:t>
      </w:r>
      <w:r>
        <w:rPr>
          <w:rFonts w:ascii="Times New Roman" w:eastAsia="Times New Roman" w:hAnsi="Times New Roman" w:cs="Times New Roman"/>
          <w:color w:val="000000"/>
          <w:spacing w:val="0"/>
          <w:w w:val="100"/>
          <w:position w:val="0"/>
        </w:rPr>
        <w:t>2 019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日和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日在中国证监会指定的创业板信息披露网站公告。</w:t>
      </w:r>
    </w:p>
    <w:p>
      <w:pPr>
        <w:pStyle w:val="Style26"/>
        <w:keepNext w:val="0"/>
        <w:keepLines w:val="0"/>
        <w:widowControl w:val="0"/>
        <w:shd w:val="clear" w:color="auto" w:fill="auto"/>
        <w:bidi w:val="0"/>
        <w:spacing w:before="0" w:after="0" w:line="313" w:lineRule="exact"/>
        <w:ind w:left="0" w:right="0" w:firstLine="0"/>
        <w:jc w:val="left"/>
      </w:pPr>
      <w:bookmarkStart w:id="424" w:name="bookmark424"/>
      <w:r>
        <w:rPr>
          <w:rFonts w:ascii="Times New Roman" w:eastAsia="Times New Roman" w:hAnsi="Times New Roman" w:cs="Times New Roman"/>
          <w:color w:val="000000"/>
          <w:spacing w:val="0"/>
          <w:w w:val="100"/>
          <w:position w:val="0"/>
        </w:rPr>
        <w:t>2</w:t>
      </w:r>
      <w:bookmarkEnd w:id="424"/>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日召开第五届董事会第五十五次会议，审议通过了《关于转让控股子公司部分股权的议案》，公司将 持有的润和智融</w:t>
      </w:r>
      <w:r>
        <w:rPr>
          <w:rFonts w:ascii="Times New Roman" w:eastAsia="Times New Roman" w:hAnsi="Times New Roman" w:cs="Times New Roman"/>
          <w:color w:val="000000"/>
          <w:spacing w:val="0"/>
          <w:w w:val="100"/>
          <w:position w:val="0"/>
        </w:rPr>
        <w:t>2,000.00</w:t>
      </w:r>
      <w:r>
        <w:rPr>
          <w:color w:val="000000"/>
          <w:spacing w:val="0"/>
          <w:w w:val="100"/>
          <w:position w:val="0"/>
        </w:rPr>
        <w:t>万元出资额所对应的</w:t>
      </w:r>
      <w:r>
        <w:rPr>
          <w:rFonts w:ascii="Times New Roman" w:eastAsia="Times New Roman" w:hAnsi="Times New Roman" w:cs="Times New Roman"/>
          <w:color w:val="000000"/>
          <w:spacing w:val="0"/>
          <w:w w:val="100"/>
          <w:position w:val="0"/>
        </w:rPr>
        <w:t>40%</w:t>
      </w:r>
      <w:r>
        <w:rPr>
          <w:color w:val="000000"/>
          <w:spacing w:val="0"/>
          <w:w w:val="100"/>
          <w:position w:val="0"/>
        </w:rPr>
        <w:t>股权转让给南京瑞思创科技有限公司（以下简称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瑞思创</w:t>
      </w:r>
      <w:r>
        <w:rPr>
          <w:rFonts w:ascii="Times New Roman" w:eastAsia="Times New Roman" w:hAnsi="Times New Roman" w:cs="Times New Roman"/>
          <w:color w:val="000000"/>
          <w:spacing w:val="0"/>
          <w:w w:val="100"/>
          <w:position w:val="0"/>
        </w:rPr>
        <w:t>”</w:t>
      </w:r>
      <w:r>
        <w:rPr>
          <w:color w:val="000000"/>
          <w:spacing w:val="0"/>
          <w:w w:val="100"/>
          <w:position w:val="0"/>
        </w:rPr>
        <w:t xml:space="preserve">），转让对价为 </w:t>
      </w:r>
      <w:r>
        <w:rPr>
          <w:rFonts w:ascii="Times New Roman" w:eastAsia="Times New Roman" w:hAnsi="Times New Roman" w:cs="Times New Roman"/>
          <w:color w:val="000000"/>
          <w:spacing w:val="0"/>
          <w:w w:val="100"/>
          <w:position w:val="0"/>
        </w:rPr>
        <w:t>400.00</w:t>
      </w:r>
      <w:r>
        <w:rPr>
          <w:color w:val="000000"/>
          <w:spacing w:val="0"/>
          <w:w w:val="100"/>
          <w:position w:val="0"/>
        </w:rPr>
        <w:t>万元人民币，且公司已认缴的但截至目前尚未向润和智融缴纳的出资额</w:t>
      </w:r>
      <w:r>
        <w:rPr>
          <w:rFonts w:ascii="Times New Roman" w:eastAsia="Times New Roman" w:hAnsi="Times New Roman" w:cs="Times New Roman"/>
          <w:color w:val="000000"/>
          <w:spacing w:val="0"/>
          <w:w w:val="100"/>
          <w:position w:val="0"/>
        </w:rPr>
        <w:t>1,600.00</w:t>
      </w:r>
      <w:r>
        <w:rPr>
          <w:color w:val="000000"/>
          <w:spacing w:val="0"/>
          <w:w w:val="100"/>
          <w:position w:val="0"/>
        </w:rPr>
        <w:t>万元的出资义务亦随本次股份转让而 转由瑞思创承接。本次交易完成后，公司持有润和智融</w:t>
      </w:r>
      <w:r>
        <w:rPr>
          <w:rFonts w:ascii="Times New Roman" w:eastAsia="Times New Roman" w:hAnsi="Times New Roman" w:cs="Times New Roman"/>
          <w:color w:val="000000"/>
          <w:spacing w:val="0"/>
          <w:w w:val="100"/>
          <w:position w:val="0"/>
        </w:rPr>
        <w:t>20%</w:t>
      </w:r>
      <w:r>
        <w:rPr>
          <w:color w:val="000000"/>
          <w:spacing w:val="0"/>
          <w:w w:val="100"/>
          <w:position w:val="0"/>
        </w:rPr>
        <w:t>的股权，润和智融将成为公司参股公司，不再纳入公司合并报表 范围。以上具体内容请详见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日在中国证监会指定的创业板信息披露网站公告。</w:t>
      </w:r>
    </w:p>
    <w:p>
      <w:pPr>
        <w:pStyle w:val="Style26"/>
        <w:keepNext w:val="0"/>
        <w:keepLines w:val="0"/>
        <w:widowControl w:val="0"/>
        <w:shd w:val="clear" w:color="auto" w:fill="auto"/>
        <w:tabs>
          <w:tab w:pos="298" w:val="left"/>
        </w:tabs>
        <w:bidi w:val="0"/>
        <w:spacing w:before="0" w:after="0" w:line="310" w:lineRule="exact"/>
        <w:ind w:left="0" w:right="0" w:firstLine="0"/>
        <w:jc w:val="left"/>
      </w:pPr>
      <w:bookmarkStart w:id="425" w:name="bookmark425"/>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公司全资子公司联创智融、捷科智诚、北京润和、上海润和、西安润和、控股子公司润和润云及全资孙公司上海捷科、 福州捷科分别对法定代表人进行了变更，全资子公司武汉宁润对法定代表人及注册地址进行了变更，控股子公司广州润和对 注册地址进行了变更，上述公司均已经完成了相关工商变更登记手续并取得了新的《营业执照》。以上具体内容请详见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sz w:val="22"/>
          <w:szCs w:val="22"/>
        </w:rPr>
        <w:t>0</w:t>
      </w:r>
      <w:r>
        <w:rPr>
          <w:color w:val="000000"/>
          <w:spacing w:val="0"/>
          <w:w w:val="100"/>
          <w:position w:val="0"/>
        </w:rPr>
        <w:t>在中国证监会指定的创业板信息披露网站公告。</w:t>
      </w:r>
    </w:p>
    <w:p>
      <w:pPr>
        <w:pStyle w:val="Style26"/>
        <w:keepNext w:val="0"/>
        <w:keepLines w:val="0"/>
        <w:widowControl w:val="0"/>
        <w:shd w:val="clear" w:color="auto" w:fill="auto"/>
        <w:tabs>
          <w:tab w:pos="294" w:val="left"/>
        </w:tabs>
        <w:bidi w:val="0"/>
        <w:spacing w:before="0" w:after="0" w:line="312" w:lineRule="exact"/>
        <w:ind w:left="0" w:right="0" w:firstLine="0"/>
        <w:jc w:val="left"/>
      </w:pPr>
      <w:bookmarkStart w:id="426" w:name="bookmark426"/>
      <w:r>
        <w:rPr>
          <w:rFonts w:ascii="Times New Roman" w:eastAsia="Times New Roman" w:hAnsi="Times New Roman" w:cs="Times New Roman"/>
          <w:color w:val="000000"/>
          <w:spacing w:val="0"/>
          <w:w w:val="100"/>
          <w:position w:val="0"/>
        </w:rPr>
        <w:t>4</w:t>
      </w:r>
      <w:bookmarkEnd w:id="426"/>
      <w:r>
        <w:rPr>
          <w:color w:val="000000"/>
          <w:spacing w:val="0"/>
          <w:w w:val="100"/>
          <w:position w:val="0"/>
        </w:rPr>
        <w:t>、</w:t>
        <w:tab/>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日召开的第六届董事会第五次会议、第六届监事会第四次会议以及于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 度股东大会分别审议通过了《关于公司及子公司</w:t>
      </w:r>
      <w:r>
        <w:rPr>
          <w:rFonts w:ascii="Times New Roman" w:eastAsia="Times New Roman" w:hAnsi="Times New Roman" w:cs="Times New Roman"/>
          <w:color w:val="000000"/>
          <w:spacing w:val="0"/>
          <w:w w:val="100"/>
          <w:position w:val="0"/>
        </w:rPr>
        <w:t>2020</w:t>
      </w:r>
      <w:r>
        <w:rPr>
          <w:color w:val="000000"/>
          <w:spacing w:val="0"/>
          <w:w w:val="100"/>
          <w:position w:val="0"/>
        </w:rPr>
        <w:t>年度向银行申请综合授信额度的议案》，为满足生产经营和发展的需要, 公司拟向中国农业银行股份有限公司南京城北支行申请人民币</w:t>
      </w:r>
      <w:r>
        <w:rPr>
          <w:rFonts w:ascii="Times New Roman" w:eastAsia="Times New Roman" w:hAnsi="Times New Roman" w:cs="Times New Roman"/>
          <w:color w:val="000000"/>
          <w:spacing w:val="0"/>
          <w:w w:val="100"/>
          <w:position w:val="0"/>
        </w:rPr>
        <w:t>5,000</w:t>
      </w:r>
      <w:r>
        <w:rPr>
          <w:color w:val="000000"/>
          <w:spacing w:val="0"/>
          <w:w w:val="100"/>
          <w:position w:val="0"/>
        </w:rPr>
        <w:t>万元的流动资金借款，上述流动资金借款事项在综合授 信额度内。公司全资子公司捷科智诚与中国农业银行股份有限公司南京城北支行于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日签署了《保证合同》，捷 科智诚拟为公司上述流动资金借款事项提供担保，担保方式为连带责任保证。上述担保事项已经捷科智诚董事会、股东审议 通过。以上具体内容请详见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sz w:val="22"/>
          <w:szCs w:val="22"/>
        </w:rPr>
        <w:t>0</w:t>
      </w:r>
      <w:r>
        <w:rPr>
          <w:color w:val="000000"/>
          <w:spacing w:val="0"/>
          <w:w w:val="100"/>
          <w:position w:val="0"/>
        </w:rPr>
        <w:t>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sz w:val="22"/>
          <w:szCs w:val="22"/>
        </w:rPr>
        <w:t>0</w:t>
      </w:r>
      <w:r>
        <w:rPr>
          <w:color w:val="000000"/>
          <w:spacing w:val="0"/>
          <w:w w:val="100"/>
          <w:position w:val="0"/>
        </w:rPr>
        <w:t>在中国证监会指定的创业板信息披露网站公告。</w:t>
      </w:r>
    </w:p>
    <w:p>
      <w:pPr>
        <w:pStyle w:val="Style26"/>
        <w:keepNext w:val="0"/>
        <w:keepLines w:val="0"/>
        <w:widowControl w:val="0"/>
        <w:shd w:val="clear" w:color="auto" w:fill="auto"/>
        <w:bidi w:val="0"/>
        <w:spacing w:before="0" w:after="40" w:line="312" w:lineRule="exact"/>
        <w:ind w:left="0" w:right="0" w:firstLine="0"/>
        <w:jc w:val="left"/>
      </w:pPr>
      <w:bookmarkStart w:id="427" w:name="bookmark427"/>
      <w:r>
        <w:rPr>
          <w:rFonts w:ascii="Times New Roman" w:eastAsia="Times New Roman" w:hAnsi="Times New Roman" w:cs="Times New Roman"/>
          <w:color w:val="000000"/>
          <w:spacing w:val="0"/>
          <w:w w:val="100"/>
          <w:position w:val="0"/>
        </w:rPr>
        <w:t>5</w:t>
      </w:r>
      <w:bookmarkEnd w:id="427"/>
      <w:r>
        <w:rPr>
          <w:color w:val="000000"/>
          <w:spacing w:val="0"/>
          <w:w w:val="100"/>
          <w:position w:val="0"/>
        </w:rPr>
        <w:t>、 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sz w:val="22"/>
          <w:szCs w:val="22"/>
        </w:rPr>
        <w:t>0</w:t>
      </w:r>
      <w:r>
        <w:rPr>
          <w:color w:val="000000"/>
          <w:spacing w:val="0"/>
          <w:w w:val="100"/>
          <w:position w:val="0"/>
        </w:rPr>
        <w:t>召开第六届董事会第十次会议，审议通过了《关于转让全资子公司股权暨增资北京太极华保科技 股份有限公司的议案》，公司将持有的菲耐得的</w:t>
      </w:r>
      <w:r>
        <w:rPr>
          <w:rFonts w:ascii="Times New Roman" w:eastAsia="Times New Roman" w:hAnsi="Times New Roman" w:cs="Times New Roman"/>
          <w:color w:val="000000"/>
          <w:spacing w:val="0"/>
          <w:w w:val="100"/>
          <w:position w:val="0"/>
        </w:rPr>
        <w:t>100.00%</w:t>
      </w:r>
      <w:r>
        <w:rPr>
          <w:color w:val="000000"/>
          <w:spacing w:val="0"/>
          <w:w w:val="100"/>
          <w:position w:val="0"/>
        </w:rPr>
        <w:t>股权转让给太极华保，转让对价为人民币</w:t>
      </w:r>
      <w:r>
        <w:rPr>
          <w:rFonts w:ascii="Times New Roman" w:eastAsia="Times New Roman" w:hAnsi="Times New Roman" w:cs="Times New Roman"/>
          <w:color w:val="000000"/>
          <w:spacing w:val="0"/>
          <w:w w:val="100"/>
          <w:position w:val="0"/>
        </w:rPr>
        <w:t>7,000.00</w:t>
      </w:r>
      <w:r>
        <w:rPr>
          <w:color w:val="000000"/>
          <w:spacing w:val="0"/>
          <w:w w:val="100"/>
          <w:position w:val="0"/>
        </w:rPr>
        <w:t>万元。本次交易 对价由太极华保以发行股份和现金相结合的方式支付。本次交易完成后，公司将不再直接持有菲耐得股权，菲耐得将不再纳 入公司合并报表范围；通过本次交易，公司将持有太极华保</w:t>
      </w:r>
      <w:r>
        <w:rPr>
          <w:rFonts w:ascii="Times New Roman" w:eastAsia="Times New Roman" w:hAnsi="Times New Roman" w:cs="Times New Roman"/>
          <w:color w:val="000000"/>
          <w:spacing w:val="0"/>
          <w:w w:val="100"/>
          <w:position w:val="0"/>
        </w:rPr>
        <w:t>6,650,000</w:t>
      </w:r>
      <w:r>
        <w:rPr>
          <w:color w:val="000000"/>
          <w:spacing w:val="0"/>
          <w:w w:val="100"/>
          <w:position w:val="0"/>
        </w:rPr>
        <w:t>股股份，太极华保将成为公司的参股公司。以上具体 内容请详见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sz w:val="22"/>
          <w:szCs w:val="22"/>
        </w:rPr>
        <w:t>0</w:t>
      </w:r>
      <w:r>
        <w:rPr>
          <w:color w:val="000000"/>
          <w:spacing w:val="0"/>
          <w:w w:val="100"/>
          <w:position w:val="0"/>
        </w:rPr>
        <w:t xml:space="preserve">在中国证监会指定的创业板信息披露网站披露的相关公告。截止目前，公司 </w:t>
      </w:r>
      <w:r>
        <w:rPr>
          <w:color w:val="000000"/>
          <w:spacing w:val="0"/>
          <w:w w:val="100"/>
          <w:position w:val="0"/>
        </w:rPr>
        <w:t>已经完成菲耐得股权转让的手续，公司持有太极华保</w:t>
      </w:r>
      <w:r>
        <w:rPr>
          <w:rFonts w:ascii="Times New Roman" w:eastAsia="Times New Roman" w:hAnsi="Times New Roman" w:cs="Times New Roman"/>
          <w:color w:val="000000"/>
          <w:spacing w:val="0"/>
          <w:w w:val="100"/>
          <w:position w:val="0"/>
        </w:rPr>
        <w:t>11.2712%</w:t>
      </w:r>
      <w:r>
        <w:rPr>
          <w:color w:val="000000"/>
          <w:spacing w:val="0"/>
          <w:w w:val="100"/>
          <w:position w:val="0"/>
        </w:rPr>
        <w:t>的股权。</w:t>
      </w:r>
    </w:p>
    <w:p>
      <w:pPr>
        <w:pStyle w:val="Style26"/>
        <w:keepNext w:val="0"/>
        <w:keepLines w:val="0"/>
        <w:widowControl w:val="0"/>
        <w:shd w:val="clear" w:color="auto" w:fill="auto"/>
        <w:bidi w:val="0"/>
        <w:spacing w:before="0" w:after="0" w:line="311" w:lineRule="exact"/>
        <w:ind w:left="0" w:right="0" w:firstLine="0"/>
        <w:jc w:val="both"/>
      </w:pPr>
      <w:bookmarkStart w:id="428" w:name="bookmark428"/>
      <w:r>
        <w:rPr>
          <w:rFonts w:ascii="Times New Roman" w:eastAsia="Times New Roman" w:hAnsi="Times New Roman" w:cs="Times New Roman"/>
          <w:color w:val="000000"/>
          <w:spacing w:val="0"/>
          <w:w w:val="100"/>
          <w:position w:val="0"/>
        </w:rPr>
        <w:t>6</w:t>
      </w:r>
      <w:bookmarkEnd w:id="428"/>
      <w:r>
        <w:rPr>
          <w:color w:val="000000"/>
          <w:spacing w:val="0"/>
          <w:w w:val="100"/>
          <w:position w:val="0"/>
        </w:rPr>
        <w:t>、捷科智诚做出股东会决议，经容诚会计师事务所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审计，捷科智诚</w:t>
      </w:r>
      <w:r>
        <w:rPr>
          <w:rFonts w:ascii="Times New Roman" w:eastAsia="Times New Roman" w:hAnsi="Times New Roman" w:cs="Times New Roman"/>
          <w:color w:val="000000"/>
          <w:spacing w:val="0"/>
          <w:w w:val="100"/>
          <w:position w:val="0"/>
        </w:rPr>
        <w:t>2019</w:t>
      </w:r>
      <w:r>
        <w:rPr>
          <w:color w:val="000000"/>
          <w:spacing w:val="0"/>
          <w:w w:val="100"/>
          <w:position w:val="0"/>
        </w:rPr>
        <w:t>年度年末未分配利润为</w:t>
      </w:r>
      <w:r>
        <w:rPr>
          <w:rFonts w:ascii="Times New Roman" w:eastAsia="Times New Roman" w:hAnsi="Times New Roman" w:cs="Times New Roman"/>
          <w:color w:val="000000"/>
          <w:spacing w:val="0"/>
          <w:w w:val="100"/>
          <w:position w:val="0"/>
        </w:rPr>
        <w:t xml:space="preserve">147,475,502.67 </w:t>
      </w:r>
      <w:r>
        <w:rPr>
          <w:color w:val="000000"/>
          <w:spacing w:val="0"/>
          <w:w w:val="100"/>
          <w:position w:val="0"/>
        </w:rPr>
        <w:t>元。根据捷科智诚公司章程的规定，决定将捷科智诚</w:t>
      </w:r>
      <w:r>
        <w:rPr>
          <w:rFonts w:ascii="Times New Roman" w:eastAsia="Times New Roman" w:hAnsi="Times New Roman" w:cs="Times New Roman"/>
          <w:color w:val="000000"/>
          <w:spacing w:val="0"/>
          <w:w w:val="100"/>
          <w:position w:val="0"/>
        </w:rPr>
        <w:t>2019</w:t>
      </w:r>
      <w:r>
        <w:rPr>
          <w:color w:val="000000"/>
          <w:spacing w:val="0"/>
          <w:w w:val="100"/>
          <w:position w:val="0"/>
        </w:rPr>
        <w:t>年度末累计未分配利润进行分配，同意以现金方式将未分配利润中 的</w:t>
      </w:r>
      <w:r>
        <w:rPr>
          <w:rFonts w:ascii="Times New Roman" w:eastAsia="Times New Roman" w:hAnsi="Times New Roman" w:cs="Times New Roman"/>
          <w:color w:val="000000"/>
          <w:spacing w:val="0"/>
          <w:w w:val="100"/>
          <w:position w:val="0"/>
        </w:rPr>
        <w:t>50,000,000.00</w:t>
      </w:r>
      <w:r>
        <w:rPr>
          <w:color w:val="000000"/>
          <w:spacing w:val="0"/>
          <w:w w:val="100"/>
          <w:position w:val="0"/>
        </w:rPr>
        <w:t>元分配给股东润和软件，占捷科智诚</w:t>
      </w:r>
      <w:r>
        <w:rPr>
          <w:rFonts w:ascii="Times New Roman" w:eastAsia="Times New Roman" w:hAnsi="Times New Roman" w:cs="Times New Roman"/>
          <w:color w:val="000000"/>
          <w:spacing w:val="0"/>
          <w:w w:val="100"/>
          <w:position w:val="0"/>
        </w:rPr>
        <w:t>2019</w:t>
      </w:r>
      <w:r>
        <w:rPr>
          <w:color w:val="000000"/>
          <w:spacing w:val="0"/>
          <w:w w:val="100"/>
          <w:position w:val="0"/>
        </w:rPr>
        <w:t>年度年末经审计可分配利润的</w:t>
      </w:r>
      <w:r>
        <w:rPr>
          <w:rFonts w:ascii="Times New Roman" w:eastAsia="Times New Roman" w:hAnsi="Times New Roman" w:cs="Times New Roman"/>
          <w:color w:val="000000"/>
          <w:spacing w:val="0"/>
          <w:w w:val="100"/>
          <w:position w:val="0"/>
        </w:rPr>
        <w:t>33.90%</w:t>
      </w:r>
      <w:r>
        <w:rPr>
          <w:color w:val="000000"/>
          <w:spacing w:val="0"/>
          <w:w w:val="100"/>
          <w:position w:val="0"/>
        </w:rPr>
        <w:t>。本次利润分配后，捷科智诚 剩余未分配利润结转以后年度分配。公司已于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日收到捷科智诚现金分红款共计</w:t>
      </w:r>
      <w:r>
        <w:rPr>
          <w:rFonts w:ascii="Times New Roman" w:eastAsia="Times New Roman" w:hAnsi="Times New Roman" w:cs="Times New Roman"/>
          <w:color w:val="000000"/>
          <w:spacing w:val="0"/>
          <w:w w:val="100"/>
          <w:position w:val="0"/>
        </w:rPr>
        <w:t>50,000,000.00</w:t>
      </w:r>
      <w:r>
        <w:rPr>
          <w:color w:val="000000"/>
          <w:spacing w:val="0"/>
          <w:w w:val="100"/>
          <w:position w:val="0"/>
        </w:rPr>
        <w:t>元。以上具体内容 请详见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日在中国证监会指定的创业板信息披露网站披露的相关公告。</w:t>
      </w:r>
      <w:r>
        <w:br w:type="page"/>
      </w:r>
    </w:p>
    <w:p>
      <w:pPr>
        <w:pStyle w:val="Style13"/>
        <w:keepNext/>
        <w:keepLines/>
        <w:widowControl w:val="0"/>
        <w:shd w:val="clear" w:color="auto" w:fill="auto"/>
        <w:bidi w:val="0"/>
        <w:spacing w:before="0" w:line="240" w:lineRule="auto"/>
        <w:ind w:left="0" w:right="0" w:firstLine="0"/>
        <w:jc w:val="center"/>
      </w:pPr>
      <w:bookmarkStart w:id="429" w:name="bookmark429"/>
      <w:bookmarkStart w:id="430" w:name="bookmark430"/>
      <w:bookmarkStart w:id="431" w:name="bookmark431"/>
      <w:r>
        <w:rPr>
          <w:color w:val="000000"/>
          <w:spacing w:val="0"/>
          <w:w w:val="100"/>
          <w:position w:val="0"/>
        </w:rPr>
        <w:t>第六节股份变动及股东情况</w:t>
      </w:r>
      <w:bookmarkEnd w:id="429"/>
      <w:bookmarkEnd w:id="430"/>
      <w:bookmarkEnd w:id="431"/>
    </w:p>
    <w:p>
      <w:pPr>
        <w:pStyle w:val="Style24"/>
        <w:keepNext/>
        <w:keepLines/>
        <w:widowControl w:val="0"/>
        <w:shd w:val="clear" w:color="auto" w:fill="auto"/>
        <w:bidi w:val="0"/>
        <w:spacing w:before="0" w:after="360" w:line="240" w:lineRule="auto"/>
        <w:ind w:left="0" w:right="0" w:firstLine="0"/>
        <w:jc w:val="both"/>
      </w:pPr>
      <w:bookmarkStart w:id="432" w:name="bookmark432"/>
      <w:bookmarkStart w:id="433" w:name="bookmark433"/>
      <w:bookmarkStart w:id="434" w:name="bookmark434"/>
      <w:bookmarkStart w:id="435" w:name="bookmark435"/>
      <w:bookmarkStart w:id="436" w:name="bookmark436"/>
      <w:r>
        <w:rPr>
          <w:color w:val="000000"/>
          <w:spacing w:val="0"/>
          <w:w w:val="100"/>
          <w:position w:val="0"/>
          <w:sz w:val="24"/>
          <w:szCs w:val="24"/>
        </w:rPr>
        <w:t>一</w:t>
      </w:r>
      <w:bookmarkEnd w:id="435"/>
      <w:r>
        <w:rPr>
          <w:color w:val="000000"/>
          <w:spacing w:val="0"/>
          <w:w w:val="100"/>
          <w:position w:val="0"/>
          <w:sz w:val="24"/>
          <w:szCs w:val="24"/>
        </w:rPr>
        <w:t>、股份变动情况</w:t>
      </w:r>
      <w:bookmarkEnd w:id="433"/>
      <w:bookmarkEnd w:id="434"/>
      <w:bookmarkEnd w:id="436"/>
      <w:bookmarkEnd w:id="432"/>
    </w:p>
    <w:p>
      <w:pPr>
        <w:pStyle w:val="Style30"/>
        <w:keepNext/>
        <w:keepLines/>
        <w:widowControl w:val="0"/>
        <w:shd w:val="clear" w:color="auto" w:fill="auto"/>
        <w:bidi w:val="0"/>
        <w:spacing w:before="0" w:line="240" w:lineRule="auto"/>
        <w:ind w:left="0" w:right="0" w:firstLine="0"/>
        <w:jc w:val="both"/>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、股份变动情况</w:t>
      </w:r>
      <w:bookmarkEnd w:id="437"/>
      <w:bookmarkEnd w:id="438"/>
      <w:bookmarkEnd w:id="44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49,099,09</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49,099,09</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49,099,09</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24,947,59</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747,311,7</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771,463,2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747,311,7</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24,151,50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771,463,2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796,410,8</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796,410,8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40" w:line="310" w:lineRule="exact"/>
        <w:ind w:left="0" w:right="0" w:firstLine="360"/>
        <w:jc w:val="both"/>
      </w:pPr>
      <w:r>
        <w:rPr>
          <w:color w:val="000000"/>
          <w:spacing w:val="0"/>
          <w:w w:val="100"/>
          <w:position w:val="0"/>
        </w:rPr>
        <w:t>报告期内，公司有限售条件股份数量减少，无限售条件股份数量增加，原因为：（</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月，公司董事会换届选举, 姚宁先生、邵峰先生不再担任公司董监高职务，高管锁定股自离任之日起</w:t>
      </w:r>
      <w:r>
        <w:rPr>
          <w:rFonts w:ascii="Times New Roman" w:eastAsia="Times New Roman" w:hAnsi="Times New Roman" w:cs="Times New Roman"/>
          <w:color w:val="000000"/>
          <w:spacing w:val="0"/>
          <w:w w:val="100"/>
          <w:position w:val="0"/>
        </w:rPr>
        <w:t>6</w:t>
      </w:r>
      <w:r>
        <w:rPr>
          <w:color w:val="000000"/>
          <w:spacing w:val="0"/>
          <w:w w:val="100"/>
          <w:position w:val="0"/>
        </w:rPr>
        <w:t>个月内锁定，截至报告期末，姚宁先生、邵峰先 生所持限售股全部解除锁定。（</w:t>
      </w:r>
      <w:r>
        <w:rPr>
          <w:rFonts w:ascii="Times New Roman" w:eastAsia="Times New Roman" w:hAnsi="Times New Roman" w:cs="Times New Roman"/>
          <w:color w:val="000000"/>
          <w:spacing w:val="0"/>
          <w:w w:val="100"/>
          <w:position w:val="0"/>
        </w:rPr>
        <w:t>2</w:t>
      </w:r>
      <w:r>
        <w:rPr>
          <w:color w:val="000000"/>
          <w:spacing w:val="0"/>
          <w:w w:val="100"/>
          <w:position w:val="0"/>
        </w:rPr>
        <w:t>）在公司担任董事长及总裁的周红卫先生，高管锁定股每年初按上年末持股数量的</w:t>
      </w:r>
      <w:r>
        <w:rPr>
          <w:rFonts w:ascii="Times New Roman" w:eastAsia="Times New Roman" w:hAnsi="Times New Roman" w:cs="Times New Roman"/>
          <w:color w:val="000000"/>
          <w:spacing w:val="0"/>
          <w:w w:val="100"/>
          <w:position w:val="0"/>
        </w:rPr>
        <w:t>25%</w:t>
      </w:r>
      <w:r>
        <w:rPr>
          <w:color w:val="000000"/>
          <w:spacing w:val="0"/>
          <w:w w:val="100"/>
          <w:position w:val="0"/>
        </w:rPr>
        <w:t xml:space="preserve">解 </w:t>
      </w:r>
      <w:r>
        <w:rPr>
          <w:color w:val="000000"/>
          <w:spacing w:val="0"/>
          <w:w w:val="100"/>
          <w:position w:val="0"/>
        </w:rPr>
        <w:t>锁。</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、限售股份变动情况</w:t>
      </w:r>
      <w:bookmarkEnd w:id="441"/>
      <w:bookmarkEnd w:id="442"/>
      <w:bookmarkEnd w:id="444"/>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33,181,549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高管锁定股每 年初按上年末 持股数量的 </w:t>
            </w:r>
            <w:r>
              <w:rPr>
                <w:rFonts w:ascii="Times New Roman" w:eastAsia="Times New Roman" w:hAnsi="Times New Roman" w:cs="Times New Roman"/>
                <w:color w:val="000000"/>
                <w:spacing w:val="0"/>
                <w:w w:val="100"/>
                <w:position w:val="0"/>
              </w:rPr>
              <w:t>25%</w:t>
            </w:r>
            <w:r>
              <w:rPr>
                <w:color w:val="000000"/>
                <w:spacing w:val="0"/>
                <w:w w:val="100"/>
                <w:position w:val="0"/>
              </w:rPr>
              <w:t>解锁。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15,688,500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15,688,500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高管锁定股每 年初按上年末 持股数量的 </w:t>
            </w:r>
            <w:r>
              <w:rPr>
                <w:rFonts w:ascii="Times New Roman" w:eastAsia="Times New Roman" w:hAnsi="Times New Roman" w:cs="Times New Roman"/>
                <w:color w:val="000000"/>
                <w:spacing w:val="0"/>
                <w:w w:val="100"/>
                <w:position w:val="0"/>
              </w:rPr>
              <w:t>25%</w:t>
            </w:r>
            <w:r>
              <w:rPr>
                <w:color w:val="000000"/>
                <w:spacing w:val="0"/>
                <w:w w:val="100"/>
                <w:position w:val="0"/>
              </w:rPr>
              <w:t>解锁。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49,099,099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24,151,500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24,947,599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445" w:name="bookmark445"/>
      <w:bookmarkStart w:id="446" w:name="bookmark446"/>
      <w:bookmarkStart w:id="447" w:name="bookmark447"/>
      <w:bookmarkStart w:id="448" w:name="bookmark448"/>
      <w:r>
        <w:rPr>
          <w:color w:val="000000"/>
          <w:spacing w:val="0"/>
          <w:w w:val="100"/>
          <w:position w:val="0"/>
          <w:sz w:val="24"/>
          <w:szCs w:val="24"/>
        </w:rPr>
        <w:t>二</w:t>
      </w:r>
      <w:bookmarkEnd w:id="447"/>
      <w:r>
        <w:rPr>
          <w:color w:val="000000"/>
          <w:spacing w:val="0"/>
          <w:w w:val="100"/>
          <w:position w:val="0"/>
          <w:sz w:val="24"/>
          <w:szCs w:val="24"/>
        </w:rPr>
        <w:t>、证券发行与上市情况</w:t>
      </w:r>
      <w:bookmarkEnd w:id="445"/>
      <w:bookmarkEnd w:id="446"/>
      <w:bookmarkEnd w:id="448"/>
    </w:p>
    <w:p>
      <w:pPr>
        <w:pStyle w:val="Style30"/>
        <w:keepNext/>
        <w:keepLines/>
        <w:widowControl w:val="0"/>
        <w:shd w:val="clear" w:color="auto" w:fill="auto"/>
        <w:bidi w:val="0"/>
        <w:spacing w:before="0" w:line="240" w:lineRule="auto"/>
        <w:ind w:left="0" w:right="0" w:firstLine="0"/>
        <w:jc w:val="both"/>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1</w:t>
      </w:r>
      <w:bookmarkEnd w:id="451"/>
      <w:r>
        <w:rPr>
          <w:color w:val="000000"/>
          <w:spacing w:val="0"/>
          <w:w w:val="100"/>
          <w:position w:val="0"/>
        </w:rPr>
        <w:t>、报告期内证券发行（不含优先股）情况</w:t>
      </w:r>
      <w:bookmarkEnd w:id="449"/>
      <w:bookmarkEnd w:id="450"/>
      <w:bookmarkEnd w:id="452"/>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2</w:t>
      </w:r>
      <w:bookmarkEnd w:id="455"/>
      <w:r>
        <w:rPr>
          <w:color w:val="000000"/>
          <w:spacing w:val="0"/>
          <w:w w:val="100"/>
          <w:position w:val="0"/>
        </w:rPr>
        <w:t>、</w:t>
        <w:tab/>
        <w:t>公司股份总数及股东结构的变动、公司资产和负债结构的变动情况说明</w:t>
      </w:r>
      <w:bookmarkEnd w:id="453"/>
      <w:bookmarkEnd w:id="454"/>
      <w:bookmarkEnd w:id="456"/>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现存的内部职工股情况</w:t>
      </w:r>
      <w:bookmarkEnd w:id="457"/>
      <w:bookmarkEnd w:id="458"/>
      <w:bookmarkEnd w:id="46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、股东和实际控制人情况</w:t>
      </w:r>
      <w:bookmarkEnd w:id="461"/>
      <w:bookmarkEnd w:id="462"/>
      <w:bookmarkEnd w:id="464"/>
    </w:p>
    <w:p>
      <w:pPr>
        <w:pStyle w:val="Style30"/>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931"/>
        <w:gridCol w:w="1061"/>
        <w:gridCol w:w="1066"/>
        <w:gridCol w:w="1061"/>
        <w:gridCol w:w="926"/>
        <w:gridCol w:w="1070"/>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60,898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56,792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 投资集团有限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47,131,019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-44,166,666.0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47,131,019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46,400,000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南京国资混改 基金有限公司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服务贸易创新 发展引导基金</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上海云鑫创业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39,820,500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39,820,500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33,242,066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8,310,517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江苏润和软件 股份有限公司 回购专用证券 账户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16,486,289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16,486,289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15,918,000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香港中央结算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8,964,573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-4,417,302.00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8,964,573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宁波宏创股权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7,283,723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-12,733,477.0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7,283,723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bl>
    <w:p>
      <w:pPr>
        <w:widowControl w:val="0"/>
        <w:spacing w:line="1" w:lineRule="exact"/>
      </w:pP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中国国际金融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-2,592,769.00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4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周红卫、姚宁共同持有江苏润和科技投资集团有限公司</w:t>
            </w:r>
            <w:r>
              <w:rPr>
                <w:rFonts w:ascii="Times New Roman" w:eastAsia="Times New Roman" w:hAnsi="Times New Roman" w:cs="Times New Roman"/>
                <w:color w:val="000000"/>
                <w:spacing w:val="0"/>
                <w:w w:val="100"/>
                <w:position w:val="0"/>
              </w:rPr>
              <w:t>76.80%</w:t>
            </w:r>
            <w:r>
              <w:rPr>
                <w:color w:val="000000"/>
                <w:spacing w:val="0"/>
                <w:w w:val="100"/>
                <w:position w:val="0"/>
              </w:rPr>
              <w:t>的股份，为保障公司的持续 稳定运营，保障双方在公司股东大会、董事会的一致表决，维持对公司的共同控制，周红卫 和姚宁于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日续签了《一致行动人协议》，双方将继续作为一致行动人，共同 掌握公司的实际控制权，暨为公司的实际控制人。除此之外，公司未知其他股东是否存在关 联关系或一致行动人的关系。</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江苏润和科技投资集团有限公 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47,131,019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47,131,019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南京国资混改基金有限公司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服务贸易创新发展引导基金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上海云鑫创业投资有限公司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39,820,500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39,820,500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江苏润和软件股份有限公司回 购专用证券账户</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16,486,289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16,486,289</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姚宁</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both"/>
            </w:pPr>
            <w:r>
              <w:rPr>
                <w:rFonts w:ascii="Times New Roman" w:eastAsia="Times New Roman" w:hAnsi="Times New Roman" w:cs="Times New Roman"/>
                <w:color w:val="000000"/>
                <w:spacing w:val="0"/>
                <w:w w:val="100"/>
                <w:position w:val="0"/>
              </w:rPr>
              <w:t>15,918,000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15,918,000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8,964,573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8,964,573</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8,310,517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8,310,517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宁波宏创股权投资合伙企业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7,283,723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7,283,723</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pPr>
            <w:r>
              <w:rPr>
                <w:rFonts w:ascii="Times New Roman" w:eastAsia="Times New Roman" w:hAnsi="Times New Roman" w:cs="Times New Roman"/>
                <w:color w:val="000000"/>
                <w:spacing w:val="0"/>
                <w:w w:val="100"/>
                <w:position w:val="0"/>
              </w:rPr>
              <w:t>6,924,300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6,924,300</w:t>
            </w:r>
          </w:p>
        </w:tc>
      </w:tr>
      <w:tr>
        <w:trPr>
          <w:trHeight w:val="68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周红卫、姚宁共同持有江苏润和科技投资集团有限公司</w:t>
            </w:r>
            <w:r>
              <w:rPr>
                <w:rFonts w:ascii="Times New Roman" w:eastAsia="Times New Roman" w:hAnsi="Times New Roman" w:cs="Times New Roman"/>
                <w:color w:val="000000"/>
                <w:spacing w:val="0"/>
                <w:w w:val="100"/>
                <w:position w:val="0"/>
              </w:rPr>
              <w:t>76.80%</w:t>
            </w:r>
            <w:r>
              <w:rPr>
                <w:color w:val="000000"/>
                <w:spacing w:val="0"/>
                <w:w w:val="100"/>
                <w:position w:val="0"/>
              </w:rPr>
              <w:t>的股份，为保障公司的持续 稳定运营，保障双方在公司股东大会、董事会的一致表决，维持对公司的共同控制，周红卫</w:t>
            </w:r>
          </w:p>
        </w:tc>
      </w:tr>
    </w:tbl>
    <w:p>
      <w:pPr>
        <w:widowControl w:val="0"/>
        <w:spacing w:line="1" w:lineRule="exact"/>
      </w:pPr>
      <w:r>
        <w:br w:type="page"/>
      </w:r>
    </w:p>
    <w:tbl>
      <w:tblPr>
        <w:tblOverlap w:val="never"/>
        <w:jc w:val="center"/>
        <w:tblLayout w:type="fixed"/>
      </w:tblPr>
      <w:tblGrid>
        <w:gridCol w:w="2405"/>
        <w:gridCol w:w="7181"/>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 关系或一致行动的说明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和姚宁于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日续签了《一致行动人协议》，双方将继续作为一致行动人，共同 掌握公司的实际控制权，暨为公司的实际控制人。除此之外，公司未知其他股东是否存在关 联关系或一致行动人的关系。</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570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913201006946478016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实业投资；投资管理；预包 装食品兼散装食品、日用百 货批发与零售；初级农产品 初加工及销售；电子产品、 建材销售；电子产品技术研 发；电子产品加工；建筑工 程设计、施工；自营和代理 各类商品及技术的进出口业 务（国家限定公司经营或禁 止进出口的商品和技术除 外）。（依法须经批准的项目， 经相关部门批准后方可开展 经营活动）一般项目：有色 金属合金销售；高性能有色 金属及合金材料销售；金属 材料销售（除依法须经批准 的项目外，凭营业执照依法 自主开展经营活动）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30"/>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、公司实际控制人及其一致行动人</w:t>
      </w:r>
      <w:bookmarkEnd w:id="473"/>
      <w:bookmarkEnd w:id="474"/>
      <w:bookmarkEnd w:id="47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0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周红卫：</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月担任润和软件总裁，</w:t>
            </w:r>
            <w:r>
              <w:rPr>
                <w:rFonts w:ascii="Times New Roman" w:eastAsia="Times New Roman" w:hAnsi="Times New Roman" w:cs="Times New Roman"/>
                <w:color w:val="000000"/>
                <w:spacing w:val="0"/>
                <w:w w:val="100"/>
                <w:position w:val="0"/>
              </w:rPr>
              <w:t>2006</w:t>
            </w:r>
            <w:r>
              <w:rPr>
                <w:color w:val="000000"/>
                <w:spacing w:val="0"/>
                <w:w w:val="100"/>
                <w:position w:val="0"/>
              </w:rPr>
              <w:t>年至今担任润和软件董事长，</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月至今担任润和软件总裁。</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姚宁：</w:t>
            </w:r>
            <w:r>
              <w:rPr>
                <w:rFonts w:ascii="Times New Roman" w:eastAsia="Times New Roman" w:hAnsi="Times New Roman" w:cs="Times New Roman"/>
                <w:color w:val="000000"/>
                <w:spacing w:val="0"/>
                <w:w w:val="100"/>
                <w:position w:val="0"/>
              </w:rPr>
              <w:t>2006</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月历任润和软件董事、高级副总裁、副董事长。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676015" cy="170053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3676015" cy="1700530"/>
                    </a:xfrm>
                    <a:prstGeom prst="rect"/>
                  </pic:spPr>
                </pic:pic>
              </a:graphicData>
            </a:graphic>
          </wp:inline>
        </w:drawing>
      </w:r>
    </w:p>
    <w:p>
      <w:pPr>
        <w:widowControl w:val="0"/>
        <w:spacing w:after="2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26"/>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2714625</wp:posOffset>
                </wp:positionH>
                <wp:positionV relativeFrom="paragraph">
                  <wp:posOffset>0</wp:posOffset>
                </wp:positionV>
                <wp:extent cx="2170430" cy="247015"/>
                <wp:wrapTopAndBottom/>
                <wp:docPr id="16" name="Shape 16"/>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312" w:name="bookmark312"/>
                            <w:bookmarkStart w:id="313" w:name="bookmark313"/>
                            <w:bookmarkStart w:id="314" w:name="bookmark314"/>
                            <w:r>
                              <w:rPr>
                                <w:color w:val="000000"/>
                                <w:spacing w:val="0"/>
                                <w:w w:val="100"/>
                                <w:position w:val="0"/>
                              </w:rPr>
                              <w:t>第七节优先股相关情况</w:t>
                            </w:r>
                            <w:bookmarkEnd w:id="312"/>
                            <w:bookmarkEnd w:id="313"/>
                            <w:bookmarkEnd w:id="314"/>
                          </w:p>
                        </w:txbxContent>
                      </wps:txbx>
                      <wps:bodyPr wrap="none" lIns="0" tIns="0" rIns="0" bIns="0">
                        <a:noAutoFit/>
                      </wps:bodyPr>
                    </wps:wsp>
                  </a:graphicData>
                </a:graphic>
              </wp:anchor>
            </w:drawing>
          </mc:Choice>
          <mc:Fallback>
            <w:pict>
              <v:shape id="_x0000_s1042" type="#_x0000_t202" style="position:absolute;margin-left:213.75pt;margin-top:0;width:170.90000000000001pt;height:19.449999999999999pt;z-index:-125829373;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312" w:name="bookmark312"/>
                      <w:bookmarkStart w:id="313" w:name="bookmark313"/>
                      <w:bookmarkStart w:id="314" w:name="bookmark314"/>
                      <w:r>
                        <w:rPr>
                          <w:color w:val="000000"/>
                          <w:spacing w:val="0"/>
                          <w:w w:val="100"/>
                          <w:position w:val="0"/>
                        </w:rPr>
                        <w:t>第七节优先股相关情况</w:t>
                      </w:r>
                      <w:bookmarkEnd w:id="312"/>
                      <w:bookmarkEnd w:id="313"/>
                      <w:bookmarkEnd w:id="314"/>
                    </w:p>
                  </w:txbxContent>
                </v:textbox>
                <w10:wrap type="topAndBottom" anchorx="page"/>
              </v:shape>
            </w:pict>
          </mc:Fallback>
        </mc:AlternateContent>
      </w:r>
    </w:p>
    <w:p>
      <w:pPr>
        <w:pStyle w:val="Style26"/>
        <w:keepNext w:val="0"/>
        <w:keepLines w:val="0"/>
        <w:widowControl w:val="0"/>
        <w:shd w:val="clear" w:color="auto" w:fill="auto"/>
        <w:bidi w:val="0"/>
        <w:spacing w:before="0" w:after="120" w:line="240" w:lineRule="auto"/>
        <w:ind w:left="0" w:right="0" w:firstLine="0"/>
        <w:jc w:val="left"/>
      </w:pPr>
      <w:bookmarkStart w:id="485" w:name="bookmark48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85"/>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88" w:right="1068" w:bottom="1465" w:left="1049"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580" w:after="560" w:line="240" w:lineRule="auto"/>
        <w:ind w:left="0" w:right="0" w:firstLine="0"/>
        <w:jc w:val="center"/>
      </w:pPr>
      <w:bookmarkStart w:id="486" w:name="bookmark486"/>
      <w:bookmarkStart w:id="487" w:name="bookmark487"/>
      <w:bookmarkStart w:id="488" w:name="bookmark488"/>
      <w:r>
        <w:rPr>
          <w:color w:val="000000"/>
          <w:spacing w:val="0"/>
          <w:w w:val="100"/>
          <w:position w:val="0"/>
        </w:rPr>
        <w:t>第八节可转换公司债券相关情况</w:t>
      </w:r>
      <w:bookmarkEnd w:id="486"/>
      <w:bookmarkEnd w:id="487"/>
      <w:bookmarkEnd w:id="488"/>
    </w:p>
    <w:p>
      <w:pPr>
        <w:pStyle w:val="Style26"/>
        <w:keepNext w:val="0"/>
        <w:keepLines w:val="0"/>
        <w:widowControl w:val="0"/>
        <w:shd w:val="clear" w:color="auto" w:fill="auto"/>
        <w:bidi w:val="0"/>
        <w:spacing w:before="0" w:after="120" w:line="240" w:lineRule="auto"/>
        <w:ind w:left="0" w:right="0" w:firstLine="0"/>
        <w:jc w:val="left"/>
      </w:pPr>
      <w:bookmarkStart w:id="489" w:name="bookmark48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489"/>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3"/>
        <w:keepNext/>
        <w:keepLines/>
        <w:widowControl w:val="0"/>
        <w:shd w:val="clear" w:color="auto" w:fill="auto"/>
        <w:bidi w:val="0"/>
        <w:spacing w:before="0" w:line="240" w:lineRule="auto"/>
        <w:ind w:left="0" w:right="0" w:firstLine="0"/>
        <w:jc w:val="center"/>
      </w:pPr>
      <w:bookmarkStart w:id="490" w:name="bookmark490"/>
      <w:bookmarkStart w:id="491" w:name="bookmark491"/>
      <w:bookmarkStart w:id="492" w:name="bookmark492"/>
      <w:r>
        <w:rPr>
          <w:color w:val="000000"/>
          <w:spacing w:val="0"/>
          <w:w w:val="100"/>
          <w:position w:val="0"/>
        </w:rPr>
        <w:t>第九节董事、监事、高级管理人员和员工情况</w:t>
      </w:r>
      <w:bookmarkEnd w:id="490"/>
      <w:bookmarkEnd w:id="491"/>
      <w:bookmarkEnd w:id="492"/>
    </w:p>
    <w:p>
      <w:pPr>
        <w:pStyle w:val="Style24"/>
        <w:keepNext/>
        <w:keepLines/>
        <w:widowControl w:val="0"/>
        <w:shd w:val="clear" w:color="auto" w:fill="auto"/>
        <w:bidi w:val="0"/>
        <w:spacing w:before="0" w:after="300" w:line="240" w:lineRule="auto"/>
        <w:ind w:left="0" w:right="0" w:firstLine="0"/>
        <w:jc w:val="left"/>
      </w:pPr>
      <w:bookmarkStart w:id="493" w:name="bookmark493"/>
      <w:bookmarkStart w:id="494" w:name="bookmark494"/>
      <w:bookmarkStart w:id="495" w:name="bookmark495"/>
      <w:bookmarkStart w:id="496" w:name="bookmark496"/>
      <w:bookmarkStart w:id="497" w:name="bookmark497"/>
      <w:r>
        <w:rPr>
          <w:color w:val="000000"/>
          <w:spacing w:val="0"/>
          <w:w w:val="100"/>
          <w:position w:val="0"/>
          <w:sz w:val="24"/>
          <w:szCs w:val="24"/>
        </w:rPr>
        <w:t>一</w:t>
      </w:r>
      <w:bookmarkEnd w:id="496"/>
      <w:r>
        <w:rPr>
          <w:color w:val="000000"/>
          <w:spacing w:val="0"/>
          <w:w w:val="100"/>
          <w:position w:val="0"/>
          <w:sz w:val="24"/>
          <w:szCs w:val="24"/>
        </w:rPr>
        <w:t>、董事、监事和高级管理人员持股变动</w:t>
      </w:r>
      <w:bookmarkEnd w:id="494"/>
      <w:bookmarkEnd w:id="495"/>
      <w:bookmarkEnd w:id="497"/>
      <w:bookmarkEnd w:id="493"/>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33,242,06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33,242,06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董事、高 级副总 裁、财务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董事、高 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胡传高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15,918,00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15,918,00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49,465,46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49,181,46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、公司董事、监事、高级管理人员变动情况</w:t>
      </w:r>
      <w:bookmarkEnd w:id="498"/>
      <w:bookmarkEnd w:id="499"/>
      <w:bookmarkEnd w:id="501"/>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董事、财务总监、 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股东大会选举为董事、董事会聘任为财务总监、高级 副总裁</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股东大会选举为董事、董事会聘任为高级副总裁</w:t>
            </w:r>
          </w:p>
        </w:tc>
      </w:tr>
    </w:tbl>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因个人原因辞去总裁职务，因任期满离任董事职务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个人原因主动离职</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、任职情况</w:t>
      </w:r>
      <w:bookmarkEnd w:id="502"/>
      <w:bookmarkEnd w:id="503"/>
      <w:bookmarkEnd w:id="505"/>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6"/>
        <w:keepNext w:val="0"/>
        <w:keepLines w:val="0"/>
        <w:widowControl w:val="0"/>
        <w:shd w:val="clear" w:color="auto" w:fill="auto"/>
        <w:tabs>
          <w:tab w:pos="644" w:val="left"/>
        </w:tabs>
        <w:bidi w:val="0"/>
        <w:spacing w:before="0" w:after="0" w:line="313" w:lineRule="exact"/>
        <w:ind w:left="0" w:right="0" w:firstLine="360"/>
        <w:jc w:val="both"/>
      </w:pPr>
      <w:bookmarkStart w:id="506" w:name="bookmark506"/>
      <w:r>
        <w:rPr>
          <w:rFonts w:ascii="Times New Roman" w:eastAsia="Times New Roman" w:hAnsi="Times New Roman" w:cs="Times New Roman"/>
          <w:color w:val="000000"/>
          <w:spacing w:val="0"/>
          <w:w w:val="100"/>
          <w:position w:val="0"/>
        </w:rPr>
        <w:t>1</w:t>
      </w:r>
      <w:bookmarkEnd w:id="506"/>
      <w:r>
        <w:rPr>
          <w:color w:val="000000"/>
          <w:spacing w:val="0"/>
          <w:w w:val="100"/>
          <w:position w:val="0"/>
        </w:rPr>
        <w:t>、</w:t>
        <w:tab/>
        <w:t>周红卫先生，</w:t>
      </w:r>
      <w:r>
        <w:rPr>
          <w:rFonts w:ascii="Times New Roman" w:eastAsia="Times New Roman" w:hAnsi="Times New Roman" w:cs="Times New Roman"/>
          <w:color w:val="000000"/>
          <w:spacing w:val="0"/>
          <w:w w:val="100"/>
          <w:position w:val="0"/>
        </w:rPr>
        <w:t>1967</w:t>
      </w:r>
      <w:r>
        <w:rPr>
          <w:color w:val="000000"/>
          <w:spacing w:val="0"/>
          <w:w w:val="100"/>
          <w:position w:val="0"/>
        </w:rPr>
        <w:t>年出生，本科学历，中国国籍，无永久境外居留权，曾担任日本恒星（南京）电脑系统有限公司 项目经理及部门总经理、宏图东方信息系统有限公司副总经理、本公司总裁等职。周红卫先生担任江苏省工商联第十一届执 行委员会委员、江苏省软件行业协会理事会副理事长、江苏软件人才发展基金会第三届理事会理事、南京市工商联副主席、 南京市软件行业协会理事会副理事长、南京市光彩事业促进会副会长。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月至今任本公司董事长，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 公司总裁。</w:t>
      </w:r>
    </w:p>
    <w:p>
      <w:pPr>
        <w:pStyle w:val="Style26"/>
        <w:keepNext w:val="0"/>
        <w:keepLines w:val="0"/>
        <w:widowControl w:val="0"/>
        <w:shd w:val="clear" w:color="auto" w:fill="auto"/>
        <w:tabs>
          <w:tab w:pos="644" w:val="left"/>
        </w:tabs>
        <w:bidi w:val="0"/>
        <w:spacing w:before="0" w:after="0" w:line="313" w:lineRule="exact"/>
        <w:ind w:left="0" w:right="0" w:firstLine="360"/>
        <w:jc w:val="both"/>
      </w:pPr>
      <w:bookmarkStart w:id="507" w:name="bookmark507"/>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马玉峰先生，</w:t>
      </w:r>
      <w:r>
        <w:rPr>
          <w:rFonts w:ascii="Times New Roman" w:eastAsia="Times New Roman" w:hAnsi="Times New Roman" w:cs="Times New Roman"/>
          <w:color w:val="000000"/>
          <w:spacing w:val="0"/>
          <w:w w:val="100"/>
          <w:position w:val="0"/>
        </w:rPr>
        <w:t>1971</w:t>
      </w:r>
      <w:r>
        <w:rPr>
          <w:color w:val="000000"/>
          <w:spacing w:val="0"/>
          <w:w w:val="100"/>
          <w:position w:val="0"/>
        </w:rPr>
        <w:t>年出生，本科学历，中国国籍，无永久境外居留权，曾担任日本恒星（南京）电脑系统有限公司 工程师及开发经理、宏图东方信息系统有限公司软件部经理和副总经理。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月任江苏润和软件股份有限公 司董事、高级副总裁。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月在江苏润和科技投资集团有限公司担任副总裁。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月至今任本公司董事、 高级副总裁、财务总监。</w:t>
      </w:r>
    </w:p>
    <w:p>
      <w:pPr>
        <w:pStyle w:val="Style26"/>
        <w:keepNext w:val="0"/>
        <w:keepLines w:val="0"/>
        <w:widowControl w:val="0"/>
        <w:shd w:val="clear" w:color="auto" w:fill="auto"/>
        <w:tabs>
          <w:tab w:pos="654" w:val="left"/>
        </w:tabs>
        <w:bidi w:val="0"/>
        <w:spacing w:before="0" w:after="0" w:line="313" w:lineRule="exact"/>
        <w:ind w:left="0" w:right="0" w:firstLine="360"/>
        <w:jc w:val="both"/>
      </w:pPr>
      <w:bookmarkStart w:id="508" w:name="bookmark508"/>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刘延新先生，</w:t>
      </w:r>
      <w:r>
        <w:rPr>
          <w:rFonts w:ascii="Times New Roman" w:eastAsia="Times New Roman" w:hAnsi="Times New Roman" w:cs="Times New Roman"/>
          <w:color w:val="000000"/>
          <w:spacing w:val="0"/>
          <w:w w:val="100"/>
          <w:position w:val="0"/>
        </w:rPr>
        <w:t>1968</w:t>
      </w:r>
      <w:r>
        <w:rPr>
          <w:color w:val="000000"/>
          <w:spacing w:val="0"/>
          <w:w w:val="100"/>
          <w:position w:val="0"/>
        </w:rPr>
        <w:t>年出生，硕士学历，中国国籍，无境外永久居留权，曾担任中国建设银行山西分行信息技术管理 部、国际业务部总经理，迎泽支行、长治分行行长，中国建设银行信息技术管理部副总经理。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月至今任本公司高级 副总裁，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月至今任本公司董事。</w:t>
      </w:r>
    </w:p>
    <w:p>
      <w:pPr>
        <w:pStyle w:val="Style26"/>
        <w:keepNext w:val="0"/>
        <w:keepLines w:val="0"/>
        <w:widowControl w:val="0"/>
        <w:shd w:val="clear" w:color="auto" w:fill="auto"/>
        <w:tabs>
          <w:tab w:pos="644" w:val="left"/>
        </w:tabs>
        <w:bidi w:val="0"/>
        <w:spacing w:before="0" w:after="0" w:line="313" w:lineRule="exact"/>
        <w:ind w:left="0" w:right="0" w:firstLine="360"/>
        <w:jc w:val="both"/>
      </w:pPr>
      <w:bookmarkStart w:id="509" w:name="bookmark509"/>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钟毅先生，</w:t>
      </w:r>
      <w:r>
        <w:rPr>
          <w:rFonts w:ascii="Times New Roman" w:eastAsia="Times New Roman" w:hAnsi="Times New Roman" w:cs="Times New Roman"/>
          <w:color w:val="000000"/>
          <w:spacing w:val="0"/>
          <w:w w:val="100"/>
          <w:position w:val="0"/>
        </w:rPr>
        <w:t>1978</w:t>
      </w:r>
      <w:r>
        <w:rPr>
          <w:color w:val="000000"/>
          <w:spacing w:val="0"/>
          <w:w w:val="100"/>
          <w:position w:val="0"/>
        </w:rPr>
        <w:t>年出生，本科学历，中国国籍，无境外永久居留权，曾担任摩托罗拉区域总经理。现任公司华为事 业部总经理。</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月至今任本公司董事、高级副总裁。</w:t>
      </w:r>
    </w:p>
    <w:p>
      <w:pPr>
        <w:pStyle w:val="Style26"/>
        <w:keepNext w:val="0"/>
        <w:keepLines w:val="0"/>
        <w:widowControl w:val="0"/>
        <w:shd w:val="clear" w:color="auto" w:fill="auto"/>
        <w:bidi w:val="0"/>
        <w:spacing w:before="0" w:after="0" w:line="313" w:lineRule="exact"/>
        <w:ind w:left="0" w:right="0" w:firstLine="360"/>
        <w:jc w:val="both"/>
      </w:pPr>
      <w:bookmarkStart w:id="510" w:name="bookmark510"/>
      <w:r>
        <w:rPr>
          <w:rFonts w:ascii="Times New Roman" w:eastAsia="Times New Roman" w:hAnsi="Times New Roman" w:cs="Times New Roman"/>
          <w:color w:val="000000"/>
          <w:spacing w:val="0"/>
          <w:w w:val="100"/>
          <w:position w:val="0"/>
        </w:rPr>
        <w:t>5</w:t>
      </w:r>
      <w:bookmarkEnd w:id="510"/>
      <w:r>
        <w:rPr>
          <w:color w:val="000000"/>
          <w:spacing w:val="0"/>
          <w:w w:val="100"/>
          <w:position w:val="0"/>
        </w:rPr>
        <w:t>、 朱超先生，</w:t>
      </w:r>
      <w:r>
        <w:rPr>
          <w:rFonts w:ascii="Times New Roman" w:eastAsia="Times New Roman" w:hAnsi="Times New Roman" w:cs="Times New Roman"/>
          <w:color w:val="000000"/>
          <w:spacing w:val="0"/>
          <w:w w:val="100"/>
          <w:position w:val="0"/>
        </w:rPr>
        <w:t>1980</w:t>
      </w:r>
      <w:r>
        <w:rPr>
          <w:color w:val="000000"/>
          <w:spacing w:val="0"/>
          <w:w w:val="100"/>
          <w:position w:val="0"/>
        </w:rPr>
        <w:t>年出生，硕士学历，中国国籍，曾担任中国国际金融股份有限公司投资银行部经理、高级经理、副 总经理、执行总经理，浙江蚂蚁小微金融服务集团股份有限公司投资部资深总监，现任浙江蚂蚁小微金融服务集团股份有限 公司企业发展部资深总监、浙江蚂蚁小微金融服务集团股份有限公司部分附属企业及其投资的部分企业的董事。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至今任本公司董事。</w:t>
      </w:r>
    </w:p>
    <w:p>
      <w:pPr>
        <w:pStyle w:val="Style26"/>
        <w:keepNext w:val="0"/>
        <w:keepLines w:val="0"/>
        <w:widowControl w:val="0"/>
        <w:shd w:val="clear" w:color="auto" w:fill="auto"/>
        <w:bidi w:val="0"/>
        <w:spacing w:before="0" w:after="0" w:line="313" w:lineRule="exact"/>
        <w:ind w:left="0" w:right="0" w:firstLine="360"/>
        <w:jc w:val="both"/>
      </w:pPr>
      <w:bookmarkStart w:id="511" w:name="bookmark511"/>
      <w:r>
        <w:rPr>
          <w:rFonts w:ascii="Times New Roman" w:eastAsia="Times New Roman" w:hAnsi="Times New Roman" w:cs="Times New Roman"/>
          <w:color w:val="000000"/>
          <w:spacing w:val="0"/>
          <w:w w:val="100"/>
          <w:position w:val="0"/>
        </w:rPr>
        <w:t>6</w:t>
      </w:r>
      <w:bookmarkEnd w:id="511"/>
      <w:r>
        <w:rPr>
          <w:color w:val="000000"/>
          <w:spacing w:val="0"/>
          <w:w w:val="100"/>
          <w:position w:val="0"/>
        </w:rPr>
        <w:t>、 郭健先生，</w:t>
      </w:r>
      <w:r>
        <w:rPr>
          <w:rFonts w:ascii="Times New Roman" w:eastAsia="Times New Roman" w:hAnsi="Times New Roman" w:cs="Times New Roman"/>
          <w:color w:val="000000"/>
          <w:spacing w:val="0"/>
          <w:w w:val="100"/>
          <w:position w:val="0"/>
        </w:rPr>
        <w:t>1964</w:t>
      </w:r>
      <w:r>
        <w:rPr>
          <w:color w:val="000000"/>
          <w:spacing w:val="0"/>
          <w:w w:val="100"/>
          <w:position w:val="0"/>
        </w:rPr>
        <w:t>年出生，毕业于上海海运学院（现上海海事大学），获得学士学位；香港科技大学</w:t>
      </w:r>
      <w:r>
        <w:rPr>
          <w:rFonts w:ascii="Times New Roman" w:eastAsia="Times New Roman" w:hAnsi="Times New Roman" w:cs="Times New Roman"/>
          <w:color w:val="000000"/>
          <w:spacing w:val="0"/>
          <w:w w:val="100"/>
          <w:position w:val="0"/>
        </w:rPr>
        <w:t>EMBA</w:t>
      </w:r>
      <w:r>
        <w:rPr>
          <w:color w:val="000000"/>
          <w:spacing w:val="0"/>
          <w:w w:val="100"/>
          <w:position w:val="0"/>
        </w:rPr>
        <w:t>，中国国 籍，无永久境外居留权。在投资银行、股权投资、财务审计等专业领域工作超过</w:t>
      </w:r>
      <w:r>
        <w:rPr>
          <w:rFonts w:ascii="Times New Roman" w:eastAsia="Times New Roman" w:hAnsi="Times New Roman" w:cs="Times New Roman"/>
          <w:color w:val="000000"/>
          <w:spacing w:val="0"/>
          <w:w w:val="100"/>
          <w:position w:val="0"/>
        </w:rPr>
        <w:t>30</w:t>
      </w:r>
      <w:r>
        <w:rPr>
          <w:color w:val="000000"/>
          <w:spacing w:val="0"/>
          <w:w w:val="100"/>
          <w:position w:val="0"/>
        </w:rPr>
        <w:t xml:space="preserve">年，对中国资本市场有深刻理解与丰富实 践经验。曾任招商证券股份有限公司副总裁兼董事会秘书、招商证券（香港）公司副董事长、深圳市中大投资管理公司财务 总监、深圳立诚会计师事务所合伙人等职务；现任招商局资本投资有限责任公司首席运营官、总经理，兼任招商昆仑股权投 </w:t>
      </w:r>
      <w:r>
        <w:rPr>
          <w:color w:val="000000"/>
          <w:spacing w:val="0"/>
          <w:w w:val="100"/>
          <w:position w:val="0"/>
        </w:rPr>
        <w:t>资管理有限公司、深圳市招商国协壹号股权投资基金管理有限公司、张家港市招商产业资本投资管理有限公司、招垦资本管 理（北京）有限公司等基金管理公司董事长及服务贸易创新发展引导基金（有限合伙）执行事务合伙人委派代表等职务。</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月至今任本公司董事。</w:t>
      </w:r>
    </w:p>
    <w:p>
      <w:pPr>
        <w:pStyle w:val="Style26"/>
        <w:keepNext w:val="0"/>
        <w:keepLines w:val="0"/>
        <w:widowControl w:val="0"/>
        <w:shd w:val="clear" w:color="auto" w:fill="auto"/>
        <w:tabs>
          <w:tab w:pos="685" w:val="left"/>
        </w:tabs>
        <w:bidi w:val="0"/>
        <w:spacing w:before="0" w:after="0" w:line="312" w:lineRule="exact"/>
        <w:ind w:left="0" w:right="0" w:firstLine="380"/>
        <w:jc w:val="both"/>
      </w:pPr>
      <w:bookmarkStart w:id="512" w:name="bookmark512"/>
      <w:r>
        <w:rPr>
          <w:rFonts w:ascii="Times New Roman" w:eastAsia="Times New Roman" w:hAnsi="Times New Roman" w:cs="Times New Roman"/>
          <w:color w:val="000000"/>
          <w:spacing w:val="0"/>
          <w:w w:val="100"/>
          <w:position w:val="0"/>
        </w:rPr>
        <w:t>7</w:t>
      </w:r>
      <w:bookmarkEnd w:id="512"/>
      <w:r>
        <w:rPr>
          <w:color w:val="000000"/>
          <w:spacing w:val="0"/>
          <w:w w:val="100"/>
          <w:position w:val="0"/>
        </w:rPr>
        <w:t>、</w:t>
        <w:tab/>
        <w:t>杨春福先生，</w:t>
      </w:r>
      <w:r>
        <w:rPr>
          <w:rFonts w:ascii="Times New Roman" w:eastAsia="Times New Roman" w:hAnsi="Times New Roman" w:cs="Times New Roman"/>
          <w:color w:val="000000"/>
          <w:spacing w:val="0"/>
          <w:w w:val="100"/>
          <w:position w:val="0"/>
        </w:rPr>
        <w:t>1967</w:t>
      </w:r>
      <w:r>
        <w:rPr>
          <w:color w:val="000000"/>
          <w:spacing w:val="0"/>
          <w:w w:val="100"/>
          <w:position w:val="0"/>
        </w:rPr>
        <w:t>年出生，研究生学历，中国国籍，无境外永久居留权，曾担任南京大学、河海大学法学院副院长、 法学院教授、博士生导师等职；现任东南大学法学院教授、博士生导师。曾任南京新街口百货商店股份有限公司、江苏凯伦 建材股份有限公司独立董事，现任江苏德纳化学股份有限公司、苏州翔楼新材料股份有限公司独立董事。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 本公司独立董事。</w:t>
      </w:r>
    </w:p>
    <w:p>
      <w:pPr>
        <w:pStyle w:val="Style26"/>
        <w:keepNext w:val="0"/>
        <w:keepLines w:val="0"/>
        <w:widowControl w:val="0"/>
        <w:shd w:val="clear" w:color="auto" w:fill="auto"/>
        <w:tabs>
          <w:tab w:pos="685" w:val="left"/>
        </w:tabs>
        <w:bidi w:val="0"/>
        <w:spacing w:before="0" w:after="0" w:line="312" w:lineRule="exact"/>
        <w:ind w:left="0" w:right="0" w:firstLine="380"/>
        <w:jc w:val="both"/>
      </w:pPr>
      <w:bookmarkStart w:id="513" w:name="bookmark513"/>
      <w:r>
        <w:rPr>
          <w:rFonts w:ascii="Times New Roman" w:eastAsia="Times New Roman" w:hAnsi="Times New Roman" w:cs="Times New Roman"/>
          <w:color w:val="000000"/>
          <w:spacing w:val="0"/>
          <w:w w:val="100"/>
          <w:position w:val="0"/>
        </w:rPr>
        <w:t>8</w:t>
      </w:r>
      <w:bookmarkEnd w:id="513"/>
      <w:r>
        <w:rPr>
          <w:color w:val="000000"/>
          <w:spacing w:val="0"/>
          <w:w w:val="100"/>
          <w:position w:val="0"/>
        </w:rPr>
        <w:t>、</w:t>
        <w:tab/>
        <w:t>刘晓星先生，</w:t>
      </w:r>
      <w:r>
        <w:rPr>
          <w:rFonts w:ascii="Times New Roman" w:eastAsia="Times New Roman" w:hAnsi="Times New Roman" w:cs="Times New Roman"/>
          <w:color w:val="000000"/>
          <w:spacing w:val="0"/>
          <w:w w:val="100"/>
          <w:position w:val="0"/>
        </w:rPr>
        <w:t>1970</w:t>
      </w:r>
      <w:r>
        <w:rPr>
          <w:color w:val="000000"/>
          <w:spacing w:val="0"/>
          <w:w w:val="100"/>
          <w:position w:val="0"/>
        </w:rPr>
        <w:t>年出生，博士研究生学历，中国国籍，无境外永久居留权，曾担任太原钢铁股份有限公司助理工 程师、广东财经大学金融学院教授。现任全国高等学校金融学类专业教学指导委员会委员，江苏省经济学类研究生教育指导 委员会委员，江苏省资本市场研究会副会长，江苏省</w:t>
      </w:r>
      <w:r>
        <w:rPr>
          <w:rFonts w:ascii="Times New Roman" w:eastAsia="Times New Roman" w:hAnsi="Times New Roman" w:cs="Times New Roman"/>
          <w:color w:val="000000"/>
          <w:spacing w:val="0"/>
          <w:w w:val="100"/>
          <w:position w:val="0"/>
        </w:rPr>
        <w:t>“</w:t>
      </w:r>
      <w:r>
        <w:rPr>
          <w:color w:val="000000"/>
          <w:spacing w:val="0"/>
          <w:w w:val="100"/>
          <w:position w:val="0"/>
        </w:rPr>
        <w:t>青蓝工程</w:t>
      </w:r>
      <w:r>
        <w:rPr>
          <w:rFonts w:ascii="Times New Roman" w:eastAsia="Times New Roman" w:hAnsi="Times New Roman" w:cs="Times New Roman"/>
          <w:color w:val="000000"/>
          <w:spacing w:val="0"/>
          <w:w w:val="100"/>
          <w:position w:val="0"/>
        </w:rPr>
        <w:t>”</w:t>
      </w:r>
      <w:r>
        <w:rPr>
          <w:color w:val="000000"/>
          <w:spacing w:val="0"/>
          <w:w w:val="100"/>
          <w:position w:val="0"/>
        </w:rPr>
        <w:t>中青年学术带头人，中国金融学年会理事，中国金融工程年 会理事，江苏省金融青联常委委员，江苏省国际金融学会常务理事，江苏省科技创业导师，东南大学金融安全大数据实验室 主任，东南大学金融工程研究中心主任，东南大学人文社科学部委员。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月至今任东南大学经济管理学院金融系主任、 教授，金融学专业博士生导师。现任江苏宁沪高速公路股份有限公司、焦点科技股份有限公司独立董事，苏州九龙医院股份 有限公司、江苏环境产业研究院有限公司董事。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月至今任本公司独立董事。</w:t>
      </w:r>
    </w:p>
    <w:p>
      <w:pPr>
        <w:pStyle w:val="Style26"/>
        <w:keepNext w:val="0"/>
        <w:keepLines w:val="0"/>
        <w:widowControl w:val="0"/>
        <w:shd w:val="clear" w:color="auto" w:fill="auto"/>
        <w:bidi w:val="0"/>
        <w:spacing w:before="0" w:after="0" w:line="312" w:lineRule="exact"/>
        <w:ind w:left="0" w:right="0" w:firstLine="380"/>
        <w:jc w:val="both"/>
      </w:pPr>
      <w:bookmarkStart w:id="514" w:name="bookmark514"/>
      <w:r>
        <w:rPr>
          <w:rFonts w:ascii="Times New Roman" w:eastAsia="Times New Roman" w:hAnsi="Times New Roman" w:cs="Times New Roman"/>
          <w:color w:val="000000"/>
          <w:spacing w:val="0"/>
          <w:w w:val="100"/>
          <w:position w:val="0"/>
        </w:rPr>
        <w:t>9</w:t>
      </w:r>
      <w:bookmarkEnd w:id="514"/>
      <w:r>
        <w:rPr>
          <w:color w:val="000000"/>
          <w:spacing w:val="0"/>
          <w:w w:val="100"/>
          <w:position w:val="0"/>
        </w:rPr>
        <w:t>、 葛素云女士，</w:t>
      </w:r>
      <w:r>
        <w:rPr>
          <w:rFonts w:ascii="Times New Roman" w:eastAsia="Times New Roman" w:hAnsi="Times New Roman" w:cs="Times New Roman"/>
          <w:color w:val="000000"/>
          <w:spacing w:val="0"/>
          <w:w w:val="100"/>
          <w:position w:val="0"/>
        </w:rPr>
        <w:t>1963</w:t>
      </w:r>
      <w:r>
        <w:rPr>
          <w:color w:val="000000"/>
          <w:spacing w:val="0"/>
          <w:w w:val="100"/>
          <w:position w:val="0"/>
        </w:rPr>
        <w:t>年出生，本科学历，中国国籍，无境外永久居留权</w:t>
      </w:r>
      <w:r>
        <w:rPr>
          <w:color w:val="000000"/>
          <w:spacing w:val="0"/>
          <w:w w:val="100"/>
          <w:position w:val="0"/>
        </w:rPr>
        <w:t>，</w:t>
      </w:r>
      <w:r>
        <w:rPr>
          <w:color w:val="000000"/>
          <w:spacing w:val="0"/>
          <w:w w:val="100"/>
          <w:position w:val="0"/>
        </w:rPr>
        <w:t>曾担任安徽大学商学院会计系副主任、安徽大 学第八届和第九届教学督导组副组长等职。现任安徽大学商学院副教授，安徽大学第十届教学督导组副组长；现任聚灿光电 科技股份有限公司、苏州市伏泰信息科技股份有限公司、北京和合医学诊断技术股份有限公司独立董事。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 本公司独立董事。</w:t>
      </w:r>
    </w:p>
    <w:p>
      <w:pPr>
        <w:pStyle w:val="Style26"/>
        <w:keepNext w:val="0"/>
        <w:keepLines w:val="0"/>
        <w:widowControl w:val="0"/>
        <w:shd w:val="clear" w:color="auto" w:fill="auto"/>
        <w:tabs>
          <w:tab w:pos="740" w:val="left"/>
        </w:tabs>
        <w:bidi w:val="0"/>
        <w:spacing w:before="0" w:after="0" w:line="312" w:lineRule="exact"/>
        <w:ind w:left="0" w:right="0" w:firstLine="380"/>
        <w:jc w:val="both"/>
      </w:pPr>
      <w:bookmarkStart w:id="515" w:name="bookmark515"/>
      <w:r>
        <w:rPr>
          <w:rFonts w:ascii="Times New Roman" w:eastAsia="Times New Roman" w:hAnsi="Times New Roman" w:cs="Times New Roman"/>
          <w:color w:val="000000"/>
          <w:spacing w:val="0"/>
          <w:w w:val="100"/>
          <w:position w:val="0"/>
        </w:rPr>
        <w:t>1</w:t>
      </w:r>
      <w:bookmarkEnd w:id="515"/>
      <w:r>
        <w:rPr>
          <w:rFonts w:ascii="Times New Roman" w:eastAsia="Times New Roman" w:hAnsi="Times New Roman" w:cs="Times New Roman"/>
          <w:color w:val="000000"/>
          <w:spacing w:val="0"/>
          <w:w w:val="100"/>
          <w:position w:val="0"/>
        </w:rPr>
        <w:t>0</w:t>
      </w:r>
      <w:r>
        <w:rPr>
          <w:color w:val="000000"/>
          <w:spacing w:val="0"/>
          <w:w w:val="100"/>
          <w:position w:val="0"/>
        </w:rPr>
        <w:t>、</w:t>
        <w:tab/>
        <w:t>桑传刚先生，</w:t>
      </w:r>
      <w:r>
        <w:rPr>
          <w:rFonts w:ascii="Times New Roman" w:eastAsia="Times New Roman" w:hAnsi="Times New Roman" w:cs="Times New Roman"/>
          <w:color w:val="000000"/>
          <w:spacing w:val="0"/>
          <w:w w:val="100"/>
          <w:position w:val="0"/>
        </w:rPr>
        <w:t>1975</w:t>
      </w:r>
      <w:r>
        <w:rPr>
          <w:color w:val="000000"/>
          <w:spacing w:val="0"/>
          <w:w w:val="100"/>
          <w:position w:val="0"/>
        </w:rPr>
        <w:t>年出生，硕士学历，中国国籍，无境外永久居留权，曾担任江苏省常州监狱宣教科长、办公室主 任、政治处主任、晶昇服饰有限公司总经理，江苏省监狱管理局行政处副处长、江苏金源置业有限公司董事长兼总经理。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月至今担任本公司行政总监。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月至今任本公司监事会主席。</w:t>
      </w:r>
    </w:p>
    <w:p>
      <w:pPr>
        <w:pStyle w:val="Style26"/>
        <w:keepNext w:val="0"/>
        <w:keepLines w:val="0"/>
        <w:widowControl w:val="0"/>
        <w:shd w:val="clear" w:color="auto" w:fill="auto"/>
        <w:tabs>
          <w:tab w:pos="745" w:val="left"/>
        </w:tabs>
        <w:bidi w:val="0"/>
        <w:spacing w:before="0" w:after="0" w:line="312" w:lineRule="exact"/>
        <w:ind w:left="0" w:right="0" w:firstLine="380"/>
        <w:jc w:val="both"/>
      </w:pPr>
      <w:bookmarkStart w:id="516" w:name="bookmark516"/>
      <w:r>
        <w:rPr>
          <w:rFonts w:ascii="Times New Roman" w:eastAsia="Times New Roman" w:hAnsi="Times New Roman" w:cs="Times New Roman"/>
          <w:color w:val="000000"/>
          <w:spacing w:val="0"/>
          <w:w w:val="100"/>
          <w:position w:val="0"/>
        </w:rPr>
        <w:t>1</w:t>
      </w:r>
      <w:bookmarkEnd w:id="516"/>
      <w:r>
        <w:rPr>
          <w:rFonts w:ascii="Times New Roman" w:eastAsia="Times New Roman" w:hAnsi="Times New Roman" w:cs="Times New Roman"/>
          <w:color w:val="000000"/>
          <w:spacing w:val="0"/>
          <w:w w:val="100"/>
          <w:position w:val="0"/>
        </w:rPr>
        <w:t>1</w:t>
      </w:r>
      <w:r>
        <w:rPr>
          <w:color w:val="000000"/>
          <w:spacing w:val="0"/>
          <w:w w:val="100"/>
          <w:position w:val="0"/>
        </w:rPr>
        <w:t>、</w:t>
        <w:tab/>
        <w:t>王媛媛女士，</w:t>
      </w:r>
      <w:r>
        <w:rPr>
          <w:rFonts w:ascii="Times New Roman" w:eastAsia="Times New Roman" w:hAnsi="Times New Roman" w:cs="Times New Roman"/>
          <w:color w:val="000000"/>
          <w:spacing w:val="0"/>
          <w:w w:val="100"/>
          <w:position w:val="0"/>
        </w:rPr>
        <w:t>1980</w:t>
      </w:r>
      <w:r>
        <w:rPr>
          <w:color w:val="000000"/>
          <w:spacing w:val="0"/>
          <w:w w:val="100"/>
          <w:position w:val="0"/>
        </w:rPr>
        <w:t>年出生，本科学历，中国国籍，无境外永久居留权，曾担任南京艾克丝兰特服饰有限公司业务员， 南京华瑞服装有限公司外贸业务员。</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月至今，担任本公司企宣主管、党委委员、党群部部长、董事长办公室副主任。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月至今任本公司监事。</w:t>
      </w:r>
    </w:p>
    <w:p>
      <w:pPr>
        <w:pStyle w:val="Style26"/>
        <w:keepNext w:val="0"/>
        <w:keepLines w:val="0"/>
        <w:widowControl w:val="0"/>
        <w:shd w:val="clear" w:color="auto" w:fill="auto"/>
        <w:tabs>
          <w:tab w:pos="735" w:val="left"/>
        </w:tabs>
        <w:bidi w:val="0"/>
        <w:spacing w:before="0" w:after="0" w:line="312" w:lineRule="exact"/>
        <w:ind w:left="0" w:right="0" w:firstLine="380"/>
        <w:jc w:val="both"/>
      </w:pPr>
      <w:bookmarkStart w:id="517" w:name="bookmark517"/>
      <w:r>
        <w:rPr>
          <w:rFonts w:ascii="Times New Roman" w:eastAsia="Times New Roman" w:hAnsi="Times New Roman" w:cs="Times New Roman"/>
          <w:color w:val="000000"/>
          <w:spacing w:val="0"/>
          <w:w w:val="100"/>
          <w:position w:val="0"/>
        </w:rPr>
        <w:t>1</w:t>
      </w:r>
      <w:bookmarkEnd w:id="517"/>
      <w:r>
        <w:rPr>
          <w:rFonts w:ascii="Times New Roman" w:eastAsia="Times New Roman" w:hAnsi="Times New Roman" w:cs="Times New Roman"/>
          <w:color w:val="000000"/>
          <w:spacing w:val="0"/>
          <w:w w:val="100"/>
          <w:position w:val="0"/>
        </w:rPr>
        <w:t>2</w:t>
      </w:r>
      <w:r>
        <w:rPr>
          <w:color w:val="000000"/>
          <w:spacing w:val="0"/>
          <w:w w:val="100"/>
          <w:position w:val="0"/>
        </w:rPr>
        <w:t>、</w:t>
        <w:tab/>
        <w:t>赵澍先生，</w:t>
      </w:r>
      <w:r>
        <w:rPr>
          <w:rFonts w:ascii="Times New Roman" w:eastAsia="Times New Roman" w:hAnsi="Times New Roman" w:cs="Times New Roman"/>
          <w:color w:val="000000"/>
          <w:spacing w:val="0"/>
          <w:w w:val="100"/>
          <w:position w:val="0"/>
        </w:rPr>
        <w:t>1974</w:t>
      </w:r>
      <w:r>
        <w:rPr>
          <w:color w:val="000000"/>
          <w:spacing w:val="0"/>
          <w:w w:val="100"/>
          <w:position w:val="0"/>
        </w:rPr>
        <w:t>年出生，硕士学历，中国国籍，无永久境外居留权，曾担任捷开通讯（深圳）有限公司运营中心总 经理</w:t>
      </w:r>
      <w:r>
        <w:rPr>
          <w:rFonts w:ascii="Times New Roman" w:eastAsia="Times New Roman" w:hAnsi="Times New Roman" w:cs="Times New Roman"/>
          <w:color w:val="000000"/>
          <w:spacing w:val="0"/>
          <w:w w:val="100"/>
          <w:position w:val="0"/>
        </w:rPr>
        <w:t>/TCL</w:t>
      </w:r>
      <w:r>
        <w:rPr>
          <w:color w:val="000000"/>
          <w:spacing w:val="0"/>
          <w:w w:val="100"/>
          <w:position w:val="0"/>
        </w:rPr>
        <w:t>品牌执委会委员。</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月任本公司智能终端事业部销售总监。</w:t>
      </w:r>
      <w:r>
        <w:rPr>
          <w:rFonts w:ascii="Times New Roman" w:eastAsia="Times New Roman" w:hAnsi="Times New Roman" w:cs="Times New Roman"/>
          <w:color w:val="000000"/>
          <w:spacing w:val="0"/>
          <w:w w:val="100"/>
          <w:position w:val="0"/>
        </w:rPr>
        <w:t>2019</w:t>
      </w:r>
      <w:r>
        <w:rPr>
          <w:color w:val="000000"/>
          <w:spacing w:val="0"/>
          <w:w w:val="100"/>
          <w:position w:val="0"/>
        </w:rPr>
        <w:t>年至今任本公司助理总裁。</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月至今任本公司监事。</w:t>
      </w:r>
    </w:p>
    <w:p>
      <w:pPr>
        <w:pStyle w:val="Style26"/>
        <w:keepNext w:val="0"/>
        <w:keepLines w:val="0"/>
        <w:widowControl w:val="0"/>
        <w:shd w:val="clear" w:color="auto" w:fill="auto"/>
        <w:tabs>
          <w:tab w:pos="735" w:val="left"/>
        </w:tabs>
        <w:bidi w:val="0"/>
        <w:spacing w:before="0" w:after="140" w:line="312" w:lineRule="exact"/>
        <w:ind w:left="0" w:right="0" w:firstLine="380"/>
        <w:jc w:val="both"/>
      </w:pPr>
      <w:bookmarkStart w:id="518" w:name="bookmark518"/>
      <w:r>
        <w:rPr>
          <w:rFonts w:ascii="Times New Roman" w:eastAsia="Times New Roman" w:hAnsi="Times New Roman" w:cs="Times New Roman"/>
          <w:color w:val="000000"/>
          <w:spacing w:val="0"/>
          <w:w w:val="100"/>
          <w:position w:val="0"/>
        </w:rPr>
        <w:t>1</w:t>
      </w:r>
      <w:bookmarkEnd w:id="518"/>
      <w:r>
        <w:rPr>
          <w:rFonts w:ascii="Times New Roman" w:eastAsia="Times New Roman" w:hAnsi="Times New Roman" w:cs="Times New Roman"/>
          <w:color w:val="000000"/>
          <w:spacing w:val="0"/>
          <w:w w:val="100"/>
          <w:position w:val="0"/>
        </w:rPr>
        <w:t>3</w:t>
      </w:r>
      <w:r>
        <w:rPr>
          <w:color w:val="000000"/>
          <w:spacing w:val="0"/>
          <w:w w:val="100"/>
          <w:position w:val="0"/>
        </w:rPr>
        <w:t>、</w:t>
        <w:tab/>
        <w:t>胡传高先生，</w:t>
      </w:r>
      <w:r>
        <w:rPr>
          <w:rFonts w:ascii="Times New Roman" w:eastAsia="Times New Roman" w:hAnsi="Times New Roman" w:cs="Times New Roman"/>
          <w:color w:val="000000"/>
          <w:spacing w:val="0"/>
          <w:w w:val="100"/>
          <w:position w:val="0"/>
        </w:rPr>
        <w:t>1972</w:t>
      </w:r>
      <w:r>
        <w:rPr>
          <w:color w:val="000000"/>
          <w:spacing w:val="0"/>
          <w:w w:val="100"/>
          <w:position w:val="0"/>
        </w:rPr>
        <w:t>年出生，中共党员，硕士学历，中国国籍，无永久境外居留权，曾担任南京邮电大学教师、江苏 博事达律师事务所专职律师、江苏证监局监管干部、中国证监会公职律师、江苏交易场所登记结算公司副总经理、华鑫证券 有限责任公司董事会秘书。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月取得深圳证券交易所董事会秘书资格证。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月至今任本公司副总裁，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月至今任本公司董事会秘书。</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江苏润和科技投资集团有限公司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江苏软信和熙信息科技有限公司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江苏润和捷诚科技产业投资有限公司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代表取缔役、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HopeRun Technology Corporation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润芯微科技（江苏）有限公司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经理</w:t>
            </w:r>
            <w:r>
              <w:rPr>
                <w:rFonts w:ascii="Times New Roman" w:eastAsia="Times New Roman" w:hAnsi="Times New Roman" w:cs="Times New Roman"/>
                <w:color w:val="000000"/>
                <w:spacing w:val="0"/>
                <w:w w:val="100"/>
                <w:position w:val="0"/>
              </w:rPr>
              <w:t>,</w:t>
            </w:r>
            <w:r>
              <w:rPr>
                <w:color w:val="000000"/>
                <w:spacing w:val="0"/>
                <w:w w:val="100"/>
                <w:position w:val="0"/>
              </w:rPr>
              <w:t>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总经理</w:t>
            </w:r>
            <w:r>
              <w:rPr>
                <w:color w:val="000000"/>
                <w:spacing w:val="0"/>
                <w:w w:val="100"/>
                <w:position w:val="0"/>
              </w:rPr>
              <w:t>，</w:t>
            </w:r>
            <w:r>
              <w:rPr>
                <w:color w:val="000000"/>
                <w:spacing w:val="0"/>
                <w:w w:val="100"/>
                <w:position w:val="0"/>
              </w:rPr>
              <w:t>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南京润和润云科技有限公司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上海米飞网络科技有限公司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北京易诚博睿科技有限公司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南京润和润云科技有限公司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总经理、执行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钟毅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广州润和颐能软件技术有限公司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企业发展部 资深总监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蚂蚁（杭州）基金销售有限公司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易视腾科技股份有限公司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云涌产业共赢（北京）创业投资有限公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杭州蚂蚁未来投资咨询有限公司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恒生电子股份有限公司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杭州融津数字科技有限公司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江苏哈啰普惠科技有限公司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永安行科技股份有限公司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招商局资本投资有限责任公司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招商局资本管理（北京）有限公司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招垦资本管理（北京）有限公司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中国农垦产业发展基金（有限合伙）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服务贸易创新发展引导基金（有限合伙）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执行事务合 伙人委派代 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深圳市招商澎湃股权投资基金管理有限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招商长城资本管理有限公司</w:t>
            </w:r>
            <w:r>
              <w:rPr>
                <w:color w:val="000000"/>
                <w:spacing w:val="0"/>
                <w:w w:val="100"/>
                <w:position w:val="0"/>
              </w:rPr>
              <w:t>(</w:t>
            </w:r>
            <w:r>
              <w:rPr>
                <w:rFonts w:ascii="Times New Roman" w:eastAsia="Times New Roman" w:hAnsi="Times New Roman" w:cs="Times New Roman"/>
                <w:color w:val="000000"/>
                <w:spacing w:val="0"/>
                <w:w w:val="100"/>
                <w:position w:val="0"/>
              </w:rPr>
              <w:t>China</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Merchants Great-Wall Capital</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Management Limited</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招商长城合伙人有限公司</w:t>
            </w:r>
            <w:r>
              <w:rPr>
                <w:color w:val="000000"/>
                <w:spacing w:val="0"/>
                <w:w w:val="100"/>
                <w:position w:val="0"/>
              </w:rPr>
              <w:t>（</w:t>
            </w:r>
            <w:r>
              <w:rPr>
                <w:rFonts w:ascii="Times New Roman" w:eastAsia="Times New Roman" w:hAnsi="Times New Roman" w:cs="Times New Roman"/>
                <w:color w:val="000000"/>
                <w:spacing w:val="0"/>
                <w:w w:val="100"/>
                <w:position w:val="0"/>
              </w:rPr>
              <w:t>China</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Merchants Great-Wall GP Limited</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招商长城顾问有限公司</w:t>
            </w:r>
            <w:r>
              <w:rPr>
                <w:color w:val="000000"/>
                <w:spacing w:val="0"/>
                <w:w w:val="100"/>
                <w:position w:val="0"/>
              </w:rPr>
              <w:t>(</w:t>
            </w:r>
            <w:r>
              <w:rPr>
                <w:rFonts w:ascii="Times New Roman" w:eastAsia="Times New Roman" w:hAnsi="Times New Roman" w:cs="Times New Roman"/>
                <w:color w:val="000000"/>
                <w:spacing w:val="0"/>
                <w:w w:val="100"/>
                <w:position w:val="0"/>
              </w:rPr>
              <w:t>China Merchants</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Great-Wall Advisor Limited</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中新建招商股权投资有限公司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招商昆仑股权投资管理有限公司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深圳市招商国协壹号股权投资基金管理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张家港市招商产业资本投资管理有限公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深圳市招商红树股权投资基金管理有限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China Merchants Nova GP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深圳市招商洪大资本管理有限责任公司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深圳市新招中安资本管理有限责任公司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江苏凯伦建材股份有限公司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江苏德纳化学股份有限公司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苏州翔楼新材料股份有限公司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河海大学法学院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教授、博士生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东南大学法学院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教授、博士生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东南大学经济管理学院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金融系主任、 教授，金融学 专业博士生 导师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江苏宁沪高速公路股份有限公司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焦点科技股份有限公司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苏州九龙医院股份有限公司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江苏环境产业研究院有限公司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教育部高等学校金融类专业教学指导委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安徽大学商学院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聚灿光电科技股份有限公司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合肥东方节能科技股份有限公司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苏州市伏泰信息科技股份有限公司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北京和合医学诊断技术股份有限公司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武汉宁润软件信息技术有限公司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江苏软信和熙信息科技有限公司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江苏润和捷诚科技产业投资有限公司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新维数联（北京）科技有限公司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南京润和润云科技有限公司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广州润和颐能软件技术有限公司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润芯微科技（江苏）有限公司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苏州保润欣和信息科技有限公司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南京淳泰投资管理有限公司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南京澜和电子商务有限公司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胡传高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6"/>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四</w:t>
      </w:r>
      <w:bookmarkEnd w:id="521"/>
      <w:r>
        <w:rPr>
          <w:color w:val="000000"/>
          <w:spacing w:val="0"/>
          <w:w w:val="100"/>
          <w:position w:val="0"/>
          <w:sz w:val="24"/>
          <w:szCs w:val="24"/>
        </w:rPr>
        <w:t>、董事、监事、高级管理人员报酬情况</w:t>
      </w:r>
      <w:bookmarkEnd w:id="519"/>
      <w:bookmarkEnd w:id="520"/>
      <w:bookmarkEnd w:id="522"/>
    </w:p>
    <w:p>
      <w:pPr>
        <w:pStyle w:val="Style26"/>
        <w:keepNext w:val="0"/>
        <w:keepLines w:val="0"/>
        <w:widowControl w:val="0"/>
        <w:shd w:val="clear" w:color="auto" w:fill="auto"/>
        <w:bidi w:val="0"/>
        <w:spacing w:before="0" w:after="0" w:line="329" w:lineRule="exact"/>
        <w:ind w:left="0" w:right="0" w:firstLine="0"/>
        <w:jc w:val="left"/>
      </w:pPr>
      <w:r>
        <w:rPr>
          <w:color w:val="000000"/>
          <w:spacing w:val="0"/>
          <w:w w:val="100"/>
          <w:position w:val="0"/>
        </w:rPr>
        <w:t>董事、监事、高级管理人员报酬的决策程序、确定依据、实际支付情况</w:t>
      </w:r>
    </w:p>
    <w:p>
      <w:pPr>
        <w:pStyle w:val="Style26"/>
        <w:keepNext w:val="0"/>
        <w:keepLines w:val="0"/>
        <w:widowControl w:val="0"/>
        <w:shd w:val="clear" w:color="auto" w:fill="auto"/>
        <w:tabs>
          <w:tab w:pos="665" w:val="left"/>
        </w:tabs>
        <w:bidi w:val="0"/>
        <w:spacing w:before="0" w:after="0" w:line="329" w:lineRule="exact"/>
        <w:ind w:left="0" w:right="0" w:firstLine="380"/>
        <w:jc w:val="both"/>
      </w:pPr>
      <w:bookmarkStart w:id="523" w:name="bookmark523"/>
      <w:r>
        <w:rPr>
          <w:rFonts w:ascii="Times New Roman" w:eastAsia="Times New Roman" w:hAnsi="Times New Roman" w:cs="Times New Roman"/>
          <w:color w:val="000000"/>
          <w:spacing w:val="0"/>
          <w:w w:val="100"/>
          <w:position w:val="0"/>
        </w:rPr>
        <w:t>1</w:t>
      </w:r>
      <w:bookmarkEnd w:id="523"/>
      <w:r>
        <w:rPr>
          <w:color w:val="000000"/>
          <w:spacing w:val="0"/>
          <w:w w:val="100"/>
          <w:position w:val="0"/>
        </w:rPr>
        <w:t>、</w:t>
        <w:tab/>
        <w:t>董事、监事、高级管理人员报酬的决策程序：公司董事、监事报酬由股东大会决定，高级管理人员报酬由董事会决 定。</w:t>
      </w:r>
    </w:p>
    <w:p>
      <w:pPr>
        <w:pStyle w:val="Style26"/>
        <w:keepNext w:val="0"/>
        <w:keepLines w:val="0"/>
        <w:widowControl w:val="0"/>
        <w:shd w:val="clear" w:color="auto" w:fill="auto"/>
        <w:tabs>
          <w:tab w:pos="670" w:val="left"/>
        </w:tabs>
        <w:bidi w:val="0"/>
        <w:spacing w:before="0" w:after="0" w:line="329" w:lineRule="exact"/>
        <w:ind w:left="0" w:right="0" w:firstLine="380"/>
        <w:jc w:val="both"/>
      </w:pPr>
      <w:bookmarkStart w:id="524" w:name="bookmark524"/>
      <w:r>
        <w:rPr>
          <w:rFonts w:ascii="Times New Roman" w:eastAsia="Times New Roman" w:hAnsi="Times New Roman" w:cs="Times New Roman"/>
          <w:color w:val="000000"/>
          <w:spacing w:val="0"/>
          <w:w w:val="100"/>
          <w:position w:val="0"/>
        </w:rPr>
        <w:t>2</w:t>
      </w:r>
      <w:bookmarkEnd w:id="524"/>
      <w:r>
        <w:rPr>
          <w:color w:val="000000"/>
          <w:spacing w:val="0"/>
          <w:w w:val="100"/>
          <w:position w:val="0"/>
        </w:rPr>
        <w:t>、</w:t>
        <w:tab/>
        <w:t>董事、监事、高级管理人员报酬的确定依据：依据公司盈利水平及各董事、监事、高级管理人员的分工及履行情况 确定。</w:t>
      </w:r>
    </w:p>
    <w:p>
      <w:pPr>
        <w:pStyle w:val="Style26"/>
        <w:keepNext w:val="0"/>
        <w:keepLines w:val="0"/>
        <w:widowControl w:val="0"/>
        <w:shd w:val="clear" w:color="auto" w:fill="auto"/>
        <w:bidi w:val="0"/>
        <w:spacing w:before="0" w:after="0" w:line="311" w:lineRule="exact"/>
        <w:ind w:left="0" w:right="0" w:firstLine="380"/>
        <w:jc w:val="both"/>
      </w:pPr>
      <w:bookmarkStart w:id="525" w:name="bookmark525"/>
      <w:r>
        <w:rPr>
          <w:rFonts w:ascii="Times New Roman" w:eastAsia="Times New Roman" w:hAnsi="Times New Roman" w:cs="Times New Roman"/>
          <w:color w:val="000000"/>
          <w:spacing w:val="0"/>
          <w:w w:val="100"/>
          <w:position w:val="0"/>
        </w:rPr>
        <w:t>3</w:t>
      </w:r>
      <w:bookmarkEnd w:id="525"/>
      <w:r>
        <w:rPr>
          <w:color w:val="000000"/>
          <w:spacing w:val="0"/>
          <w:w w:val="100"/>
          <w:position w:val="0"/>
        </w:rPr>
        <w:t>、 董事、监事、高级管理人员报酬的支付情况：（</w:t>
      </w:r>
      <w:r>
        <w:rPr>
          <w:rFonts w:ascii="Times New Roman" w:eastAsia="Times New Roman" w:hAnsi="Times New Roman" w:cs="Times New Roman"/>
          <w:color w:val="000000"/>
          <w:spacing w:val="0"/>
          <w:w w:val="100"/>
          <w:position w:val="0"/>
        </w:rPr>
        <w:t>1</w:t>
      </w:r>
      <w:r>
        <w:rPr>
          <w:color w:val="000000"/>
          <w:spacing w:val="0"/>
          <w:w w:val="100"/>
          <w:position w:val="0"/>
        </w:rPr>
        <w:t>）独立董事：年度津贴为</w:t>
      </w:r>
      <w:r>
        <w:rPr>
          <w:rFonts w:ascii="Times New Roman" w:eastAsia="Times New Roman" w:hAnsi="Times New Roman" w:cs="Times New Roman"/>
          <w:color w:val="000000"/>
          <w:spacing w:val="0"/>
          <w:w w:val="100"/>
          <w:position w:val="0"/>
        </w:rPr>
        <w:t>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年（含税），按月发放。（</w:t>
      </w:r>
      <w:r>
        <w:rPr>
          <w:rFonts w:ascii="Times New Roman" w:eastAsia="Times New Roman" w:hAnsi="Times New Roman" w:cs="Times New Roman"/>
          <w:color w:val="000000"/>
          <w:spacing w:val="0"/>
          <w:w w:val="100"/>
          <w:position w:val="0"/>
        </w:rPr>
        <w:t>2</w:t>
      </w:r>
      <w:r>
        <w:rPr>
          <w:color w:val="000000"/>
          <w:spacing w:val="0"/>
          <w:w w:val="100"/>
          <w:position w:val="0"/>
        </w:rPr>
        <w:t>）非 独立董事：按其在公司及子公司所任岗位领取薪酬，职务薪酬依据绩效考核情况发放，不另行领取董事津贴；未在公司任职 的非独立董事不在公司领取薪酬（津贴）。（</w:t>
      </w:r>
      <w:r>
        <w:rPr>
          <w:rFonts w:ascii="Times New Roman" w:eastAsia="Times New Roman" w:hAnsi="Times New Roman" w:cs="Times New Roman"/>
          <w:color w:val="000000"/>
          <w:spacing w:val="0"/>
          <w:w w:val="100"/>
          <w:position w:val="0"/>
        </w:rPr>
        <w:t>3</w:t>
      </w:r>
      <w:r>
        <w:rPr>
          <w:color w:val="000000"/>
          <w:spacing w:val="0"/>
          <w:w w:val="100"/>
          <w:position w:val="0"/>
        </w:rPr>
        <w:t>）监事：按其在公司及子公司所任岗位领取薪酬，职务薪酬依据绩效考核情 况发放，另领取监事津贴</w:t>
      </w:r>
      <w:r>
        <w:rPr>
          <w:rFonts w:ascii="Times New Roman" w:eastAsia="Times New Roman" w:hAnsi="Times New Roman" w:cs="Times New Roman"/>
          <w:color w:val="000000"/>
          <w:spacing w:val="0"/>
          <w:w w:val="100"/>
          <w:position w:val="0"/>
        </w:rPr>
        <w:t>5</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年（含税），按月发放。（</w:t>
      </w:r>
      <w:r>
        <w:rPr>
          <w:rFonts w:ascii="Times New Roman" w:eastAsia="Times New Roman" w:hAnsi="Times New Roman" w:cs="Times New Roman"/>
          <w:color w:val="000000"/>
          <w:spacing w:val="0"/>
          <w:w w:val="100"/>
          <w:position w:val="0"/>
        </w:rPr>
        <w:t>4</w:t>
      </w:r>
      <w:r>
        <w:rPr>
          <w:color w:val="000000"/>
          <w:spacing w:val="0"/>
          <w:w w:val="100"/>
          <w:position w:val="0"/>
        </w:rPr>
        <w:t>）高级管理人员：按其在公司及子公司所任岗位领取薪酬，职 务薪酬依据绩效考核情况发放。公司报告期内董事、监事、高级管理人员共</w:t>
      </w:r>
      <w:r>
        <w:rPr>
          <w:rFonts w:ascii="Times New Roman" w:eastAsia="Times New Roman" w:hAnsi="Times New Roman" w:cs="Times New Roman"/>
          <w:color w:val="000000"/>
          <w:spacing w:val="0"/>
          <w:w w:val="100"/>
          <w:position w:val="0"/>
        </w:rPr>
        <w:t>19</w:t>
      </w:r>
      <w:r>
        <w:rPr>
          <w:color w:val="000000"/>
          <w:spacing w:val="0"/>
          <w:w w:val="100"/>
          <w:position w:val="0"/>
        </w:rPr>
        <w:t>人（含报告期内换届离任</w:t>
      </w:r>
      <w:r>
        <w:rPr>
          <w:rFonts w:ascii="Times New Roman" w:eastAsia="Times New Roman" w:hAnsi="Times New Roman" w:cs="Times New Roman"/>
          <w:color w:val="000000"/>
          <w:spacing w:val="0"/>
          <w:w w:val="100"/>
          <w:position w:val="0"/>
        </w:rPr>
        <w:t>6</w:t>
      </w:r>
      <w:r>
        <w:rPr>
          <w:color w:val="000000"/>
          <w:spacing w:val="0"/>
          <w:w w:val="100"/>
          <w:position w:val="0"/>
        </w:rPr>
        <w:t>人），</w:t>
      </w:r>
      <w:r>
        <w:rPr>
          <w:rFonts w:ascii="Times New Roman" w:eastAsia="Times New Roman" w:hAnsi="Times New Roman" w:cs="Times New Roman"/>
          <w:color w:val="000000"/>
          <w:spacing w:val="0"/>
          <w:w w:val="100"/>
          <w:position w:val="0"/>
        </w:rPr>
        <w:t>2020</w:t>
      </w:r>
      <w:r>
        <w:rPr>
          <w:color w:val="000000"/>
          <w:spacing w:val="0"/>
          <w:w w:val="100"/>
          <w:position w:val="0"/>
        </w:rPr>
        <w:t>年实际 支付</w:t>
      </w:r>
      <w:r>
        <w:rPr>
          <w:rFonts w:ascii="Times New Roman" w:eastAsia="Times New Roman" w:hAnsi="Times New Roman" w:cs="Times New Roman"/>
          <w:color w:val="000000"/>
          <w:spacing w:val="0"/>
          <w:w w:val="100"/>
          <w:position w:val="0"/>
        </w:rPr>
        <w:t>850.35</w:t>
      </w:r>
      <w:r>
        <w:rPr>
          <w:color w:val="000000"/>
          <w:spacing w:val="0"/>
          <w:w w:val="100"/>
          <w:position w:val="0"/>
        </w:rPr>
        <w:t>万元。</w:t>
      </w:r>
    </w:p>
    <w:p>
      <w:pPr>
        <w:pStyle w:val="Style26"/>
        <w:keepNext w:val="0"/>
        <w:keepLines w:val="0"/>
        <w:widowControl w:val="0"/>
        <w:shd w:val="clear" w:color="auto" w:fill="auto"/>
        <w:bidi w:val="0"/>
        <w:spacing w:before="0" w:after="120" w:line="329" w:lineRule="exact"/>
        <w:ind w:left="0" w:right="0" w:firstLine="0"/>
        <w:jc w:val="left"/>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马玉峰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刘延新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桑传刚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王媛媛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胡传高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潘晓虎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26" w:name="bookmark526"/>
      <w:bookmarkStart w:id="527" w:name="bookmark527"/>
      <w:bookmarkStart w:id="528" w:name="bookmark528"/>
      <w:bookmarkStart w:id="529" w:name="bookmark529"/>
      <w:r>
        <w:rPr>
          <w:color w:val="000000"/>
          <w:spacing w:val="0"/>
          <w:w w:val="100"/>
          <w:position w:val="0"/>
          <w:sz w:val="24"/>
          <w:szCs w:val="24"/>
        </w:rPr>
        <w:t>五</w:t>
      </w:r>
      <w:bookmarkEnd w:id="528"/>
      <w:r>
        <w:rPr>
          <w:color w:val="000000"/>
          <w:spacing w:val="0"/>
          <w:w w:val="100"/>
          <w:position w:val="0"/>
          <w:sz w:val="24"/>
          <w:szCs w:val="24"/>
        </w:rPr>
        <w:t>、公司员工情况</w:t>
      </w:r>
      <w:bookmarkEnd w:id="526"/>
      <w:bookmarkEnd w:id="527"/>
      <w:bookmarkEnd w:id="529"/>
    </w:p>
    <w:p>
      <w:pPr>
        <w:pStyle w:val="Style30"/>
        <w:keepNext/>
        <w:keepLines/>
        <w:widowControl w:val="0"/>
        <w:shd w:val="clear" w:color="auto" w:fill="auto"/>
        <w:bidi w:val="0"/>
        <w:spacing w:before="0" w:after="30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1</w:t>
      </w:r>
      <w:bookmarkEnd w:id="532"/>
      <w:r>
        <w:rPr>
          <w:color w:val="000000"/>
          <w:spacing w:val="0"/>
          <w:w w:val="100"/>
          <w:position w:val="0"/>
        </w:rPr>
        <w:t>、员工数量、专业构成及教育程度</w:t>
      </w:r>
      <w:bookmarkEnd w:id="530"/>
      <w:bookmarkEnd w:id="531"/>
      <w:bookmarkEnd w:id="53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大专及以下学历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10,972</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2</w:t>
      </w:r>
      <w:bookmarkEnd w:id="536"/>
      <w:r>
        <w:rPr>
          <w:color w:val="000000"/>
          <w:spacing w:val="0"/>
          <w:w w:val="100"/>
          <w:position w:val="0"/>
        </w:rPr>
        <w:t>、薪酬政策</w:t>
      </w:r>
      <w:bookmarkEnd w:id="534"/>
      <w:bookmarkEnd w:id="535"/>
      <w:bookmarkEnd w:id="537"/>
    </w:p>
    <w:p>
      <w:pPr>
        <w:pStyle w:val="Style26"/>
        <w:keepNext w:val="0"/>
        <w:keepLines w:val="0"/>
        <w:widowControl w:val="0"/>
        <w:shd w:val="clear" w:color="auto" w:fill="auto"/>
        <w:bidi w:val="0"/>
        <w:spacing w:before="0" w:after="300" w:line="312" w:lineRule="exact"/>
        <w:ind w:left="0" w:right="0" w:firstLine="380"/>
        <w:jc w:val="both"/>
      </w:pPr>
      <w:r>
        <w:rPr>
          <w:color w:val="000000"/>
          <w:spacing w:val="0"/>
          <w:w w:val="100"/>
          <w:position w:val="0"/>
        </w:rPr>
        <w:t>公司的薪酬战略以公司总体经营发展战略为基础，并结合公司年度的营运目标、市场竞争状况，分解确立为年度薪酬管 理目标和策略。通过建立以岗位价值和绩效为导向形成的薪酬分配体系，保障核心管理人员和技术人员的稳定性；以及科学 的薪酬结构、带宽设置，规范的调整、计发规则，形成责权利相统一，报酬、贡献及风险相对称的激励约束机制，以提高员 工的工作积极性，促进员工工作业绩与素质的提高，实现公司效益的增长。</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319" w:lineRule="exact"/>
        <w:ind w:left="0" w:right="0" w:firstLine="380"/>
        <w:jc w:val="both"/>
      </w:pPr>
      <w:r>
        <w:rPr>
          <w:color w:val="000000"/>
          <w:spacing w:val="0"/>
          <w:w w:val="100"/>
          <w:position w:val="0"/>
        </w:rPr>
        <w:t>职工薪酬总额（计入主营成本部分）为</w:t>
      </w:r>
      <w:r>
        <w:rPr>
          <w:rFonts w:ascii="Times New Roman" w:eastAsia="Times New Roman" w:hAnsi="Times New Roman" w:cs="Times New Roman"/>
          <w:color w:val="000000"/>
          <w:spacing w:val="0"/>
          <w:w w:val="100"/>
          <w:position w:val="0"/>
        </w:rPr>
        <w:t>137,693.11</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职工薪酬总额（计入主营成本部分）及占公司主营业务成本总额 的比重为</w:t>
      </w:r>
      <w:r>
        <w:rPr>
          <w:rFonts w:ascii="Times New Roman" w:eastAsia="Times New Roman" w:hAnsi="Times New Roman" w:cs="Times New Roman"/>
          <w:color w:val="000000"/>
          <w:spacing w:val="0"/>
          <w:w w:val="100"/>
          <w:position w:val="0"/>
        </w:rPr>
        <w:t>78.35%</w:t>
      </w:r>
      <w:r>
        <w:rPr>
          <w:color w:val="000000"/>
          <w:spacing w:val="0"/>
          <w:w w:val="100"/>
          <w:position w:val="0"/>
        </w:rPr>
        <w:t>；归母净利润较上年增长</w:t>
      </w:r>
      <w:r>
        <w:rPr>
          <w:rFonts w:ascii="Times New Roman" w:eastAsia="Times New Roman" w:hAnsi="Times New Roman" w:cs="Times New Roman"/>
          <w:color w:val="000000"/>
          <w:spacing w:val="0"/>
          <w:w w:val="100"/>
          <w:position w:val="0"/>
        </w:rPr>
        <w:t>109.31%</w:t>
      </w:r>
      <w:r>
        <w:rPr>
          <w:color w:val="000000"/>
          <w:spacing w:val="0"/>
          <w:w w:val="100"/>
          <w:position w:val="0"/>
        </w:rPr>
        <w:t>,职工薪酬总额（计入主营成本部分）较上年增长</w:t>
      </w:r>
      <w:r>
        <w:rPr>
          <w:rFonts w:ascii="Times New Roman" w:eastAsia="Times New Roman" w:hAnsi="Times New Roman" w:cs="Times New Roman"/>
          <w:color w:val="000000"/>
          <w:spacing w:val="0"/>
          <w:w w:val="100"/>
          <w:position w:val="0"/>
        </w:rPr>
        <w:t>19.73%</w:t>
      </w:r>
      <w:r>
        <w:rPr>
          <w:color w:val="000000"/>
          <w:spacing w:val="0"/>
          <w:w w:val="100"/>
          <w:position w:val="0"/>
        </w:rPr>
        <w:t>,归母净利润增 长幅度大于职工薪酬总额（计入主营成本部分）增长幅度。</w:t>
      </w:r>
    </w:p>
    <w:p>
      <w:pPr>
        <w:pStyle w:val="Style26"/>
        <w:keepNext w:val="0"/>
        <w:keepLines w:val="0"/>
        <w:widowControl w:val="0"/>
        <w:shd w:val="clear" w:color="auto" w:fill="auto"/>
        <w:tabs>
          <w:tab w:pos="7863" w:val="left"/>
        </w:tabs>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年核心技术人员数量占技术人员数量比重为</w:t>
      </w:r>
      <w:r>
        <w:rPr>
          <w:rFonts w:ascii="Times New Roman" w:eastAsia="Times New Roman" w:hAnsi="Times New Roman" w:cs="Times New Roman"/>
          <w:color w:val="000000"/>
          <w:spacing w:val="0"/>
          <w:w w:val="100"/>
          <w:position w:val="0"/>
        </w:rPr>
        <w:t>2.47%</w:t>
      </w:r>
      <w:r>
        <w:rPr>
          <w:color w:val="000000"/>
          <w:spacing w:val="0"/>
          <w:w w:val="100"/>
          <w:position w:val="0"/>
        </w:rPr>
        <w:t>，其薪酬占技术人员薪酬比重为</w:t>
      </w:r>
      <w:r>
        <w:rPr>
          <w:rFonts w:ascii="Times New Roman" w:eastAsia="Times New Roman" w:hAnsi="Times New Roman" w:cs="Times New Roman"/>
          <w:color w:val="000000"/>
          <w:spacing w:val="0"/>
          <w:w w:val="100"/>
          <w:position w:val="0"/>
        </w:rPr>
        <w:t>6.49%</w:t>
      </w:r>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年核心技术人员数</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量占技术人员数量比重为</w:t>
      </w:r>
      <w:r>
        <w:rPr>
          <w:rFonts w:ascii="Times New Roman" w:eastAsia="Times New Roman" w:hAnsi="Times New Roman" w:cs="Times New Roman"/>
          <w:color w:val="000000"/>
          <w:spacing w:val="0"/>
          <w:w w:val="100"/>
          <w:position w:val="0"/>
        </w:rPr>
        <w:t>2.19%</w:t>
      </w:r>
      <w:r>
        <w:rPr>
          <w:color w:val="000000"/>
          <w:spacing w:val="0"/>
          <w:w w:val="100"/>
          <w:position w:val="0"/>
        </w:rPr>
        <w:t>，其薪酬占比</w:t>
      </w:r>
      <w:r>
        <w:rPr>
          <w:rFonts w:ascii="Times New Roman" w:eastAsia="Times New Roman" w:hAnsi="Times New Roman" w:cs="Times New Roman"/>
          <w:color w:val="000000"/>
          <w:spacing w:val="0"/>
          <w:w w:val="100"/>
          <w:position w:val="0"/>
        </w:rPr>
        <w:t>6.26%</w:t>
      </w:r>
      <w:r>
        <w:rPr>
          <w:color w:val="000000"/>
          <w:spacing w:val="0"/>
          <w:w w:val="100"/>
          <w:position w:val="0"/>
        </w:rPr>
        <w:t>，变动较小。</w:t>
      </w:r>
    </w:p>
    <w:p>
      <w:pPr>
        <w:pStyle w:val="Style30"/>
        <w:keepNext/>
        <w:keepLines/>
        <w:widowControl w:val="0"/>
        <w:shd w:val="clear" w:color="auto" w:fill="auto"/>
        <w:tabs>
          <w:tab w:pos="374" w:val="left"/>
        </w:tabs>
        <w:bidi w:val="0"/>
        <w:spacing w:before="0" w:after="260" w:line="240" w:lineRule="auto"/>
        <w:ind w:left="0" w:right="0" w:firstLine="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3</w:t>
      </w:r>
      <w:bookmarkEnd w:id="540"/>
      <w:r>
        <w:rPr>
          <w:color w:val="000000"/>
          <w:spacing w:val="0"/>
          <w:w w:val="100"/>
          <w:position w:val="0"/>
        </w:rPr>
        <w:t>、</w:t>
        <w:tab/>
        <w:t>培训计划</w:t>
      </w:r>
      <w:bookmarkEnd w:id="538"/>
      <w:bookmarkEnd w:id="539"/>
      <w:bookmarkEnd w:id="541"/>
    </w:p>
    <w:p>
      <w:pPr>
        <w:pStyle w:val="Style26"/>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公司以绩效改进和行动学习为核心，以提升员工职业技能、职业素养和公司绩效为目标，建立了以</w:t>
      </w:r>
      <w:r>
        <w:rPr>
          <w:rFonts w:ascii="Times New Roman" w:eastAsia="Times New Roman" w:hAnsi="Times New Roman" w:cs="Times New Roman"/>
          <w:color w:val="000000"/>
          <w:spacing w:val="0"/>
          <w:w w:val="100"/>
          <w:position w:val="0"/>
        </w:rPr>
        <w:t>“</w:t>
      </w:r>
      <w:r>
        <w:rPr>
          <w:color w:val="000000"/>
          <w:spacing w:val="0"/>
          <w:w w:val="100"/>
          <w:position w:val="0"/>
        </w:rPr>
        <w:t>岗前培训</w:t>
      </w:r>
      <w:r>
        <w:rPr>
          <w:rFonts w:ascii="Times New Roman" w:eastAsia="Times New Roman" w:hAnsi="Times New Roman" w:cs="Times New Roman"/>
          <w:color w:val="000000"/>
          <w:spacing w:val="0"/>
          <w:w w:val="100"/>
          <w:position w:val="0"/>
        </w:rPr>
        <w:t>+</w:t>
      </w:r>
      <w:r>
        <w:rPr>
          <w:color w:val="000000"/>
          <w:spacing w:val="0"/>
          <w:w w:val="100"/>
          <w:position w:val="0"/>
        </w:rPr>
        <w:t>在岗培训， 通用技能</w:t>
      </w:r>
      <w:r>
        <w:rPr>
          <w:rFonts w:ascii="Times New Roman" w:eastAsia="Times New Roman" w:hAnsi="Times New Roman" w:cs="Times New Roman"/>
          <w:color w:val="000000"/>
          <w:spacing w:val="0"/>
          <w:w w:val="100"/>
          <w:position w:val="0"/>
        </w:rPr>
        <w:t>+</w:t>
      </w:r>
      <w:r>
        <w:rPr>
          <w:color w:val="000000"/>
          <w:spacing w:val="0"/>
          <w:w w:val="100"/>
          <w:position w:val="0"/>
        </w:rPr>
        <w:t>专业技能</w:t>
      </w:r>
      <w:r>
        <w:rPr>
          <w:rFonts w:ascii="Times New Roman" w:eastAsia="Times New Roman" w:hAnsi="Times New Roman" w:cs="Times New Roman"/>
          <w:color w:val="000000"/>
          <w:spacing w:val="0"/>
          <w:w w:val="100"/>
          <w:position w:val="0"/>
        </w:rPr>
        <w:t>”</w:t>
      </w:r>
      <w:r>
        <w:rPr>
          <w:color w:val="000000"/>
          <w:spacing w:val="0"/>
          <w:w w:val="100"/>
          <w:position w:val="0"/>
        </w:rPr>
        <w:t>为基础的培训总体架构，并按照《年度培训计划》持续实施培训和相应的管理工作。目前，公司培训主 要分为新人导引类、管理干部类、项目管理类和技术类，并秉持资源充分利用的原则，合理开发内部培训资源和课程，建立 了科学的知识分享体系；在培训效果评估的基础上，对培训效果进行持续跟踪，并在此基础上，进行持续改进，以从培训效 果转化上，对公司各层次的人员培养提供有力地支撑。</w:t>
      </w:r>
    </w:p>
    <w:p>
      <w:pPr>
        <w:pStyle w:val="Style30"/>
        <w:keepNext/>
        <w:keepLines/>
        <w:widowControl w:val="0"/>
        <w:shd w:val="clear" w:color="auto" w:fill="auto"/>
        <w:tabs>
          <w:tab w:pos="374" w:val="left"/>
        </w:tabs>
        <w:bidi w:val="0"/>
        <w:spacing w:before="0" w:after="380" w:line="240" w:lineRule="auto"/>
        <w:ind w:left="0" w:right="0" w:firstLine="0"/>
        <w:jc w:val="both"/>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4</w:t>
      </w:r>
      <w:bookmarkEnd w:id="544"/>
      <w:r>
        <w:rPr>
          <w:color w:val="000000"/>
          <w:spacing w:val="0"/>
          <w:w w:val="100"/>
          <w:position w:val="0"/>
        </w:rPr>
        <w:t>、</w:t>
        <w:tab/>
        <w:t>劳务外包情况</w:t>
      </w:r>
      <w:bookmarkEnd w:id="542"/>
      <w:bookmarkEnd w:id="543"/>
      <w:bookmarkEnd w:id="545"/>
    </w:p>
    <w:p>
      <w:pPr>
        <w:pStyle w:val="Style26"/>
        <w:keepNext w:val="0"/>
        <w:keepLines w:val="0"/>
        <w:widowControl w:val="0"/>
        <w:shd w:val="clear" w:color="auto" w:fill="auto"/>
        <w:bidi w:val="0"/>
        <w:spacing w:before="0" w:after="320"/>
        <w:ind w:left="0" w:right="0" w:firstLine="0"/>
        <w:jc w:val="both"/>
        <w:sectPr>
          <w:footnotePr>
            <w:pos w:val="pageBottom"/>
            <w:numFmt w:val="decimal"/>
            <w:numRestart w:val="continuous"/>
          </w:footnotePr>
          <w:pgSz w:w="11900" w:h="16840"/>
          <w:pgMar w:top="1354" w:right="1076" w:bottom="1440"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3"/>
        <w:keepNext/>
        <w:keepLines/>
        <w:widowControl w:val="0"/>
        <w:shd w:val="clear" w:color="auto" w:fill="auto"/>
        <w:bidi w:val="0"/>
        <w:spacing w:before="520" w:after="560" w:line="240" w:lineRule="auto"/>
        <w:ind w:left="0" w:right="0" w:firstLine="0"/>
        <w:jc w:val="center"/>
      </w:pPr>
      <w:bookmarkStart w:id="546" w:name="bookmark546"/>
      <w:bookmarkStart w:id="547" w:name="bookmark547"/>
      <w:bookmarkStart w:id="548" w:name="bookmark548"/>
      <w:r>
        <w:rPr>
          <w:color w:val="000000"/>
          <w:spacing w:val="0"/>
          <w:w w:val="100"/>
          <w:position w:val="0"/>
        </w:rPr>
        <w:t>第十节公司治理</w:t>
      </w:r>
      <w:bookmarkEnd w:id="546"/>
      <w:bookmarkEnd w:id="547"/>
      <w:bookmarkEnd w:id="548"/>
    </w:p>
    <w:p>
      <w:pPr>
        <w:pStyle w:val="Style24"/>
        <w:keepNext/>
        <w:keepLines/>
        <w:widowControl w:val="0"/>
        <w:shd w:val="clear" w:color="auto" w:fill="auto"/>
        <w:tabs>
          <w:tab w:pos="635" w:val="left"/>
        </w:tabs>
        <w:bidi w:val="0"/>
        <w:spacing w:before="0" w:after="260" w:line="240" w:lineRule="auto"/>
        <w:ind w:left="0" w:right="0" w:firstLine="0"/>
        <w:jc w:val="left"/>
      </w:pPr>
      <w:bookmarkStart w:id="549" w:name="bookmark549"/>
      <w:bookmarkStart w:id="550" w:name="bookmark550"/>
      <w:bookmarkStart w:id="551" w:name="bookmark551"/>
      <w:bookmarkStart w:id="552" w:name="bookmark552"/>
      <w:bookmarkStart w:id="553" w:name="bookmark553"/>
      <w:r>
        <w:rPr>
          <w:color w:val="000000"/>
          <w:spacing w:val="0"/>
          <w:w w:val="100"/>
          <w:position w:val="0"/>
          <w:sz w:val="24"/>
          <w:szCs w:val="24"/>
        </w:rPr>
        <w:t>一</w:t>
      </w:r>
      <w:bookmarkEnd w:id="552"/>
      <w:r>
        <w:rPr>
          <w:color w:val="000000"/>
          <w:spacing w:val="0"/>
          <w:w w:val="100"/>
          <w:position w:val="0"/>
          <w:sz w:val="24"/>
          <w:szCs w:val="24"/>
        </w:rPr>
        <w:t>、</w:t>
        <w:tab/>
        <w:t>公司治理的基本状况</w:t>
      </w:r>
      <w:bookmarkEnd w:id="550"/>
      <w:bookmarkEnd w:id="551"/>
      <w:bookmarkEnd w:id="553"/>
      <w:bookmarkEnd w:id="549"/>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报告期内，公司严格按照《公司法》、《证券法》、《上市公司治理准则》、《深圳证券交易所创业板股票上市规则》、</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《深圳证券交易所创业板上市公司规范运作指引》和其他有关法律法规的要求，不断完善和进一步规范公司法人治理结构， 建立健全公司内部管理和控制制度。公司本着对投资者高度负责的精神，诚信经营并规范运作，提高公司治理水平，切实履 行上市公司义务，促进公司健康发展。截至报告期末，公司治理结构的实际情况符合中国证监会发布的有关上市公司治理规 范性文件的要求。</w:t>
      </w:r>
    </w:p>
    <w:p>
      <w:pPr>
        <w:pStyle w:val="Style26"/>
        <w:keepNext w:val="0"/>
        <w:keepLines w:val="0"/>
        <w:widowControl w:val="0"/>
        <w:shd w:val="clear" w:color="auto" w:fill="auto"/>
        <w:tabs>
          <w:tab w:pos="714" w:val="left"/>
        </w:tabs>
        <w:bidi w:val="0"/>
        <w:spacing w:before="0" w:after="0" w:line="314" w:lineRule="exact"/>
        <w:ind w:left="0" w:right="0" w:firstLine="380"/>
        <w:jc w:val="left"/>
      </w:pPr>
      <w:bookmarkStart w:id="554" w:name="bookmark554"/>
      <w:r>
        <w:rPr>
          <w:rFonts w:ascii="Times New Roman" w:eastAsia="Times New Roman" w:hAnsi="Times New Roman" w:cs="Times New Roman"/>
          <w:color w:val="000000"/>
          <w:spacing w:val="0"/>
          <w:w w:val="100"/>
          <w:position w:val="0"/>
        </w:rPr>
        <w:t>1</w:t>
      </w:r>
      <w:bookmarkEnd w:id="554"/>
      <w:r>
        <w:rPr>
          <w:color w:val="000000"/>
          <w:spacing w:val="0"/>
          <w:w w:val="100"/>
          <w:position w:val="0"/>
        </w:rPr>
        <w:t>、</w:t>
        <w:tab/>
        <w:t>关于股东和股东大会</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公司严格按照《公司法》、《公司章程》和《股东大会议事规则》等法律、法规要求，规范股东大会召集、召开、表决 程序，确保所有股东享有平等地位、平等权利，充分行使自己的权利，并承担相应的义务。</w:t>
      </w:r>
    </w:p>
    <w:p>
      <w:pPr>
        <w:pStyle w:val="Style26"/>
        <w:keepNext w:val="0"/>
        <w:keepLines w:val="0"/>
        <w:widowControl w:val="0"/>
        <w:shd w:val="clear" w:color="auto" w:fill="auto"/>
        <w:tabs>
          <w:tab w:pos="734" w:val="left"/>
        </w:tabs>
        <w:bidi w:val="0"/>
        <w:spacing w:before="0" w:after="0" w:line="314" w:lineRule="exact"/>
        <w:ind w:left="0" w:right="0" w:firstLine="380"/>
        <w:jc w:val="left"/>
      </w:pPr>
      <w:bookmarkStart w:id="555" w:name="bookmark555"/>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关于公司与控股股东</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公司控股股东没有直接或间接干预公司的决策和经营活动。公司具有独立的经营能力，在业务、人员、资产、机构、财 务上独立于控股股东，公司董事会、监事会和内部机构能够独立运作。</w:t>
      </w:r>
    </w:p>
    <w:p>
      <w:pPr>
        <w:pStyle w:val="Style26"/>
        <w:keepNext w:val="0"/>
        <w:keepLines w:val="0"/>
        <w:widowControl w:val="0"/>
        <w:shd w:val="clear" w:color="auto" w:fill="auto"/>
        <w:tabs>
          <w:tab w:pos="734" w:val="left"/>
        </w:tabs>
        <w:bidi w:val="0"/>
        <w:spacing w:before="0" w:after="0" w:line="314" w:lineRule="exact"/>
        <w:ind w:left="0" w:right="0" w:firstLine="380"/>
        <w:jc w:val="left"/>
      </w:pPr>
      <w:bookmarkStart w:id="556" w:name="bookmark556"/>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关于董事与董事会</w:t>
      </w:r>
    </w:p>
    <w:p>
      <w:pPr>
        <w:pStyle w:val="Style26"/>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月公司董事会进行了换届选举，换届后《公司章程》规定董事会由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名。换届后报 告期内公司实际董事为</w:t>
      </w:r>
      <w:r>
        <w:rPr>
          <w:rFonts w:ascii="Times New Roman" w:eastAsia="Times New Roman" w:hAnsi="Times New Roman" w:cs="Times New Roman"/>
          <w:color w:val="000000"/>
          <w:spacing w:val="0"/>
          <w:w w:val="100"/>
          <w:position w:val="0"/>
        </w:rPr>
        <w:t>9</w:t>
      </w:r>
      <w:r>
        <w:rPr>
          <w:color w:val="000000"/>
          <w:spacing w:val="0"/>
          <w:w w:val="100"/>
          <w:position w:val="0"/>
        </w:rPr>
        <w:t>名，董事会的人数及人员构成符合法律、法规和《公司章程》的要求。各位董事能够严格按照《公 司法》、《公司章程》和《董事会议事规则》等法律、法规开展工作，诚信、勤勉地履行职责，出席董事会会议和股东大会, 勤勉尽责地履行职责和义务，同时积极参加有关培训，熟悉有关法律法规。</w:t>
      </w:r>
    </w:p>
    <w:p>
      <w:pPr>
        <w:pStyle w:val="Style26"/>
        <w:keepNext w:val="0"/>
        <w:keepLines w:val="0"/>
        <w:widowControl w:val="0"/>
        <w:shd w:val="clear" w:color="auto" w:fill="auto"/>
        <w:tabs>
          <w:tab w:pos="734" w:val="left"/>
        </w:tabs>
        <w:bidi w:val="0"/>
        <w:spacing w:before="0" w:after="0" w:line="314" w:lineRule="exact"/>
        <w:ind w:left="0" w:right="0" w:firstLine="380"/>
        <w:jc w:val="left"/>
      </w:pPr>
      <w:bookmarkStart w:id="557" w:name="bookmark557"/>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监事与监事会</w:t>
      </w:r>
    </w:p>
    <w:p>
      <w:pPr>
        <w:pStyle w:val="Style26"/>
        <w:keepNext w:val="0"/>
        <w:keepLines w:val="0"/>
        <w:widowControl w:val="0"/>
        <w:shd w:val="clear" w:color="auto" w:fill="auto"/>
        <w:bidi w:val="0"/>
        <w:spacing w:before="0" w:after="0" w:line="314" w:lineRule="exact"/>
        <w:ind w:left="0" w:right="0" w:firstLine="3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月公司监事会进行了换届选举，公司监事会设监事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 规的要求。各位监事严格按照《公司法》、《公司章程》和《监事会议事规则》的有关规定认真履行职责，对公司财务状况、 重大事项、关联交易以及公司董事及高级管理人员履行职责的合法合规性进行监督，维护公司及股东的合法权益。</w:t>
      </w:r>
    </w:p>
    <w:p>
      <w:pPr>
        <w:pStyle w:val="Style26"/>
        <w:keepNext w:val="0"/>
        <w:keepLines w:val="0"/>
        <w:widowControl w:val="0"/>
        <w:shd w:val="clear" w:color="auto" w:fill="auto"/>
        <w:tabs>
          <w:tab w:pos="734" w:val="left"/>
        </w:tabs>
        <w:bidi w:val="0"/>
        <w:spacing w:before="0" w:after="0" w:line="314" w:lineRule="exact"/>
        <w:ind w:left="0" w:right="0" w:firstLine="380"/>
        <w:jc w:val="left"/>
      </w:pPr>
      <w:bookmarkStart w:id="558" w:name="bookmark558"/>
      <w:r>
        <w:rPr>
          <w:rFonts w:ascii="Times New Roman" w:eastAsia="Times New Roman" w:hAnsi="Times New Roman" w:cs="Times New Roman"/>
          <w:color w:val="000000"/>
          <w:spacing w:val="0"/>
          <w:w w:val="100"/>
          <w:position w:val="0"/>
        </w:rPr>
        <w:t>5</w:t>
      </w:r>
      <w:bookmarkEnd w:id="558"/>
      <w:r>
        <w:rPr>
          <w:color w:val="000000"/>
          <w:spacing w:val="0"/>
          <w:w w:val="100"/>
          <w:position w:val="0"/>
        </w:rPr>
        <w:t>、</w:t>
        <w:tab/>
        <w:t>关于绩效评价与激励约束机制</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公司董事会下设的薪酬与考核委员会负责对公司的董事、监事、高级管理人员进行绩效考核，公司现有的考核及激励约 束机制符合公司的发展现状。</w:t>
      </w:r>
    </w:p>
    <w:p>
      <w:pPr>
        <w:pStyle w:val="Style26"/>
        <w:keepNext w:val="0"/>
        <w:keepLines w:val="0"/>
        <w:widowControl w:val="0"/>
        <w:shd w:val="clear" w:color="auto" w:fill="auto"/>
        <w:tabs>
          <w:tab w:pos="734" w:val="left"/>
        </w:tabs>
        <w:bidi w:val="0"/>
        <w:spacing w:before="0" w:after="0" w:line="314" w:lineRule="exact"/>
        <w:ind w:left="0" w:right="0" w:firstLine="380"/>
        <w:jc w:val="left"/>
      </w:pPr>
      <w:bookmarkStart w:id="559" w:name="bookmark559"/>
      <w:r>
        <w:rPr>
          <w:rFonts w:ascii="Times New Roman" w:eastAsia="Times New Roman" w:hAnsi="Times New Roman" w:cs="Times New Roman"/>
          <w:color w:val="000000"/>
          <w:spacing w:val="0"/>
          <w:w w:val="100"/>
          <w:position w:val="0"/>
        </w:rPr>
        <w:t>6</w:t>
      </w:r>
      <w:bookmarkEnd w:id="559"/>
      <w:r>
        <w:rPr>
          <w:color w:val="000000"/>
          <w:spacing w:val="0"/>
          <w:w w:val="100"/>
          <w:position w:val="0"/>
        </w:rPr>
        <w:t>、</w:t>
        <w:tab/>
        <w:t>关于信息披露与透明度</w:t>
      </w:r>
    </w:p>
    <w:p>
      <w:pPr>
        <w:pStyle w:val="Style26"/>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w:t>
      </w:r>
      <w:r>
        <w:rPr>
          <w:rFonts w:ascii="Times New Roman" w:eastAsia="Times New Roman" w:hAnsi="Times New Roman" w:cs="Times New Roman"/>
          <w:color w:val="000000"/>
          <w:spacing w:val="0"/>
          <w:w w:val="100"/>
          <w:position w:val="0"/>
        </w:rPr>
        <w:t>,</w:t>
      </w:r>
      <w:r>
        <w:rPr>
          <w:color w:val="000000"/>
          <w:spacing w:val="0"/>
          <w:w w:val="100"/>
          <w:position w:val="0"/>
        </w:rPr>
        <w:t>回答投资者咨 询，向投资者提供公司已披露的资料；并指定《证券时报》、《上海证券报》、《证券日报》和巨潮资讯网(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 xml:space="preserve">) </w:t>
      </w:r>
      <w:r>
        <w:rPr>
          <w:color w:val="000000"/>
          <w:spacing w:val="0"/>
          <w:w w:val="100"/>
          <w:position w:val="0"/>
        </w:rPr>
        <w:t>为公司信息披露的指定报纸和网站，确保公司所有股东能够以平等的机会获得信息。</w:t>
      </w:r>
    </w:p>
    <w:p>
      <w:pPr>
        <w:pStyle w:val="Style26"/>
        <w:keepNext w:val="0"/>
        <w:keepLines w:val="0"/>
        <w:widowControl w:val="0"/>
        <w:shd w:val="clear" w:color="auto" w:fill="auto"/>
        <w:tabs>
          <w:tab w:pos="734" w:val="left"/>
        </w:tabs>
        <w:bidi w:val="0"/>
        <w:spacing w:before="0" w:after="0" w:line="314" w:lineRule="exact"/>
        <w:ind w:left="0" w:right="0" w:firstLine="380"/>
        <w:jc w:val="both"/>
      </w:pPr>
      <w:bookmarkStart w:id="560" w:name="bookmark560"/>
      <w:r>
        <w:rPr>
          <w:rFonts w:ascii="Times New Roman" w:eastAsia="Times New Roman" w:hAnsi="Times New Roman" w:cs="Times New Roman"/>
          <w:color w:val="000000"/>
          <w:spacing w:val="0"/>
          <w:w w:val="100"/>
          <w:position w:val="0"/>
        </w:rPr>
        <w:t>7</w:t>
      </w:r>
      <w:bookmarkEnd w:id="560"/>
      <w:r>
        <w:rPr>
          <w:color w:val="000000"/>
          <w:spacing w:val="0"/>
          <w:w w:val="100"/>
          <w:position w:val="0"/>
        </w:rPr>
        <w:t>、</w:t>
        <w:tab/>
        <w:t>关于相关利益者</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公司能够充分尊重和维护相关利益者的合法权益，积极与相关利益者合作，加强与各方的沟通和交流，实现股东、员工、 社会等各方面的均衡，共同推动公司持续、稳定、健康地发展。</w:t>
      </w:r>
    </w:p>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二</w:t>
      </w:r>
      <w:bookmarkEnd w:id="563"/>
      <w:r>
        <w:rPr>
          <w:color w:val="000000"/>
          <w:spacing w:val="0"/>
          <w:w w:val="100"/>
          <w:position w:val="0"/>
          <w:sz w:val="24"/>
          <w:szCs w:val="24"/>
        </w:rPr>
        <w:t>、 公司相对于控股股东在业务、人员、资产、机构、财务等方面的独立情况</w:t>
      </w:r>
      <w:bookmarkEnd w:id="561"/>
      <w:bookmarkEnd w:id="562"/>
      <w:bookmarkEnd w:id="564"/>
    </w:p>
    <w:p>
      <w:pPr>
        <w:pStyle w:val="Style26"/>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 xml:space="preserve">公司自成立以来严格按照《公司法》、《证券法》等有关法律、法规和《公司章程》的要求规范运作，在业务、资产、 </w:t>
      </w:r>
      <w:r>
        <w:rPr>
          <w:color w:val="000000"/>
          <w:spacing w:val="0"/>
          <w:w w:val="100"/>
          <w:position w:val="0"/>
        </w:rPr>
        <w:t>人员、机构和财务等方面相互独立，具有完整的业务系统及面向市场独立经营的能力，具体情况如下：</w:t>
      </w:r>
    </w:p>
    <w:p>
      <w:pPr>
        <w:pStyle w:val="Style26"/>
        <w:keepNext w:val="0"/>
        <w:keepLines w:val="0"/>
        <w:widowControl w:val="0"/>
        <w:shd w:val="clear" w:color="auto" w:fill="auto"/>
        <w:tabs>
          <w:tab w:pos="706" w:val="left"/>
        </w:tabs>
        <w:bidi w:val="0"/>
        <w:spacing w:before="0" w:after="0"/>
        <w:ind w:left="0" w:right="0" w:firstLine="380"/>
        <w:jc w:val="left"/>
      </w:pPr>
      <w:bookmarkStart w:id="565" w:name="bookmark565"/>
      <w:r>
        <w:rPr>
          <w:rFonts w:ascii="Times New Roman" w:eastAsia="Times New Roman" w:hAnsi="Times New Roman" w:cs="Times New Roman"/>
          <w:color w:val="000000"/>
          <w:spacing w:val="0"/>
          <w:w w:val="100"/>
          <w:position w:val="0"/>
        </w:rPr>
        <w:t>1</w:t>
      </w:r>
      <w:bookmarkEnd w:id="565"/>
      <w:r>
        <w:rPr>
          <w:color w:val="000000"/>
          <w:spacing w:val="0"/>
          <w:w w:val="100"/>
          <w:position w:val="0"/>
        </w:rPr>
        <w:t>、</w:t>
        <w:tab/>
        <w:t>资产独立</w:t>
      </w:r>
    </w:p>
    <w:p>
      <w:pPr>
        <w:pStyle w:val="Style26"/>
        <w:keepNext w:val="0"/>
        <w:keepLines w:val="0"/>
        <w:widowControl w:val="0"/>
        <w:shd w:val="clear" w:color="auto" w:fill="auto"/>
        <w:bidi w:val="0"/>
        <w:spacing w:before="0" w:after="100" w:line="312" w:lineRule="exact"/>
        <w:ind w:left="0" w:right="0" w:firstLine="380"/>
        <w:jc w:val="left"/>
      </w:pPr>
      <w:r>
        <w:rPr>
          <w:color w:val="000000"/>
          <w:spacing w:val="0"/>
          <w:w w:val="100"/>
          <w:position w:val="0"/>
        </w:rPr>
        <w:t>公司拥有独立固定的生产经营场所，拥有独立完整的研发、设计、采购、生产和销售配套设施及资产，对相关的设备、 厂房、土地、以及商标、非专利技术等资产均拥有合法的所有权或使用权，不存在依靠股东的生产经营场所进行生产经营的 情况，不存在以公司资产、权益或信誉为股东提供担保的情况。</w:t>
      </w:r>
    </w:p>
    <w:p>
      <w:pPr>
        <w:pStyle w:val="Style26"/>
        <w:keepNext w:val="0"/>
        <w:keepLines w:val="0"/>
        <w:widowControl w:val="0"/>
        <w:shd w:val="clear" w:color="auto" w:fill="auto"/>
        <w:tabs>
          <w:tab w:pos="726" w:val="left"/>
        </w:tabs>
        <w:bidi w:val="0"/>
        <w:spacing w:before="0" w:after="0"/>
        <w:ind w:left="0" w:right="0" w:firstLine="380"/>
        <w:jc w:val="both"/>
      </w:pPr>
      <w:bookmarkStart w:id="566" w:name="bookmark566"/>
      <w:r>
        <w:rPr>
          <w:rFonts w:ascii="Times New Roman" w:eastAsia="Times New Roman" w:hAnsi="Times New Roman" w:cs="Times New Roman"/>
          <w:color w:val="000000"/>
          <w:spacing w:val="0"/>
          <w:w w:val="100"/>
          <w:position w:val="0"/>
        </w:rPr>
        <w:t>2</w:t>
      </w:r>
      <w:bookmarkEnd w:id="566"/>
      <w:r>
        <w:rPr>
          <w:color w:val="000000"/>
          <w:spacing w:val="0"/>
          <w:w w:val="100"/>
          <w:position w:val="0"/>
        </w:rPr>
        <w:t>、</w:t>
        <w:tab/>
        <w:t>人员独立</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公司董事、监事、高级管理人员均严格按照《公司法》、《公司章程》等规定的程序选举或聘任产生；公司高级管理人 员不存在在控股股东、实际控制人及其控制的其他企业中担任除董事、监事以外的其他职务，或在控股股东、实际控制人及 其控制的其他企业领薪的情形；公司财务人员不存在在控股股东、实际控制人及其控制的其他企业中兼职的情形。公司拥有 独立、完整的人事管理体系，制定了独立的劳动人事管理制度，由公司独立与员工签订劳动合同。</w:t>
      </w:r>
    </w:p>
    <w:p>
      <w:pPr>
        <w:pStyle w:val="Style26"/>
        <w:keepNext w:val="0"/>
        <w:keepLines w:val="0"/>
        <w:widowControl w:val="0"/>
        <w:shd w:val="clear" w:color="auto" w:fill="auto"/>
        <w:tabs>
          <w:tab w:pos="726" w:val="left"/>
        </w:tabs>
        <w:bidi w:val="0"/>
        <w:spacing w:before="0" w:after="0"/>
        <w:ind w:left="0" w:right="0" w:firstLine="380"/>
        <w:jc w:val="both"/>
      </w:pPr>
      <w:bookmarkStart w:id="567" w:name="bookmark567"/>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财务独立</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公司设立了独立的财务会计部门，配备了专职的财务人员，建立了独立的会计核算体系，制定了独立的财务管理制度及 各项内部控制制度，独立进行会计核算和财务决策。公司拥有独立银行账户，依法独立纳税。公司不存在与控股股东、实际 控制人及其控制的其他企业共用银行账户的情形。报告期期初至本报告披露日，公司存在控股股东资金占用的情形，截至本 报告披露日，公司已对资金占用问题进行自查自纠，并已收回全部资金占用的本金及利息。</w:t>
      </w:r>
    </w:p>
    <w:p>
      <w:pPr>
        <w:pStyle w:val="Style26"/>
        <w:keepNext w:val="0"/>
        <w:keepLines w:val="0"/>
        <w:widowControl w:val="0"/>
        <w:shd w:val="clear" w:color="auto" w:fill="auto"/>
        <w:tabs>
          <w:tab w:pos="726" w:val="left"/>
        </w:tabs>
        <w:bidi w:val="0"/>
        <w:spacing w:before="0" w:after="0"/>
        <w:ind w:left="0" w:right="0" w:firstLine="380"/>
        <w:jc w:val="both"/>
      </w:pPr>
      <w:bookmarkStart w:id="568" w:name="bookmark568"/>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机构独立</w:t>
      </w:r>
    </w:p>
    <w:p>
      <w:pPr>
        <w:pStyle w:val="Style26"/>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公司根据《公司法》和《公司章程》的要求，设置股东大会作为最高权力机构、设置董事会为决策机构、设置监事会为 监督机构，并设有相应的办公机构和经营部门，各职能部门分工协作，形成有机的独立运营主体，不受控股股东和实际控制 人的干预，与控股股东在机构设置、人员及办公场所等方面完全分开，不存在混合经营、合署办公的情形。</w:t>
      </w:r>
    </w:p>
    <w:p>
      <w:pPr>
        <w:pStyle w:val="Style26"/>
        <w:keepNext w:val="0"/>
        <w:keepLines w:val="0"/>
        <w:widowControl w:val="0"/>
        <w:shd w:val="clear" w:color="auto" w:fill="auto"/>
        <w:tabs>
          <w:tab w:pos="726" w:val="left"/>
        </w:tabs>
        <w:bidi w:val="0"/>
        <w:spacing w:before="0" w:after="0"/>
        <w:ind w:left="0" w:right="0" w:firstLine="380"/>
        <w:jc w:val="both"/>
      </w:pPr>
      <w:bookmarkStart w:id="569" w:name="bookmark569"/>
      <w:r>
        <w:rPr>
          <w:rFonts w:ascii="Times New Roman" w:eastAsia="Times New Roman" w:hAnsi="Times New Roman" w:cs="Times New Roman"/>
          <w:color w:val="000000"/>
          <w:spacing w:val="0"/>
          <w:w w:val="100"/>
          <w:position w:val="0"/>
        </w:rPr>
        <w:t>5</w:t>
      </w:r>
      <w:bookmarkEnd w:id="569"/>
      <w:r>
        <w:rPr>
          <w:color w:val="000000"/>
          <w:spacing w:val="0"/>
          <w:w w:val="100"/>
          <w:position w:val="0"/>
        </w:rPr>
        <w:t>、</w:t>
        <w:tab/>
        <w:t>业务独立</w:t>
      </w:r>
    </w:p>
    <w:p>
      <w:pPr>
        <w:pStyle w:val="Style26"/>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公司主要从事面向国际、国内客户提供软件和信息技术服务，在业务上独立于股东和其他关联方，拥有独立完整的产、 供、销系统和研发业务环节，独立开展业务，与控股股东、实际控制人及其控制的其他企业之间不存在同业竞争或显失公平 的关联交易，具备直接面向市场的独立经营能力。</w:t>
      </w:r>
    </w:p>
    <w:p>
      <w:pPr>
        <w:pStyle w:val="Style24"/>
        <w:keepNext/>
        <w:keepLines/>
        <w:widowControl w:val="0"/>
        <w:shd w:val="clear" w:color="auto" w:fill="auto"/>
        <w:tabs>
          <w:tab w:pos="607" w:val="left"/>
        </w:tabs>
        <w:bidi w:val="0"/>
        <w:spacing w:before="0" w:after="34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三</w:t>
      </w:r>
      <w:bookmarkEnd w:id="572"/>
      <w:r>
        <w:rPr>
          <w:color w:val="000000"/>
          <w:spacing w:val="0"/>
          <w:w w:val="100"/>
          <w:position w:val="0"/>
          <w:sz w:val="24"/>
          <w:szCs w:val="24"/>
        </w:rPr>
        <w:t>、</w:t>
        <w:tab/>
        <w:t>同业竞争情况</w:t>
      </w:r>
      <w:bookmarkEnd w:id="570"/>
      <w:bookmarkEnd w:id="571"/>
      <w:bookmarkEnd w:id="573"/>
    </w:p>
    <w:p>
      <w:pPr>
        <w:pStyle w:val="Style26"/>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607" w:val="left"/>
        </w:tabs>
        <w:bidi w:val="0"/>
        <w:spacing w:before="0" w:after="34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四</w:t>
      </w:r>
      <w:bookmarkEnd w:id="576"/>
      <w:r>
        <w:rPr>
          <w:color w:val="000000"/>
          <w:spacing w:val="0"/>
          <w:w w:val="100"/>
          <w:position w:val="0"/>
          <w:sz w:val="24"/>
          <w:szCs w:val="24"/>
        </w:rPr>
        <w:t>、</w:t>
        <w:tab/>
        <w:t>报告期内召开的年度股东大会和临时股东大会的有关情况</w:t>
      </w:r>
      <w:bookmarkEnd w:id="574"/>
      <w:bookmarkEnd w:id="575"/>
      <w:bookmarkEnd w:id="577"/>
    </w:p>
    <w:p>
      <w:pPr>
        <w:pStyle w:val="Style30"/>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、本报告期股东大会情况</w:t>
      </w:r>
      <w:bookmarkEnd w:id="578"/>
      <w:bookmarkEnd w:id="579"/>
      <w:bookmarkEnd w:id="581"/>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2020-018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2020-030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2020-059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巨潮资讯网，公告编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2020-089</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bookmarkEnd w:id="584"/>
      <w:r>
        <w:rPr>
          <w:color w:val="000000"/>
          <w:spacing w:val="0"/>
          <w:w w:val="100"/>
          <w:position w:val="0"/>
        </w:rPr>
        <w:t>、表决权恢复的优先股股东请求召开临时股东大会</w:t>
      </w:r>
      <w:bookmarkEnd w:id="582"/>
      <w:bookmarkEnd w:id="583"/>
      <w:bookmarkEnd w:id="585"/>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586" w:name="bookmark586"/>
      <w:bookmarkStart w:id="587" w:name="bookmark587"/>
      <w:bookmarkStart w:id="588" w:name="bookmark588"/>
      <w:bookmarkStart w:id="589" w:name="bookmark589"/>
      <w:r>
        <w:rPr>
          <w:color w:val="000000"/>
          <w:spacing w:val="0"/>
          <w:w w:val="100"/>
          <w:position w:val="0"/>
          <w:sz w:val="24"/>
          <w:szCs w:val="24"/>
        </w:rPr>
        <w:t>五</w:t>
      </w:r>
      <w:bookmarkEnd w:id="588"/>
      <w:r>
        <w:rPr>
          <w:color w:val="000000"/>
          <w:spacing w:val="0"/>
          <w:w w:val="100"/>
          <w:position w:val="0"/>
          <w:sz w:val="24"/>
          <w:szCs w:val="24"/>
        </w:rPr>
        <w:t>、报告期内独立董事履行职责的情况</w:t>
      </w:r>
      <w:bookmarkEnd w:id="586"/>
      <w:bookmarkEnd w:id="587"/>
      <w:bookmarkEnd w:id="589"/>
    </w:p>
    <w:p>
      <w:pPr>
        <w:pStyle w:val="Style30"/>
        <w:keepNext/>
        <w:keepLines/>
        <w:widowControl w:val="0"/>
        <w:shd w:val="clear" w:color="auto" w:fill="auto"/>
        <w:bidi w:val="0"/>
        <w:spacing w:before="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、独立董事出席董事会及股东大会的情况</w:t>
      </w:r>
      <w:bookmarkEnd w:id="590"/>
      <w:bookmarkEnd w:id="591"/>
      <w:bookmarkEnd w:id="59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杨春福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葛素云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洪磊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连续两次未亲自出席董事会的说明</w:t>
      </w:r>
    </w:p>
    <w:p>
      <w:pPr>
        <w:pStyle w:val="Style30"/>
        <w:keepNext/>
        <w:keepLines/>
        <w:widowControl w:val="0"/>
        <w:shd w:val="clear" w:color="auto" w:fill="auto"/>
        <w:bidi w:val="0"/>
        <w:spacing w:before="0" w:line="240" w:lineRule="auto"/>
        <w:ind w:left="0" w:right="0" w:firstLine="0"/>
        <w:jc w:val="both"/>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2</w:t>
      </w:r>
      <w:bookmarkEnd w:id="596"/>
      <w:r>
        <w:rPr>
          <w:color w:val="000000"/>
          <w:spacing w:val="0"/>
          <w:w w:val="100"/>
          <w:position w:val="0"/>
        </w:rPr>
        <w:t>、独立董事对公司有关事项提出异议的情况</w:t>
      </w:r>
      <w:bookmarkEnd w:id="594"/>
      <w:bookmarkEnd w:id="595"/>
      <w:bookmarkEnd w:id="597"/>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独立董事提出异议的事项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异议的内容</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关于北京联创智融信息技术有限公司应 收账款收回及补偿情况的议案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本次应收账款收回及补偿情况事项不属 于《公司法》、《公司章程》规定的需公 司董事会审议决议的事项，本事项无需 由公司董事会会议审议，故本人不参加 表决，对该议案投弃权票。</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关于转让控股子公司部分股权的议案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对公司转让标的股权的合理性、必要性 不能理解，对转让价格的确定无法认可， 故无法对此议案进行同意或反对表决， 投弃权票。</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独立董事对公司有关事项提出异议的说 明</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《关于北京联创智融信息技术有限公司应收账款收回及补偿情况的议案》为第五 届董事会第五十三次会议审议议案，《关于转让控股子公司部分股权的议案》为第 五届董事会第五十五次会议审议议案，详细情况请见公司在中国证监会指定的创 业板信息披露网站的相关公告，公告编号：</w:t>
            </w:r>
            <w:r>
              <w:rPr>
                <w:rFonts w:ascii="Times New Roman" w:eastAsia="Times New Roman" w:hAnsi="Times New Roman" w:cs="Times New Roman"/>
                <w:color w:val="000000"/>
                <w:spacing w:val="0"/>
                <w:w w:val="100"/>
                <w:position w:val="0"/>
              </w:rPr>
              <w:t>2020-003</w:t>
            </w:r>
            <w:r>
              <w:rPr>
                <w:color w:val="000000"/>
                <w:spacing w:val="0"/>
                <w:w w:val="100"/>
                <w:position w:val="0"/>
              </w:rPr>
              <w:t>、</w:t>
            </w:r>
            <w:r>
              <w:rPr>
                <w:rFonts w:ascii="Times New Roman" w:eastAsia="Times New Roman" w:hAnsi="Times New Roman" w:cs="Times New Roman"/>
                <w:color w:val="000000"/>
                <w:spacing w:val="0"/>
                <w:w w:val="100"/>
                <w:position w:val="0"/>
              </w:rPr>
              <w:t>2020-013</w:t>
            </w: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3</w:t>
      </w:r>
      <w:bookmarkEnd w:id="600"/>
      <w:r>
        <w:rPr>
          <w:color w:val="000000"/>
          <w:spacing w:val="0"/>
          <w:w w:val="100"/>
          <w:position w:val="0"/>
        </w:rPr>
        <w:t>、独立董事履行职责的其他说明</w:t>
      </w:r>
      <w:bookmarkEnd w:id="598"/>
      <w:bookmarkEnd w:id="599"/>
      <w:bookmarkEnd w:id="601"/>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报告期内，公司独立董事勤勉尽责，严格按照中国证监会的相关法规、《公司章程》、《董事会议事规则》及《独立董事工 作规则》等开展工作，积极参加报告期内的历次会议，了解和关注公司生产经营和依法运作情况，对公司的内部控制建设、 管理体系建设和重大决策提出了专业性建议，对公司财务及经营活动进行了有效监督，促进公司董事会决策及决策程序的科 学化，为完善公司监督机制，维护公司和全体股东的合法权益发挥了积极的作用。</w:t>
      </w:r>
    </w:p>
    <w:p>
      <w:pPr>
        <w:pStyle w:val="Style24"/>
        <w:keepNext/>
        <w:keepLines/>
        <w:widowControl w:val="0"/>
        <w:shd w:val="clear" w:color="auto" w:fill="auto"/>
        <w:tabs>
          <w:tab w:pos="584" w:val="left"/>
        </w:tabs>
        <w:bidi w:val="0"/>
        <w:spacing w:before="0" w:after="2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六</w:t>
      </w:r>
      <w:bookmarkEnd w:id="604"/>
      <w:r>
        <w:rPr>
          <w:color w:val="000000"/>
          <w:spacing w:val="0"/>
          <w:w w:val="100"/>
          <w:position w:val="0"/>
          <w:sz w:val="24"/>
          <w:szCs w:val="24"/>
        </w:rPr>
        <w:t>、</w:t>
        <w:tab/>
        <w:t>董事会下设专门委员会在报告期内履行职责情况</w:t>
      </w:r>
      <w:bookmarkEnd w:id="602"/>
      <w:bookmarkEnd w:id="603"/>
      <w:bookmarkEnd w:id="605"/>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公司董事会下设战略、审计、提名、薪酬与考核四个专门委员会。</w:t>
      </w:r>
      <w:r>
        <w:rPr>
          <w:rFonts w:ascii="Times New Roman" w:eastAsia="Times New Roman" w:hAnsi="Times New Roman" w:cs="Times New Roman"/>
          <w:color w:val="000000"/>
          <w:spacing w:val="0"/>
          <w:w w:val="100"/>
          <w:position w:val="0"/>
        </w:rPr>
        <w:t>2020</w:t>
      </w:r>
      <w:r>
        <w:rPr>
          <w:color w:val="000000"/>
          <w:spacing w:val="0"/>
          <w:w w:val="100"/>
          <w:position w:val="0"/>
        </w:rPr>
        <w:t>年度，各专门委员会依据公司章程、董事会议事 规则、各专门委员会工作细则等规定履行职责。</w:t>
      </w:r>
      <w:r>
        <w:rPr>
          <w:rFonts w:ascii="Times New Roman" w:eastAsia="Times New Roman" w:hAnsi="Times New Roman" w:cs="Times New Roman"/>
          <w:color w:val="000000"/>
          <w:spacing w:val="0"/>
          <w:w w:val="100"/>
          <w:position w:val="0"/>
        </w:rPr>
        <w:t>2020</w:t>
      </w:r>
      <w:r>
        <w:rPr>
          <w:color w:val="000000"/>
          <w:spacing w:val="0"/>
          <w:w w:val="100"/>
          <w:position w:val="0"/>
        </w:rPr>
        <w:t>年度各专门委员会召开具体情况如下：</w:t>
      </w:r>
    </w:p>
    <w:p>
      <w:pPr>
        <w:pStyle w:val="Style26"/>
        <w:keepNext w:val="0"/>
        <w:keepLines w:val="0"/>
        <w:widowControl w:val="0"/>
        <w:shd w:val="clear" w:color="auto" w:fill="auto"/>
        <w:tabs>
          <w:tab w:pos="689" w:val="left"/>
        </w:tabs>
        <w:bidi w:val="0"/>
        <w:spacing w:before="0" w:after="0" w:line="314" w:lineRule="exact"/>
        <w:ind w:left="0" w:right="0" w:firstLine="380"/>
        <w:jc w:val="both"/>
      </w:pPr>
      <w:bookmarkStart w:id="606" w:name="bookmark606"/>
      <w:r>
        <w:rPr>
          <w:rFonts w:ascii="Times New Roman" w:eastAsia="Times New Roman" w:hAnsi="Times New Roman" w:cs="Times New Roman"/>
          <w:color w:val="000000"/>
          <w:spacing w:val="0"/>
          <w:w w:val="100"/>
          <w:position w:val="0"/>
        </w:rPr>
        <w:t>1</w:t>
      </w:r>
      <w:bookmarkEnd w:id="606"/>
      <w:r>
        <w:rPr>
          <w:color w:val="000000"/>
          <w:spacing w:val="0"/>
          <w:w w:val="100"/>
          <w:position w:val="0"/>
        </w:rPr>
        <w:t>、</w:t>
        <w:tab/>
        <w:t>战略委员会履职情况</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报告期内，战略委员会根据公司《章程》、《董事会战略委员会工作细则》等有关规定，积极履行职责，在充分分析行 业环境、市场形势及公司实际经营情况等的前提下及时进行战略规划研究。</w:t>
      </w:r>
      <w:r>
        <w:rPr>
          <w:rFonts w:ascii="Times New Roman" w:eastAsia="Times New Roman" w:hAnsi="Times New Roman" w:cs="Times New Roman"/>
          <w:color w:val="000000"/>
          <w:spacing w:val="0"/>
          <w:w w:val="100"/>
          <w:position w:val="0"/>
        </w:rPr>
        <w:t>2020</w:t>
      </w:r>
      <w:r>
        <w:rPr>
          <w:color w:val="000000"/>
          <w:spacing w:val="0"/>
          <w:w w:val="100"/>
          <w:position w:val="0"/>
        </w:rPr>
        <w:t>年度，战略委员会共计召开</w:t>
      </w:r>
      <w:r>
        <w:rPr>
          <w:rFonts w:ascii="Times New Roman" w:eastAsia="Times New Roman" w:hAnsi="Times New Roman" w:cs="Times New Roman"/>
          <w:color w:val="000000"/>
          <w:spacing w:val="0"/>
          <w:w w:val="100"/>
          <w:position w:val="0"/>
        </w:rPr>
        <w:t>5</w:t>
      </w:r>
      <w:r>
        <w:rPr>
          <w:color w:val="000000"/>
          <w:spacing w:val="0"/>
          <w:w w:val="100"/>
          <w:position w:val="0"/>
        </w:rPr>
        <w:t>次会议，对转 让参股公司股权、未来三年(</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)产品研发战略规划、关于变更公司经营范围并修改《公司章程》相应条款、转让 全资子公司股权暨增资北京太极华保科技股份有限公司等事项进行了充分的讨论与论证，并报董事会审议，为公司持续稳定 发展提出了宝贵的意见和建议。</w:t>
      </w:r>
    </w:p>
    <w:p>
      <w:pPr>
        <w:pStyle w:val="Style26"/>
        <w:keepNext w:val="0"/>
        <w:keepLines w:val="0"/>
        <w:widowControl w:val="0"/>
        <w:shd w:val="clear" w:color="auto" w:fill="auto"/>
        <w:tabs>
          <w:tab w:pos="709" w:val="left"/>
        </w:tabs>
        <w:bidi w:val="0"/>
        <w:spacing w:before="0" w:after="0" w:line="314" w:lineRule="exact"/>
        <w:ind w:left="0" w:right="0" w:firstLine="380"/>
        <w:jc w:val="both"/>
      </w:pPr>
      <w:bookmarkStart w:id="607" w:name="bookmark607"/>
      <w:r>
        <w:rPr>
          <w:rFonts w:ascii="Times New Roman" w:eastAsia="Times New Roman" w:hAnsi="Times New Roman" w:cs="Times New Roman"/>
          <w:color w:val="000000"/>
          <w:spacing w:val="0"/>
          <w:w w:val="100"/>
          <w:position w:val="0"/>
        </w:rPr>
        <w:t>2</w:t>
      </w:r>
      <w:bookmarkEnd w:id="607"/>
      <w:r>
        <w:rPr>
          <w:color w:val="000000"/>
          <w:spacing w:val="0"/>
          <w:w w:val="100"/>
          <w:position w:val="0"/>
        </w:rPr>
        <w:t>、</w:t>
        <w:tab/>
        <w:t>审计委员会履职情况</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报告期内，审计委员会根据公司《章程》、《董事会审计委员会工作细则》、《内部审计制度》等有关规定，认真履行 职责，积极开展工作。</w:t>
      </w:r>
      <w:r>
        <w:rPr>
          <w:rFonts w:ascii="Times New Roman" w:eastAsia="Times New Roman" w:hAnsi="Times New Roman" w:cs="Times New Roman"/>
          <w:color w:val="000000"/>
          <w:spacing w:val="0"/>
          <w:w w:val="100"/>
          <w:position w:val="0"/>
        </w:rPr>
        <w:t>2020</w:t>
      </w:r>
      <w:r>
        <w:rPr>
          <w:color w:val="000000"/>
          <w:spacing w:val="0"/>
          <w:w w:val="100"/>
          <w:position w:val="0"/>
        </w:rPr>
        <w:t>年度，审计委员会共计召开</w:t>
      </w:r>
      <w:r>
        <w:rPr>
          <w:rFonts w:ascii="Times New Roman" w:eastAsia="Times New Roman" w:hAnsi="Times New Roman" w:cs="Times New Roman"/>
          <w:color w:val="000000"/>
          <w:spacing w:val="0"/>
          <w:w w:val="100"/>
          <w:position w:val="0"/>
        </w:rPr>
        <w:t>5</w:t>
      </w:r>
      <w:r>
        <w:rPr>
          <w:color w:val="000000"/>
          <w:spacing w:val="0"/>
          <w:w w:val="100"/>
          <w:position w:val="0"/>
        </w:rPr>
        <w:t>次会议，对审议定期报告、聘任公司审计部部长、续聘</w:t>
      </w:r>
      <w:r>
        <w:rPr>
          <w:rFonts w:ascii="Times New Roman" w:eastAsia="Times New Roman" w:hAnsi="Times New Roman" w:cs="Times New Roman"/>
          <w:color w:val="000000"/>
          <w:spacing w:val="0"/>
          <w:w w:val="100"/>
          <w:position w:val="0"/>
        </w:rPr>
        <w:t>2020</w:t>
      </w:r>
      <w:r>
        <w:rPr>
          <w:color w:val="000000"/>
          <w:spacing w:val="0"/>
          <w:w w:val="100"/>
          <w:position w:val="0"/>
        </w:rPr>
        <w:t>年度审 计机构、会计政策变更等事项进行了充分的讨论与论证。</w:t>
      </w:r>
      <w:r>
        <w:rPr>
          <w:rFonts w:ascii="Times New Roman" w:eastAsia="Times New Roman" w:hAnsi="Times New Roman" w:cs="Times New Roman"/>
          <w:color w:val="000000"/>
          <w:spacing w:val="0"/>
          <w:w w:val="100"/>
          <w:position w:val="0"/>
        </w:rPr>
        <w:t>2020</w:t>
      </w:r>
      <w:r>
        <w:rPr>
          <w:color w:val="000000"/>
          <w:spacing w:val="0"/>
          <w:w w:val="100"/>
          <w:position w:val="0"/>
        </w:rPr>
        <w:t>年度审计委员会重点工作主要对公司年度审计工作和公司内审 部门工作进行了沟通、监督和核查，审计委员会与年审注册会计师就审计计划、业务约定书、风险和控制等事项进行了充分 的沟通；审阅了年审注册会计师出具的审计意见及公司财务会计报表，督促其在约定时限内提交审计报告；对年度审计机构 的年报审计工作进行总结和评价。审计委员会认真审阅公司内审部门提交的公司审计报告，督促内审部门严格执行年度审计 工作计划，并持续关注公司募集资金存放与使用、对外担保等事项的进展情况等。</w:t>
      </w:r>
    </w:p>
    <w:p>
      <w:pPr>
        <w:pStyle w:val="Style26"/>
        <w:keepNext w:val="0"/>
        <w:keepLines w:val="0"/>
        <w:widowControl w:val="0"/>
        <w:shd w:val="clear" w:color="auto" w:fill="auto"/>
        <w:tabs>
          <w:tab w:pos="709" w:val="left"/>
        </w:tabs>
        <w:bidi w:val="0"/>
        <w:spacing w:before="0" w:after="0" w:line="314" w:lineRule="exact"/>
        <w:ind w:left="0" w:right="0" w:firstLine="380"/>
        <w:jc w:val="both"/>
      </w:pPr>
      <w:bookmarkStart w:id="608" w:name="bookmark608"/>
      <w:r>
        <w:rPr>
          <w:rFonts w:ascii="Times New Roman" w:eastAsia="Times New Roman" w:hAnsi="Times New Roman" w:cs="Times New Roman"/>
          <w:color w:val="000000"/>
          <w:spacing w:val="0"/>
          <w:w w:val="100"/>
          <w:position w:val="0"/>
        </w:rPr>
        <w:t>3</w:t>
      </w:r>
      <w:bookmarkEnd w:id="608"/>
      <w:r>
        <w:rPr>
          <w:color w:val="000000"/>
          <w:spacing w:val="0"/>
          <w:w w:val="100"/>
          <w:position w:val="0"/>
        </w:rPr>
        <w:t>、</w:t>
        <w:tab/>
        <w:t>提名委员会履职情况</w:t>
      </w:r>
    </w:p>
    <w:p>
      <w:pPr>
        <w:pStyle w:val="Style26"/>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报告期内，提名委员会根据公司《章程》、《董事会提名委员会工作细则》等有关规定，积极履行职责。</w:t>
      </w:r>
      <w:r>
        <w:rPr>
          <w:rFonts w:ascii="Times New Roman" w:eastAsia="Times New Roman" w:hAnsi="Times New Roman" w:cs="Times New Roman"/>
          <w:color w:val="000000"/>
          <w:spacing w:val="0"/>
          <w:w w:val="100"/>
          <w:position w:val="0"/>
        </w:rPr>
        <w:t>2020</w:t>
      </w:r>
      <w:r>
        <w:rPr>
          <w:color w:val="000000"/>
          <w:spacing w:val="0"/>
          <w:w w:val="100"/>
          <w:position w:val="0"/>
        </w:rPr>
        <w:t>年度，提 名委员会共计召开</w:t>
      </w:r>
      <w:r>
        <w:rPr>
          <w:rFonts w:ascii="Times New Roman" w:eastAsia="Times New Roman" w:hAnsi="Times New Roman" w:cs="Times New Roman"/>
          <w:color w:val="000000"/>
          <w:spacing w:val="0"/>
          <w:w w:val="100"/>
          <w:position w:val="0"/>
        </w:rPr>
        <w:t>2</w:t>
      </w:r>
      <w:r>
        <w:rPr>
          <w:color w:val="000000"/>
          <w:spacing w:val="0"/>
          <w:w w:val="100"/>
          <w:position w:val="0"/>
        </w:rPr>
        <w:t>次会议，主要对公司董事会换届选举暨提名公司董事会非独立董事候选人、董事会换届选举暨提名公司 董事会独立董事候选人事项形成决议，并同意提交公司董事会审议，为公司管理层提供了宝贵意见和建议。</w:t>
      </w:r>
    </w:p>
    <w:p>
      <w:pPr>
        <w:pStyle w:val="Style26"/>
        <w:keepNext w:val="0"/>
        <w:keepLines w:val="0"/>
        <w:widowControl w:val="0"/>
        <w:shd w:val="clear" w:color="auto" w:fill="auto"/>
        <w:tabs>
          <w:tab w:pos="709" w:val="left"/>
        </w:tabs>
        <w:bidi w:val="0"/>
        <w:spacing w:before="0" w:after="0" w:line="314" w:lineRule="exact"/>
        <w:ind w:left="0" w:right="0" w:firstLine="380"/>
        <w:jc w:val="both"/>
      </w:pPr>
      <w:bookmarkStart w:id="609" w:name="bookmark609"/>
      <w:r>
        <w:rPr>
          <w:rFonts w:ascii="Times New Roman" w:eastAsia="Times New Roman" w:hAnsi="Times New Roman" w:cs="Times New Roman"/>
          <w:color w:val="000000"/>
          <w:spacing w:val="0"/>
          <w:w w:val="100"/>
          <w:position w:val="0"/>
        </w:rPr>
        <w:t>4</w:t>
      </w:r>
      <w:bookmarkEnd w:id="609"/>
      <w:r>
        <w:rPr>
          <w:color w:val="000000"/>
          <w:spacing w:val="0"/>
          <w:w w:val="100"/>
          <w:position w:val="0"/>
        </w:rPr>
        <w:t>、</w:t>
        <w:tab/>
        <w:t>薪酬与考核委员会</w:t>
      </w:r>
    </w:p>
    <w:p>
      <w:pPr>
        <w:pStyle w:val="Style26"/>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报告期内，薪酬与考核委员会根据公司《章程》、《董事会薪酬与考核委员会工作细则》的规定，认真履行职责。</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年度，公司薪酬与考核委员会共计召开</w:t>
      </w:r>
      <w:r>
        <w:rPr>
          <w:rFonts w:ascii="Times New Roman" w:eastAsia="Times New Roman" w:hAnsi="Times New Roman" w:cs="Times New Roman"/>
          <w:color w:val="000000"/>
          <w:spacing w:val="0"/>
          <w:w w:val="100"/>
          <w:position w:val="0"/>
        </w:rPr>
        <w:t>2</w:t>
      </w:r>
      <w:r>
        <w:rPr>
          <w:color w:val="000000"/>
          <w:spacing w:val="0"/>
          <w:w w:val="100"/>
          <w:position w:val="0"/>
        </w:rPr>
        <w:t>次会议，对公司董事、高管的薪酬及绩效考核情况进行监督和审查，并提交公司董 事会审议，促进公司在规范运作的基础上，进一步提高在薪酬考核方面的科学性。</w:t>
      </w:r>
    </w:p>
    <w:p>
      <w:pPr>
        <w:pStyle w:val="Style24"/>
        <w:keepNext/>
        <w:keepLines/>
        <w:widowControl w:val="0"/>
        <w:shd w:val="clear" w:color="auto" w:fill="auto"/>
        <w:tabs>
          <w:tab w:pos="584"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七</w:t>
      </w:r>
      <w:bookmarkEnd w:id="612"/>
      <w:r>
        <w:rPr>
          <w:color w:val="000000"/>
          <w:spacing w:val="0"/>
          <w:w w:val="100"/>
          <w:position w:val="0"/>
          <w:sz w:val="24"/>
          <w:szCs w:val="24"/>
        </w:rPr>
        <w:t>、</w:t>
        <w:tab/>
        <w:t>监事会工作情况</w:t>
      </w:r>
      <w:bookmarkEnd w:id="610"/>
      <w:bookmarkEnd w:id="611"/>
      <w:bookmarkEnd w:id="613"/>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4"/>
        <w:keepNext/>
        <w:keepLines/>
        <w:widowControl w:val="0"/>
        <w:shd w:val="clear" w:color="auto" w:fill="auto"/>
        <w:tabs>
          <w:tab w:pos="584"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八</w:t>
      </w:r>
      <w:bookmarkEnd w:id="616"/>
      <w:r>
        <w:rPr>
          <w:color w:val="000000"/>
          <w:spacing w:val="0"/>
          <w:w w:val="100"/>
          <w:position w:val="0"/>
          <w:sz w:val="24"/>
          <w:szCs w:val="24"/>
        </w:rPr>
        <w:t>、</w:t>
        <w:tab/>
        <w:t>高级管理人员的考评及激励情况</w:t>
      </w:r>
      <w:bookmarkEnd w:id="614"/>
      <w:bookmarkEnd w:id="615"/>
      <w:bookmarkEnd w:id="617"/>
    </w:p>
    <w:p>
      <w:pPr>
        <w:pStyle w:val="Style26"/>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公司董事会薪酬与考核委员会根据公司实际经营指标的完成情况以及高级管理人员的工作业绩来执行对高级管理人员 的年度绩效考核，并严格监督薪酬制度的执行情况。公司组织高级管理人员开展工作述职活动，公司董事会薪酬与考核委员</w:t>
        <w:br w:type="page"/>
      </w:r>
      <w:r>
        <w:rPr>
          <w:color w:val="000000"/>
          <w:spacing w:val="0"/>
          <w:w w:val="100"/>
          <w:position w:val="0"/>
        </w:rPr>
        <w:t>会对其工作能力、工作业绩、创新与学习等指标情况进行考核。高级管理人员薪酬与其所任岗位和绩效挂钩，符合有关法律、 法规和《公司章程》等规定的要求。</w:t>
      </w:r>
    </w:p>
    <w:p>
      <w:pPr>
        <w:pStyle w:val="Style24"/>
        <w:keepNext/>
        <w:keepLines/>
        <w:widowControl w:val="0"/>
        <w:shd w:val="clear" w:color="auto" w:fill="auto"/>
        <w:bidi w:val="0"/>
        <w:spacing w:before="0" w:after="36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九</w:t>
      </w:r>
      <w:bookmarkEnd w:id="620"/>
      <w:r>
        <w:rPr>
          <w:color w:val="000000"/>
          <w:spacing w:val="0"/>
          <w:w w:val="100"/>
          <w:position w:val="0"/>
          <w:sz w:val="24"/>
          <w:szCs w:val="24"/>
        </w:rPr>
        <w:t>、内部控制评价报告</w:t>
      </w:r>
      <w:bookmarkEnd w:id="618"/>
      <w:bookmarkEnd w:id="619"/>
      <w:bookmarkEnd w:id="621"/>
    </w:p>
    <w:p>
      <w:pPr>
        <w:pStyle w:val="Style30"/>
        <w:keepNext/>
        <w:keepLines/>
        <w:widowControl w:val="0"/>
        <w:shd w:val="clear" w:color="auto" w:fill="auto"/>
        <w:tabs>
          <w:tab w:pos="368"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w:t>
        <w:tab/>
        <w:t>报告期内发现的内部控制重大缺陷的具体情况</w:t>
      </w:r>
      <w:bookmarkEnd w:id="622"/>
      <w:bookmarkEnd w:id="623"/>
      <w:bookmarkEnd w:id="625"/>
    </w:p>
    <w:p>
      <w:pPr>
        <w:pStyle w:val="Style26"/>
        <w:keepNext w:val="0"/>
        <w:keepLines w:val="0"/>
        <w:widowControl w:val="0"/>
        <w:shd w:val="clear" w:color="auto" w:fill="auto"/>
        <w:bidi w:val="0"/>
        <w:spacing w:before="0" w:after="400" w:line="30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378" w:val="left"/>
        </w:tabs>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t>内控自我评价报告</w:t>
      </w:r>
      <w:bookmarkEnd w:id="626"/>
      <w:bookmarkEnd w:id="627"/>
      <w:bookmarkEnd w:id="629"/>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 cninfo. com.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定性标准如下：①重大缺陷：是指一个或 多个控制缺陷的组合，可能导致企业严重 偏离控制目标。出现下列特征的，认定为 重大缺陷：</w:t>
            </w:r>
            <w:r>
              <w:rPr>
                <w:rFonts w:ascii="Times New Roman" w:eastAsia="Times New Roman" w:hAnsi="Times New Roman" w:cs="Times New Roman"/>
                <w:color w:val="000000"/>
                <w:spacing w:val="0"/>
                <w:w w:val="100"/>
                <w:position w:val="0"/>
              </w:rPr>
              <w:t>1.</w:t>
            </w:r>
            <w:r>
              <w:rPr>
                <w:color w:val="000000"/>
                <w:spacing w:val="0"/>
                <w:w w:val="100"/>
                <w:position w:val="0"/>
              </w:rPr>
              <w:t>公司董事、监事或高管人员的 舞弊行为；</w:t>
            </w:r>
            <w:r>
              <w:rPr>
                <w:rFonts w:ascii="Times New Roman" w:eastAsia="Times New Roman" w:hAnsi="Times New Roman" w:cs="Times New Roman"/>
                <w:color w:val="000000"/>
                <w:spacing w:val="0"/>
                <w:w w:val="100"/>
                <w:position w:val="0"/>
              </w:rPr>
              <w:t>ii.</w:t>
            </w:r>
            <w:r>
              <w:rPr>
                <w:color w:val="000000"/>
                <w:spacing w:val="0"/>
                <w:w w:val="100"/>
                <w:position w:val="0"/>
              </w:rPr>
              <w:t xml:space="preserve">发现当期财务报表的重大错 报，而管理层未能在内控运行过程中发现； </w:t>
            </w:r>
            <w:r>
              <w:rPr>
                <w:rFonts w:ascii="Times New Roman" w:eastAsia="Times New Roman" w:hAnsi="Times New Roman" w:cs="Times New Roman"/>
                <w:color w:val="000000"/>
                <w:spacing w:val="0"/>
                <w:w w:val="100"/>
                <w:position w:val="0"/>
              </w:rPr>
              <w:t>iii.</w:t>
            </w:r>
            <w:r>
              <w:rPr>
                <w:color w:val="000000"/>
                <w:spacing w:val="0"/>
                <w:w w:val="100"/>
                <w:position w:val="0"/>
              </w:rPr>
              <w:t>内部控制评价的结果，重大缺陷未得到 整改；</w:t>
            </w:r>
            <w:r>
              <w:rPr>
                <w:rFonts w:ascii="Times New Roman" w:eastAsia="Times New Roman" w:hAnsi="Times New Roman" w:cs="Times New Roman"/>
                <w:color w:val="000000"/>
                <w:spacing w:val="0"/>
                <w:w w:val="100"/>
                <w:position w:val="0"/>
              </w:rPr>
              <w:t>iv.</w:t>
            </w:r>
            <w:r>
              <w:rPr>
                <w:color w:val="000000"/>
                <w:spacing w:val="0"/>
                <w:w w:val="100"/>
                <w:position w:val="0"/>
              </w:rPr>
              <w:t>审计委员会和内部审计机构对内 部控制的监督无效。②重要缺陷：是指一 个或多个控制缺陷的组合，其严重程度和 经济后果低于重大缺陷但仍有可能导致企 业偏离控制目标。出现以下特征的，认定 为重要缺陷：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rPr>
              <w:t>ii.</w:t>
            </w:r>
            <w:r>
              <w:rPr>
                <w:color w:val="000000"/>
                <w:spacing w:val="0"/>
                <w:w w:val="100"/>
                <w:position w:val="0"/>
              </w:rPr>
              <w:t>未建立反舞弊程序和控 制措施；</w:t>
            </w:r>
            <w:r>
              <w:rPr>
                <w:rFonts w:ascii="Times New Roman" w:eastAsia="Times New Roman" w:hAnsi="Times New Roman" w:cs="Times New Roman"/>
                <w:color w:val="000000"/>
                <w:spacing w:val="0"/>
                <w:w w:val="100"/>
                <w:position w:val="0"/>
              </w:rPr>
              <w:t>iii.</w:t>
            </w:r>
            <w:r>
              <w:rPr>
                <w:color w:val="000000"/>
                <w:spacing w:val="0"/>
                <w:w w:val="100"/>
                <w:position w:val="0"/>
              </w:rPr>
              <w:t>对于非常规或特殊交易的账务 处理没有建立相应的控制机制或没有实施 且没有相应的补偿性控制；</w:t>
            </w:r>
            <w:r>
              <w:rPr>
                <w:rFonts w:ascii="Times New Roman" w:eastAsia="Times New Roman" w:hAnsi="Times New Roman" w:cs="Times New Roman"/>
                <w:color w:val="000000"/>
                <w:spacing w:val="0"/>
                <w:w w:val="100"/>
                <w:position w:val="0"/>
              </w:rPr>
              <w:t>iV.</w:t>
            </w:r>
            <w:r>
              <w:rPr>
                <w:color w:val="000000"/>
                <w:spacing w:val="0"/>
                <w:w w:val="100"/>
                <w:position w:val="0"/>
              </w:rPr>
              <w:t>对于期末财 务报告过程的控制存在一项或多项缺陷且 不能合理保证编制的财务报表达到真实、 准确的目标。③一般缺陷：是指除上述重 大缺陷、重要缺陷之外的其他控制缺陷。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公司确定的非财务报告内部控制缺陷 评价的定性标准如下：①具有以下特征 的缺陷，认定为重大缺陷：</w:t>
            </w:r>
            <w:r>
              <w:rPr>
                <w:rFonts w:ascii="Times New Roman" w:eastAsia="Times New Roman" w:hAnsi="Times New Roman" w:cs="Times New Roman"/>
                <w:color w:val="000000"/>
                <w:spacing w:val="0"/>
                <w:w w:val="100"/>
                <w:position w:val="0"/>
              </w:rPr>
              <w:t>i.</w:t>
            </w:r>
            <w:r>
              <w:rPr>
                <w:color w:val="000000"/>
                <w:spacing w:val="0"/>
                <w:w w:val="100"/>
                <w:position w:val="0"/>
              </w:rPr>
              <w:t>缺乏民主 决策程序、决策程序不科学，出现重大 失误，给公司造成重大财产损失；</w:t>
            </w:r>
            <w:r>
              <w:rPr>
                <w:rFonts w:ascii="Times New Roman" w:eastAsia="Times New Roman" w:hAnsi="Times New Roman" w:cs="Times New Roman"/>
                <w:color w:val="000000"/>
                <w:spacing w:val="0"/>
                <w:w w:val="100"/>
                <w:position w:val="0"/>
              </w:rPr>
              <w:t xml:space="preserve">ii. </w:t>
            </w:r>
            <w:r>
              <w:rPr>
                <w:color w:val="000000"/>
                <w:spacing w:val="0"/>
                <w:w w:val="100"/>
                <w:position w:val="0"/>
              </w:rPr>
              <w:t>严重违反国家法律法规;</w:t>
            </w:r>
            <w:r>
              <w:rPr>
                <w:rFonts w:ascii="Times New Roman" w:eastAsia="Times New Roman" w:hAnsi="Times New Roman" w:cs="Times New Roman"/>
                <w:color w:val="000000"/>
                <w:spacing w:val="0"/>
                <w:w w:val="100"/>
                <w:position w:val="0"/>
              </w:rPr>
              <w:t>iii</w:t>
            </w:r>
            <w:r>
              <w:rPr>
                <w:rFonts w:ascii="Times New Roman" w:eastAsia="Times New Roman" w:hAnsi="Times New Roman" w:cs="Times New Roman"/>
                <w:color w:val="000000"/>
                <w:spacing w:val="0"/>
                <w:w w:val="100"/>
                <w:position w:val="0"/>
              </w:rPr>
              <w:t>.</w:t>
            </w:r>
            <w:r>
              <w:rPr>
                <w:color w:val="000000"/>
                <w:spacing w:val="0"/>
                <w:w w:val="100"/>
                <w:position w:val="0"/>
              </w:rPr>
              <w:t>媒体频现负 面新闻，涉及面广且负面影响一直未能 消除；</w:t>
            </w:r>
            <w:r>
              <w:rPr>
                <w:rFonts w:ascii="Times New Roman" w:eastAsia="Times New Roman" w:hAnsi="Times New Roman" w:cs="Times New Roman"/>
                <w:color w:val="000000"/>
                <w:spacing w:val="0"/>
                <w:w w:val="100"/>
                <w:position w:val="0"/>
              </w:rPr>
              <w:t>iV.</w:t>
            </w:r>
            <w:r>
              <w:rPr>
                <w:color w:val="000000"/>
                <w:spacing w:val="0"/>
                <w:w w:val="100"/>
                <w:position w:val="0"/>
              </w:rPr>
              <w:t>缺乏重要的业务管理制度或制 度运行系统性失效；</w:t>
            </w:r>
            <w:r>
              <w:rPr>
                <w:rFonts w:ascii="Times New Roman" w:eastAsia="Times New Roman" w:hAnsi="Times New Roman" w:cs="Times New Roman"/>
                <w:color w:val="000000"/>
                <w:spacing w:val="0"/>
                <w:w w:val="100"/>
                <w:position w:val="0"/>
              </w:rPr>
              <w:t>V.</w:t>
            </w:r>
            <w:r>
              <w:rPr>
                <w:color w:val="000000"/>
                <w:spacing w:val="0"/>
                <w:w w:val="100"/>
                <w:position w:val="0"/>
              </w:rPr>
              <w:t>公司的重大或重 要内控缺陷不能得到及时整改；</w:t>
            </w:r>
            <w:r>
              <w:rPr>
                <w:rFonts w:ascii="Times New Roman" w:eastAsia="Times New Roman" w:hAnsi="Times New Roman" w:cs="Times New Roman"/>
                <w:color w:val="000000"/>
                <w:spacing w:val="0"/>
                <w:w w:val="100"/>
                <w:position w:val="0"/>
              </w:rPr>
              <w:t>Vi.</w:t>
            </w:r>
            <w:r>
              <w:rPr>
                <w:color w:val="000000"/>
                <w:spacing w:val="0"/>
                <w:w w:val="100"/>
                <w:position w:val="0"/>
              </w:rPr>
              <w:t>公司 持续或大量出现重要内控缺陷；</w:t>
            </w:r>
            <w:r>
              <w:rPr>
                <w:rFonts w:ascii="Times New Roman" w:eastAsia="Times New Roman" w:hAnsi="Times New Roman" w:cs="Times New Roman"/>
                <w:color w:val="000000"/>
                <w:spacing w:val="0"/>
                <w:w w:val="100"/>
                <w:position w:val="0"/>
              </w:rPr>
              <w:t>Vii.</w:t>
            </w:r>
            <w:r>
              <w:rPr>
                <w:color w:val="000000"/>
                <w:spacing w:val="0"/>
                <w:w w:val="100"/>
                <w:position w:val="0"/>
              </w:rPr>
              <w:t>公 司遭受证监会处罚或证券交易所警告。 ②具有以下特征的缺陷，认定为重要缺 陷：</w:t>
            </w:r>
            <w:r>
              <w:rPr>
                <w:rFonts w:ascii="Times New Roman" w:eastAsia="Times New Roman" w:hAnsi="Times New Roman" w:cs="Times New Roman"/>
                <w:color w:val="000000"/>
                <w:spacing w:val="0"/>
                <w:w w:val="100"/>
                <w:position w:val="0"/>
              </w:rPr>
              <w:t>1.</w:t>
            </w:r>
            <w:r>
              <w:rPr>
                <w:color w:val="000000"/>
                <w:spacing w:val="0"/>
                <w:w w:val="100"/>
                <w:position w:val="0"/>
              </w:rPr>
              <w:t xml:space="preserve">公司决策程序导致出现一般失误； </w:t>
            </w:r>
            <w:r>
              <w:rPr>
                <w:rFonts w:ascii="Times New Roman" w:eastAsia="Times New Roman" w:hAnsi="Times New Roman" w:cs="Times New Roman"/>
                <w:color w:val="000000"/>
                <w:spacing w:val="0"/>
                <w:w w:val="100"/>
                <w:position w:val="0"/>
              </w:rPr>
              <w:t>ii.</w:t>
            </w:r>
            <w:r>
              <w:rPr>
                <w:color w:val="000000"/>
                <w:spacing w:val="0"/>
                <w:w w:val="100"/>
                <w:position w:val="0"/>
              </w:rPr>
              <w:t xml:space="preserve">公司违反企业内部规章，形成损失； </w:t>
            </w:r>
            <w:r>
              <w:rPr>
                <w:rFonts w:ascii="Times New Roman" w:eastAsia="Times New Roman" w:hAnsi="Times New Roman" w:cs="Times New Roman"/>
                <w:color w:val="000000"/>
                <w:spacing w:val="0"/>
                <w:w w:val="100"/>
                <w:position w:val="0"/>
              </w:rPr>
              <w:t xml:space="preserve">iii </w:t>
            </w:r>
            <w:r>
              <w:rPr>
                <w:rFonts w:ascii="Times New Roman" w:eastAsia="Times New Roman" w:hAnsi="Times New Roman" w:cs="Times New Roman"/>
                <w:color w:val="000000"/>
                <w:spacing w:val="0"/>
                <w:w w:val="100"/>
                <w:position w:val="0"/>
              </w:rPr>
              <w:t>.</w:t>
            </w:r>
            <w:r>
              <w:rPr>
                <w:color w:val="000000"/>
                <w:spacing w:val="0"/>
                <w:w w:val="100"/>
                <w:position w:val="0"/>
              </w:rPr>
              <w:t>公司关键岗位业务人员流失严重；</w:t>
            </w:r>
          </w:p>
          <w:p>
            <w:pPr>
              <w:pStyle w:val="Style2"/>
              <w:keepNext w:val="0"/>
              <w:keepLines w:val="0"/>
              <w:widowControl w:val="0"/>
              <w:numPr>
                <w:ilvl w:val="0"/>
                <w:numId w:val="7"/>
              </w:numPr>
              <w:shd w:val="clear" w:color="auto" w:fill="auto"/>
              <w:tabs>
                <w:tab w:pos="187" w:val="left"/>
              </w:tabs>
              <w:bidi w:val="0"/>
              <w:spacing w:before="0" w:after="0" w:line="360" w:lineRule="auto"/>
              <w:ind w:left="0" w:right="0" w:firstLine="0"/>
              <w:jc w:val="both"/>
            </w:pPr>
            <w:r>
              <w:rPr>
                <w:color w:val="000000"/>
                <w:spacing w:val="0"/>
                <w:w w:val="100"/>
                <w:position w:val="0"/>
              </w:rPr>
              <w:t>公司重要业务制度或系统存在缺陷；</w:t>
            </w:r>
          </w:p>
          <w:p>
            <w:pPr>
              <w:pStyle w:val="Style2"/>
              <w:keepNext w:val="0"/>
              <w:keepLines w:val="0"/>
              <w:widowControl w:val="0"/>
              <w:numPr>
                <w:ilvl w:val="0"/>
                <w:numId w:val="7"/>
              </w:numPr>
              <w:shd w:val="clear" w:color="auto" w:fill="auto"/>
              <w:tabs>
                <w:tab w:pos="158" w:val="left"/>
              </w:tabs>
              <w:bidi w:val="0"/>
              <w:spacing w:before="0" w:after="0" w:line="312" w:lineRule="exact"/>
              <w:ind w:left="0" w:right="0" w:firstLine="0"/>
              <w:jc w:val="both"/>
            </w:pPr>
            <w:r>
              <w:rPr>
                <w:color w:val="000000"/>
                <w:spacing w:val="0"/>
                <w:w w:val="100"/>
                <w:position w:val="0"/>
              </w:rPr>
              <w:t>公司的重要或一般缺陷不能得到及 时整改。③具有以下特征的缺陷，认 定为一般缺陷：除上述重大缺陷、重要 缺陷之外的其他缺陷。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Z</w:t>
            </w:r>
            <w:r>
              <w:rPr>
                <w:color w:val="000000"/>
                <w:spacing w:val="0"/>
                <w:w w:val="100"/>
                <w:position w:val="0"/>
              </w:rPr>
              <w:t>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、重大缺陷：财务报表的错报金额</w:t>
            </w:r>
            <w:r>
              <w:rPr>
                <w:rFonts w:ascii="Times New Roman" w:eastAsia="Times New Roman" w:hAnsi="Times New Roman" w:cs="Times New Roman"/>
                <w:color w:val="000000"/>
                <w:spacing w:val="0"/>
                <w:w w:val="100"/>
                <w:position w:val="0"/>
              </w:rPr>
              <w:t>Z</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 xml:space="preserve">3%&lt; </w:t>
            </w: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 xml:space="preserve">、一般缺陷：错报 </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54" w:val="left"/>
              </w:tabs>
              <w:bidi w:val="0"/>
              <w:spacing w:before="0" w:after="0" w:line="307" w:lineRule="exact"/>
              <w:ind w:left="0" w:right="0" w:firstLine="0"/>
              <w:jc w:val="left"/>
            </w:pP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w:t>
            </w:r>
            <w:r>
              <w:rPr>
                <w:color w:val="000000"/>
                <w:spacing w:val="0"/>
                <w:w w:val="100"/>
                <w:position w:val="0"/>
              </w:rPr>
              <w:t>、重要缺陷：利润总 额的</w:t>
            </w:r>
            <w:r>
              <w:rPr>
                <w:rFonts w:ascii="Times New Roman" w:eastAsia="Times New Roman" w:hAnsi="Times New Roman" w:cs="Times New Roman"/>
                <w:color w:val="000000"/>
                <w:spacing w:val="0"/>
                <w:w w:val="100"/>
                <w:position w:val="0"/>
              </w:rPr>
              <w:t>3%&lt;</w:t>
            </w: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、一</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般缺陷：错报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十、内部控制审计报告或鉴证报告</w:t>
      </w:r>
      <w:bookmarkEnd w:id="630"/>
      <w:bookmarkEnd w:id="631"/>
      <w:bookmarkEnd w:id="632"/>
    </w:p>
    <w:p>
      <w:pPr>
        <w:pStyle w:val="Style26"/>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49" w:bottom="1489" w:left="1073" w:header="0" w:footer="3" w:gutter="0"/>
          <w:cols w:space="720"/>
          <w:noEndnote/>
          <w:rtlGutter w:val="0"/>
          <w:docGrid w:linePitch="360"/>
        </w:sectPr>
      </w:pPr>
      <w:r>
        <w:rPr>
          <w:color w:val="000000"/>
          <w:spacing w:val="0"/>
          <w:w w:val="100"/>
          <w:position w:val="0"/>
        </w:rPr>
        <w:t>不适用</w:t>
      </w:r>
    </w:p>
    <w:p>
      <w:pPr>
        <w:pStyle w:val="Style13"/>
        <w:keepNext/>
        <w:keepLines/>
        <w:widowControl w:val="0"/>
        <w:shd w:val="clear" w:color="auto" w:fill="auto"/>
        <w:bidi w:val="0"/>
        <w:spacing w:before="0" w:after="580" w:line="240" w:lineRule="auto"/>
        <w:ind w:left="0" w:right="0" w:firstLine="0"/>
        <w:jc w:val="center"/>
      </w:pPr>
      <w:bookmarkStart w:id="633" w:name="bookmark633"/>
      <w:bookmarkStart w:id="634" w:name="bookmark634"/>
      <w:bookmarkStart w:id="635" w:name="bookmark635"/>
      <w:r>
        <w:rPr>
          <w:color w:val="000000"/>
          <w:spacing w:val="0"/>
          <w:w w:val="100"/>
          <w:position w:val="0"/>
        </w:rPr>
        <w:t>第十一节公司债券相关情况</w:t>
      </w:r>
      <w:bookmarkEnd w:id="633"/>
      <w:bookmarkEnd w:id="634"/>
      <w:bookmarkEnd w:id="635"/>
    </w:p>
    <w:p>
      <w:pPr>
        <w:pStyle w:val="Style26"/>
        <w:keepNext w:val="0"/>
        <w:keepLines w:val="0"/>
        <w:widowControl w:val="0"/>
        <w:shd w:val="clear" w:color="auto" w:fill="auto"/>
        <w:bidi w:val="0"/>
        <w:spacing w:before="0" w:after="140" w:line="240" w:lineRule="auto"/>
        <w:ind w:left="0" w:right="0" w:firstLine="0"/>
        <w:jc w:val="left"/>
      </w:pPr>
      <w:bookmarkStart w:id="636" w:name="bookmark636"/>
      <w:r>
        <w:rPr>
          <w:color w:val="000000"/>
          <w:spacing w:val="0"/>
          <w:w w:val="100"/>
          <w:position w:val="0"/>
        </w:rPr>
        <w:t>公司是否存在公开发行并在证券交易所上市，且在年度报告批准报出日未到期或到期未能全额兑付的公司债券</w:t>
      </w:r>
      <w:bookmarkEnd w:id="636"/>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6" w:right="1195" w:bottom="1926" w:left="1109"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520" w:after="560" w:line="240" w:lineRule="auto"/>
        <w:ind w:left="0" w:right="0" w:firstLine="0"/>
        <w:jc w:val="center"/>
      </w:pPr>
      <w:bookmarkStart w:id="637" w:name="bookmark637"/>
      <w:bookmarkStart w:id="638" w:name="bookmark638"/>
      <w:bookmarkStart w:id="639" w:name="bookmark639"/>
      <w:r>
        <w:rPr>
          <w:color w:val="000000"/>
          <w:spacing w:val="0"/>
          <w:w w:val="100"/>
          <w:position w:val="0"/>
        </w:rPr>
        <w:t>第十二节财务报告</w:t>
      </w:r>
      <w:bookmarkEnd w:id="637"/>
      <w:bookmarkEnd w:id="638"/>
      <w:bookmarkEnd w:id="639"/>
    </w:p>
    <w:p>
      <w:pPr>
        <w:pStyle w:val="Style24"/>
        <w:keepNext/>
        <w:keepLines/>
        <w:widowControl w:val="0"/>
        <w:shd w:val="clear" w:color="auto" w:fill="auto"/>
        <w:bidi w:val="0"/>
        <w:spacing w:before="0" w:after="300" w:line="240" w:lineRule="auto"/>
        <w:ind w:left="0" w:right="0" w:firstLine="0"/>
        <w:jc w:val="left"/>
      </w:pPr>
      <w:bookmarkStart w:id="640" w:name="bookmark640"/>
      <w:bookmarkStart w:id="641" w:name="bookmark641"/>
      <w:bookmarkStart w:id="642" w:name="bookmark642"/>
      <w:bookmarkStart w:id="643" w:name="bookmark643"/>
      <w:bookmarkStart w:id="644" w:name="bookmark644"/>
      <w:r>
        <w:rPr>
          <w:color w:val="000000"/>
          <w:spacing w:val="0"/>
          <w:w w:val="100"/>
          <w:position w:val="0"/>
          <w:sz w:val="24"/>
          <w:szCs w:val="24"/>
        </w:rPr>
        <w:t>一</w:t>
      </w:r>
      <w:bookmarkEnd w:id="643"/>
      <w:r>
        <w:rPr>
          <w:color w:val="000000"/>
          <w:spacing w:val="0"/>
          <w:w w:val="100"/>
          <w:position w:val="0"/>
          <w:sz w:val="24"/>
          <w:szCs w:val="24"/>
        </w:rPr>
        <w:t>、审计报告</w:t>
      </w:r>
      <w:bookmarkEnd w:id="641"/>
      <w:bookmarkEnd w:id="642"/>
      <w:bookmarkEnd w:id="644"/>
      <w:bookmarkEnd w:id="64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带强调事项段的无保留意见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[2021]215Z0040</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褚诗伟、孔令莉、李丹</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26"/>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审计报告</w:t>
      </w:r>
    </w:p>
    <w:p>
      <w:pPr>
        <w:pStyle w:val="Style47"/>
        <w:keepNext w:val="0"/>
        <w:keepLines w:val="0"/>
        <w:widowControl w:val="0"/>
        <w:shd w:val="clear" w:color="auto" w:fill="auto"/>
        <w:bidi w:val="0"/>
        <w:spacing w:before="0" w:line="312" w:lineRule="exact"/>
        <w:ind w:left="0" w:right="0" w:firstLine="0"/>
        <w:jc w:val="right"/>
      </w:pPr>
      <w:r>
        <w:rPr>
          <w:rFonts w:ascii="SimSun" w:eastAsia="SimSun" w:hAnsi="SimSun" w:cs="SimSun"/>
          <w:color w:val="000000"/>
          <w:spacing w:val="0"/>
          <w:w w:val="100"/>
          <w:position w:val="0"/>
        </w:rPr>
        <w:t>容诚审字</w:t>
      </w:r>
      <w:r>
        <w:rPr>
          <w:color w:val="000000"/>
          <w:spacing w:val="0"/>
          <w:w w:val="100"/>
          <w:position w:val="0"/>
        </w:rPr>
        <w:t>[</w:t>
      </w:r>
      <w:r>
        <w:rPr>
          <w:color w:val="000000"/>
          <w:spacing w:val="0"/>
          <w:w w:val="100"/>
          <w:position w:val="0"/>
        </w:rPr>
        <w:t>2021] 215Z004</w:t>
      </w:r>
      <w:r>
        <w:rPr>
          <w:color w:val="000000"/>
          <w:spacing w:val="0"/>
          <w:w w:val="100"/>
          <w:position w:val="0"/>
        </w:rPr>
        <w:t>0</w:t>
      </w:r>
      <w:r>
        <w:rPr>
          <w:rFonts w:ascii="SimSun" w:eastAsia="SimSun" w:hAnsi="SimSun" w:cs="SimSun"/>
          <w:color w:val="000000"/>
          <w:spacing w:val="0"/>
          <w:w w:val="100"/>
          <w:position w:val="0"/>
        </w:rPr>
        <w:t>号</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江苏润和软件股份有限公司全体股东：</w:t>
      </w:r>
    </w:p>
    <w:p>
      <w:pPr>
        <w:pStyle w:val="Style26"/>
        <w:keepNext w:val="0"/>
        <w:keepLines w:val="0"/>
        <w:widowControl w:val="0"/>
        <w:shd w:val="clear" w:color="auto" w:fill="auto"/>
        <w:tabs>
          <w:tab w:pos="955" w:val="left"/>
        </w:tabs>
        <w:bidi w:val="0"/>
        <w:spacing w:before="0" w:after="0" w:line="312" w:lineRule="exact"/>
        <w:ind w:left="0" w:right="0" w:firstLine="520"/>
        <w:jc w:val="both"/>
      </w:pPr>
      <w:bookmarkStart w:id="645" w:name="bookmark645"/>
      <w:r>
        <w:rPr>
          <w:color w:val="000000"/>
          <w:spacing w:val="0"/>
          <w:w w:val="100"/>
          <w:position w:val="0"/>
        </w:rPr>
        <w:t>一</w:t>
      </w:r>
      <w:bookmarkEnd w:id="645"/>
      <w:r>
        <w:rPr>
          <w:color w:val="000000"/>
          <w:spacing w:val="0"/>
          <w:w w:val="100"/>
          <w:position w:val="0"/>
        </w:rPr>
        <w:t>、</w:t>
        <w:tab/>
        <w:t>审计意见</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我们审计了江苏润和软件股份有限公司（以下简称润和软件）财务报表，包括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 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年度的合并及母公司利润表、合并及母公司现金流量表、合并及母公司所有者权益变动表以及相关财务报表附注。</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我们认为，后附的财务报表在所有重大方面按照企业会计准则的规定编制，公允反映了润和软件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26"/>
        <w:keepNext w:val="0"/>
        <w:keepLines w:val="0"/>
        <w:widowControl w:val="0"/>
        <w:shd w:val="clear" w:color="auto" w:fill="auto"/>
        <w:tabs>
          <w:tab w:pos="955" w:val="left"/>
        </w:tabs>
        <w:bidi w:val="0"/>
        <w:spacing w:before="0" w:after="0" w:line="312" w:lineRule="exact"/>
        <w:ind w:left="0" w:right="0" w:firstLine="520"/>
        <w:jc w:val="both"/>
      </w:pPr>
      <w:bookmarkStart w:id="646" w:name="bookmark646"/>
      <w:r>
        <w:rPr>
          <w:color w:val="000000"/>
          <w:spacing w:val="0"/>
          <w:w w:val="100"/>
          <w:position w:val="0"/>
        </w:rPr>
        <w:t>二</w:t>
      </w:r>
      <w:bookmarkEnd w:id="646"/>
      <w:r>
        <w:rPr>
          <w:color w:val="000000"/>
          <w:spacing w:val="0"/>
          <w:w w:val="100"/>
          <w:position w:val="0"/>
        </w:rPr>
        <w:t>、</w:t>
        <w:tab/>
        <w:t>形成审计意见的基础</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步阐述了我们在这些准则下的责任。按照中国注册会计师职业道德守则，我们独立于润和软件，并履行了职业道德方面的其 他责任。我们相信，我们获取的审计证据是充分、适当的，为发表审计意见提供了基础。</w:t>
      </w:r>
    </w:p>
    <w:p>
      <w:pPr>
        <w:pStyle w:val="Style26"/>
        <w:keepNext w:val="0"/>
        <w:keepLines w:val="0"/>
        <w:widowControl w:val="0"/>
        <w:shd w:val="clear" w:color="auto" w:fill="auto"/>
        <w:tabs>
          <w:tab w:pos="955" w:val="left"/>
        </w:tabs>
        <w:bidi w:val="0"/>
        <w:spacing w:before="0" w:after="0" w:line="312" w:lineRule="exact"/>
        <w:ind w:left="0" w:right="0" w:firstLine="520"/>
        <w:jc w:val="both"/>
      </w:pPr>
      <w:bookmarkStart w:id="647" w:name="bookmark647"/>
      <w:r>
        <w:rPr>
          <w:color w:val="000000"/>
          <w:spacing w:val="0"/>
          <w:w w:val="100"/>
          <w:position w:val="0"/>
        </w:rPr>
        <w:t>三</w:t>
      </w:r>
      <w:bookmarkEnd w:id="647"/>
      <w:r>
        <w:rPr>
          <w:color w:val="000000"/>
          <w:spacing w:val="0"/>
          <w:w w:val="100"/>
          <w:position w:val="0"/>
        </w:rPr>
        <w:t>、</w:t>
        <w:tab/>
        <w:t>强调事项</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我们提醒财务报表使用者关注，如</w:t>
      </w:r>
      <w:r>
        <w:rPr>
          <w:rFonts w:ascii="Times New Roman" w:eastAsia="Times New Roman" w:hAnsi="Times New Roman" w:cs="Times New Roman"/>
          <w:color w:val="000000"/>
          <w:spacing w:val="0"/>
          <w:w w:val="100"/>
          <w:position w:val="0"/>
        </w:rPr>
        <w:t>“</w:t>
      </w:r>
      <w:r>
        <w:rPr>
          <w:color w:val="000000"/>
          <w:spacing w:val="0"/>
          <w:w w:val="100"/>
          <w:position w:val="0"/>
        </w:rPr>
        <w:t>财务报表附注十二、</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r>
        <w:rPr>
          <w:rFonts w:ascii="Times New Roman" w:eastAsia="Times New Roman" w:hAnsi="Times New Roman" w:cs="Times New Roman"/>
          <w:color w:val="000000"/>
          <w:spacing w:val="0"/>
          <w:w w:val="100"/>
          <w:position w:val="0"/>
        </w:rPr>
        <w:t>”</w:t>
      </w:r>
      <w:r>
        <w:rPr>
          <w:color w:val="000000"/>
          <w:spacing w:val="0"/>
          <w:w w:val="100"/>
          <w:position w:val="0"/>
        </w:rPr>
        <w:t>所述，</w:t>
      </w:r>
      <w:r>
        <w:rPr>
          <w:rFonts w:ascii="Times New Roman" w:eastAsia="Times New Roman" w:hAnsi="Times New Roman" w:cs="Times New Roman"/>
          <w:color w:val="000000"/>
          <w:spacing w:val="0"/>
          <w:w w:val="100"/>
          <w:position w:val="0"/>
        </w:rPr>
        <w:t>2020</w:t>
      </w:r>
      <w:r>
        <w:rPr>
          <w:color w:val="000000"/>
          <w:spacing w:val="0"/>
          <w:w w:val="100"/>
          <w:position w:val="0"/>
        </w:rPr>
        <w:t>年度，控股股东江苏润 和科技投资集团有限公司（以下简称润和投资）通过相关供应商间接向润和软件拆借资金</w:t>
      </w:r>
      <w:r>
        <w:rPr>
          <w:rFonts w:ascii="Times New Roman" w:eastAsia="Times New Roman" w:hAnsi="Times New Roman" w:cs="Times New Roman"/>
          <w:color w:val="000000"/>
          <w:spacing w:val="0"/>
          <w:w w:val="100"/>
          <w:position w:val="0"/>
        </w:rPr>
        <w:t>6,923.00</w:t>
      </w:r>
      <w:r>
        <w:rPr>
          <w:color w:val="000000"/>
          <w:spacing w:val="0"/>
          <w:w w:val="100"/>
          <w:position w:val="0"/>
        </w:rPr>
        <w:t>万元，用于归还润和投资 的对外借款，形成了对润和软件的非经营性资金占用，上述事项表明了润和软件在资金管理、收付款的内部控制层面存在缺 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日，资金占用余额为</w:t>
      </w:r>
      <w:r>
        <w:rPr>
          <w:rFonts w:ascii="Times New Roman" w:eastAsia="Times New Roman" w:hAnsi="Times New Roman" w:cs="Times New Roman"/>
          <w:color w:val="000000"/>
          <w:spacing w:val="0"/>
          <w:w w:val="100"/>
          <w:position w:val="0"/>
        </w:rPr>
        <w:t>1,624.63</w:t>
      </w:r>
      <w:r>
        <w:rPr>
          <w:color w:val="000000"/>
          <w:spacing w:val="0"/>
          <w:w w:val="100"/>
          <w:position w:val="0"/>
        </w:rPr>
        <w:t>万元，其中本金</w:t>
      </w:r>
      <w:r>
        <w:rPr>
          <w:rFonts w:ascii="Times New Roman" w:eastAsia="Times New Roman" w:hAnsi="Times New Roman" w:cs="Times New Roman"/>
          <w:color w:val="000000"/>
          <w:spacing w:val="0"/>
          <w:w w:val="100"/>
          <w:position w:val="0"/>
        </w:rPr>
        <w:t>1,423.00</w:t>
      </w:r>
      <w:r>
        <w:rPr>
          <w:color w:val="000000"/>
          <w:spacing w:val="0"/>
          <w:w w:val="100"/>
          <w:position w:val="0"/>
        </w:rPr>
        <w:t>万元，利息</w:t>
      </w:r>
      <w:r>
        <w:rPr>
          <w:rFonts w:ascii="Times New Roman" w:eastAsia="Times New Roman" w:hAnsi="Times New Roman" w:cs="Times New Roman"/>
          <w:color w:val="000000"/>
          <w:spacing w:val="0"/>
          <w:w w:val="100"/>
          <w:position w:val="0"/>
        </w:rPr>
        <w:t>201.63</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 润和软件已收到润和投资归还的上述占用资金本金及利息合计</w:t>
      </w:r>
      <w:r>
        <w:rPr>
          <w:rFonts w:ascii="Times New Roman" w:eastAsia="Times New Roman" w:hAnsi="Times New Roman" w:cs="Times New Roman"/>
          <w:color w:val="000000"/>
          <w:spacing w:val="0"/>
          <w:w w:val="100"/>
          <w:position w:val="0"/>
        </w:rPr>
        <w:t>1,624.63</w:t>
      </w:r>
      <w:r>
        <w:rPr>
          <w:color w:val="000000"/>
          <w:spacing w:val="0"/>
          <w:w w:val="100"/>
          <w:position w:val="0"/>
        </w:rPr>
        <w:t>万元。本段内容不影响已发表的审计意见。</w:t>
      </w:r>
    </w:p>
    <w:p>
      <w:pPr>
        <w:pStyle w:val="Style26"/>
        <w:keepNext w:val="0"/>
        <w:keepLines w:val="0"/>
        <w:widowControl w:val="0"/>
        <w:shd w:val="clear" w:color="auto" w:fill="auto"/>
        <w:tabs>
          <w:tab w:pos="955" w:val="left"/>
        </w:tabs>
        <w:bidi w:val="0"/>
        <w:spacing w:before="0" w:after="0" w:line="312" w:lineRule="exact"/>
        <w:ind w:left="0" w:right="0" w:firstLine="520"/>
        <w:jc w:val="both"/>
      </w:pPr>
      <w:bookmarkStart w:id="648" w:name="bookmark648"/>
      <w:r>
        <w:rPr>
          <w:color w:val="000000"/>
          <w:spacing w:val="0"/>
          <w:w w:val="100"/>
          <w:position w:val="0"/>
        </w:rPr>
        <w:t>四</w:t>
      </w:r>
      <w:bookmarkEnd w:id="648"/>
      <w:r>
        <w:rPr>
          <w:color w:val="000000"/>
          <w:spacing w:val="0"/>
          <w:w w:val="100"/>
          <w:position w:val="0"/>
        </w:rPr>
        <w:t>、</w:t>
        <w:tab/>
        <w:t>关键审计事项</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26"/>
        <w:keepNext w:val="0"/>
        <w:keepLines w:val="0"/>
        <w:widowControl w:val="0"/>
        <w:shd w:val="clear" w:color="auto" w:fill="auto"/>
        <w:bidi w:val="0"/>
        <w:spacing w:before="0" w:after="0" w:line="312" w:lineRule="exact"/>
        <w:ind w:left="0" w:right="0" w:firstLine="520"/>
        <w:jc w:val="both"/>
      </w:pPr>
      <w:bookmarkStart w:id="649" w:name="bookmark649"/>
      <w:r>
        <w:rPr>
          <w:color w:val="000000"/>
          <w:spacing w:val="0"/>
          <w:w w:val="100"/>
          <w:position w:val="0"/>
        </w:rPr>
        <w:t>（</w:t>
      </w:r>
      <w:bookmarkEnd w:id="649"/>
      <w:r>
        <w:rPr>
          <w:color w:val="000000"/>
          <w:spacing w:val="0"/>
          <w:w w:val="100"/>
          <w:position w:val="0"/>
        </w:rPr>
        <w:t>一）收入确认</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润和软件自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），新收入准则要求管理层对合 同中包含的履约义务进行分析，判断收入应在一段时间内确认或应在某一时点确认。</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润和软件根据新收入准则规定对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日未完成的合同进行分析，并将执行新收入准则累计影响数调整至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日期初余额。</w:t>
      </w:r>
    </w:p>
    <w:p>
      <w:pPr>
        <w:pStyle w:val="Style26"/>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 xml:space="preserve">润和软件的主要收入分为软件开发业务及外购产品销售业务，识别合同中的履约义务，判断收入确认的方式均需润和 </w:t>
      </w:r>
      <w:r>
        <w:rPr>
          <w:color w:val="000000"/>
          <w:spacing w:val="0"/>
          <w:w w:val="100"/>
          <w:position w:val="0"/>
        </w:rPr>
        <w:t>软件做出重大判断，不恰当的判断可能导致收入确认重大错报，同时由于收入是公司的关键业绩指标之一，从而存在管理层 为了达到特定目标或期望而操纵收入确认时点的固有风险，我们将公司收入确认识别为关键审计事项。</w:t>
      </w:r>
    </w:p>
    <w:p>
      <w:pPr>
        <w:pStyle w:val="Style26"/>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我们实施的审计程序主要包括：</w:t>
      </w:r>
    </w:p>
    <w:p>
      <w:pPr>
        <w:pStyle w:val="Style26"/>
        <w:keepNext w:val="0"/>
        <w:keepLines w:val="0"/>
        <w:widowControl w:val="0"/>
        <w:shd w:val="clear" w:color="auto" w:fill="auto"/>
        <w:tabs>
          <w:tab w:pos="965" w:val="left"/>
        </w:tabs>
        <w:bidi w:val="0"/>
        <w:spacing w:before="0" w:after="0" w:line="317" w:lineRule="exact"/>
        <w:ind w:left="0" w:right="0" w:firstLine="52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rPr>
        <w:t>1</w:t>
      </w:r>
      <w:r>
        <w:rPr>
          <w:color w:val="000000"/>
          <w:spacing w:val="0"/>
          <w:w w:val="100"/>
          <w:position w:val="0"/>
        </w:rPr>
        <w:t>）</w:t>
        <w:tab/>
        <w:t>了解、评价和测试与新收入准则相关的关键内部控制设计和运行的有效性；</w:t>
      </w:r>
    </w:p>
    <w:p>
      <w:pPr>
        <w:pStyle w:val="Style26"/>
        <w:keepNext w:val="0"/>
        <w:keepLines w:val="0"/>
        <w:widowControl w:val="0"/>
        <w:shd w:val="clear" w:color="auto" w:fill="auto"/>
        <w:tabs>
          <w:tab w:pos="965" w:val="left"/>
        </w:tabs>
        <w:bidi w:val="0"/>
        <w:spacing w:before="0" w:after="0" w:line="317" w:lineRule="exact"/>
        <w:ind w:left="0" w:right="0" w:firstLine="52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日首次执行新收入准则累计影响数的计算过程和相关披露的充分性与完整性；</w:t>
      </w:r>
    </w:p>
    <w:p>
      <w:pPr>
        <w:pStyle w:val="Style26"/>
        <w:keepNext w:val="0"/>
        <w:keepLines w:val="0"/>
        <w:widowControl w:val="0"/>
        <w:shd w:val="clear" w:color="auto" w:fill="auto"/>
        <w:tabs>
          <w:tab w:pos="1045" w:val="left"/>
        </w:tabs>
        <w:bidi w:val="0"/>
        <w:spacing w:before="0" w:after="0" w:line="317" w:lineRule="exact"/>
        <w:ind w:left="0" w:right="0" w:firstLine="52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rPr>
        <w:t>3</w:t>
      </w:r>
      <w:r>
        <w:rPr>
          <w:color w:val="000000"/>
          <w:spacing w:val="0"/>
          <w:w w:val="100"/>
          <w:position w:val="0"/>
        </w:rPr>
        <w:t>）</w:t>
        <w:tab/>
        <w:t>选取样本检查销售合同，识别与收入确认相关的关键合同条款及履约义务，以评价公司收入确认政策是否符合 新收入准则的要求；</w:t>
      </w:r>
    </w:p>
    <w:p>
      <w:pPr>
        <w:pStyle w:val="Style26"/>
        <w:keepNext w:val="0"/>
        <w:keepLines w:val="0"/>
        <w:widowControl w:val="0"/>
        <w:shd w:val="clear" w:color="auto" w:fill="auto"/>
        <w:tabs>
          <w:tab w:pos="965" w:val="left"/>
        </w:tabs>
        <w:bidi w:val="0"/>
        <w:spacing w:before="0" w:after="0" w:line="317" w:lineRule="exact"/>
        <w:ind w:left="0" w:right="0" w:firstLine="52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rPr>
        <w:t>4</w:t>
      </w:r>
      <w:r>
        <w:rPr>
          <w:color w:val="000000"/>
          <w:spacing w:val="0"/>
          <w:w w:val="100"/>
          <w:position w:val="0"/>
        </w:rPr>
        <w:t>）</w:t>
        <w:tab/>
        <w:t>执行分析性复核程序，判断销售收入和毛利变动的合理性，与前期指标进行对比分析；</w:t>
      </w:r>
    </w:p>
    <w:p>
      <w:pPr>
        <w:pStyle w:val="Style26"/>
        <w:keepNext w:val="0"/>
        <w:keepLines w:val="0"/>
        <w:widowControl w:val="0"/>
        <w:shd w:val="clear" w:color="auto" w:fill="auto"/>
        <w:tabs>
          <w:tab w:pos="965" w:val="left"/>
        </w:tabs>
        <w:bidi w:val="0"/>
        <w:spacing w:before="0" w:after="0" w:line="317" w:lineRule="exact"/>
        <w:ind w:left="0" w:right="0" w:firstLine="52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rPr>
        <w:t>5</w:t>
      </w:r>
      <w:r>
        <w:rPr>
          <w:color w:val="000000"/>
          <w:spacing w:val="0"/>
          <w:w w:val="100"/>
          <w:position w:val="0"/>
        </w:rPr>
        <w:t>）</w:t>
        <w:tab/>
        <w:t>使用抽样方法选取了部分合同，对收入的确认进行检查：</w:t>
      </w:r>
    </w:p>
    <w:p>
      <w:pPr>
        <w:pStyle w:val="Style26"/>
        <w:keepNext w:val="0"/>
        <w:keepLines w:val="0"/>
        <w:widowControl w:val="0"/>
        <w:numPr>
          <w:ilvl w:val="0"/>
          <w:numId w:val="9"/>
        </w:numPr>
        <w:shd w:val="clear" w:color="auto" w:fill="auto"/>
        <w:tabs>
          <w:tab w:pos="893" w:val="left"/>
        </w:tabs>
        <w:bidi w:val="0"/>
        <w:spacing w:before="0" w:after="0" w:line="317" w:lineRule="exact"/>
        <w:ind w:left="0" w:right="0" w:firstLine="520"/>
        <w:jc w:val="both"/>
      </w:pPr>
      <w:bookmarkStart w:id="655" w:name="bookmark655"/>
      <w:bookmarkEnd w:id="655"/>
      <w:r>
        <w:rPr>
          <w:color w:val="000000"/>
          <w:spacing w:val="0"/>
          <w:w w:val="100"/>
          <w:position w:val="0"/>
        </w:rPr>
        <w:t>检查合同条款，核对合同金额的准确性；</w:t>
      </w:r>
    </w:p>
    <w:p>
      <w:pPr>
        <w:pStyle w:val="Style26"/>
        <w:keepNext w:val="0"/>
        <w:keepLines w:val="0"/>
        <w:widowControl w:val="0"/>
        <w:numPr>
          <w:ilvl w:val="0"/>
          <w:numId w:val="9"/>
        </w:numPr>
        <w:shd w:val="clear" w:color="auto" w:fill="auto"/>
        <w:tabs>
          <w:tab w:pos="893" w:val="left"/>
        </w:tabs>
        <w:bidi w:val="0"/>
        <w:spacing w:before="0" w:after="0" w:line="317" w:lineRule="exact"/>
        <w:ind w:left="0" w:right="0" w:firstLine="520"/>
        <w:jc w:val="both"/>
      </w:pPr>
      <w:bookmarkStart w:id="656" w:name="bookmark656"/>
      <w:bookmarkEnd w:id="656"/>
      <w:r>
        <w:rPr>
          <w:color w:val="000000"/>
          <w:spacing w:val="0"/>
          <w:w w:val="100"/>
          <w:position w:val="0"/>
        </w:rPr>
        <w:t>检查重要项目的确认单、结算单等；</w:t>
      </w:r>
    </w:p>
    <w:p>
      <w:pPr>
        <w:pStyle w:val="Style26"/>
        <w:keepNext w:val="0"/>
        <w:keepLines w:val="0"/>
        <w:widowControl w:val="0"/>
        <w:numPr>
          <w:ilvl w:val="0"/>
          <w:numId w:val="9"/>
        </w:numPr>
        <w:shd w:val="clear" w:color="auto" w:fill="auto"/>
        <w:tabs>
          <w:tab w:pos="893" w:val="left"/>
        </w:tabs>
        <w:bidi w:val="0"/>
        <w:spacing w:before="0" w:after="0" w:line="317" w:lineRule="exact"/>
        <w:ind w:left="0" w:right="0" w:firstLine="520"/>
        <w:jc w:val="both"/>
      </w:pPr>
      <w:bookmarkStart w:id="657" w:name="bookmark657"/>
      <w:bookmarkEnd w:id="657"/>
      <w:r>
        <w:rPr>
          <w:color w:val="000000"/>
          <w:spacing w:val="0"/>
          <w:w w:val="100"/>
          <w:position w:val="0"/>
        </w:rPr>
        <w:t>重新计算公司账面收入确认的准确性；</w:t>
      </w:r>
    </w:p>
    <w:p>
      <w:pPr>
        <w:pStyle w:val="Style26"/>
        <w:keepNext w:val="0"/>
        <w:keepLines w:val="0"/>
        <w:widowControl w:val="0"/>
        <w:numPr>
          <w:ilvl w:val="0"/>
          <w:numId w:val="9"/>
        </w:numPr>
        <w:shd w:val="clear" w:color="auto" w:fill="auto"/>
        <w:tabs>
          <w:tab w:pos="893" w:val="left"/>
        </w:tabs>
        <w:bidi w:val="0"/>
        <w:spacing w:before="0" w:after="0" w:line="317" w:lineRule="exact"/>
        <w:ind w:left="0" w:right="0" w:firstLine="520"/>
        <w:jc w:val="both"/>
      </w:pPr>
      <w:bookmarkStart w:id="658" w:name="bookmark658"/>
      <w:bookmarkEnd w:id="658"/>
      <w:r>
        <w:rPr>
          <w:color w:val="000000"/>
          <w:spacing w:val="0"/>
          <w:w w:val="100"/>
          <w:position w:val="0"/>
        </w:rPr>
        <w:t>针对</w:t>
      </w:r>
      <w:r>
        <w:rPr>
          <w:rFonts w:ascii="Times New Roman" w:eastAsia="Times New Roman" w:hAnsi="Times New Roman" w:cs="Times New Roman"/>
          <w:color w:val="000000"/>
          <w:spacing w:val="0"/>
          <w:w w:val="100"/>
          <w:position w:val="0"/>
        </w:rPr>
        <w:t>2020</w:t>
      </w:r>
      <w:r>
        <w:rPr>
          <w:color w:val="000000"/>
          <w:spacing w:val="0"/>
          <w:w w:val="100"/>
          <w:position w:val="0"/>
        </w:rPr>
        <w:t>年度销售金额较大的客户执行函证程序；</w:t>
      </w:r>
    </w:p>
    <w:p>
      <w:pPr>
        <w:pStyle w:val="Style26"/>
        <w:keepNext w:val="0"/>
        <w:keepLines w:val="0"/>
        <w:widowControl w:val="0"/>
        <w:numPr>
          <w:ilvl w:val="0"/>
          <w:numId w:val="9"/>
        </w:numPr>
        <w:shd w:val="clear" w:color="auto" w:fill="auto"/>
        <w:tabs>
          <w:tab w:pos="893" w:val="left"/>
        </w:tabs>
        <w:bidi w:val="0"/>
        <w:spacing w:before="0" w:after="0" w:line="317" w:lineRule="exact"/>
        <w:ind w:left="0" w:right="0" w:firstLine="520"/>
        <w:jc w:val="both"/>
      </w:pPr>
      <w:bookmarkStart w:id="659" w:name="bookmark659"/>
      <w:bookmarkEnd w:id="659"/>
      <w:r>
        <w:rPr>
          <w:color w:val="000000"/>
          <w:spacing w:val="0"/>
          <w:w w:val="100"/>
          <w:position w:val="0"/>
        </w:rPr>
        <w:t>结合函证程序，对重点客户执行视频、电话以及现场走访核查程序。</w:t>
      </w:r>
    </w:p>
    <w:p>
      <w:pPr>
        <w:pStyle w:val="Style26"/>
        <w:keepNext w:val="0"/>
        <w:keepLines w:val="0"/>
        <w:widowControl w:val="0"/>
        <w:shd w:val="clear" w:color="auto" w:fill="auto"/>
        <w:tabs>
          <w:tab w:pos="1051" w:val="left"/>
        </w:tabs>
        <w:bidi w:val="0"/>
        <w:spacing w:before="0" w:after="100" w:line="317" w:lineRule="exact"/>
        <w:ind w:left="0" w:right="0" w:firstLine="520"/>
        <w:jc w:val="both"/>
      </w:pPr>
      <w:bookmarkStart w:id="660" w:name="bookmark660"/>
      <w:r>
        <w:rPr>
          <w:color w:val="000000"/>
          <w:spacing w:val="0"/>
          <w:w w:val="100"/>
          <w:position w:val="0"/>
        </w:rPr>
        <w:t>（</w:t>
      </w:r>
      <w:bookmarkEnd w:id="660"/>
      <w:r>
        <w:rPr>
          <w:color w:val="000000"/>
          <w:spacing w:val="0"/>
          <w:w w:val="100"/>
          <w:position w:val="0"/>
        </w:rPr>
        <w:t>二）</w:t>
        <w:tab/>
        <w:t>应收账款坏账准备</w:t>
      </w:r>
    </w:p>
    <w:p>
      <w:pPr>
        <w:pStyle w:val="Style26"/>
        <w:keepNext w:val="0"/>
        <w:keepLines w:val="0"/>
        <w:widowControl w:val="0"/>
        <w:shd w:val="clear" w:color="auto" w:fill="auto"/>
        <w:tabs>
          <w:tab w:pos="866" w:val="left"/>
        </w:tabs>
        <w:bidi w:val="0"/>
        <w:spacing w:before="0" w:after="0"/>
        <w:ind w:left="0" w:right="0" w:firstLine="520"/>
        <w:jc w:val="both"/>
      </w:pPr>
      <w:bookmarkStart w:id="661" w:name="bookmark661"/>
      <w:r>
        <w:rPr>
          <w:rFonts w:ascii="Times New Roman" w:eastAsia="Times New Roman" w:hAnsi="Times New Roman" w:cs="Times New Roman"/>
          <w:color w:val="000000"/>
          <w:spacing w:val="0"/>
          <w:w w:val="100"/>
          <w:position w:val="0"/>
        </w:rPr>
        <w:t>1</w:t>
      </w:r>
      <w:bookmarkEnd w:id="661"/>
      <w:r>
        <w:rPr>
          <w:color w:val="000000"/>
          <w:spacing w:val="0"/>
          <w:w w:val="100"/>
          <w:position w:val="0"/>
        </w:rPr>
        <w:t>、</w:t>
        <w:tab/>
        <w:t>事项描述</w:t>
      </w:r>
    </w:p>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参见财务报表附注七、</w:t>
      </w:r>
      <w:r>
        <w:rPr>
          <w:rFonts w:ascii="Times New Roman" w:eastAsia="Times New Roman" w:hAnsi="Times New Roman" w:cs="Times New Roman"/>
          <w:color w:val="000000"/>
          <w:spacing w:val="0"/>
          <w:w w:val="100"/>
          <w:position w:val="0"/>
        </w:rPr>
        <w:t>5</w:t>
      </w:r>
      <w:r>
        <w:rPr>
          <w:color w:val="000000"/>
          <w:spacing w:val="0"/>
          <w:w w:val="100"/>
          <w:position w:val="0"/>
        </w:rPr>
        <w:t>,截止至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日，润和软件应收账款余额</w:t>
      </w:r>
      <w:r>
        <w:rPr>
          <w:rFonts w:ascii="Times New Roman" w:eastAsia="Times New Roman" w:hAnsi="Times New Roman" w:cs="Times New Roman"/>
          <w:color w:val="000000"/>
          <w:spacing w:val="0"/>
          <w:w w:val="100"/>
          <w:position w:val="0"/>
        </w:rPr>
        <w:t>119,168.98</w:t>
      </w:r>
      <w:r>
        <w:rPr>
          <w:color w:val="000000"/>
          <w:spacing w:val="0"/>
          <w:w w:val="100"/>
          <w:position w:val="0"/>
        </w:rPr>
        <w:t>万元，坏账准备金额</w:t>
      </w:r>
      <w:r>
        <w:rPr>
          <w:rFonts w:ascii="Times New Roman" w:eastAsia="Times New Roman" w:hAnsi="Times New Roman" w:cs="Times New Roman"/>
          <w:color w:val="000000"/>
          <w:spacing w:val="0"/>
          <w:w w:val="100"/>
          <w:position w:val="0"/>
        </w:rPr>
        <w:t xml:space="preserve">23,924.21 </w:t>
      </w:r>
      <w:r>
        <w:rPr>
          <w:color w:val="000000"/>
          <w:spacing w:val="0"/>
          <w:w w:val="100"/>
          <w:position w:val="0"/>
        </w:rPr>
        <w:t>万元，应收账款余额</w:t>
      </w:r>
      <w:r>
        <w:rPr>
          <w:rFonts w:ascii="Times New Roman" w:eastAsia="Times New Roman" w:hAnsi="Times New Roman" w:cs="Times New Roman"/>
          <w:color w:val="000000"/>
          <w:spacing w:val="0"/>
          <w:w w:val="100"/>
          <w:position w:val="0"/>
        </w:rPr>
        <w:t>95,244.77</w:t>
      </w:r>
      <w:r>
        <w:rPr>
          <w:color w:val="000000"/>
          <w:spacing w:val="0"/>
          <w:w w:val="100"/>
          <w:position w:val="0"/>
        </w:rPr>
        <w:t>万元，应收账款净值占合并资产总额</w:t>
      </w:r>
      <w:r>
        <w:rPr>
          <w:rFonts w:ascii="Times New Roman" w:eastAsia="Times New Roman" w:hAnsi="Times New Roman" w:cs="Times New Roman"/>
          <w:color w:val="000000"/>
          <w:spacing w:val="0"/>
          <w:w w:val="100"/>
          <w:position w:val="0"/>
        </w:rPr>
        <w:t>22.03%</w:t>
      </w:r>
      <w:r>
        <w:rPr>
          <w:color w:val="000000"/>
          <w:spacing w:val="0"/>
          <w:w w:val="100"/>
          <w:position w:val="0"/>
        </w:rPr>
        <w:t>。</w:t>
      </w:r>
    </w:p>
    <w:p>
      <w:pPr>
        <w:pStyle w:val="Style26"/>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由于应收账款不能按期收回或无法收回而发生坏账对财务报表影响较为重大，我们将应收账款坏账准备确定为关键审 计事项。</w:t>
      </w:r>
    </w:p>
    <w:p>
      <w:pPr>
        <w:pStyle w:val="Style26"/>
        <w:keepNext w:val="0"/>
        <w:keepLines w:val="0"/>
        <w:widowControl w:val="0"/>
        <w:shd w:val="clear" w:color="auto" w:fill="auto"/>
        <w:tabs>
          <w:tab w:pos="874" w:val="left"/>
        </w:tabs>
        <w:bidi w:val="0"/>
        <w:spacing w:before="0" w:after="0"/>
        <w:ind w:left="0" w:right="0" w:firstLine="520"/>
        <w:jc w:val="both"/>
      </w:pPr>
      <w:bookmarkStart w:id="662" w:name="bookmark662"/>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审计应对</w:t>
      </w:r>
    </w:p>
    <w:p>
      <w:pPr>
        <w:pStyle w:val="Style26"/>
        <w:keepNext w:val="0"/>
        <w:keepLines w:val="0"/>
        <w:widowControl w:val="0"/>
        <w:shd w:val="clear" w:color="auto" w:fill="auto"/>
        <w:bidi w:val="0"/>
        <w:spacing w:before="0" w:after="0" w:line="318" w:lineRule="exact"/>
        <w:ind w:left="0" w:right="0" w:firstLine="520"/>
        <w:jc w:val="both"/>
      </w:pPr>
      <w:r>
        <w:rPr>
          <w:color w:val="000000"/>
          <w:spacing w:val="0"/>
          <w:w w:val="100"/>
          <w:position w:val="0"/>
        </w:rPr>
        <w:t>我们对应收账款坏账准备实施的程序主要包括：</w:t>
      </w:r>
    </w:p>
    <w:p>
      <w:pPr>
        <w:pStyle w:val="Style26"/>
        <w:keepNext w:val="0"/>
        <w:keepLines w:val="0"/>
        <w:widowControl w:val="0"/>
        <w:shd w:val="clear" w:color="auto" w:fill="auto"/>
        <w:tabs>
          <w:tab w:pos="1026" w:val="left"/>
        </w:tabs>
        <w:bidi w:val="0"/>
        <w:spacing w:before="0" w:after="0" w:line="318" w:lineRule="exact"/>
        <w:ind w:left="0" w:right="0" w:firstLine="52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获取润和软件销售与应收账款管理相关的内部控制制度，了解和评价内部控制的设计并实施穿行测试检查相关 内控制度是否得到有效执行；</w:t>
      </w:r>
    </w:p>
    <w:p>
      <w:pPr>
        <w:pStyle w:val="Style26"/>
        <w:keepNext w:val="0"/>
        <w:keepLines w:val="0"/>
        <w:widowControl w:val="0"/>
        <w:shd w:val="clear" w:color="auto" w:fill="auto"/>
        <w:tabs>
          <w:tab w:pos="1045" w:val="left"/>
        </w:tabs>
        <w:bidi w:val="0"/>
        <w:spacing w:before="0" w:after="0" w:line="318" w:lineRule="exact"/>
        <w:ind w:left="0" w:right="0" w:firstLine="52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获取润和软件应收账款预期信用损失模型，复核管理层对应收款项预期信用损失进行评估的相关考虑及客观证 据；</w:t>
      </w:r>
    </w:p>
    <w:p>
      <w:pPr>
        <w:pStyle w:val="Style26"/>
        <w:keepNext w:val="0"/>
        <w:keepLines w:val="0"/>
        <w:widowControl w:val="0"/>
        <w:shd w:val="clear" w:color="auto" w:fill="auto"/>
        <w:tabs>
          <w:tab w:pos="1045" w:val="left"/>
        </w:tabs>
        <w:bidi w:val="0"/>
        <w:spacing w:before="0" w:after="0" w:line="318" w:lineRule="exact"/>
        <w:ind w:left="0" w:right="0" w:firstLine="52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3</w:t>
      </w:r>
      <w:r>
        <w:rPr>
          <w:color w:val="000000"/>
          <w:spacing w:val="0"/>
          <w:w w:val="100"/>
          <w:position w:val="0"/>
        </w:rPr>
        <w:t>）</w:t>
        <w:tab/>
        <w:t>对于以共同信用风险特征为依据采用减值矩阵确定预期信用损失的应收款项，结合历史实际损失率和前瞻性信 息，评价管理层确定的预期信用损失率的合理性；分析检查应收账款坏账准备的计提依据是否充分合理，重新计算坏账计提 金额是否准确；</w:t>
      </w:r>
    </w:p>
    <w:p>
      <w:pPr>
        <w:pStyle w:val="Style26"/>
        <w:keepNext w:val="0"/>
        <w:keepLines w:val="0"/>
        <w:widowControl w:val="0"/>
        <w:shd w:val="clear" w:color="auto" w:fill="auto"/>
        <w:tabs>
          <w:tab w:pos="1045" w:val="left"/>
        </w:tabs>
        <w:bidi w:val="0"/>
        <w:spacing w:before="0" w:after="0" w:line="318" w:lineRule="exact"/>
        <w:ind w:left="0" w:right="0" w:firstLine="52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4</w:t>
      </w:r>
      <w:r>
        <w:rPr>
          <w:color w:val="000000"/>
          <w:spacing w:val="0"/>
          <w:w w:val="100"/>
          <w:position w:val="0"/>
        </w:rPr>
        <w:t>）</w:t>
        <w:tab/>
        <w:t>通过分析润和软件应收账款的账龄和客户信誉情况，并执行应收账款函证程序及检查期后回款情况，评价应收 账款坏账准备计提的合理性；</w:t>
      </w:r>
    </w:p>
    <w:p>
      <w:pPr>
        <w:pStyle w:val="Style26"/>
        <w:keepNext w:val="0"/>
        <w:keepLines w:val="0"/>
        <w:widowControl w:val="0"/>
        <w:shd w:val="clear" w:color="auto" w:fill="auto"/>
        <w:tabs>
          <w:tab w:pos="1045" w:val="left"/>
        </w:tabs>
        <w:bidi w:val="0"/>
        <w:spacing w:before="0" w:after="0" w:line="318" w:lineRule="exact"/>
        <w:ind w:left="0" w:right="0" w:firstLine="52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5</w:t>
      </w:r>
      <w:r>
        <w:rPr>
          <w:color w:val="000000"/>
          <w:spacing w:val="0"/>
          <w:w w:val="100"/>
          <w:position w:val="0"/>
        </w:rPr>
        <w:t>）</w:t>
        <w:tab/>
        <w:t>对于单独计提坏账准备的应收账款，选取样本获取管理层对预计未来可收回金额做出估计的依据，包括客户信 用记录、违约或延迟付款记录及期后实际还款情况，并复核其合理性；</w:t>
      </w:r>
    </w:p>
    <w:p>
      <w:pPr>
        <w:pStyle w:val="Style26"/>
        <w:keepNext w:val="0"/>
        <w:keepLines w:val="0"/>
        <w:widowControl w:val="0"/>
        <w:shd w:val="clear" w:color="auto" w:fill="auto"/>
        <w:tabs>
          <w:tab w:pos="1035" w:val="left"/>
        </w:tabs>
        <w:bidi w:val="0"/>
        <w:spacing w:before="0" w:after="0" w:line="318" w:lineRule="exact"/>
        <w:ind w:left="0" w:right="0" w:firstLine="52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6</w:t>
      </w:r>
      <w:r>
        <w:rPr>
          <w:color w:val="000000"/>
          <w:spacing w:val="0"/>
          <w:w w:val="100"/>
          <w:position w:val="0"/>
        </w:rPr>
        <w:t>）</w:t>
        <w:tab/>
        <w:t>了解逾期款项客户欠款原因，检查报告期内润和软件涉及诉讼的全部资料，核查润和软件报告期末是否存在交 易争议的应收账款，核查应收账款坏账计提充分性；</w:t>
      </w:r>
    </w:p>
    <w:p>
      <w:pPr>
        <w:pStyle w:val="Style26"/>
        <w:keepNext w:val="0"/>
        <w:keepLines w:val="0"/>
        <w:widowControl w:val="0"/>
        <w:shd w:val="clear" w:color="auto" w:fill="auto"/>
        <w:tabs>
          <w:tab w:pos="1045" w:val="left"/>
        </w:tabs>
        <w:bidi w:val="0"/>
        <w:spacing w:before="0" w:after="0" w:line="318" w:lineRule="exact"/>
        <w:ind w:left="0" w:right="0" w:firstLine="52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rPr>
        <w:t>7</w:t>
      </w:r>
      <w:r>
        <w:rPr>
          <w:color w:val="000000"/>
          <w:spacing w:val="0"/>
          <w:w w:val="100"/>
          <w:position w:val="0"/>
        </w:rPr>
        <w:t>）</w:t>
        <w:tab/>
        <w:t>查询客户的工商资料，并对重要客户执行实地走访、视频以及电话访谈程序，了解重要客户的经营状况及持续 经营能力，评估客户的回款意愿和能力。</w:t>
      </w:r>
    </w:p>
    <w:p>
      <w:pPr>
        <w:pStyle w:val="Style26"/>
        <w:keepNext w:val="0"/>
        <w:keepLines w:val="0"/>
        <w:widowControl w:val="0"/>
        <w:shd w:val="clear" w:color="auto" w:fill="auto"/>
        <w:tabs>
          <w:tab w:pos="1051" w:val="left"/>
        </w:tabs>
        <w:bidi w:val="0"/>
        <w:spacing w:before="0" w:after="100" w:line="318" w:lineRule="exact"/>
        <w:ind w:left="0" w:right="0" w:firstLine="520"/>
        <w:jc w:val="both"/>
      </w:pPr>
      <w:bookmarkStart w:id="670" w:name="bookmark670"/>
      <w:r>
        <w:rPr>
          <w:color w:val="000000"/>
          <w:spacing w:val="0"/>
          <w:w w:val="100"/>
          <w:position w:val="0"/>
        </w:rPr>
        <w:t>（</w:t>
      </w:r>
      <w:bookmarkEnd w:id="670"/>
      <w:r>
        <w:rPr>
          <w:color w:val="000000"/>
          <w:spacing w:val="0"/>
          <w:w w:val="100"/>
          <w:position w:val="0"/>
        </w:rPr>
        <w:t>三）</w:t>
        <w:tab/>
        <w:t>商誉减值</w:t>
      </w:r>
    </w:p>
    <w:p>
      <w:pPr>
        <w:pStyle w:val="Style26"/>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26"/>
        <w:keepNext w:val="0"/>
        <w:keepLines w:val="0"/>
        <w:widowControl w:val="0"/>
        <w:shd w:val="clear" w:color="auto" w:fill="auto"/>
        <w:bidi w:val="0"/>
        <w:spacing w:before="0" w:after="100" w:line="318" w:lineRule="exact"/>
        <w:ind w:left="0" w:right="0" w:firstLine="520"/>
        <w:jc w:val="both"/>
      </w:pPr>
      <w:r>
        <w:rPr>
          <w:color w:val="000000"/>
          <w:spacing w:val="0"/>
          <w:w w:val="100"/>
          <w:position w:val="0"/>
        </w:rPr>
        <w:t>参见财务报表附注七、</w:t>
      </w:r>
      <w:r>
        <w:rPr>
          <w:rFonts w:ascii="Times New Roman" w:eastAsia="Times New Roman" w:hAnsi="Times New Roman" w:cs="Times New Roman"/>
          <w:color w:val="000000"/>
          <w:spacing w:val="0"/>
          <w:w w:val="100"/>
          <w:position w:val="0"/>
        </w:rPr>
        <w:t>28</w:t>
      </w: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日，润和软件商誉的账面原值为</w:t>
      </w:r>
      <w:r>
        <w:rPr>
          <w:rFonts w:ascii="Times New Roman" w:eastAsia="Times New Roman" w:hAnsi="Times New Roman" w:cs="Times New Roman"/>
          <w:color w:val="000000"/>
          <w:spacing w:val="0"/>
          <w:w w:val="100"/>
          <w:position w:val="0"/>
        </w:rPr>
        <w:t>261,614.4</w:t>
      </w:r>
      <w:r>
        <w:rPr>
          <w:rFonts w:ascii="Times New Roman" w:eastAsia="Times New Roman" w:hAnsi="Times New Roman" w:cs="Times New Roman"/>
          <w:color w:val="000000"/>
          <w:spacing w:val="0"/>
          <w:w w:val="100"/>
          <w:position w:val="0"/>
        </w:rPr>
        <w:t>0</w:t>
      </w:r>
      <w:r>
        <w:rPr>
          <w:color w:val="000000"/>
          <w:spacing w:val="0"/>
          <w:w w:val="100"/>
          <w:position w:val="0"/>
        </w:rPr>
        <w:t>万元，相应的减值准备金额 为</w:t>
      </w:r>
      <w:r>
        <w:rPr>
          <w:rFonts w:ascii="Times New Roman" w:eastAsia="Times New Roman" w:hAnsi="Times New Roman" w:cs="Times New Roman"/>
          <w:color w:val="000000"/>
          <w:spacing w:val="0"/>
          <w:w w:val="100"/>
          <w:position w:val="0"/>
        </w:rPr>
        <w:t>162,996.29</w:t>
      </w:r>
      <w:r>
        <w:rPr>
          <w:color w:val="000000"/>
          <w:spacing w:val="0"/>
          <w:w w:val="100"/>
          <w:position w:val="0"/>
        </w:rPr>
        <w:t xml:space="preserve">万元，商誉资产金额以及减值金额重大，商誉为润和软件历次收购子公司形成，如果商誉有发生任何减值的情 况，对润和软件财务报表可能产生重大影响。管理层聘请第三方评估机构对相关商誉资产组可收回金额进行评估，以协助管 理层对公司商誉进行减值测试。管理层根据包含分摊的商誉的资产组或资产组组合的可收回金额低于其账面价值的部分，确 </w:t>
      </w:r>
      <w:r>
        <w:rPr>
          <w:color w:val="000000"/>
          <w:spacing w:val="0"/>
          <w:w w:val="100"/>
          <w:position w:val="0"/>
        </w:rPr>
        <w:t>认相应的减值准备。商誉减值评估涉及的关键假设包括收入增长率、毛利率、费用率及折现率。由于相关减值评估与测试需 要管理层作出重大判断，因此我们将该类资产的减值评估确认为关键审计事项。</w:t>
      </w:r>
    </w:p>
    <w:p>
      <w:pPr>
        <w:pStyle w:val="Style26"/>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我们实施的审计程序主要包括：</w:t>
      </w:r>
    </w:p>
    <w:p>
      <w:pPr>
        <w:pStyle w:val="Style26"/>
        <w:keepNext w:val="0"/>
        <w:keepLines w:val="0"/>
        <w:widowControl w:val="0"/>
        <w:shd w:val="clear" w:color="auto" w:fill="auto"/>
        <w:tabs>
          <w:tab w:pos="965" w:val="left"/>
        </w:tabs>
        <w:bidi w:val="0"/>
        <w:spacing w:before="0" w:after="0" w:line="316" w:lineRule="exact"/>
        <w:ind w:left="0" w:right="0" w:firstLine="52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rPr>
        <w:t>1</w:t>
      </w:r>
      <w:r>
        <w:rPr>
          <w:color w:val="000000"/>
          <w:spacing w:val="0"/>
          <w:w w:val="100"/>
          <w:position w:val="0"/>
        </w:rPr>
        <w:t>）</w:t>
        <w:tab/>
        <w:t>了解公司与商誉评估相关的内部控制的设计及运行有效性；</w:t>
      </w:r>
    </w:p>
    <w:p>
      <w:pPr>
        <w:pStyle w:val="Style26"/>
        <w:keepNext w:val="0"/>
        <w:keepLines w:val="0"/>
        <w:widowControl w:val="0"/>
        <w:shd w:val="clear" w:color="auto" w:fill="auto"/>
        <w:tabs>
          <w:tab w:pos="965" w:val="left"/>
        </w:tabs>
        <w:bidi w:val="0"/>
        <w:spacing w:before="0" w:after="0" w:line="316" w:lineRule="exact"/>
        <w:ind w:left="0" w:right="0" w:firstLine="52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rPr>
        <w:t>2</w:t>
      </w:r>
      <w:r>
        <w:rPr>
          <w:color w:val="000000"/>
          <w:spacing w:val="0"/>
          <w:w w:val="100"/>
          <w:position w:val="0"/>
        </w:rPr>
        <w:t>）</w:t>
        <w:tab/>
        <w:t>了解并评价管理层聘用的外部估值专家的胜任能力、专业素质和客观性；</w:t>
      </w:r>
    </w:p>
    <w:p>
      <w:pPr>
        <w:pStyle w:val="Style26"/>
        <w:keepNext w:val="0"/>
        <w:keepLines w:val="0"/>
        <w:widowControl w:val="0"/>
        <w:shd w:val="clear" w:color="auto" w:fill="auto"/>
        <w:bidi w:val="0"/>
        <w:spacing w:before="0" w:after="0" w:line="316" w:lineRule="exact"/>
        <w:ind w:left="0" w:right="0" w:firstLine="52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3</w:t>
      </w:r>
      <w:r>
        <w:rPr>
          <w:color w:val="000000"/>
          <w:spacing w:val="0"/>
          <w:w w:val="100"/>
          <w:position w:val="0"/>
        </w:rPr>
        <w:t>） 与外部专家进行沟通，判断对商誉减值测试所依据的评估和预测采用的相关假设是否合理，评估方法是否恰当；</w:t>
      </w:r>
    </w:p>
    <w:p>
      <w:pPr>
        <w:pStyle w:val="Style26"/>
        <w:keepNext w:val="0"/>
        <w:keepLines w:val="0"/>
        <w:widowControl w:val="0"/>
        <w:shd w:val="clear" w:color="auto" w:fill="auto"/>
        <w:tabs>
          <w:tab w:pos="1050" w:val="left"/>
        </w:tabs>
        <w:bidi w:val="0"/>
        <w:spacing w:before="0" w:after="0" w:line="316" w:lineRule="exact"/>
        <w:ind w:left="0" w:right="0" w:firstLine="52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4</w:t>
      </w:r>
      <w:r>
        <w:rPr>
          <w:color w:val="000000"/>
          <w:spacing w:val="0"/>
          <w:w w:val="100"/>
          <w:position w:val="0"/>
        </w:rPr>
        <w:t>）</w:t>
        <w:tab/>
        <w:t>复核管理层以前年度对未来现金流量现值的预测和实际经营结果，评价管理层过往预测的准确性，评价管理层 对未来现金流量的预测编制是否存在偏向性；</w:t>
      </w:r>
    </w:p>
    <w:p>
      <w:pPr>
        <w:pStyle w:val="Style26"/>
        <w:keepNext w:val="0"/>
        <w:keepLines w:val="0"/>
        <w:widowControl w:val="0"/>
        <w:shd w:val="clear" w:color="auto" w:fill="auto"/>
        <w:tabs>
          <w:tab w:pos="1045" w:val="left"/>
        </w:tabs>
        <w:bidi w:val="0"/>
        <w:spacing w:before="0" w:after="0" w:line="316" w:lineRule="exact"/>
        <w:ind w:left="0" w:right="0" w:firstLine="52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rPr>
        <w:t>5</w:t>
      </w:r>
      <w:r>
        <w:rPr>
          <w:color w:val="000000"/>
          <w:spacing w:val="0"/>
          <w:w w:val="100"/>
          <w:position w:val="0"/>
        </w:rPr>
        <w:t>）</w:t>
        <w:tab/>
        <w:t>评估预计未来现金流量现值计算中选取的关键参数包括预测期以及稳定期的收入增长率和毛利率，折现率的合 理性以及恰当性；</w:t>
      </w:r>
    </w:p>
    <w:p>
      <w:pPr>
        <w:pStyle w:val="Style26"/>
        <w:keepNext w:val="0"/>
        <w:keepLines w:val="0"/>
        <w:widowControl w:val="0"/>
        <w:shd w:val="clear" w:color="auto" w:fill="auto"/>
        <w:tabs>
          <w:tab w:pos="965" w:val="left"/>
        </w:tabs>
        <w:bidi w:val="0"/>
        <w:spacing w:before="0" w:after="0" w:line="316" w:lineRule="exact"/>
        <w:ind w:left="0" w:right="0" w:firstLine="52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6</w:t>
      </w:r>
      <w:r>
        <w:rPr>
          <w:color w:val="000000"/>
          <w:spacing w:val="0"/>
          <w:w w:val="100"/>
          <w:position w:val="0"/>
        </w:rPr>
        <w:t>）</w:t>
        <w:tab/>
        <w:t>评估管理层对商誉的财务报表披露是否恰当。</w:t>
      </w:r>
    </w:p>
    <w:p>
      <w:pPr>
        <w:pStyle w:val="Style26"/>
        <w:keepNext w:val="0"/>
        <w:keepLines w:val="0"/>
        <w:widowControl w:val="0"/>
        <w:shd w:val="clear" w:color="auto" w:fill="auto"/>
        <w:tabs>
          <w:tab w:pos="955" w:val="left"/>
        </w:tabs>
        <w:bidi w:val="0"/>
        <w:spacing w:before="0" w:after="0" w:line="316" w:lineRule="exact"/>
        <w:ind w:left="0" w:right="0" w:firstLine="520"/>
        <w:jc w:val="both"/>
      </w:pPr>
      <w:bookmarkStart w:id="677" w:name="bookmark677"/>
      <w:r>
        <w:rPr>
          <w:color w:val="000000"/>
          <w:spacing w:val="0"/>
          <w:w w:val="100"/>
          <w:position w:val="0"/>
        </w:rPr>
        <w:t>五</w:t>
      </w:r>
      <w:bookmarkEnd w:id="677"/>
      <w:r>
        <w:rPr>
          <w:color w:val="000000"/>
          <w:spacing w:val="0"/>
          <w:w w:val="100"/>
          <w:position w:val="0"/>
        </w:rPr>
        <w:t>、</w:t>
        <w:tab/>
        <w:t>其他信息</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润和软件管理层（以下简称管理层）对其他信息负责。其他信息包括润和软件</w:t>
      </w:r>
      <w:r>
        <w:rPr>
          <w:rFonts w:ascii="Times New Roman" w:eastAsia="Times New Roman" w:hAnsi="Times New Roman" w:cs="Times New Roman"/>
          <w:color w:val="000000"/>
          <w:spacing w:val="0"/>
          <w:w w:val="100"/>
          <w:position w:val="0"/>
        </w:rPr>
        <w:t>2020</w:t>
      </w:r>
      <w:r>
        <w:rPr>
          <w:color w:val="000000"/>
          <w:spacing w:val="0"/>
          <w:w w:val="100"/>
          <w:position w:val="0"/>
        </w:rPr>
        <w:t>年度报告中涵盖的信息，但不包括 财务报表和我们的审计报告。</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我们对财务报表发表的审计意见不涵盖其他信息，我们也不对其他信息发表任何形式的鉴证结论。</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6"/>
        <w:keepNext w:val="0"/>
        <w:keepLines w:val="0"/>
        <w:widowControl w:val="0"/>
        <w:shd w:val="clear" w:color="auto" w:fill="auto"/>
        <w:tabs>
          <w:tab w:pos="955" w:val="left"/>
        </w:tabs>
        <w:bidi w:val="0"/>
        <w:spacing w:before="0" w:after="0" w:line="316" w:lineRule="exact"/>
        <w:ind w:left="0" w:right="0" w:firstLine="520"/>
        <w:jc w:val="both"/>
      </w:pPr>
      <w:bookmarkStart w:id="678" w:name="bookmark678"/>
      <w:r>
        <w:rPr>
          <w:color w:val="000000"/>
          <w:spacing w:val="0"/>
          <w:w w:val="100"/>
          <w:position w:val="0"/>
        </w:rPr>
        <w:t>六</w:t>
      </w:r>
      <w:bookmarkEnd w:id="678"/>
      <w:r>
        <w:rPr>
          <w:color w:val="000000"/>
          <w:spacing w:val="0"/>
          <w:w w:val="100"/>
          <w:position w:val="0"/>
        </w:rPr>
        <w:t>、</w:t>
        <w:tab/>
        <w:t>管理层和治理层对财务报表的责任</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润和软件管理层负责按照企业会计准则的规定编制财务报表，使其实现公允反映，并设计、执行和维护必要的内部控 制，以使财务报表不存在由于舞弊或错误导致的重大错报。</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在编制财务报表时，管理层负责评估润和软件的持续经营能力，披露与持续经营相关的事项（如适用），并运用持续 经营假设，除非管理层计划清算润和软件、终止运营或别无其他现实的选择。</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治理层负责监督润和软件的财务报告过程。</w:t>
      </w:r>
    </w:p>
    <w:p>
      <w:pPr>
        <w:pStyle w:val="Style26"/>
        <w:keepNext w:val="0"/>
        <w:keepLines w:val="0"/>
        <w:widowControl w:val="0"/>
        <w:shd w:val="clear" w:color="auto" w:fill="auto"/>
        <w:tabs>
          <w:tab w:pos="955" w:val="left"/>
        </w:tabs>
        <w:bidi w:val="0"/>
        <w:spacing w:before="0" w:after="0" w:line="316" w:lineRule="exact"/>
        <w:ind w:left="0" w:right="0" w:firstLine="520"/>
        <w:jc w:val="both"/>
      </w:pPr>
      <w:bookmarkStart w:id="679" w:name="bookmark679"/>
      <w:r>
        <w:rPr>
          <w:color w:val="000000"/>
          <w:spacing w:val="0"/>
          <w:w w:val="100"/>
          <w:position w:val="0"/>
        </w:rPr>
        <w:t>七</w:t>
      </w:r>
      <w:bookmarkEnd w:id="679"/>
      <w:r>
        <w:rPr>
          <w:color w:val="000000"/>
          <w:spacing w:val="0"/>
          <w:w w:val="100"/>
          <w:position w:val="0"/>
        </w:rPr>
        <w:t>、</w:t>
        <w:tab/>
        <w:t>注册会计师对财务报表审计的责任</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在按照审计准则执行审计工作的过程中，我们运用职业判断，并保持职业怀疑。同时，我们也执行以下工作：</w:t>
      </w:r>
    </w:p>
    <w:p>
      <w:pPr>
        <w:pStyle w:val="Style26"/>
        <w:keepNext w:val="0"/>
        <w:keepLines w:val="0"/>
        <w:widowControl w:val="0"/>
        <w:shd w:val="clear" w:color="auto" w:fill="auto"/>
        <w:bidi w:val="0"/>
        <w:spacing w:before="0" w:after="0" w:line="316" w:lineRule="exact"/>
        <w:ind w:left="0" w:right="0" w:firstLine="52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6"/>
        <w:keepNext w:val="0"/>
        <w:keepLines w:val="0"/>
        <w:widowControl w:val="0"/>
        <w:shd w:val="clear" w:color="auto" w:fill="auto"/>
        <w:tabs>
          <w:tab w:pos="965" w:val="left"/>
        </w:tabs>
        <w:bidi w:val="0"/>
        <w:spacing w:before="0" w:after="0" w:line="316" w:lineRule="exact"/>
        <w:ind w:left="0" w:right="0" w:firstLine="52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了解与审计相关的内部控制，以设计恰当的审计程序，但目的并非对内部控制的有效性发表意见。</w:t>
      </w:r>
    </w:p>
    <w:p>
      <w:pPr>
        <w:pStyle w:val="Style26"/>
        <w:keepNext w:val="0"/>
        <w:keepLines w:val="0"/>
        <w:widowControl w:val="0"/>
        <w:shd w:val="clear" w:color="auto" w:fill="auto"/>
        <w:tabs>
          <w:tab w:pos="965" w:val="left"/>
        </w:tabs>
        <w:bidi w:val="0"/>
        <w:spacing w:before="0" w:after="0" w:line="316" w:lineRule="exact"/>
        <w:ind w:left="0" w:right="0" w:firstLine="52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26"/>
        <w:keepNext w:val="0"/>
        <w:keepLines w:val="0"/>
        <w:widowControl w:val="0"/>
        <w:shd w:val="clear" w:color="auto" w:fill="auto"/>
        <w:tabs>
          <w:tab w:pos="1045" w:val="left"/>
        </w:tabs>
        <w:bidi w:val="0"/>
        <w:spacing w:before="0" w:after="0" w:line="316" w:lineRule="exact"/>
        <w:ind w:left="0" w:right="0" w:firstLine="52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对管理层使用持续经营假设的恰当性得出结论。同时，根据获取的审计证据，就可能导致对润和软件持续经营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基于截至审计报告日可获得的信息。然而，未来的事项或情况可能导致润和软件不能持续经营。</w:t>
      </w:r>
    </w:p>
    <w:p>
      <w:pPr>
        <w:pStyle w:val="Style26"/>
        <w:keepNext w:val="0"/>
        <w:keepLines w:val="0"/>
        <w:widowControl w:val="0"/>
        <w:shd w:val="clear" w:color="auto" w:fill="auto"/>
        <w:tabs>
          <w:tab w:pos="965" w:val="left"/>
        </w:tabs>
        <w:bidi w:val="0"/>
        <w:spacing w:before="0" w:after="0" w:line="316" w:lineRule="exact"/>
        <w:ind w:left="0" w:right="0" w:firstLine="52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26"/>
        <w:keepNext w:val="0"/>
        <w:keepLines w:val="0"/>
        <w:widowControl w:val="0"/>
        <w:shd w:val="clear" w:color="auto" w:fill="auto"/>
        <w:tabs>
          <w:tab w:pos="1045" w:val="left"/>
        </w:tabs>
        <w:bidi w:val="0"/>
        <w:spacing w:before="0" w:after="40" w:line="316" w:lineRule="exact"/>
        <w:ind w:left="0" w:right="0" w:firstLine="52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6</w:t>
      </w:r>
      <w:r>
        <w:rPr>
          <w:color w:val="000000"/>
          <w:spacing w:val="0"/>
          <w:w w:val="100"/>
          <w:position w:val="0"/>
        </w:rPr>
        <w:t>）</w:t>
        <w:tab/>
        <w:t>就润和软件中实体或业务活动的财务信息获取充分、适当的审计证据，以对财务报表发表审计意见。我们负责 指导、监督和执行集团审计，并对审计意见承担全部责任。</w:t>
      </w:r>
      <w:r>
        <w:br w:type="page"/>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widowControl w:val="0"/>
        <w:spacing w:line="1" w:lineRule="exact"/>
        <w:sectPr>
          <w:footnotePr>
            <w:pos w:val="pageBottom"/>
            <w:numFmt w:val="decimal"/>
            <w:numRestart w:val="continuous"/>
          </w:footnotePr>
          <w:pgSz w:w="11900" w:h="16840"/>
          <w:pgMar w:top="1383" w:right="1043" w:bottom="1666" w:left="1085" w:header="0" w:footer="3" w:gutter="0"/>
          <w:cols w:space="720"/>
          <w:noEndnote/>
          <w:rtlGutter w:val="0"/>
          <w:docGrid w:linePitch="360"/>
        </w:sectPr>
      </w:pPr>
      <w:r>
        <mc:AlternateContent>
          <mc:Choice Requires="wps">
            <w:drawing>
              <wp:anchor distT="977900" distB="0" distL="0" distR="0" simplePos="0" relativeHeight="125829382" behindDoc="0" locked="0" layoutInCell="1" allowOverlap="1">
                <wp:simplePos x="0" y="0"/>
                <wp:positionH relativeFrom="page">
                  <wp:posOffset>1726565</wp:posOffset>
                </wp:positionH>
                <wp:positionV relativeFrom="paragraph">
                  <wp:posOffset>977900</wp:posOffset>
                </wp:positionV>
                <wp:extent cx="941705" cy="149225"/>
                <wp:wrapTopAndBottom/>
                <wp:docPr id="18" name="Shape 18"/>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w:t>
                            </w:r>
                          </w:p>
                        </w:txbxContent>
                      </wps:txbx>
                      <wps:bodyPr wrap="none" lIns="0" tIns="0" rIns="0" bIns="0">
                        <a:noAutoFit/>
                      </wps:bodyPr>
                    </wps:wsp>
                  </a:graphicData>
                </a:graphic>
              </wp:anchor>
            </w:drawing>
          </mc:Choice>
          <mc:Fallback>
            <w:pict>
              <v:shape id="_x0000_s1044" type="#_x0000_t202" style="position:absolute;margin-left:135.94999999999999pt;margin-top:77.pt;width:74.150000000000006pt;height:11.75pt;z-index:-125829371;mso-wrap-distance-left:0;mso-wrap-distance-top:77.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w:t>
                      </w:r>
                    </w:p>
                  </w:txbxContent>
                </v:textbox>
                <w10:wrap type="topAndBottom" anchorx="page"/>
              </v:shape>
            </w:pict>
          </mc:Fallback>
        </mc:AlternateContent>
      </w:r>
      <w:r>
        <mc:AlternateContent>
          <mc:Choice Requires="wps">
            <w:drawing>
              <wp:anchor distT="977900" distB="0" distL="0" distR="0" simplePos="0" relativeHeight="125829384" behindDoc="0" locked="0" layoutInCell="1" allowOverlap="1">
                <wp:simplePos x="0" y="0"/>
                <wp:positionH relativeFrom="page">
                  <wp:posOffset>4298950</wp:posOffset>
                </wp:positionH>
                <wp:positionV relativeFrom="paragraph">
                  <wp:posOffset>977900</wp:posOffset>
                </wp:positionV>
                <wp:extent cx="2075815" cy="149225"/>
                <wp:wrapTopAndBottom/>
                <wp:docPr id="20" name="Shape 20"/>
                <a:graphic xmlns:a="http://schemas.openxmlformats.org/drawingml/2006/main">
                  <a:graphicData uri="http://schemas.microsoft.com/office/word/2010/wordprocessingShape">
                    <wps:wsp>
                      <wps:cNvSpPr txBox="1"/>
                      <wps:spPr>
                        <a:xfrm>
                          <a:ext cx="207581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中国注册会计师（项目合伙人）：褚诗伟</w:t>
                            </w:r>
                          </w:p>
                        </w:txbxContent>
                      </wps:txbx>
                      <wps:bodyPr wrap="none" lIns="0" tIns="0" rIns="0" bIns="0">
                        <a:noAutoFit/>
                      </wps:bodyPr>
                    </wps:wsp>
                  </a:graphicData>
                </a:graphic>
              </wp:anchor>
            </w:drawing>
          </mc:Choice>
          <mc:Fallback>
            <w:pict>
              <v:shape id="_x0000_s1046" type="#_x0000_t202" style="position:absolute;margin-left:338.5pt;margin-top:77.pt;width:163.45000000000002pt;height:11.75pt;z-index:-125829369;mso-wrap-distance-left:0;mso-wrap-distance-top:77.pt;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中国注册会计师（项目合伙人）：褚诗伟</w:t>
                      </w:r>
                    </w:p>
                  </w:txbxContent>
                </v:textbox>
                <w10:wrap type="topAndBottom" anchorx="page"/>
              </v:shape>
            </w:pict>
          </mc:Fallback>
        </mc:AlternateContent>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83" w:right="0" w:bottom="1431" w:left="0" w:header="0" w:footer="3" w:gutter="0"/>
          <w:cols w:space="720"/>
          <w:noEndnote/>
          <w:rtlGutter w:val="0"/>
          <w:docGrid w:linePitch="360"/>
        </w:sectPr>
      </w:pPr>
    </w:p>
    <w:p>
      <w:pPr>
        <w:pStyle w:val="Style26"/>
        <w:keepNext w:val="0"/>
        <w:keepLines w:val="0"/>
        <w:widowControl w:val="0"/>
        <w:shd w:val="clear" w:color="auto" w:fill="auto"/>
        <w:bidi w:val="0"/>
        <w:spacing w:before="0" w:after="700" w:line="240" w:lineRule="auto"/>
        <w:ind w:left="0" w:right="0" w:firstLine="0"/>
        <w:jc w:val="center"/>
      </w:pPr>
      <w:r>
        <mc:AlternateContent>
          <mc:Choice Requires="wps">
            <w:drawing>
              <wp:anchor distT="0" distB="600710" distL="114300" distR="114300" simplePos="0" relativeHeight="125829386" behindDoc="0" locked="0" layoutInCell="1" allowOverlap="1">
                <wp:simplePos x="0" y="0"/>
                <wp:positionH relativeFrom="page">
                  <wp:posOffset>1787525</wp:posOffset>
                </wp:positionH>
                <wp:positionV relativeFrom="paragraph">
                  <wp:posOffset>12700</wp:posOffset>
                </wp:positionV>
                <wp:extent cx="877570" cy="149225"/>
                <wp:wrapSquare wrapText="right"/>
                <wp:docPr id="22" name="Shape 22"/>
                <a:graphic xmlns:a="http://schemas.openxmlformats.org/drawingml/2006/main">
                  <a:graphicData uri="http://schemas.microsoft.com/office/word/2010/wordprocessingShape">
                    <wps:wsp>
                      <wps:cNvSpPr txBox="1"/>
                      <wps:spPr>
                        <a:xfrm>
                          <a:ext cx="87757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wrap="none" lIns="0" tIns="0" rIns="0" bIns="0">
                        <a:noAutoFit/>
                      </wps:bodyPr>
                    </wps:wsp>
                  </a:graphicData>
                </a:graphic>
              </wp:anchor>
            </w:drawing>
          </mc:Choice>
          <mc:Fallback>
            <w:pict>
              <v:shape id="_x0000_s1048" type="#_x0000_t202" style="position:absolute;margin-left:140.75pt;margin-top:1.pt;width:69.100000000000009pt;height:11.75pt;z-index:-125829367;mso-wrap-distance-left:9.pt;mso-wrap-distance-right:9.pt;mso-wrap-distance-bottom:47.300000000000004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594360" distB="0" distL="290830" distR="303530" simplePos="0" relativeHeight="125829388" behindDoc="0" locked="0" layoutInCell="1" allowOverlap="1">
                <wp:simplePos x="0" y="0"/>
                <wp:positionH relativeFrom="page">
                  <wp:posOffset>1964055</wp:posOffset>
                </wp:positionH>
                <wp:positionV relativeFrom="paragraph">
                  <wp:posOffset>607060</wp:posOffset>
                </wp:positionV>
                <wp:extent cx="511810" cy="155575"/>
                <wp:wrapSquare wrapText="right"/>
                <wp:docPr id="24" name="Shape 24"/>
                <a:graphic xmlns:a="http://schemas.openxmlformats.org/drawingml/2006/main">
                  <a:graphicData uri="http://schemas.microsoft.com/office/word/2010/wordprocessingShape">
                    <wps:wsp>
                      <wps:cNvSpPr txBox="1"/>
                      <wps:spPr>
                        <a:xfrm>
                          <a:ext cx="511810"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50" type="#_x0000_t202" style="position:absolute;margin-left:154.65000000000001pt;margin-top:47.800000000000004pt;width:40.300000000000004pt;height:12.25pt;z-index:-125829365;mso-wrap-distance-left:22.900000000000002pt;mso-wrap-distance-top:46.800000000000004pt;mso-wrap-distance-right:23.900000000000002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side="right" anchorx="page"/>
              </v:shape>
            </w:pict>
          </mc:Fallback>
        </mc:AlternateContent>
      </w:r>
      <w:r>
        <w:rPr>
          <w:color w:val="000000"/>
          <w:spacing w:val="0"/>
          <w:w w:val="100"/>
          <w:position w:val="0"/>
        </w:rPr>
        <w:t>中国注册会计师：孔令莉</w:t>
      </w:r>
    </w:p>
    <w:p>
      <w:pPr>
        <w:pStyle w:val="Style26"/>
        <w:keepNext w:val="0"/>
        <w:keepLines w:val="0"/>
        <w:widowControl w:val="0"/>
        <w:shd w:val="clear" w:color="auto" w:fill="auto"/>
        <w:bidi w:val="0"/>
        <w:spacing w:before="0" w:after="1020" w:line="240" w:lineRule="auto"/>
        <w:ind w:left="0" w:right="0" w:firstLine="0"/>
        <w:jc w:val="center"/>
      </w:pPr>
      <w:r>
        <w:rPr>
          <w:color w:val="000000"/>
          <w:spacing w:val="0"/>
          <w:w w:val="100"/>
          <w:position w:val="0"/>
        </w:rPr>
        <w:t>中国注册会计师：李丹</w:t>
      </w:r>
    </w:p>
    <w:p>
      <w:pPr>
        <w:pStyle w:val="Style47"/>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p>
      <w:pPr>
        <w:pStyle w:val="Style24"/>
        <w:keepNext/>
        <w:keepLines/>
        <w:widowControl w:val="0"/>
        <w:shd w:val="clear" w:color="auto" w:fill="auto"/>
        <w:bidi w:val="0"/>
        <w:spacing w:before="0" w:after="360" w:line="240" w:lineRule="auto"/>
        <w:ind w:left="0" w:right="0" w:firstLine="0"/>
        <w:jc w:val="left"/>
      </w:pPr>
      <w:bookmarkStart w:id="686" w:name="bookmark686"/>
      <w:bookmarkStart w:id="687" w:name="bookmark687"/>
      <w:bookmarkStart w:id="688" w:name="bookmark688"/>
      <w:bookmarkStart w:id="689" w:name="bookmark689"/>
      <w:r>
        <w:rPr>
          <w:color w:val="000000"/>
          <w:spacing w:val="0"/>
          <w:w w:val="100"/>
          <w:position w:val="0"/>
          <w:sz w:val="24"/>
          <w:szCs w:val="24"/>
        </w:rPr>
        <w:t>二</w:t>
      </w:r>
      <w:bookmarkEnd w:id="688"/>
      <w:r>
        <w:rPr>
          <w:color w:val="000000"/>
          <w:spacing w:val="0"/>
          <w:w w:val="100"/>
          <w:position w:val="0"/>
          <w:sz w:val="24"/>
          <w:szCs w:val="24"/>
        </w:rPr>
        <w:t>、财务报表</w:t>
      </w:r>
      <w:bookmarkEnd w:id="686"/>
      <w:bookmarkEnd w:id="687"/>
      <w:bookmarkEnd w:id="68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、合并资产负债表</w:t>
      </w:r>
      <w:bookmarkEnd w:id="690"/>
      <w:bookmarkEnd w:id="691"/>
      <w:bookmarkEnd w:id="693"/>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编制单位：江苏润和软件股份有限公司</w:t>
      </w:r>
    </w:p>
    <w:p>
      <w:pPr>
        <w:pStyle w:val="Style4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764,531,445.44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760,601,549.27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19,929,852.60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18,418,420.20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952,447,708.64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1,172,540,005.76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1,837,910.70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38,071,113.52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6,092,603.34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32,160,320.37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22,312,614.60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263,144,105.34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7,187,906.02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4,111,808.71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17,386,124.67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2,102,033,119.64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2,470,720,513.87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71,334,049.46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89,474,576.86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233,176,326.80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233,637,522.46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677,994,305.43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613,875,908.21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137,083,531.60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132,423,144.44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32,542,917.66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22,046,257.36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986,181,014.18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986,181,014.18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9,948,655.34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13,080,292.92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73,585,158.74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65,629,985.57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2,221,845,959.21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2,156,403,747.87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4,323,879,078.85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4,627,124,261.74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360,531,078.54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825,413,393.43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7,074,880.09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65,631,627.11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90,530,731.70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5,749,663.38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8,692,766.75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115,602,393.13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208,079,847.57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173,789,631.25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32,005,336.85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32,997,323.85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35,591,014.65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22,335,464.56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43,749,721.40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121,976,853.63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57,976,362.92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68,091,813.51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931,991,925.64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1,343,827,978.68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504,284,832.41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448,305,478.19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522,529,302.07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465,241,886.33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1,454,521,227.71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1,809,069,865.01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796,410,841.00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2,869,064,651.93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2,879,893,912.55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162,988,941.20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-4,286,895.25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-605,657.19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-702,452,254.16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-771,624,550.68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2,875,379,901.04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2,820,718,103.20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-6,022,049.90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-2,663,706.47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2,869,357,851.14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2,818,054,396.73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4,323,879,078.85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4,627,124,261.74</w:t>
            </w:r>
          </w:p>
        </w:tc>
      </w:tr>
    </w:tbl>
    <w:p>
      <w:pPr>
        <w:pStyle w:val="Style3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0" behindDoc="0" locked="0" layoutInCell="1" allowOverlap="1">
                <wp:simplePos x="0" y="0"/>
                <wp:positionH relativeFrom="page">
                  <wp:posOffset>705485</wp:posOffset>
                </wp:positionH>
                <wp:positionV relativeFrom="margin">
                  <wp:posOffset>6897370</wp:posOffset>
                </wp:positionV>
                <wp:extent cx="1054735" cy="149225"/>
                <wp:wrapTopAndBottom/>
                <wp:docPr id="26" name="Shape 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wps:txbx>
                      <wps:bodyPr wrap="none" lIns="0" tIns="0" rIns="0" bIns="0">
                        <a:noAutoFit/>
                      </wps:bodyPr>
                    </wps:wsp>
                  </a:graphicData>
                </a:graphic>
              </wp:anchor>
            </w:drawing>
          </mc:Choice>
          <mc:Fallback>
            <w:pict>
              <v:shape id="_x0000_s1052" type="#_x0000_t202" style="position:absolute;margin-left:55.550000000000004pt;margin-top:543.10000000000002pt;width:83.049999999999997pt;height:11.75pt;z-index:-125829363;mso-wrap-distance-left:9.pt;mso-wrap-distance-top:12.pt;mso-wrap-distance-right:405.4499999999999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法定代表人：周红卫</w:t>
                      </w:r>
                    </w:p>
                  </w:txbxContent>
                </v:textbox>
                <w10:wrap type="topAndBottom" anchorx="page" anchory="margin"/>
              </v:shape>
            </w:pict>
          </mc:Fallback>
        </mc:AlternateContent>
      </w:r>
      <w:r>
        <mc:AlternateContent>
          <mc:Choice Requires="wps">
            <w:drawing>
              <wp:anchor distT="152400" distB="3175" distL="2290445" distR="2519045" simplePos="0" relativeHeight="125829392" behindDoc="0" locked="0" layoutInCell="1" allowOverlap="1">
                <wp:simplePos x="0" y="0"/>
                <wp:positionH relativeFrom="page">
                  <wp:posOffset>2881630</wp:posOffset>
                </wp:positionH>
                <wp:positionV relativeFrom="margin">
                  <wp:posOffset>6897370</wp:posOffset>
                </wp:positionV>
                <wp:extent cx="1508760" cy="146050"/>
                <wp:wrapTopAndBottom/>
                <wp:docPr id="28" name="Shape 2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主管会计工作负责人：马玉峰</w:t>
                            </w:r>
                          </w:p>
                        </w:txbxContent>
                      </wps:txbx>
                      <wps:bodyPr wrap="none" lIns="0" tIns="0" rIns="0" bIns="0">
                        <a:noAutoFit/>
                      </wps:bodyPr>
                    </wps:wsp>
                  </a:graphicData>
                </a:graphic>
              </wp:anchor>
            </w:drawing>
          </mc:Choice>
          <mc:Fallback>
            <w:pict>
              <v:shape id="_x0000_s1054" type="#_x0000_t202" style="position:absolute;margin-left:226.90000000000001pt;margin-top:543.10000000000002pt;width:118.8pt;height:11.5pt;z-index:-125829361;mso-wrap-distance-left:180.34999999999999pt;mso-wrap-distance-top:12.pt;mso-wrap-distance-right:198.34999999999999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主管会计工作负责人：马玉峰</w:t>
                      </w:r>
                    </w:p>
                  </w:txbxContent>
                </v:textbox>
                <w10:wrap type="topAndBottom" anchorx="page" anchory="margin"/>
              </v:shape>
            </w:pict>
          </mc:Fallback>
        </mc:AlternateContent>
      </w:r>
      <w:r>
        <mc:AlternateContent>
          <mc:Choice Requires="wps">
            <w:drawing>
              <wp:anchor distT="152400" distB="0" distL="4921250" distR="113665" simplePos="0" relativeHeight="125829394" behindDoc="0" locked="0" layoutInCell="1" allowOverlap="1">
                <wp:simplePos x="0" y="0"/>
                <wp:positionH relativeFrom="page">
                  <wp:posOffset>5512435</wp:posOffset>
                </wp:positionH>
                <wp:positionV relativeFrom="margin">
                  <wp:posOffset>6897370</wp:posOffset>
                </wp:positionV>
                <wp:extent cx="1283335" cy="149225"/>
                <wp:wrapTopAndBottom/>
                <wp:docPr id="30" name="Shape 3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会计机构负责人：马玉峰</w:t>
                            </w:r>
                          </w:p>
                        </w:txbxContent>
                      </wps:txbx>
                      <wps:bodyPr wrap="none" lIns="0" tIns="0" rIns="0" bIns="0">
                        <a:noAutoFit/>
                      </wps:bodyPr>
                    </wps:wsp>
                  </a:graphicData>
                </a:graphic>
              </wp:anchor>
            </w:drawing>
          </mc:Choice>
          <mc:Fallback>
            <w:pict>
              <v:shape id="_x0000_s1056" type="#_x0000_t202" style="position:absolute;margin-left:434.05000000000001pt;margin-top:543.10000000000002pt;width:101.05pt;height:11.75pt;z-index:-125829359;mso-wrap-distance-left:387.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会计机构负责人：马玉峰</w:t>
                      </w:r>
                    </w:p>
                  </w:txbxContent>
                </v:textbox>
                <w10:wrap type="topAndBottom" anchorx="page" anchory="margin"/>
              </v:shape>
            </w:pict>
          </mc:Fallback>
        </mc:AlternateContent>
      </w: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、母公司资产负债表</w:t>
      </w:r>
      <w:bookmarkEnd w:id="694"/>
      <w:bookmarkEnd w:id="695"/>
      <w:bookmarkEnd w:id="6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430,492,059.11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331,972,901.99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19,929,852.60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448,000,000.00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18,610,948.30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18,418,420.20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492,769,472.87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486,031,018.92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1,837,910.70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33,583,858.36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1,191,392.26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58,994,672.13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37,930,534.76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134,485,013.82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5,785,307.87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6,989,841.32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8,822,642.55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1,203,478,937.08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1,337,736,106.71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1,842,812,848.37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1,866,818,691.98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226,508,355.32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226,508,355.32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81,146,899.52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32,570,259.11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101,098,383.38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96,956,545.64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32,542,917.66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22,046,257.36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1,271,714.71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511,695.14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52,792,207.18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45,235,221.57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2,338,173,326.14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2,290,647,026.12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3,541,652,263.22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3,628,383,132.83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260,377,559.73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635,122,695.41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7,074,880.09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47,499,587.66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72,032,978.68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2,835,954.00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47,014,911.87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73,556,710.21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57,997,547.14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9,571,520.37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8,239,925.07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380,909,446.21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116,804,709.32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25,039,913.19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105,138,607.64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17,446,352.18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14,511,494.05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868,490,881.51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1,012,683,911.31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25,039,913.19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1,751,969.66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9,751,969.66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33,539,913.19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878,242,851.17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1,046,223,824.50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796,410,841.00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2,883,955,738.39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2,893,883,236.82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79,300,140.49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79,311,389.74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-933,268,366.63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-1,024,457,218.03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2,663,409,412.05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2,582,159,308.33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3,541,652,263.22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3,628,383,132.83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3</w:t>
      </w:r>
      <w:bookmarkEnd w:id="700"/>
      <w:r>
        <w:rPr>
          <w:color w:val="000000"/>
          <w:spacing w:val="0"/>
          <w:w w:val="100"/>
          <w:position w:val="0"/>
        </w:rPr>
        <w:t>、合并利润表</w:t>
      </w:r>
      <w:bookmarkEnd w:id="698"/>
      <w:bookmarkEnd w:id="699"/>
      <w:bookmarkEnd w:id="70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2,480,392,683.76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2,121,173,720.66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2,480,392,683.76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2,121,173,720.66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2,384,436,298.60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2,144,005,081.65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1,751,398,047.43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1,554,940,283.04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20,352,590.43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25,103,599.03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90,529,814.35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80,968,982.29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206,268,216.00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176,818,147.72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251,584,235.72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227,000,503.23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64,303,394.67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79,173,566.34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67,390,495.47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83,653,895.61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3,134,614.48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4,314,018.06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20,297,843.53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19,017,456.78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35,763,089.40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19,407,074.72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-2,985,247.70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9,034,309.32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-197,254,100.52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-2,290,828.25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-1,629,666,940.32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158,834,227.40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-1,811,566,594.83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18,326,846.20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12,978,921.86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4,523,475.10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1,371,503.25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172,637,598.50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-1,799,959,176.22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4,586,973.43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1,698,996.59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168,050,625.07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-1,801,658,172.81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168,050,625.07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-1,801,658,172.81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167,066,328.21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-1,794,232,923.06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984,296.86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-7,425,249.75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-3,704,254.93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1,169,485.80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-3,681,238.06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1,151,711.42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-3,681,238.06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1,151,711.42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-3,681,238.06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1,151,711.42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164,346,370.14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-1,800,488,687.01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163,385,090.15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-1,793,081,211.64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961,279.99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-7,407,475.37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6"/>
        <w:keepNext w:val="0"/>
        <w:keepLines w:val="0"/>
        <w:widowControl w:val="0"/>
        <w:shd w:val="clear" w:color="auto" w:fill="auto"/>
        <w:tabs>
          <w:tab w:pos="3422" w:val="left"/>
          <w:tab w:pos="7565" w:val="left"/>
        </w:tabs>
        <w:bidi w:val="0"/>
        <w:spacing w:before="0" w:after="0" w:line="240" w:lineRule="auto"/>
        <w:ind w:left="0" w:right="0" w:firstLine="0"/>
        <w:jc w:val="center"/>
      </w:pPr>
      <w:r>
        <w:rPr>
          <w:color w:val="000000"/>
          <w:spacing w:val="0"/>
          <w:w w:val="100"/>
          <w:position w:val="0"/>
        </w:rPr>
        <w:t>法定代表人：周红卫</w:t>
        <w:tab/>
        <w:t>主管会计工作负责人：马玉峰</w:t>
        <w:tab/>
        <w:t>会计机构负责人：马玉峰</w:t>
      </w:r>
      <w:r>
        <w:br w:type="page"/>
      </w:r>
    </w:p>
    <w:p>
      <w:pPr>
        <w:pStyle w:val="Style30"/>
        <w:keepNext/>
        <w:keepLines/>
        <w:widowControl w:val="0"/>
        <w:shd w:val="clear" w:color="auto" w:fill="auto"/>
        <w:bidi w:val="0"/>
        <w:spacing w:before="0" w:after="38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4</w:t>
      </w:r>
      <w:bookmarkEnd w:id="704"/>
      <w:r>
        <w:rPr>
          <w:color w:val="000000"/>
          <w:spacing w:val="0"/>
          <w:w w:val="100"/>
          <w:position w:val="0"/>
        </w:rPr>
        <w:t>、母公司利润表</w:t>
      </w:r>
      <w:bookmarkEnd w:id="702"/>
      <w:bookmarkEnd w:id="703"/>
      <w:bookmarkEnd w:id="70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1,444,898,764.79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1,080,455,466.01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1,152,106,346.65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927,609,694.46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1,547,560.93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2,613,501.56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54,146,287.09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52,233,679.06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115,827,181.49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85,104,954.46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104,604,947.92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87,915,479.26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22,289,323.36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36,563,489.41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25,256,029.35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49,207,330.82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3,095,778.50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12,167,411.08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12,217,521.54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6,235,552.03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134,229,146.44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209,022,497.51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1,115,850.05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-3,623,389.35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-20,057,606.88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-11,032,458.14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-3,144,889.81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-1,496,686,900.00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-53,986.30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117,567,302.34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-1,404,046,464.37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7,069,692.43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8,569,108.49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4,178,470.90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1,236,864.79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120,458,523.87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-1,396,714,220.67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-6,608,231.55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-210,128.94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127,066,755.42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-1,396,504,091.73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127,066,755.42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-1,396,504,091.73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9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127,066,755.42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-1,396,504,091.73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5</w:t>
      </w:r>
      <w:bookmarkEnd w:id="708"/>
      <w:r>
        <w:rPr>
          <w:color w:val="000000"/>
          <w:spacing w:val="0"/>
          <w:w w:val="100"/>
          <w:position w:val="0"/>
        </w:rPr>
        <w:t>、合并现金流量表</w:t>
      </w:r>
      <w:bookmarkEnd w:id="706"/>
      <w:bookmarkEnd w:id="707"/>
      <w:bookmarkEnd w:id="709"/>
    </w:p>
    <w:p>
      <w:pPr>
        <w:pStyle w:val="Style26"/>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2,625,407,663.21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2,070,941,757.30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4,894,383.41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10,573,163.92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37,566,049.14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24,609,469.63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2,667,868,095.76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2,106,124,390.85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522,580,932.70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324,541,918.41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1,753,146,568.47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1,451,094,931.35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118,699,682.86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143,263,063.44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100,269,564.18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77,368,724.58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2,494,696,748.21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1,996,268,637.78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173,171,347.55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109,855,753.07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918,930,216.04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1,677,050,000.00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8,293,725.01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14,951,296.36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614,124.68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253,196.61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4,270,681.85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7,650,129.17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1,027,838,065.73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1,704,175,303.99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114,064,804.34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94,874,347.45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2,110,132,653.96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97,234,468.65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646,099,272.99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2,205,007,001.41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381,738,792.74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-500,831,697.42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4,030,350.00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4,030,350.00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1,563,230,350.00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951,400,000.00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1,554,200,000.00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55,846,133.80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72,620,035.17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4,818,214.45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36,142,777.75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1,012,064,348.25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1,662,962,812.92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-554,064,348.25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-99,732,462.92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-3,150,810.01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1,077,821.67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-2,305,017.97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-489,630,585.60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756,946,083.09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1,246,576,668.69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754,641,065.12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756,946,083.09</w:t>
            </w: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6</w:t>
      </w:r>
      <w:bookmarkEnd w:id="712"/>
      <w:r>
        <w:rPr>
          <w:color w:val="000000"/>
          <w:spacing w:val="0"/>
          <w:w w:val="100"/>
          <w:position w:val="0"/>
        </w:rPr>
        <w:t>、母公司现金流量表</w:t>
      </w:r>
      <w:bookmarkEnd w:id="710"/>
      <w:bookmarkEnd w:id="711"/>
      <w:bookmarkEnd w:id="7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1,428,911,533.12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1,052,073,265.94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2,006,406.70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14,606,199.32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15,024,214.35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1,444,487,104.73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1,069,103,886.99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982,697,880.16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693,323,096.23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535,021,873.20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371,682,330.39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9,531,716.16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11,954,311.91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66,873,228.54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38,800,123.05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1,594,124,698.06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1,115,759,861.58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-149,637,593.33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-46,655,974.59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898,930,216.04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108,134,930.49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214,592,145.85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469,051.52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166,371.61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22,160,853.68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354,205,672.17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1,173,636,690.33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1,365,739,870.22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3,023,556,061.47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74,041,152.92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76,751,870.08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434,800,000.00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2,032,380,000.00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109,429,587.00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504,205,000.00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618,270,739.92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2,613,336,870.08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747,469,130.30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410,219,191.39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789,200,000.00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23,535,318.10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47,745,062.71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2,148,214.45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15,323,811.35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764,683,532.55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1,258,068,874.06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-504,683,532.55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-468,868,874.06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104,823.92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56,045.18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93,252,828.34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-105,249,612.08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330,383,701.99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435,633,314.07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423,636,530.33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330,383,701.99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、合并所有者权益变动表</w:t>
      </w:r>
      <w:bookmarkEnd w:id="714"/>
      <w:bookmarkEnd w:id="715"/>
      <w:bookmarkEnd w:id="71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2,818,</w:t>
            </w:r>
          </w:p>
        </w:tc>
      </w:tr>
      <w:tr>
        <w:trPr>
          <w:trHeight w:val="15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893,91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718,10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054,39</w:t>
            </w:r>
          </w:p>
        </w:tc>
      </w:tr>
      <w:tr>
        <w:trPr>
          <w:trHeight w:val="13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706.47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-97,89</w:t>
            </w:r>
          </w:p>
        </w:tc>
      </w:tr>
      <w:tr>
        <w:trPr>
          <w:trHeight w:val="31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4,031.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2,720,</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893,91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824,07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160,36</w:t>
            </w:r>
          </w:p>
        </w:tc>
      </w:tr>
      <w:tr>
        <w:trPr>
          <w:trHeight w:val="139"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706.47</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bottom w:val="single" w:sz="4"/>
            </w:tcBorders>
            <w:shd w:val="clear" w:color="auto" w:fill="D3D3D3"/>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9,260.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167,06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6,328.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152,55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5,829.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-3,358,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149,19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7,486.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167,06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6,328.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163,38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5,090.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961,27</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164,34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6,370.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-4,319,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-4,319,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-4,319,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9,260.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9,260.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-10,82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9,260.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2,869,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064,65</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162,98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8,941.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79,632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,498.7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-702,4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52,254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379,90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-6,022,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2,869,</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357,85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148,97</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4,646,8</w:t>
            </w: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828,29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6,163.</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746,47</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46,675.</w:t>
            </w:r>
          </w:p>
        </w:tc>
      </w:tr>
      <w:tr>
        <w:trPr>
          <w:trHeight w:val="14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5.13</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200.10</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27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4,646,8</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828,29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6,163.</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368.61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746,47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46,675.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r>
      <w:tr>
        <w:trPr>
          <w:trHeight w:val="754"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2,065,</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14,012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-1,794,</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-1,805,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-23,763</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-1,828,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792,278</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617.42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,906.57</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1.97</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293"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1,151,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232,92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-1,793,</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081,21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-7,407,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488,687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14,012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,777.7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-16,356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-30,369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4,030,3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14,012</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,777.7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-20,386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-34,399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（或股东）的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2,065,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10,84</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2,879,</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893,91</w:t>
            </w:r>
          </w:p>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162,98</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8,941.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79,632</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,498.7</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-771,6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24,550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2,820,</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718,10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-2,663,</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2,818,0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54,396.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8</w:t>
      </w:r>
      <w:bookmarkEnd w:id="720"/>
      <w:r>
        <w:rPr>
          <w:color w:val="000000"/>
          <w:spacing w:val="0"/>
          <w:w w:val="100"/>
          <w:position w:val="0"/>
        </w:rPr>
        <w:t>、母公司所有者权益变动表</w:t>
      </w:r>
      <w:bookmarkEnd w:id="718"/>
      <w:bookmarkEnd w:id="719"/>
      <w:bookmarkEnd w:id="72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0,841.0</w:t>
            </w:r>
          </w:p>
          <w:p>
            <w:pPr>
              <w:pStyle w:val="Style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2,893,88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79,311,3</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457,21</w:t>
            </w:r>
          </w:p>
          <w:p>
            <w:pPr>
              <w:pStyle w:val="Style2"/>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2,582,159,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-35,776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-35,776,66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-101,24</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-112,492.4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0,841.0</w:t>
            </w:r>
          </w:p>
          <w:p>
            <w:pPr>
              <w:pStyle w:val="Style2"/>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2,893,88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162,988,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79,300,1</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-1,060,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335,12</w:t>
            </w:r>
          </w:p>
          <w:p>
            <w:pPr>
              <w:pStyle w:val="Style2"/>
              <w:keepNext w:val="0"/>
              <w:keepLines w:val="0"/>
              <w:widowControl w:val="0"/>
              <w:shd w:val="clear" w:color="auto" w:fill="auto"/>
              <w:bidi w:val="0"/>
              <w:spacing w:before="0" w:after="100" w:line="240" w:lineRule="auto"/>
              <w:ind w:left="0" w:right="0" w:firstLine="260"/>
              <w:jc w:val="both"/>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2,546,270,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36" w:lineRule="exact"/>
              <w:ind w:left="0" w:right="0" w:firstLine="0"/>
              <w:jc w:val="both"/>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9"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-9,927,4</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127,06</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6,755.4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117,139,25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127,06</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6,755.4</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127,066,7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55.42</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-9,927,498</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0,841.0</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2,883,95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162,988,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79,300,1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-933,26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8,366.6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2,663,409,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412.05</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所有者权</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373,858,0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3,992,291,5</w:t>
            </w:r>
          </w:p>
        </w:tc>
      </w:tr>
      <w:tr>
        <w:trPr>
          <w:trHeight w:val="29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634.75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99.36</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-2,012,450.</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148,976,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79,311,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372,046,8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3,990,279,1</w:t>
            </w:r>
          </w:p>
        </w:tc>
      </w:tr>
      <w:tr>
        <w:trPr>
          <w:trHeight w:val="298"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86,208.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49.30</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2,397,0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-1,408,119,</w:t>
            </w:r>
          </w:p>
        </w:tc>
      </w:tr>
      <w:tr>
        <w:trPr>
          <w:trHeight w:val="42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840.97</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-1,396,504,</w:t>
            </w:r>
          </w:p>
        </w:tc>
      </w:tr>
      <w:tr>
        <w:trPr>
          <w:trHeight w:val="341"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091.73</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-14,012,777</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-14,012,777</w:t>
            </w: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77.75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2,397,028.5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796,41</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0,841.</w:t>
            </w:r>
          </w:p>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2,893,8</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83,236.</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162,988,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79,311,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-1,024,45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2,582,159,3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08.33</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722" w:name="bookmark722"/>
      <w:bookmarkStart w:id="723" w:name="bookmark723"/>
      <w:bookmarkStart w:id="724" w:name="bookmark724"/>
      <w:bookmarkStart w:id="725" w:name="bookmark725"/>
      <w:r>
        <w:rPr>
          <w:color w:val="000000"/>
          <w:spacing w:val="0"/>
          <w:w w:val="100"/>
          <w:position w:val="0"/>
          <w:sz w:val="24"/>
          <w:szCs w:val="24"/>
        </w:rPr>
        <w:t>三</w:t>
      </w:r>
      <w:bookmarkEnd w:id="724"/>
      <w:r>
        <w:rPr>
          <w:color w:val="000000"/>
          <w:spacing w:val="0"/>
          <w:w w:val="100"/>
          <w:position w:val="0"/>
          <w:sz w:val="24"/>
          <w:szCs w:val="24"/>
        </w:rPr>
        <w:t>、公司基本情况</w:t>
      </w:r>
      <w:bookmarkEnd w:id="722"/>
      <w:bookmarkEnd w:id="723"/>
      <w:bookmarkEnd w:id="725"/>
    </w:p>
    <w:p>
      <w:pPr>
        <w:pStyle w:val="Style26"/>
        <w:keepNext w:val="0"/>
        <w:keepLines w:val="0"/>
        <w:widowControl w:val="0"/>
        <w:shd w:val="clear" w:color="auto" w:fill="auto"/>
        <w:bidi w:val="0"/>
        <w:spacing w:before="0" w:after="0" w:line="309" w:lineRule="exact"/>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公司概况</w:t>
      </w:r>
    </w:p>
    <w:p>
      <w:pPr>
        <w:pStyle w:val="Style26"/>
        <w:keepNext w:val="0"/>
        <w:keepLines w:val="0"/>
        <w:widowControl w:val="0"/>
        <w:shd w:val="clear" w:color="auto" w:fill="auto"/>
        <w:bidi w:val="0"/>
        <w:spacing w:before="0" w:after="0" w:line="309" w:lineRule="exact"/>
        <w:ind w:left="0" w:right="0" w:firstLine="520"/>
        <w:jc w:val="left"/>
      </w:pPr>
      <w:r>
        <w:rPr>
          <w:color w:val="000000"/>
          <w:spacing w:val="0"/>
          <w:w w:val="100"/>
          <w:position w:val="0"/>
        </w:rPr>
        <w:t>江苏润和软件股份有限公司（以下简称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系周红卫、姚宁、孙强、周庆、隋宏旭、马玉峰、蒋志坚、 殷则堂等八位自然人共同发起设立的股份有限公司，于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日取得江苏省工商行政管理局核准登记。公司设立时注 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万元，经历次变更后公司注册资本为人民币</w:t>
      </w:r>
      <w:r>
        <w:rPr>
          <w:rFonts w:ascii="Times New Roman" w:eastAsia="Times New Roman" w:hAnsi="Times New Roman" w:cs="Times New Roman"/>
          <w:color w:val="000000"/>
          <w:spacing w:val="0"/>
          <w:w w:val="100"/>
          <w:position w:val="0"/>
        </w:rPr>
        <w:t>5,755</w:t>
      </w:r>
      <w:r>
        <w:rPr>
          <w:color w:val="000000"/>
          <w:spacing w:val="0"/>
          <w:w w:val="100"/>
          <w:position w:val="0"/>
        </w:rPr>
        <w:t>万元。</w:t>
      </w:r>
    </w:p>
    <w:p>
      <w:pPr>
        <w:pStyle w:val="Style26"/>
        <w:keepNext w:val="0"/>
        <w:keepLines w:val="0"/>
        <w:widowControl w:val="0"/>
        <w:shd w:val="clear" w:color="auto" w:fill="auto"/>
        <w:bidi w:val="0"/>
        <w:spacing w:before="0" w:after="300" w:line="309" w:lineRule="exact"/>
        <w:ind w:left="0" w:right="0" w:firstLine="52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日，经中国证券监督管理委员会《关于核准江苏润和软件股份有限公司首次公开发行股票并在创业板上 市的批复》证监许可</w:t>
      </w:r>
      <w:r>
        <w:rPr>
          <w:rFonts w:ascii="Times New Roman" w:eastAsia="Times New Roman" w:hAnsi="Times New Roman" w:cs="Times New Roman"/>
          <w:color w:val="000000"/>
          <w:spacing w:val="0"/>
          <w:w w:val="100"/>
          <w:position w:val="0"/>
        </w:rPr>
        <w:t>[2012]812</w:t>
      </w:r>
      <w:r>
        <w:rPr>
          <w:color w:val="000000"/>
          <w:spacing w:val="0"/>
          <w:w w:val="100"/>
          <w:position w:val="0"/>
        </w:rPr>
        <w:t>号文核准，本公司首次向社会公开发行人民币普通股</w:t>
      </w:r>
      <w:r>
        <w:rPr>
          <w:rFonts w:ascii="Times New Roman" w:eastAsia="Times New Roman" w:hAnsi="Times New Roman" w:cs="Times New Roman"/>
          <w:color w:val="000000"/>
          <w:spacing w:val="0"/>
          <w:w w:val="100"/>
          <w:position w:val="0"/>
        </w:rPr>
        <w:t>1,919</w:t>
      </w:r>
      <w:r>
        <w:rPr>
          <w:color w:val="000000"/>
          <w:spacing w:val="0"/>
          <w:w w:val="100"/>
          <w:position w:val="0"/>
        </w:rPr>
        <w:t>万股，并于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日在深圳证</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券交易所创业板上市交易（股票简称</w:t>
      </w:r>
      <w:r>
        <w:rPr>
          <w:rFonts w:ascii="Times New Roman" w:eastAsia="Times New Roman" w:hAnsi="Times New Roman" w:cs="Times New Roman"/>
          <w:color w:val="000000"/>
          <w:spacing w:val="0"/>
          <w:w w:val="100"/>
          <w:position w:val="0"/>
        </w:rPr>
        <w:t>“</w:t>
      </w:r>
      <w:r>
        <w:rPr>
          <w:color w:val="000000"/>
          <w:spacing w:val="0"/>
          <w:w w:val="100"/>
          <w:position w:val="0"/>
        </w:rPr>
        <w:t>润和软件</w:t>
      </w:r>
      <w:r>
        <w:rPr>
          <w:rFonts w:ascii="Times New Roman" w:eastAsia="Times New Roman" w:hAnsi="Times New Roman" w:cs="Times New Roman"/>
          <w:color w:val="000000"/>
          <w:spacing w:val="0"/>
          <w:w w:val="100"/>
          <w:position w:val="0"/>
        </w:rPr>
        <w:t>”</w:t>
      </w:r>
      <w:r>
        <w:rPr>
          <w:color w:val="000000"/>
          <w:spacing w:val="0"/>
          <w:w w:val="100"/>
          <w:position w:val="0"/>
        </w:rPr>
        <w:t>，股票代码</w:t>
      </w:r>
      <w:r>
        <w:rPr>
          <w:rFonts w:ascii="Times New Roman" w:eastAsia="Times New Roman" w:hAnsi="Times New Roman" w:cs="Times New Roman"/>
          <w:color w:val="000000"/>
          <w:spacing w:val="0"/>
          <w:w w:val="100"/>
          <w:position w:val="0"/>
        </w:rPr>
        <w:t>“300339”</w:t>
      </w:r>
      <w:r>
        <w:rPr>
          <w:color w:val="000000"/>
          <w:spacing w:val="0"/>
          <w:w w:val="100"/>
          <w:position w:val="0"/>
        </w:rPr>
        <w:t>），发行后注册资本变更为人民币</w:t>
      </w:r>
      <w:r>
        <w:rPr>
          <w:rFonts w:ascii="Times New Roman" w:eastAsia="Times New Roman" w:hAnsi="Times New Roman" w:cs="Times New Roman"/>
          <w:color w:val="000000"/>
          <w:spacing w:val="0"/>
          <w:w w:val="100"/>
          <w:position w:val="0"/>
        </w:rPr>
        <w:t>7,674</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年度股东大会决议审议通过，决议以</w:t>
      </w:r>
      <w:r>
        <w:rPr>
          <w:rFonts w:ascii="Times New Roman" w:eastAsia="Times New Roman" w:hAnsi="Times New Roman" w:cs="Times New Roman"/>
          <w:color w:val="000000"/>
          <w:spacing w:val="0"/>
          <w:w w:val="100"/>
          <w:position w:val="0"/>
        </w:rPr>
        <w:t>2012</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7,674</w:t>
      </w:r>
      <w:r>
        <w:rPr>
          <w:color w:val="000000"/>
          <w:spacing w:val="0"/>
          <w:w w:val="100"/>
          <w:position w:val="0"/>
        </w:rPr>
        <w:t>万股为基数，用资本公积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7,674</w:t>
      </w:r>
      <w:r>
        <w:rPr>
          <w:color w:val="000000"/>
          <w:spacing w:val="0"/>
          <w:w w:val="100"/>
          <w:position w:val="0"/>
        </w:rPr>
        <w:t>万股，转增后公司注册资本变更为人民币</w:t>
      </w:r>
      <w:r>
        <w:rPr>
          <w:rFonts w:ascii="Times New Roman" w:eastAsia="Times New Roman" w:hAnsi="Times New Roman" w:cs="Times New Roman"/>
          <w:color w:val="000000"/>
          <w:spacing w:val="0"/>
          <w:w w:val="100"/>
          <w:position w:val="0"/>
        </w:rPr>
        <w:t>15,348</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w:t>
      </w:r>
      <w:r>
        <w:rPr>
          <w:rFonts w:ascii="Times New Roman" w:eastAsia="Times New Roman" w:hAnsi="Times New Roman" w:cs="Times New Roman"/>
          <w:color w:val="000000"/>
          <w:spacing w:val="0"/>
          <w:w w:val="100"/>
          <w:position w:val="0"/>
        </w:rPr>
        <w:t>2013</w:t>
      </w:r>
      <w:r>
        <w:rPr>
          <w:color w:val="000000"/>
          <w:spacing w:val="0"/>
          <w:w w:val="100"/>
          <w:position w:val="0"/>
        </w:rPr>
        <w:t>年度股东大会决议审议通过，以</w:t>
      </w:r>
      <w:r>
        <w:rPr>
          <w:rFonts w:ascii="Times New Roman" w:eastAsia="Times New Roman" w:hAnsi="Times New Roman" w:cs="Times New Roman"/>
          <w:color w:val="000000"/>
          <w:spacing w:val="0"/>
          <w:w w:val="100"/>
          <w:position w:val="0"/>
        </w:rPr>
        <w:t>2013</w:t>
      </w:r>
      <w:r>
        <w:rPr>
          <w:color w:val="000000"/>
          <w:spacing w:val="0"/>
          <w:w w:val="100"/>
          <w:position w:val="0"/>
        </w:rPr>
        <w:t>年末总股本</w:t>
      </w:r>
      <w:r>
        <w:rPr>
          <w:rFonts w:ascii="Times New Roman" w:eastAsia="Times New Roman" w:hAnsi="Times New Roman" w:cs="Times New Roman"/>
          <w:color w:val="000000"/>
          <w:spacing w:val="0"/>
          <w:w w:val="100"/>
          <w:position w:val="0"/>
        </w:rPr>
        <w:t>15,348</w:t>
      </w:r>
      <w:r>
        <w:rPr>
          <w:color w:val="000000"/>
          <w:spacing w:val="0"/>
          <w:w w:val="100"/>
          <w:position w:val="0"/>
        </w:rPr>
        <w:t>万股为基数，以资本公积转增股 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股，共转增股本</w:t>
      </w:r>
      <w:r>
        <w:rPr>
          <w:rFonts w:ascii="Times New Roman" w:eastAsia="Times New Roman" w:hAnsi="Times New Roman" w:cs="Times New Roman"/>
          <w:color w:val="000000"/>
          <w:spacing w:val="0"/>
          <w:w w:val="100"/>
          <w:position w:val="0"/>
        </w:rPr>
        <w:t>7,674</w:t>
      </w:r>
      <w:r>
        <w:rPr>
          <w:color w:val="000000"/>
          <w:spacing w:val="0"/>
          <w:w w:val="100"/>
          <w:position w:val="0"/>
        </w:rPr>
        <w:t>万股，转增后注册资本变更为人民币</w:t>
      </w:r>
      <w:r>
        <w:rPr>
          <w:rFonts w:ascii="Times New Roman" w:eastAsia="Times New Roman" w:hAnsi="Times New Roman" w:cs="Times New Roman"/>
          <w:color w:val="000000"/>
          <w:spacing w:val="0"/>
          <w:w w:val="100"/>
          <w:position w:val="0"/>
        </w:rPr>
        <w:t>23,022</w:t>
      </w:r>
      <w:r>
        <w:rPr>
          <w:color w:val="000000"/>
          <w:spacing w:val="0"/>
          <w:w w:val="100"/>
          <w:position w:val="0"/>
        </w:rPr>
        <w:t>万元。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年度第二次临时股东大会决议和修改后的章程规定，并经中国证券监督管理委员会《关 于核准江苏润和软件股份有限公司向王杰等发行股份购买资产并募集配套资金的批复》（证监许可</w:t>
      </w:r>
      <w:r>
        <w:rPr>
          <w:rFonts w:ascii="Times New Roman" w:eastAsia="Times New Roman" w:hAnsi="Times New Roman" w:cs="Times New Roman"/>
          <w:color w:val="000000"/>
          <w:spacing w:val="0"/>
          <w:w w:val="100"/>
          <w:position w:val="0"/>
        </w:rPr>
        <w:t>[2014]747</w:t>
      </w:r>
      <w:r>
        <w:rPr>
          <w:color w:val="000000"/>
          <w:spacing w:val="0"/>
          <w:w w:val="100"/>
          <w:position w:val="0"/>
        </w:rPr>
        <w:t>号文）的核准, 由公司向王杰等</w:t>
      </w:r>
      <w:r>
        <w:rPr>
          <w:rFonts w:ascii="Times New Roman" w:eastAsia="Times New Roman" w:hAnsi="Times New Roman" w:cs="Times New Roman"/>
          <w:color w:val="000000"/>
          <w:spacing w:val="0"/>
          <w:w w:val="100"/>
          <w:position w:val="0"/>
        </w:rPr>
        <w:t>6</w:t>
      </w:r>
      <w:r>
        <w:rPr>
          <w:color w:val="000000"/>
          <w:spacing w:val="0"/>
          <w:w w:val="100"/>
          <w:position w:val="0"/>
        </w:rPr>
        <w:t>名发行对象发行人民币普通股</w:t>
      </w:r>
      <w:r>
        <w:rPr>
          <w:rFonts w:ascii="Times New Roman" w:eastAsia="Times New Roman" w:hAnsi="Times New Roman" w:cs="Times New Roman"/>
          <w:color w:val="000000"/>
          <w:spacing w:val="0"/>
          <w:w w:val="100"/>
          <w:position w:val="0"/>
        </w:rPr>
        <w:t>26,068,064</w:t>
      </w:r>
      <w:r>
        <w:rPr>
          <w:color w:val="000000"/>
          <w:spacing w:val="0"/>
          <w:w w:val="100"/>
          <w:position w:val="0"/>
        </w:rPr>
        <w:t>股（每股发行价均为人民币</w:t>
      </w:r>
      <w:r>
        <w:rPr>
          <w:rFonts w:ascii="Times New Roman" w:eastAsia="Times New Roman" w:hAnsi="Times New Roman" w:cs="Times New Roman"/>
          <w:color w:val="000000"/>
          <w:spacing w:val="0"/>
          <w:w w:val="100"/>
          <w:position w:val="0"/>
        </w:rPr>
        <w:t>13.8</w:t>
      </w:r>
      <w:r>
        <w:rPr>
          <w:rFonts w:ascii="Times New Roman" w:eastAsia="Times New Roman" w:hAnsi="Times New Roman" w:cs="Times New Roman"/>
          <w:color w:val="000000"/>
          <w:spacing w:val="0"/>
          <w:w w:val="100"/>
          <w:position w:val="0"/>
        </w:rPr>
        <w:t>1</w:t>
      </w:r>
      <w:r>
        <w:rPr>
          <w:color w:val="000000"/>
          <w:spacing w:val="0"/>
          <w:w w:val="100"/>
          <w:position w:val="0"/>
        </w:rPr>
        <w:t>元）购买相关资产；同时，由公 司向特定投资者周红卫发行人民币普通股</w:t>
      </w:r>
      <w:r>
        <w:rPr>
          <w:rFonts w:ascii="Times New Roman" w:eastAsia="Times New Roman" w:hAnsi="Times New Roman" w:cs="Times New Roman"/>
          <w:color w:val="000000"/>
          <w:spacing w:val="0"/>
          <w:w w:val="100"/>
          <w:position w:val="0"/>
        </w:rPr>
        <w:t>13,034,033</w:t>
      </w:r>
      <w:r>
        <w:rPr>
          <w:color w:val="000000"/>
          <w:spacing w:val="0"/>
          <w:w w:val="100"/>
          <w:position w:val="0"/>
        </w:rPr>
        <w:t xml:space="preserve">股、向浙江海宁嘉慧投资合伙企业（有限合伙）发行人民币普通股 </w:t>
      </w:r>
      <w:r>
        <w:rPr>
          <w:rFonts w:ascii="Times New Roman" w:eastAsia="Times New Roman" w:hAnsi="Times New Roman" w:cs="Times New Roman"/>
          <w:color w:val="000000"/>
          <w:spacing w:val="0"/>
          <w:w w:val="100"/>
          <w:position w:val="0"/>
        </w:rPr>
        <w:t>4,344,677</w:t>
      </w:r>
      <w:r>
        <w:rPr>
          <w:color w:val="000000"/>
          <w:spacing w:val="0"/>
          <w:w w:val="100"/>
          <w:position w:val="0"/>
        </w:rPr>
        <w:t>股（每股发行价均为人民币</w:t>
      </w:r>
      <w:r>
        <w:rPr>
          <w:rFonts w:ascii="Times New Roman" w:eastAsia="Times New Roman" w:hAnsi="Times New Roman" w:cs="Times New Roman"/>
          <w:color w:val="000000"/>
          <w:spacing w:val="0"/>
          <w:w w:val="100"/>
          <w:position w:val="0"/>
        </w:rPr>
        <w:t>13.81</w:t>
      </w:r>
      <w:r>
        <w:rPr>
          <w:color w:val="000000"/>
          <w:spacing w:val="0"/>
          <w:w w:val="100"/>
          <w:position w:val="0"/>
        </w:rPr>
        <w:t>元）募集配套资金，以上合计申请增加注册资本及股本人民币</w:t>
      </w:r>
      <w:r>
        <w:rPr>
          <w:rFonts w:ascii="Times New Roman" w:eastAsia="Times New Roman" w:hAnsi="Times New Roman" w:cs="Times New Roman"/>
          <w:color w:val="000000"/>
          <w:spacing w:val="0"/>
          <w:w w:val="100"/>
          <w:position w:val="0"/>
        </w:rPr>
        <w:t>43,446,774.00</w:t>
      </w:r>
      <w:r>
        <w:rPr>
          <w:color w:val="000000"/>
          <w:spacing w:val="0"/>
          <w:w w:val="100"/>
          <w:position w:val="0"/>
        </w:rPr>
        <w:t>元，变 更后的注册资本及股本为人民币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73,666,774.00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年度第五次临时股东大会审议通过的《江苏润和软件股份有限公司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 激励计划（草案修订稿）》、第四届董事会第二十三次会议决议、第四届董事会第二十四次会议决议以及修改后的章程规定， 公司对钟峻等</w:t>
      </w:r>
      <w:r>
        <w:rPr>
          <w:rFonts w:ascii="Times New Roman" w:eastAsia="Times New Roman" w:hAnsi="Times New Roman" w:cs="Times New Roman"/>
          <w:color w:val="000000"/>
          <w:spacing w:val="0"/>
          <w:w w:val="100"/>
          <w:position w:val="0"/>
        </w:rPr>
        <w:t>300</w:t>
      </w:r>
      <w:r>
        <w:rPr>
          <w:color w:val="000000"/>
          <w:spacing w:val="0"/>
          <w:w w:val="100"/>
          <w:position w:val="0"/>
        </w:rPr>
        <w:t>名激励对象授予限制性股票，公司申请增加股本及注册资本人民币</w:t>
      </w:r>
      <w:r>
        <w:rPr>
          <w:rFonts w:ascii="Times New Roman" w:eastAsia="Times New Roman" w:hAnsi="Times New Roman" w:cs="Times New Roman"/>
          <w:color w:val="000000"/>
          <w:spacing w:val="0"/>
          <w:w w:val="100"/>
          <w:position w:val="0"/>
        </w:rPr>
        <w:t>10,950,000.00</w:t>
      </w:r>
      <w:r>
        <w:rPr>
          <w:color w:val="000000"/>
          <w:spacing w:val="0"/>
          <w:w w:val="100"/>
          <w:position w:val="0"/>
        </w:rPr>
        <w:t xml:space="preserve">元，变更后注册资本为人 民币 </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84,616,774.0</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2015</w:t>
      </w:r>
      <w:r>
        <w:rPr>
          <w:color w:val="000000"/>
          <w:spacing w:val="0"/>
          <w:w w:val="100"/>
          <w:position w:val="0"/>
        </w:rPr>
        <w:t>年度第二次临时股东大会决议和修改后的章程规定，并经过中国证券监督管理委员会《关 于核准江苏润和软件股份有限公司向宁波宏创股权投资合伙企业（有限合伙）发行股份购买资产并募集配套资金的批复》（证 监许可</w:t>
      </w:r>
      <w:r>
        <w:rPr>
          <w:rFonts w:ascii="Times New Roman" w:eastAsia="Times New Roman" w:hAnsi="Times New Roman" w:cs="Times New Roman"/>
          <w:color w:val="000000"/>
          <w:spacing w:val="0"/>
          <w:w w:val="100"/>
          <w:position w:val="0"/>
        </w:rPr>
        <w:t>[2015]1856</w:t>
      </w:r>
      <w:r>
        <w:rPr>
          <w:color w:val="000000"/>
          <w:spacing w:val="0"/>
          <w:w w:val="100"/>
          <w:position w:val="0"/>
        </w:rPr>
        <w:t>号）的核准，由公司向宁波宏创股权投资合伙企业（有限合伙）（以下简称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宁波宏创</w:t>
      </w:r>
      <w:r>
        <w:rPr>
          <w:rFonts w:ascii="Times New Roman" w:eastAsia="Times New Roman" w:hAnsi="Times New Roman" w:cs="Times New Roman"/>
          <w:color w:val="000000"/>
          <w:spacing w:val="0"/>
          <w:w w:val="100"/>
          <w:position w:val="0"/>
        </w:rPr>
        <w:t>”</w:t>
      </w:r>
      <w:r>
        <w:rPr>
          <w:color w:val="000000"/>
          <w:spacing w:val="0"/>
          <w:w w:val="100"/>
          <w:position w:val="0"/>
        </w:rPr>
        <w:t>）发行人民币普通 股</w:t>
      </w:r>
      <w:r>
        <w:rPr>
          <w:rFonts w:ascii="Times New Roman" w:eastAsia="Times New Roman" w:hAnsi="Times New Roman" w:cs="Times New Roman"/>
          <w:color w:val="000000"/>
          <w:spacing w:val="0"/>
          <w:w w:val="100"/>
          <w:position w:val="0"/>
        </w:rPr>
        <w:t>48,124,698</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22.39</w:t>
      </w:r>
      <w:r>
        <w:rPr>
          <w:color w:val="000000"/>
          <w:spacing w:val="0"/>
          <w:w w:val="100"/>
          <w:position w:val="0"/>
        </w:rPr>
        <w:t>元）购买相关资产，同时，由公司向特定对象西藏瑞华投资发展有限公司发行 人民币普通股</w:t>
      </w:r>
      <w:r>
        <w:rPr>
          <w:rFonts w:ascii="Times New Roman" w:eastAsia="Times New Roman" w:hAnsi="Times New Roman" w:cs="Times New Roman"/>
          <w:color w:val="000000"/>
          <w:spacing w:val="0"/>
          <w:w w:val="100"/>
          <w:position w:val="0"/>
        </w:rPr>
        <w:t>11,165,698</w:t>
      </w:r>
      <w:r>
        <w:rPr>
          <w:color w:val="000000"/>
          <w:spacing w:val="0"/>
          <w:w w:val="100"/>
          <w:position w:val="0"/>
        </w:rPr>
        <w:t>股、向黄学军发行人民币普通股</w:t>
      </w:r>
      <w:r>
        <w:rPr>
          <w:rFonts w:ascii="Times New Roman" w:eastAsia="Times New Roman" w:hAnsi="Times New Roman" w:cs="Times New Roman"/>
          <w:color w:val="000000"/>
          <w:spacing w:val="0"/>
          <w:w w:val="100"/>
          <w:position w:val="0"/>
        </w:rPr>
        <w:t>5,582,849</w:t>
      </w:r>
      <w:r>
        <w:rPr>
          <w:color w:val="000000"/>
          <w:spacing w:val="0"/>
          <w:w w:val="100"/>
          <w:position w:val="0"/>
        </w:rPr>
        <w:t>股、向曹荣发行人民币普通股</w:t>
      </w:r>
      <w:r>
        <w:rPr>
          <w:rFonts w:ascii="Times New Roman" w:eastAsia="Times New Roman" w:hAnsi="Times New Roman" w:cs="Times New Roman"/>
          <w:color w:val="000000"/>
          <w:spacing w:val="0"/>
          <w:w w:val="100"/>
          <w:position w:val="0"/>
        </w:rPr>
        <w:t>5,582,849</w:t>
      </w:r>
      <w:r>
        <w:rPr>
          <w:color w:val="000000"/>
          <w:spacing w:val="0"/>
          <w:w w:val="100"/>
          <w:position w:val="0"/>
        </w:rPr>
        <w:t>股、向南京泰瑞投 资管理中心（有限合伙）发行人民币普通股</w:t>
      </w:r>
      <w:r>
        <w:rPr>
          <w:rFonts w:ascii="Times New Roman" w:eastAsia="Times New Roman" w:hAnsi="Times New Roman" w:cs="Times New Roman"/>
          <w:color w:val="000000"/>
          <w:spacing w:val="0"/>
          <w:w w:val="100"/>
          <w:position w:val="0"/>
        </w:rPr>
        <w:t>2,207,982</w:t>
      </w:r>
      <w:r>
        <w:rPr>
          <w:color w:val="000000"/>
          <w:spacing w:val="0"/>
          <w:w w:val="100"/>
          <w:position w:val="0"/>
        </w:rPr>
        <w:t>股（以上每股发行价格为人民币</w:t>
      </w:r>
      <w:r>
        <w:rPr>
          <w:rFonts w:ascii="Times New Roman" w:eastAsia="Times New Roman" w:hAnsi="Times New Roman" w:cs="Times New Roman"/>
          <w:color w:val="000000"/>
          <w:spacing w:val="0"/>
          <w:w w:val="100"/>
          <w:position w:val="0"/>
        </w:rPr>
        <w:t>22.39</w:t>
      </w:r>
      <w:r>
        <w:rPr>
          <w:color w:val="000000"/>
          <w:spacing w:val="0"/>
          <w:w w:val="100"/>
          <w:position w:val="0"/>
        </w:rPr>
        <w:t>元）募集配套资金，以上合计申 请增加注册资本及股本人民币</w:t>
      </w:r>
      <w:r>
        <w:rPr>
          <w:rFonts w:ascii="Times New Roman" w:eastAsia="Times New Roman" w:hAnsi="Times New Roman" w:cs="Times New Roman"/>
          <w:color w:val="000000"/>
          <w:spacing w:val="0"/>
          <w:w w:val="100"/>
          <w:position w:val="0"/>
        </w:rPr>
        <w:t>72,664,076.00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357,280,850.00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计划（草案修订稿）》、第四届董事会第三十二次会议决议和修改后的章程规定，公司对张传位、范蕾、孙明志、王继伟、 王莹、顾进峰、蒋新星、吴茵、戴岱、涂庆红、陈立菲已获授但尚未解锁的限制性股票股本人民币</w:t>
      </w:r>
      <w:r>
        <w:rPr>
          <w:rFonts w:ascii="Times New Roman" w:eastAsia="Times New Roman" w:hAnsi="Times New Roman" w:cs="Times New Roman"/>
          <w:color w:val="000000"/>
          <w:spacing w:val="0"/>
          <w:w w:val="100"/>
          <w:position w:val="0"/>
        </w:rPr>
        <w:t>185,000.00</w:t>
      </w:r>
      <w:r>
        <w:rPr>
          <w:color w:val="000000"/>
          <w:spacing w:val="0"/>
          <w:w w:val="100"/>
          <w:position w:val="0"/>
        </w:rPr>
        <w:t>元进行回购注 销，申请减少注册资本及股本人民币</w:t>
      </w:r>
      <w:r>
        <w:rPr>
          <w:rFonts w:ascii="Times New Roman" w:eastAsia="Times New Roman" w:hAnsi="Times New Roman" w:cs="Times New Roman"/>
          <w:color w:val="000000"/>
          <w:spacing w:val="0"/>
          <w:w w:val="100"/>
          <w:position w:val="0"/>
        </w:rPr>
        <w:t>185,000.00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357,095,850.00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计划（草案修订稿）》、第四届董事会第三十七次会议决议和修改后的章程规定，公司对董必华等</w:t>
      </w:r>
      <w:r>
        <w:rPr>
          <w:rFonts w:ascii="Times New Roman" w:eastAsia="Times New Roman" w:hAnsi="Times New Roman" w:cs="Times New Roman"/>
          <w:color w:val="000000"/>
          <w:spacing w:val="0"/>
          <w:w w:val="100"/>
          <w:position w:val="0"/>
        </w:rPr>
        <w:t>91</w:t>
      </w:r>
      <w:r>
        <w:rPr>
          <w:color w:val="000000"/>
          <w:spacing w:val="0"/>
          <w:w w:val="100"/>
          <w:position w:val="0"/>
        </w:rPr>
        <w:t>名激励对象授予限制性 股票，公司申请增加注册资本及股本人民币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,080,000.00</w:t>
      </w:r>
      <w:r>
        <w:rPr>
          <w:color w:val="000000"/>
          <w:spacing w:val="0"/>
          <w:w w:val="100"/>
          <w:position w:val="0"/>
        </w:rPr>
        <w:t>元，变更后注册资本及股本为人民币</w:t>
      </w:r>
      <w:r>
        <w:rPr>
          <w:rFonts w:ascii="Times New Roman" w:eastAsia="Times New Roman" w:hAnsi="Times New Roman" w:cs="Times New Roman"/>
          <w:color w:val="000000"/>
          <w:spacing w:val="0"/>
          <w:w w:val="100"/>
          <w:position w:val="0"/>
        </w:rPr>
        <w:t>358,175,850.00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划（草案修订稿）》、第四届董事会第三十九次会议决议和修改后的章程，公司对张峥、邓一波、强征、杨凡、韩孝阳、杨 斌已获授但尚未解锁的限制性股票股本人民币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元进行回购注销，申请减少注册资本及股本人民币</w:t>
      </w:r>
      <w:r>
        <w:rPr>
          <w:rFonts w:ascii="Times New Roman" w:eastAsia="Times New Roman" w:hAnsi="Times New Roman" w:cs="Times New Roman"/>
          <w:color w:val="000000"/>
          <w:spacing w:val="0"/>
          <w:w w:val="100"/>
          <w:position w:val="0"/>
        </w:rPr>
        <w:t>74,500.00</w:t>
      </w:r>
      <w:r>
        <w:rPr>
          <w:color w:val="000000"/>
          <w:spacing w:val="0"/>
          <w:w w:val="100"/>
          <w:position w:val="0"/>
        </w:rPr>
        <w:t>元，变更 后的注册资本及股本为人民币</w:t>
      </w:r>
      <w:r>
        <w:rPr>
          <w:rFonts w:ascii="Times New Roman" w:eastAsia="Times New Roman" w:hAnsi="Times New Roman" w:cs="Times New Roman"/>
          <w:color w:val="000000"/>
          <w:spacing w:val="0"/>
          <w:w w:val="100"/>
          <w:position w:val="0"/>
        </w:rPr>
        <w:t>358,101,350.00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划（草案修订稿）》、第五届董事会第四次会议决议和修改后的章程，公司对钱罡、仇释、张凯、田勇、韩静、强征，孙剑 峰、顾凯、徐远、查维强、甘明春、孙国卿、陈磊、李华、秦智超、翁存中、徐仙仙、陈守章、孙月军已获授但尚未解锁的 限制性股票股本人民币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元进行回购注销，申请减少注册资本及股本人民币</w:t>
      </w:r>
      <w:r>
        <w:rPr>
          <w:rFonts w:ascii="Times New Roman" w:eastAsia="Times New Roman" w:hAnsi="Times New Roman" w:cs="Times New Roman"/>
          <w:color w:val="000000"/>
          <w:spacing w:val="0"/>
          <w:w w:val="100"/>
          <w:position w:val="0"/>
        </w:rPr>
        <w:t>249,500.00</w:t>
      </w:r>
      <w:r>
        <w:rPr>
          <w:color w:val="000000"/>
          <w:spacing w:val="0"/>
          <w:w w:val="100"/>
          <w:position w:val="0"/>
        </w:rPr>
        <w:t>元，变更后的注册资本及股本 为人民币</w:t>
      </w:r>
      <w:r>
        <w:rPr>
          <w:rFonts w:ascii="Times New Roman" w:eastAsia="Times New Roman" w:hAnsi="Times New Roman" w:cs="Times New Roman"/>
          <w:color w:val="000000"/>
          <w:spacing w:val="0"/>
          <w:w w:val="100"/>
          <w:position w:val="0"/>
        </w:rPr>
        <w:t>357,851,850.00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 计划（草案修订稿）》、第五届董事会第四次会议决议和修改后的章程，公司对顾辰飞、胡良民、李玎、李剑、薛瑞、赵瑶 彬、王慧、钱忠斌、陈业新、吴胜周、戴安宁已获授但尚未解锁的限制性股票股本人民币</w:t>
      </w:r>
      <w:r>
        <w:rPr>
          <w:rFonts w:ascii="Times New Roman" w:eastAsia="Times New Roman" w:hAnsi="Times New Roman" w:cs="Times New Roman"/>
          <w:color w:val="000000"/>
          <w:spacing w:val="0"/>
          <w:w w:val="100"/>
          <w:position w:val="0"/>
        </w:rPr>
        <w:t>118,500.00</w:t>
      </w:r>
      <w:r>
        <w:rPr>
          <w:color w:val="000000"/>
          <w:spacing w:val="0"/>
          <w:w w:val="100"/>
          <w:position w:val="0"/>
        </w:rPr>
        <w:t>元进行回购注销，申请 减少注册资本及股本人民币</w:t>
      </w:r>
      <w:r>
        <w:rPr>
          <w:rFonts w:ascii="Times New Roman" w:eastAsia="Times New Roman" w:hAnsi="Times New Roman" w:cs="Times New Roman"/>
          <w:color w:val="000000"/>
          <w:spacing w:val="0"/>
          <w:w w:val="100"/>
          <w:position w:val="0"/>
        </w:rPr>
        <w:t>118,500.00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357,733,350.00</w:t>
      </w:r>
      <w:r>
        <w:rPr>
          <w:color w:val="000000"/>
          <w:spacing w:val="0"/>
          <w:w w:val="100"/>
          <w:position w:val="0"/>
        </w:rPr>
        <w:t>元。</w:t>
      </w:r>
    </w:p>
    <w:p>
      <w:pPr>
        <w:pStyle w:val="Style26"/>
        <w:keepNext w:val="0"/>
        <w:keepLines w:val="0"/>
        <w:widowControl w:val="0"/>
        <w:shd w:val="clear" w:color="auto" w:fill="auto"/>
        <w:bidi w:val="0"/>
        <w:spacing w:before="0" w:after="0" w:line="312" w:lineRule="exact"/>
        <w:ind w:left="0" w:right="0" w:firstLine="5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年度股东大会决议和修改后章程的规定，公司以资本公积金每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股，变更后注 册资本为</w:t>
      </w:r>
      <w:r>
        <w:rPr>
          <w:rFonts w:ascii="Times New Roman" w:eastAsia="Times New Roman" w:hAnsi="Times New Roman" w:cs="Times New Roman"/>
          <w:color w:val="000000"/>
          <w:spacing w:val="0"/>
          <w:w w:val="100"/>
          <w:position w:val="0"/>
        </w:rPr>
        <w:t>715,466,700.00</w:t>
      </w:r>
      <w:r>
        <w:rPr>
          <w:color w:val="000000"/>
          <w:spacing w:val="0"/>
          <w:w w:val="100"/>
          <w:position w:val="0"/>
        </w:rPr>
        <w:t>元。</w:t>
      </w:r>
    </w:p>
    <w:p>
      <w:pPr>
        <w:pStyle w:val="Style26"/>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年第三次临时股东大会审议通过的《关于公司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年度非公开发 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股股票方案的议案》和修改后的公司章程，并经中国证券监督管理委员会《关于核准江苏润和软件股份有限公司非公开 发行股票的批复》（证监许可</w:t>
      </w:r>
      <w:r>
        <w:rPr>
          <w:rFonts w:ascii="Times New Roman" w:eastAsia="Times New Roman" w:hAnsi="Times New Roman" w:cs="Times New Roman"/>
          <w:color w:val="000000"/>
          <w:spacing w:val="0"/>
          <w:w w:val="100"/>
          <w:position w:val="0"/>
        </w:rPr>
        <w:t>[2017]1213</w:t>
      </w:r>
      <w:r>
        <w:rPr>
          <w:color w:val="000000"/>
          <w:spacing w:val="0"/>
          <w:w w:val="100"/>
          <w:position w:val="0"/>
        </w:rPr>
        <w:t>号文）的核准，公司向特定投资者泰达宏利基金管理有限公司、浙江浙商产融控股 有限公司、财通基金管理有限公司、申万宏源证券有限公司发行人民币普通股股票</w:t>
      </w:r>
      <w:r>
        <w:rPr>
          <w:rFonts w:ascii="Times New Roman" w:eastAsia="Times New Roman" w:hAnsi="Times New Roman" w:cs="Times New Roman"/>
          <w:color w:val="000000"/>
          <w:spacing w:val="0"/>
          <w:w w:val="100"/>
          <w:position w:val="0"/>
        </w:rPr>
        <w:t>81,326,141</w:t>
      </w:r>
      <w:r>
        <w:rPr>
          <w:color w:val="000000"/>
          <w:spacing w:val="0"/>
          <w:w w:val="100"/>
          <w:position w:val="0"/>
        </w:rPr>
        <w:t>股，增加注册资本</w:t>
      </w:r>
      <w:r>
        <w:rPr>
          <w:rFonts w:ascii="Times New Roman" w:eastAsia="Times New Roman" w:hAnsi="Times New Roman" w:cs="Times New Roman"/>
          <w:color w:val="000000"/>
          <w:spacing w:val="0"/>
          <w:w w:val="100"/>
          <w:position w:val="0"/>
        </w:rPr>
        <w:t xml:space="preserve">81,326,141.00 </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796,792,841.00</w:t>
      </w:r>
      <w:r>
        <w:rPr>
          <w:color w:val="000000"/>
          <w:spacing w:val="0"/>
          <w:w w:val="100"/>
          <w:position w:val="0"/>
        </w:rPr>
        <w:t>元。</w:t>
      </w:r>
    </w:p>
    <w:p>
      <w:pPr>
        <w:pStyle w:val="Style26"/>
        <w:keepNext w:val="0"/>
        <w:keepLines w:val="0"/>
        <w:widowControl w:val="0"/>
        <w:shd w:val="clear" w:color="auto" w:fill="auto"/>
        <w:bidi w:val="0"/>
        <w:spacing w:before="0" w:after="0" w:line="314" w:lineRule="exact"/>
        <w:ind w:left="0" w:right="0" w:firstLine="5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日，经公司</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年第五次临时股东大会审议通过的《江苏润和软件股份有限公司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年限制性股票激励计 划（草案修订稿）》、第五届董事会第二十八次会议决议和修改后的章程，公司对周磊、周蛟、郑蓓、赵振平、张玉峰、许 波、徐苏君、徐珩、吴烨、魏榕祠、王宇、王天、汤鹏川、孙嘉琛、苏南、沈欣慧、秦伟娜、牟际生、莫华军、刘珏、刘恩 道、李治勇、雷彤、蒋昕、果鹏、邓茜、陈钟鹏、陈希、蔡雷鸣已获授但尚未解锁的限制性股票股本人民币</w:t>
      </w:r>
      <w:r>
        <w:rPr>
          <w:rFonts w:ascii="Times New Roman" w:eastAsia="Times New Roman" w:hAnsi="Times New Roman" w:cs="Times New Roman"/>
          <w:color w:val="000000"/>
          <w:spacing w:val="0"/>
          <w:w w:val="100"/>
          <w:position w:val="0"/>
        </w:rPr>
        <w:t>382,000.00</w:t>
      </w:r>
      <w:r>
        <w:rPr>
          <w:color w:val="000000"/>
          <w:spacing w:val="0"/>
          <w:w w:val="100"/>
          <w:position w:val="0"/>
        </w:rPr>
        <w:t>元进 行回购注销，申请减少注册资本及股本人民币</w:t>
      </w:r>
      <w:r>
        <w:rPr>
          <w:rFonts w:ascii="Times New Roman" w:eastAsia="Times New Roman" w:hAnsi="Times New Roman" w:cs="Times New Roman"/>
          <w:color w:val="000000"/>
          <w:spacing w:val="0"/>
          <w:w w:val="100"/>
          <w:position w:val="0"/>
        </w:rPr>
        <w:t>382,000.00</w:t>
      </w:r>
      <w:r>
        <w:rPr>
          <w:color w:val="000000"/>
          <w:spacing w:val="0"/>
          <w:w w:val="100"/>
          <w:position w:val="0"/>
        </w:rPr>
        <w:t>元，变更后的注册资本及股本为人民币</w:t>
      </w:r>
      <w:r>
        <w:rPr>
          <w:rFonts w:ascii="Times New Roman" w:eastAsia="Times New Roman" w:hAnsi="Times New Roman" w:cs="Times New Roman"/>
          <w:color w:val="000000"/>
          <w:spacing w:val="0"/>
          <w:w w:val="100"/>
          <w:position w:val="0"/>
        </w:rPr>
        <w:t>796,410,841.00</w:t>
      </w:r>
      <w:r>
        <w:rPr>
          <w:color w:val="000000"/>
          <w:spacing w:val="0"/>
          <w:w w:val="100"/>
          <w:position w:val="0"/>
        </w:rPr>
        <w:t>元。</w:t>
      </w:r>
    </w:p>
    <w:p>
      <w:pPr>
        <w:pStyle w:val="Style26"/>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公司的经营范围：计算机软、硬件的研发，相关产品的销售以及售后综合技术服务；自营和代理各类商品及技术的进 出口业务；计算机网络系统集成，楼宇智能化系统工程的设计、施工、安装；通信终端设备制造；工业自动控制系统装置制 造。网络文化经营（按许可证所列范围经营）；（依法须经批准的项目，经相关部门批准后方可开展经营活动）一般项目： 人力资源服务（不含职业中介活动、劳务派遣服务）（除依法须经批准的项目外，凭营业执照依法自主开展经营活动）。</w:t>
      </w:r>
    </w:p>
    <w:p>
      <w:pPr>
        <w:pStyle w:val="Style26"/>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公司的经营地址：南京市雨花台区软件大道</w:t>
      </w:r>
      <w:r>
        <w:rPr>
          <w:rFonts w:ascii="Times New Roman" w:eastAsia="Times New Roman" w:hAnsi="Times New Roman" w:cs="Times New Roman"/>
          <w:color w:val="000000"/>
          <w:spacing w:val="0"/>
          <w:w w:val="100"/>
          <w:position w:val="0"/>
        </w:rPr>
        <w:t>168</w:t>
      </w:r>
      <w:r>
        <w:rPr>
          <w:color w:val="000000"/>
          <w:spacing w:val="0"/>
          <w:w w:val="100"/>
          <w:position w:val="0"/>
        </w:rPr>
        <w:t>号。法定代表人：周红卫。</w:t>
      </w:r>
    </w:p>
    <w:p>
      <w:pPr>
        <w:pStyle w:val="Style26"/>
        <w:keepNext w:val="0"/>
        <w:keepLines w:val="0"/>
        <w:widowControl w:val="0"/>
        <w:shd w:val="clear" w:color="auto" w:fill="auto"/>
        <w:bidi w:val="0"/>
        <w:spacing w:before="0" w:after="0" w:line="314" w:lineRule="exact"/>
        <w:ind w:left="0" w:right="0" w:firstLine="520"/>
        <w:jc w:val="left"/>
      </w:pPr>
      <w:r>
        <w:rPr>
          <w:color w:val="000000"/>
          <w:spacing w:val="0"/>
          <w:w w:val="100"/>
          <w:position w:val="0"/>
        </w:rPr>
        <w:t>财务报告批准报出日：本财务报表业经本公司董事会于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日决议批准报出。</w:t>
      </w:r>
    </w:p>
    <w:p>
      <w:pPr>
        <w:pStyle w:val="Style26"/>
        <w:keepNext w:val="0"/>
        <w:keepLines w:val="0"/>
        <w:widowControl w:val="0"/>
        <w:shd w:val="clear" w:color="auto" w:fill="auto"/>
        <w:bidi w:val="0"/>
        <w:spacing w:before="0" w:after="120" w:line="314"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合并财务报表范围及变化</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）本报告期末纳入合并范围的子公司</w:t>
      </w:r>
    </w:p>
    <w:tbl>
      <w:tblPr>
        <w:tblOverlap w:val="never"/>
        <w:jc w:val="center"/>
        <w:tblLayout w:type="fixed"/>
      </w:tblPr>
      <w:tblGrid>
        <w:gridCol w:w="893"/>
        <w:gridCol w:w="4243"/>
        <w:gridCol w:w="1906"/>
        <w:gridCol w:w="1022"/>
        <w:gridCol w:w="1051"/>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子公司简称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color w:val="000000"/>
                <w:spacing w:val="0"/>
                <w:w w:val="100"/>
                <w:position w:val="0"/>
                <w:sz w:val="20"/>
                <w:szCs w:val="20"/>
              </w:rPr>
              <w:t>％</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江苏润和南京软件外包园投资有限公司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外包园公司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江苏软信和熙信息科技有限公司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软信和熙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西安润和软件信息技术有限公司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西安润和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深圳润和汇智信息技术有限公司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深圳润和汇智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上海润和信息技术服务有限公司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株式会社亦一束京注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SOFTWARE SINGAPORE PTE.</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LTD.</w:t>
            </w:r>
            <w:r>
              <w:rPr>
                <w:color w:val="000000"/>
                <w:spacing w:val="0"/>
                <w:w w:val="100"/>
                <w:position w:val="0"/>
                <w:sz w:val="20"/>
                <w:szCs w:val="20"/>
              </w:rPr>
              <w:t xml:space="preserve">注 </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新加坡润和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Technology Co.,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波士顿润和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武汉宁润软件信息技术有限公司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武汉宁润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捷科智诚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上海捷科智诚科技有限公司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福州捷科智诚信息科技有限公司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福州捷科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北京联创智融信息技术有限公司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联创智融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重庆度融信息技术有限公司注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重庆度融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成都联创智融信息技术有限公司注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成都联创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合肥汇聚智融信息技术有限公司注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合肥汇聚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南京汇聚智融信息技术有限公司注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南京汇聚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深圳联创智融信息技术有限公司注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深圳联创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香港润和信息技术投资有限公司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上海菲耐得信息科技有限公司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菲耐得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_</w:t>
            </w:r>
          </w:p>
        </w:tc>
      </w:tr>
    </w:tbl>
    <w:p>
      <w:pPr>
        <w:widowControl w:val="0"/>
        <w:spacing w:line="1" w:lineRule="exact"/>
      </w:pPr>
    </w:p>
    <w:tbl>
      <w:tblPr>
        <w:tblOverlap w:val="never"/>
        <w:jc w:val="center"/>
        <w:tblLayout w:type="fixed"/>
      </w:tblPr>
      <w:tblGrid>
        <w:gridCol w:w="893"/>
        <w:gridCol w:w="4243"/>
        <w:gridCol w:w="1906"/>
        <w:gridCol w:w="1022"/>
        <w:gridCol w:w="105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广州润和颐能软件技术有限公司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江苏润和捷诚科技产业投资有限公司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润和捷诚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_</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南京润和润云科技有限公司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润和润云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_</w:t>
            </w:r>
          </w:p>
        </w:tc>
      </w:tr>
    </w:tbl>
    <w:p>
      <w:pPr>
        <w:pStyle w:val="Style26"/>
        <w:keepNext w:val="0"/>
        <w:keepLines w:val="0"/>
        <w:widowControl w:val="0"/>
        <w:shd w:val="clear" w:color="auto" w:fill="auto"/>
        <w:bidi w:val="0"/>
        <w:spacing w:before="0" w:after="0" w:line="318"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的库存股股权，该库存股股权不仅没有表决权，也 没有分红请求权和剩余财产分配请求权等其他权利，因此本公司实际拥有东京润和</w:t>
      </w:r>
      <w:r>
        <w:rPr>
          <w:rFonts w:ascii="Times New Roman" w:eastAsia="Times New Roman" w:hAnsi="Times New Roman" w:cs="Times New Roman"/>
          <w:color w:val="000000"/>
          <w:spacing w:val="0"/>
          <w:w w:val="100"/>
          <w:position w:val="0"/>
        </w:rPr>
        <w:t>100%</w:t>
      </w:r>
      <w:r>
        <w:rPr>
          <w:color w:val="000000"/>
          <w:spacing w:val="0"/>
          <w:w w:val="100"/>
          <w:position w:val="0"/>
        </w:rPr>
        <w:t>权益；</w:t>
      </w:r>
    </w:p>
    <w:p>
      <w:pPr>
        <w:pStyle w:val="Style26"/>
        <w:keepNext w:val="0"/>
        <w:keepLines w:val="0"/>
        <w:widowControl w:val="0"/>
        <w:shd w:val="clear" w:color="auto" w:fill="auto"/>
        <w:bidi w:val="0"/>
        <w:spacing w:before="0" w:after="0" w:line="318"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：新加坡润和为东京润和持股</w:t>
      </w:r>
      <w:r>
        <w:rPr>
          <w:rFonts w:ascii="Times New Roman" w:eastAsia="Times New Roman" w:hAnsi="Times New Roman" w:cs="Times New Roman"/>
          <w:color w:val="000000"/>
          <w:spacing w:val="0"/>
          <w:w w:val="100"/>
          <w:position w:val="0"/>
        </w:rPr>
        <w:t>70%</w:t>
      </w:r>
      <w:r>
        <w:rPr>
          <w:color w:val="000000"/>
          <w:spacing w:val="0"/>
          <w:w w:val="100"/>
          <w:position w:val="0"/>
        </w:rPr>
        <w:t>的控股子公司；</w:t>
      </w:r>
    </w:p>
    <w:p>
      <w:pPr>
        <w:pStyle w:val="Style26"/>
        <w:keepNext w:val="0"/>
        <w:keepLines w:val="0"/>
        <w:widowControl w:val="0"/>
        <w:shd w:val="clear" w:color="auto" w:fill="auto"/>
        <w:bidi w:val="0"/>
        <w:spacing w:before="0" w:after="0" w:line="318"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：重庆度融、南京汇聚为联创智融的控股子公司，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月联创智融已将持有的南京汇聚股权全部转让；成都联 创、合肥汇聚、深圳联创为联创智融的全资子公司，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月合肥汇聚已完成工商注销，截至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联创智融 尚未对深圳联创出资，深圳联创尚未正式开展经营。</w:t>
      </w:r>
    </w:p>
    <w:p>
      <w:pPr>
        <w:pStyle w:val="Style26"/>
        <w:keepNext w:val="0"/>
        <w:keepLines w:val="0"/>
        <w:widowControl w:val="0"/>
        <w:shd w:val="clear" w:color="auto" w:fill="auto"/>
        <w:bidi w:val="0"/>
        <w:spacing w:before="0" w:after="0" w:line="318" w:lineRule="exact"/>
        <w:ind w:left="0" w:right="0" w:firstLine="520"/>
        <w:jc w:val="both"/>
      </w:pPr>
      <w:r>
        <w:rPr>
          <w:color w:val="000000"/>
          <w:spacing w:val="0"/>
          <w:w w:val="100"/>
          <w:position w:val="0"/>
        </w:rPr>
        <w:t>上述子公司具体情况详见本附注九</w:t>
      </w:r>
      <w:r>
        <w:rPr>
          <w:rFonts w:ascii="Times New Roman" w:eastAsia="Times New Roman" w:hAnsi="Times New Roman" w:cs="Times New Roman"/>
          <w:color w:val="000000"/>
          <w:spacing w:val="0"/>
          <w:w w:val="100"/>
          <w:position w:val="0"/>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numPr>
          <w:ilvl w:val="0"/>
          <w:numId w:val="11"/>
        </w:numPr>
        <w:shd w:val="clear" w:color="auto" w:fill="auto"/>
        <w:bidi w:val="0"/>
        <w:spacing w:before="0" w:after="120" w:line="318" w:lineRule="exact"/>
        <w:ind w:left="0" w:right="0" w:firstLine="520"/>
        <w:jc w:val="both"/>
      </w:pPr>
      <w:bookmarkStart w:id="726" w:name="bookmark726"/>
      <w:bookmarkEnd w:id="726"/>
      <w:r>
        <w:rPr>
          <w:color w:val="000000"/>
          <w:spacing w:val="0"/>
          <w:w w:val="100"/>
          <w:position w:val="0"/>
        </w:rPr>
        <w:t>本报告期内合并财务报表范围变化</w:t>
      </w:r>
    </w:p>
    <w:p>
      <w:pPr>
        <w:pStyle w:val="Style36"/>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本报告期内新增子公司：无。</w:t>
      </w:r>
    </w:p>
    <w:p>
      <w:pPr>
        <w:pStyle w:val="Style36"/>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本报告期内减少子公司：</w:t>
      </w:r>
    </w:p>
    <w:tbl>
      <w:tblPr>
        <w:tblOverlap w:val="never"/>
        <w:jc w:val="center"/>
        <w:tblLayout w:type="fixed"/>
      </w:tblPr>
      <w:tblGrid>
        <w:gridCol w:w="720"/>
        <w:gridCol w:w="3120"/>
        <w:gridCol w:w="1272"/>
        <w:gridCol w:w="1632"/>
        <w:gridCol w:w="214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报告期间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未纳入合并范围原因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润和智融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出售股权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合肥汇聚智融信息技术有限公司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合肥汇聚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南京汇聚智融信息技术有限公司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南京汇聚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出售股权</w:t>
            </w:r>
          </w:p>
        </w:tc>
      </w:tr>
    </w:tbl>
    <w:p>
      <w:pPr>
        <w:pStyle w:val="Style36"/>
        <w:keepNext w:val="0"/>
        <w:keepLines w:val="0"/>
        <w:widowControl w:val="0"/>
        <w:shd w:val="clear" w:color="auto" w:fill="auto"/>
        <w:bidi w:val="0"/>
        <w:spacing w:before="0" w:after="0" w:line="240" w:lineRule="auto"/>
        <w:ind w:left="494" w:right="0" w:firstLine="0"/>
        <w:jc w:val="left"/>
      </w:pPr>
      <w:r>
        <w:rPr>
          <w:color w:val="000000"/>
          <w:spacing w:val="0"/>
          <w:w w:val="100"/>
          <w:position w:val="0"/>
        </w:rPr>
        <w:t>本报告期内新增及减少子公司的具体情况详见本附注八</w:t>
      </w:r>
      <w:r>
        <w:rPr>
          <w:rFonts w:ascii="Times New Roman" w:eastAsia="Times New Roman" w:hAnsi="Times New Roman" w:cs="Times New Roman"/>
          <w:color w:val="000000"/>
          <w:spacing w:val="0"/>
          <w:w w:val="100"/>
          <w:position w:val="0"/>
        </w:rPr>
        <w:t>“</w:t>
      </w:r>
      <w:r>
        <w:rPr>
          <w:color w:val="000000"/>
          <w:spacing w:val="0"/>
          <w:w w:val="100"/>
          <w:position w:val="0"/>
        </w:rPr>
        <w:t>合并范围的变更匚</w:t>
      </w:r>
    </w:p>
    <w:p>
      <w:pPr>
        <w:widowControl w:val="0"/>
        <w:spacing w:after="359" w:line="1" w:lineRule="exact"/>
      </w:pPr>
    </w:p>
    <w:p>
      <w:pPr>
        <w:pStyle w:val="Style24"/>
        <w:keepNext/>
        <w:keepLines/>
        <w:widowControl w:val="0"/>
        <w:shd w:val="clear" w:color="auto" w:fill="auto"/>
        <w:tabs>
          <w:tab w:pos="498" w:val="left"/>
        </w:tabs>
        <w:bidi w:val="0"/>
        <w:spacing w:before="0" w:after="36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四</w:t>
      </w:r>
      <w:bookmarkEnd w:id="729"/>
      <w:r>
        <w:rPr>
          <w:color w:val="000000"/>
          <w:spacing w:val="0"/>
          <w:w w:val="100"/>
          <w:position w:val="0"/>
          <w:sz w:val="24"/>
          <w:szCs w:val="24"/>
        </w:rPr>
        <w:t>、</w:t>
        <w:tab/>
        <w:t>财务报表的编制基础</w:t>
      </w:r>
      <w:bookmarkEnd w:id="727"/>
      <w:bookmarkEnd w:id="728"/>
      <w:bookmarkEnd w:id="730"/>
    </w:p>
    <w:p>
      <w:pPr>
        <w:pStyle w:val="Style30"/>
        <w:keepNext/>
        <w:keepLines/>
        <w:widowControl w:val="0"/>
        <w:shd w:val="clear" w:color="auto" w:fill="auto"/>
        <w:tabs>
          <w:tab w:pos="391" w:val="left"/>
        </w:tabs>
        <w:bidi w:val="0"/>
        <w:spacing w:before="0" w:after="2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编制基础</w:t>
      </w:r>
      <w:bookmarkEnd w:id="731"/>
      <w:bookmarkEnd w:id="732"/>
      <w:bookmarkEnd w:id="734"/>
    </w:p>
    <w:p>
      <w:pPr>
        <w:pStyle w:val="Style26"/>
        <w:keepNext w:val="0"/>
        <w:keepLines w:val="0"/>
        <w:widowControl w:val="0"/>
        <w:shd w:val="clear" w:color="auto" w:fill="auto"/>
        <w:bidi w:val="0"/>
        <w:spacing w:before="0" w:after="360" w:line="307" w:lineRule="exact"/>
        <w:ind w:left="0" w:right="0" w:firstLine="520"/>
        <w:jc w:val="both"/>
      </w:pPr>
      <w:r>
        <w:rPr>
          <w:color w:val="000000"/>
          <w:spacing w:val="0"/>
          <w:w w:val="100"/>
          <w:position w:val="0"/>
        </w:rPr>
        <w:t>本公司以持续经营为基础，根据实际发生的交易和事项，按照企业会计准则及其应用指南和准则解释的规定进行确认 和计量，在此基础上编制财务报表。此外，本公司还按照中国证监会《公开发行证券的公司信息披露编报规则第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 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0"/>
        <w:keepNext/>
        <w:keepLines/>
        <w:widowControl w:val="0"/>
        <w:shd w:val="clear" w:color="auto" w:fill="auto"/>
        <w:tabs>
          <w:tab w:pos="391" w:val="left"/>
        </w:tabs>
        <w:bidi w:val="0"/>
        <w:spacing w:before="0" w:after="26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持续经营</w:t>
      </w:r>
      <w:bookmarkEnd w:id="735"/>
      <w:bookmarkEnd w:id="736"/>
      <w:bookmarkEnd w:id="738"/>
    </w:p>
    <w:p>
      <w:pPr>
        <w:pStyle w:val="Style26"/>
        <w:keepNext w:val="0"/>
        <w:keepLines w:val="0"/>
        <w:widowControl w:val="0"/>
        <w:shd w:val="clear" w:color="auto" w:fill="auto"/>
        <w:bidi w:val="0"/>
        <w:spacing w:before="0" w:after="360" w:line="322" w:lineRule="exact"/>
        <w:ind w:left="0" w:right="0" w:firstLine="600"/>
        <w:jc w:val="both"/>
      </w:pPr>
      <w:r>
        <w:rPr>
          <w:color w:val="000000"/>
          <w:spacing w:val="0"/>
          <w:w w:val="100"/>
          <w:position w:val="0"/>
        </w:rPr>
        <w:t>本公司对自报告期末起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个月的持续经营能力进行了评估，未发现影响本公司持续经营能力的事项，本公司以持续 经营为基础编制财务报表是合理的。</w:t>
      </w:r>
    </w:p>
    <w:p>
      <w:pPr>
        <w:pStyle w:val="Style24"/>
        <w:keepNext/>
        <w:keepLines/>
        <w:widowControl w:val="0"/>
        <w:shd w:val="clear" w:color="auto" w:fill="auto"/>
        <w:tabs>
          <w:tab w:pos="517" w:val="left"/>
        </w:tabs>
        <w:bidi w:val="0"/>
        <w:spacing w:before="0" w:after="260" w:line="240" w:lineRule="auto"/>
        <w:ind w:left="0" w:right="0" w:firstLine="0"/>
        <w:jc w:val="both"/>
      </w:pPr>
      <w:bookmarkStart w:id="739" w:name="bookmark739"/>
      <w:bookmarkStart w:id="740" w:name="bookmark740"/>
      <w:bookmarkStart w:id="741" w:name="bookmark741"/>
      <w:bookmarkStart w:id="742" w:name="bookmark742"/>
      <w:r>
        <w:rPr>
          <w:color w:val="000000"/>
          <w:spacing w:val="0"/>
          <w:w w:val="100"/>
          <w:position w:val="0"/>
          <w:sz w:val="24"/>
          <w:szCs w:val="24"/>
        </w:rPr>
        <w:t>五</w:t>
      </w:r>
      <w:bookmarkEnd w:id="741"/>
      <w:r>
        <w:rPr>
          <w:color w:val="000000"/>
          <w:spacing w:val="0"/>
          <w:w w:val="100"/>
          <w:position w:val="0"/>
          <w:sz w:val="24"/>
          <w:szCs w:val="24"/>
        </w:rPr>
        <w:t>、</w:t>
        <w:tab/>
        <w:t>重要会计政策及会计估计</w:t>
      </w:r>
      <w:bookmarkEnd w:id="739"/>
      <w:bookmarkEnd w:id="740"/>
      <w:bookmarkEnd w:id="742"/>
    </w:p>
    <w:p>
      <w:pPr>
        <w:pStyle w:val="Style26"/>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360" w:line="307" w:lineRule="exact"/>
        <w:ind w:left="0" w:right="0" w:firstLine="520"/>
        <w:jc w:val="both"/>
      </w:pPr>
      <w:r>
        <w:rPr>
          <w:color w:val="000000"/>
          <w:spacing w:val="0"/>
          <w:w w:val="100"/>
          <w:position w:val="0"/>
        </w:rPr>
        <w:t>本公司下列重要会计政策、会计估计根据企业会计准则制定。未提及的业务按企业会计准则中相关会计政策执行。</w:t>
      </w:r>
    </w:p>
    <w:p>
      <w:pPr>
        <w:pStyle w:val="Style30"/>
        <w:keepNext/>
        <w:keepLines/>
        <w:widowControl w:val="0"/>
        <w:shd w:val="clear" w:color="auto" w:fill="auto"/>
        <w:bidi w:val="0"/>
        <w:spacing w:before="0" w:after="26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color w:val="000000"/>
          <w:spacing w:val="0"/>
          <w:w w:val="100"/>
          <w:position w:val="0"/>
        </w:rPr>
        <w:t>、遵循企业会计准则的声明</w:t>
      </w:r>
      <w:bookmarkEnd w:id="743"/>
      <w:bookmarkEnd w:id="744"/>
      <w:bookmarkEnd w:id="746"/>
    </w:p>
    <w:p>
      <w:pPr>
        <w:pStyle w:val="Style26"/>
        <w:keepNext w:val="0"/>
        <w:keepLines w:val="0"/>
        <w:widowControl w:val="0"/>
        <w:shd w:val="clear" w:color="auto" w:fill="auto"/>
        <w:bidi w:val="0"/>
        <w:spacing w:before="0" w:after="320" w:line="307" w:lineRule="exact"/>
        <w:ind w:left="0" w:right="0" w:firstLine="520"/>
        <w:jc w:val="both"/>
      </w:pPr>
      <w:r>
        <w:rPr>
          <w:color w:val="000000"/>
          <w:spacing w:val="0"/>
          <w:w w:val="100"/>
          <w:position w:val="0"/>
        </w:rPr>
        <w:t>本公司所编制的财务报表符合企业会计准则的要求，真实、完整地反映了公司的财务状况、经营成果、所有者权益变 动和现金流量等有关信息。</w:t>
      </w:r>
    </w:p>
    <w:p>
      <w:pPr>
        <w:pStyle w:val="Style30"/>
        <w:keepNext/>
        <w:keepLines/>
        <w:widowControl w:val="0"/>
        <w:shd w:val="clear" w:color="auto" w:fill="auto"/>
        <w:tabs>
          <w:tab w:pos="375" w:val="left"/>
        </w:tabs>
        <w:bidi w:val="0"/>
        <w:spacing w:before="0" w:after="28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2</w:t>
      </w:r>
      <w:bookmarkEnd w:id="749"/>
      <w:r>
        <w:rPr>
          <w:color w:val="000000"/>
          <w:spacing w:val="0"/>
          <w:w w:val="100"/>
          <w:position w:val="0"/>
        </w:rPr>
        <w:t>、</w:t>
        <w:tab/>
        <w:t>会计期间</w:t>
      </w:r>
      <w:bookmarkEnd w:id="747"/>
      <w:bookmarkEnd w:id="748"/>
      <w:bookmarkEnd w:id="750"/>
    </w:p>
    <w:p>
      <w:pPr>
        <w:pStyle w:val="Style26"/>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0"/>
        <w:keepNext/>
        <w:keepLines/>
        <w:widowControl w:val="0"/>
        <w:shd w:val="clear" w:color="auto" w:fill="auto"/>
        <w:tabs>
          <w:tab w:pos="375"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3</w:t>
      </w:r>
      <w:bookmarkEnd w:id="753"/>
      <w:r>
        <w:rPr>
          <w:color w:val="000000"/>
          <w:spacing w:val="0"/>
          <w:w w:val="100"/>
          <w:position w:val="0"/>
        </w:rPr>
        <w:t>、</w:t>
        <w:tab/>
        <w:t>营业周期</w:t>
      </w:r>
      <w:bookmarkEnd w:id="751"/>
      <w:bookmarkEnd w:id="752"/>
      <w:bookmarkEnd w:id="754"/>
    </w:p>
    <w:p>
      <w:pPr>
        <w:pStyle w:val="Style26"/>
        <w:keepNext w:val="0"/>
        <w:keepLines w:val="0"/>
        <w:widowControl w:val="0"/>
        <w:shd w:val="clear" w:color="auto" w:fill="auto"/>
        <w:bidi w:val="0"/>
        <w:spacing w:before="0" w:after="380" w:line="315" w:lineRule="exact"/>
        <w:ind w:left="0" w:right="0" w:firstLine="520"/>
        <w:jc w:val="left"/>
      </w:pPr>
      <w:r>
        <w:rPr>
          <w:color w:val="000000"/>
          <w:spacing w:val="0"/>
          <w:w w:val="100"/>
          <w:position w:val="0"/>
        </w:rPr>
        <w:t>本公司正常营业周期为一年。</w:t>
      </w:r>
    </w:p>
    <w:p>
      <w:pPr>
        <w:pStyle w:val="Style30"/>
        <w:keepNext/>
        <w:keepLines/>
        <w:widowControl w:val="0"/>
        <w:shd w:val="clear" w:color="auto" w:fill="auto"/>
        <w:tabs>
          <w:tab w:pos="375" w:val="left"/>
        </w:tabs>
        <w:bidi w:val="0"/>
        <w:spacing w:before="0" w:after="28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4</w:t>
      </w:r>
      <w:bookmarkEnd w:id="757"/>
      <w:r>
        <w:rPr>
          <w:color w:val="000000"/>
          <w:spacing w:val="0"/>
          <w:w w:val="100"/>
          <w:position w:val="0"/>
        </w:rPr>
        <w:t>、</w:t>
        <w:tab/>
        <w:t>记账本位币</w:t>
      </w:r>
      <w:bookmarkEnd w:id="755"/>
      <w:bookmarkEnd w:id="756"/>
      <w:bookmarkEnd w:id="758"/>
    </w:p>
    <w:p>
      <w:pPr>
        <w:pStyle w:val="Style26"/>
        <w:keepNext w:val="0"/>
        <w:keepLines w:val="0"/>
        <w:widowControl w:val="0"/>
        <w:shd w:val="clear" w:color="auto" w:fill="auto"/>
        <w:bidi w:val="0"/>
        <w:spacing w:before="0" w:after="380" w:line="315" w:lineRule="exact"/>
        <w:ind w:left="0" w:right="0" w:firstLine="520"/>
        <w:jc w:val="left"/>
      </w:pPr>
      <w:r>
        <w:rPr>
          <w:color w:val="000000"/>
          <w:spacing w:val="0"/>
          <w:w w:val="100"/>
          <w:position w:val="0"/>
        </w:rPr>
        <w:t>本公司的记账本位币为人民币，境外</w:t>
      </w:r>
      <w:r>
        <w:rPr>
          <w:rFonts w:ascii="Times New Roman" w:eastAsia="Times New Roman" w:hAnsi="Times New Roman" w:cs="Times New Roman"/>
          <w:color w:val="000000"/>
          <w:spacing w:val="0"/>
          <w:w w:val="100"/>
          <w:position w:val="0"/>
        </w:rPr>
        <w:t>（</w:t>
      </w:r>
      <w:r>
        <w:rPr>
          <w:color w:val="000000"/>
          <w:spacing w:val="0"/>
          <w:w w:val="100"/>
          <w:position w:val="0"/>
        </w:rPr>
        <w:t>分</w:t>
      </w:r>
      <w:r>
        <w:rPr>
          <w:rFonts w:ascii="Times New Roman" w:eastAsia="Times New Roman" w:hAnsi="Times New Roman" w:cs="Times New Roman"/>
          <w:color w:val="000000"/>
          <w:spacing w:val="0"/>
          <w:w w:val="100"/>
          <w:position w:val="0"/>
        </w:rPr>
        <w:t>）</w:t>
      </w:r>
      <w:r>
        <w:rPr>
          <w:color w:val="000000"/>
          <w:spacing w:val="0"/>
          <w:w w:val="100"/>
          <w:position w:val="0"/>
        </w:rPr>
        <w:t>子公司按经营所处的主要经济环境中的货币为记账本位币。</w:t>
      </w:r>
    </w:p>
    <w:p>
      <w:pPr>
        <w:pStyle w:val="Style30"/>
        <w:keepNext/>
        <w:keepLines/>
        <w:widowControl w:val="0"/>
        <w:shd w:val="clear" w:color="auto" w:fill="auto"/>
        <w:tabs>
          <w:tab w:pos="375"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5</w:t>
      </w:r>
      <w:bookmarkEnd w:id="761"/>
      <w:r>
        <w:rPr>
          <w:color w:val="000000"/>
          <w:spacing w:val="0"/>
          <w:w w:val="100"/>
          <w:position w:val="0"/>
        </w:rPr>
        <w:t>、</w:t>
        <w:tab/>
        <w:t>同一控制下和非同一控制下企业合并的会计处理方法</w:t>
      </w:r>
      <w:bookmarkEnd w:id="759"/>
      <w:bookmarkEnd w:id="760"/>
      <w:bookmarkEnd w:id="762"/>
    </w:p>
    <w:p>
      <w:pPr>
        <w:pStyle w:val="Style26"/>
        <w:keepNext w:val="0"/>
        <w:keepLines w:val="0"/>
        <w:widowControl w:val="0"/>
        <w:shd w:val="clear" w:color="auto" w:fill="auto"/>
        <w:tabs>
          <w:tab w:pos="962" w:val="left"/>
        </w:tabs>
        <w:bidi w:val="0"/>
        <w:spacing w:before="0" w:after="0" w:line="315" w:lineRule="exact"/>
        <w:ind w:left="0" w:right="0" w:firstLine="52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本公司在企业合并中取得的资产和负债，在合并日按取得被合并方在最终控制方合并财务报表中的账面价值计量。其 中，对于被合并方与本公司在企业合并前采用的会计政策不同的，基于重要性原则统一会计政策，即按照本公司的会计政策 对被合并方资产、负债的账面价值进行调整。本公司在企业合并中取得的净资产账面价值与所支付对价的账面价值之间存在 差额的，首先调整资本公积（资本溢价或股本溢价），资本公积（资本溢价或股本溢价）的余额不足冲减的，依次冲减盈余 公积和未分配利润。</w:t>
      </w:r>
    </w:p>
    <w:p>
      <w:pPr>
        <w:pStyle w:val="Style26"/>
        <w:keepNext w:val="0"/>
        <w:keepLines w:val="0"/>
        <w:widowControl w:val="0"/>
        <w:shd w:val="clear" w:color="auto" w:fill="auto"/>
        <w:bidi w:val="0"/>
        <w:spacing w:before="0" w:after="0" w:line="315" w:lineRule="exact"/>
        <w:ind w:left="0" w:right="0" w:firstLine="520"/>
        <w:jc w:val="left"/>
      </w:pPr>
      <w:r>
        <w:rPr>
          <w:color w:val="000000"/>
          <w:spacing w:val="0"/>
          <w:w w:val="100"/>
          <w:position w:val="0"/>
        </w:rPr>
        <w:t>通过分步交易实现同一控制下企业合并的会计处理方法见附注五、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6"/>
        <w:keepNext w:val="0"/>
        <w:keepLines w:val="0"/>
        <w:widowControl w:val="0"/>
        <w:shd w:val="clear" w:color="auto" w:fill="auto"/>
        <w:tabs>
          <w:tab w:pos="962" w:val="left"/>
        </w:tabs>
        <w:bidi w:val="0"/>
        <w:spacing w:before="0" w:after="0" w:line="315" w:lineRule="exact"/>
        <w:ind w:left="0" w:right="0" w:firstLine="52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本公司在企业合并中取得的被购买方各项可辨认资产和负债，在购买日按其公允价值计量。其中，对于被购买方与本 公司在企业合并前采用的会计政策不同的，基于重要性原则统一会计政策，即按照本公司的会计政策对被购买方资产、负债 的账面价值进行调整。本公司在购买日的合并成本大于企业合并中取得的被购买方可辨认资产、负债公允价值的差额，确认 为商誉；如果合并成本小于企业合并中取得的被购买方可辨认资产、负债公允价值的差额，首先对合并成本以及在企业合并 中取得的被购买方可辨认资产、负债的公允价值进行复核，经复核后合并成本仍小于取得的被购买方可辨认资产、负债公允 价值的，其差额确认为合并当期损益。</w:t>
      </w:r>
    </w:p>
    <w:p>
      <w:pPr>
        <w:pStyle w:val="Style26"/>
        <w:keepNext w:val="0"/>
        <w:keepLines w:val="0"/>
        <w:widowControl w:val="0"/>
        <w:shd w:val="clear" w:color="auto" w:fill="auto"/>
        <w:bidi w:val="0"/>
        <w:spacing w:before="0" w:after="0" w:line="315" w:lineRule="exact"/>
        <w:ind w:left="0" w:right="0" w:firstLine="520"/>
        <w:jc w:val="left"/>
      </w:pPr>
      <w:r>
        <w:rPr>
          <w:color w:val="000000"/>
          <w:spacing w:val="0"/>
          <w:w w:val="100"/>
          <w:position w:val="0"/>
        </w:rPr>
        <w:t>通过分步交易实现非同一控制下企业合并的会计处理方法见附注五、</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6"/>
        <w:keepNext w:val="0"/>
        <w:keepLines w:val="0"/>
        <w:widowControl w:val="0"/>
        <w:shd w:val="clear" w:color="auto" w:fill="auto"/>
        <w:tabs>
          <w:tab w:pos="962" w:val="left"/>
        </w:tabs>
        <w:bidi w:val="0"/>
        <w:spacing w:before="0" w:after="0" w:line="315" w:lineRule="exact"/>
        <w:ind w:left="0" w:right="0" w:firstLine="520"/>
        <w:jc w:val="left"/>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p>
    <w:p>
      <w:pPr>
        <w:pStyle w:val="Style26"/>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30"/>
        <w:keepNext/>
        <w:keepLines/>
        <w:widowControl w:val="0"/>
        <w:shd w:val="clear" w:color="auto" w:fill="auto"/>
        <w:tabs>
          <w:tab w:pos="375"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6</w:t>
      </w:r>
      <w:bookmarkEnd w:id="768"/>
      <w:r>
        <w:rPr>
          <w:color w:val="000000"/>
          <w:spacing w:val="0"/>
          <w:w w:val="100"/>
          <w:position w:val="0"/>
        </w:rPr>
        <w:t>、</w:t>
        <w:tab/>
        <w:t>合并财务报表的编制方法</w:t>
      </w:r>
      <w:bookmarkEnd w:id="766"/>
      <w:bookmarkEnd w:id="767"/>
      <w:bookmarkEnd w:id="769"/>
    </w:p>
    <w:p>
      <w:pPr>
        <w:pStyle w:val="Style26"/>
        <w:keepNext w:val="0"/>
        <w:keepLines w:val="0"/>
        <w:widowControl w:val="0"/>
        <w:shd w:val="clear" w:color="auto" w:fill="auto"/>
        <w:tabs>
          <w:tab w:pos="962" w:val="left"/>
        </w:tabs>
        <w:bidi w:val="0"/>
        <w:spacing w:before="0" w:after="0" w:line="311" w:lineRule="exact"/>
        <w:ind w:left="0" w:right="0" w:firstLine="52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合并范围的确定</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合并财务报表的合并范围以控制为基础予以确定</w:t>
      </w:r>
      <w:r>
        <w:rPr>
          <w:color w:val="000000"/>
          <w:spacing w:val="0"/>
          <w:w w:val="100"/>
          <w:position w:val="0"/>
        </w:rPr>
        <w:t>，</w:t>
      </w:r>
      <w:r>
        <w:rPr>
          <w:color w:val="000000"/>
          <w:spacing w:val="0"/>
          <w:w w:val="100"/>
          <w:position w:val="0"/>
        </w:rPr>
        <w:t>不仅包括根据表决权（或类似表决权）本身或者结合其他安排确定 的子公司，也包括基于一项或多项合同安排决定的结构化主体。</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控制是指本公司拥有对被投资方的权力，通过参与被投资方的相关活动而享有可变回报，并且有能力运用对被投资方 的权力影响其回报金额。子公司是指被本公司控制的主体（含企业、被投资单位中可分割的部分，以及企业所控制的结构化 主体等），结构化主体是指在确定其控制方时没有将表决权或类似权利作为决定性因素而设计的主体（注：有时也称为特殊 目的主体）。</w:t>
      </w:r>
    </w:p>
    <w:p>
      <w:pPr>
        <w:pStyle w:val="Style26"/>
        <w:keepNext w:val="0"/>
        <w:keepLines w:val="0"/>
        <w:widowControl w:val="0"/>
        <w:shd w:val="clear" w:color="auto" w:fill="auto"/>
        <w:tabs>
          <w:tab w:pos="962" w:val="left"/>
        </w:tabs>
        <w:bidi w:val="0"/>
        <w:spacing w:before="0" w:after="0" w:line="311" w:lineRule="exact"/>
        <w:ind w:left="0" w:right="0" w:firstLine="52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w:t>
        <w:tab/>
        <w:t>关于母公司是投资性主体的特殊规定</w:t>
      </w:r>
    </w:p>
    <w:p>
      <w:pPr>
        <w:pStyle w:val="Style26"/>
        <w:keepNext w:val="0"/>
        <w:keepLines w:val="0"/>
        <w:widowControl w:val="0"/>
        <w:shd w:val="clear" w:color="auto" w:fill="auto"/>
        <w:bidi w:val="0"/>
        <w:spacing w:before="0" w:after="280" w:line="311" w:lineRule="exact"/>
        <w:ind w:left="0" w:right="0" w:firstLine="520"/>
        <w:jc w:val="both"/>
      </w:pPr>
      <w:r>
        <w:rPr>
          <w:color w:val="000000"/>
          <w:spacing w:val="0"/>
          <w:w w:val="100"/>
          <w:position w:val="0"/>
        </w:rPr>
        <w:t>如果母公司是投资性主体，则只将那些为投资性主体的投资活动提供相关服务的子公司纳入合并范围，其他子公司不 予以合并，对不纳入合并范围的子公司的股权投资方确认为以公允价值计量且其变动计入当期损益的金融资产。</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当母公司同时满足下列条件时，该母公司属于投资性主体：</w:t>
      </w:r>
    </w:p>
    <w:p>
      <w:pPr>
        <w:pStyle w:val="Style26"/>
        <w:keepNext w:val="0"/>
        <w:keepLines w:val="0"/>
        <w:widowControl w:val="0"/>
        <w:numPr>
          <w:ilvl w:val="0"/>
          <w:numId w:val="13"/>
        </w:numPr>
        <w:shd w:val="clear" w:color="auto" w:fill="auto"/>
        <w:tabs>
          <w:tab w:pos="893" w:val="left"/>
        </w:tabs>
        <w:bidi w:val="0"/>
        <w:spacing w:before="0" w:after="0" w:line="315" w:lineRule="exact"/>
        <w:ind w:left="0" w:right="0" w:firstLine="520"/>
        <w:jc w:val="both"/>
      </w:pPr>
      <w:bookmarkStart w:id="772" w:name="bookmark772"/>
      <w:bookmarkEnd w:id="772"/>
      <w:r>
        <w:rPr>
          <w:color w:val="000000"/>
          <w:spacing w:val="0"/>
          <w:w w:val="100"/>
          <w:position w:val="0"/>
        </w:rPr>
        <w:t>该公司是以向投资方提供投资管理服务为目的，从一个或多个投资者处获取资金。</w:t>
      </w:r>
    </w:p>
    <w:p>
      <w:pPr>
        <w:pStyle w:val="Style26"/>
        <w:keepNext w:val="0"/>
        <w:keepLines w:val="0"/>
        <w:widowControl w:val="0"/>
        <w:numPr>
          <w:ilvl w:val="0"/>
          <w:numId w:val="13"/>
        </w:numPr>
        <w:shd w:val="clear" w:color="auto" w:fill="auto"/>
        <w:tabs>
          <w:tab w:pos="893" w:val="left"/>
        </w:tabs>
        <w:bidi w:val="0"/>
        <w:spacing w:before="0" w:after="0" w:line="315" w:lineRule="exact"/>
        <w:ind w:left="0" w:right="0" w:firstLine="520"/>
        <w:jc w:val="both"/>
      </w:pPr>
      <w:bookmarkStart w:id="773" w:name="bookmark773"/>
      <w:bookmarkEnd w:id="773"/>
      <w:r>
        <w:rPr>
          <w:color w:val="000000"/>
          <w:spacing w:val="0"/>
          <w:w w:val="100"/>
          <w:position w:val="0"/>
        </w:rPr>
        <w:t>该公司的唯一经营目的，是通过资本增值、投资收益或两者兼有而让投资者获得回报。</w:t>
      </w:r>
    </w:p>
    <w:p>
      <w:pPr>
        <w:pStyle w:val="Style26"/>
        <w:keepNext w:val="0"/>
        <w:keepLines w:val="0"/>
        <w:widowControl w:val="0"/>
        <w:numPr>
          <w:ilvl w:val="0"/>
          <w:numId w:val="13"/>
        </w:numPr>
        <w:shd w:val="clear" w:color="auto" w:fill="auto"/>
        <w:tabs>
          <w:tab w:pos="893" w:val="left"/>
        </w:tabs>
        <w:bidi w:val="0"/>
        <w:spacing w:before="0" w:after="0" w:line="315" w:lineRule="exact"/>
        <w:ind w:left="0" w:right="0" w:firstLine="520"/>
        <w:jc w:val="both"/>
      </w:pPr>
      <w:bookmarkStart w:id="774" w:name="bookmark774"/>
      <w:bookmarkEnd w:id="774"/>
      <w:r>
        <w:rPr>
          <w:color w:val="000000"/>
          <w:spacing w:val="0"/>
          <w:w w:val="100"/>
          <w:position w:val="0"/>
        </w:rPr>
        <w:t>该公司按照公允价值对几乎所有投资的业绩进行考量和评价。</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当母公司由非投资性主体转变为投资性主体时，除仅将为其投资活动提供相关服务的子公司纳入合并财务报表范围编 制合并财务报表外，企业自转变日起对其他子公司不再予以合并，并参照部分处置子公司股权但未丧失控制权的原则处理。</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当母公司由投资性主体转变为非投资性主体时，应将原未纳入合并财务报表范围的子公司于转变日纳入合并财务报表 范围，原未纳入合并财务报表范围的子公司在转变日的公允价值视同为购买的交易对价，按照非同一控制下企业合并的会计 处理方法进行处理。</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3</w:t>
      </w:r>
      <w:r>
        <w:rPr>
          <w:color w:val="000000"/>
          <w:spacing w:val="0"/>
          <w:w w:val="100"/>
          <w:position w:val="0"/>
        </w:rPr>
        <w:t>）</w:t>
        <w:tab/>
        <w:t>合并财务报表的编制方法</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本公司以自身和子公司的财务报表为基础，根据其他有关资料，编制合并财务报表。</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本公司编制合并财务报表，将整个企业集团视为一个会计主体，依据相关企业会计准则的确认、计量和列报要求，按 照统一的会计政策和会计期间，反映企业集团整体财务状况、经营成果和现金流量。</w:t>
      </w:r>
    </w:p>
    <w:p>
      <w:pPr>
        <w:pStyle w:val="Style26"/>
        <w:keepNext w:val="0"/>
        <w:keepLines w:val="0"/>
        <w:widowControl w:val="0"/>
        <w:numPr>
          <w:ilvl w:val="0"/>
          <w:numId w:val="15"/>
        </w:numPr>
        <w:shd w:val="clear" w:color="auto" w:fill="auto"/>
        <w:tabs>
          <w:tab w:pos="893" w:val="left"/>
        </w:tabs>
        <w:bidi w:val="0"/>
        <w:spacing w:before="0" w:after="0" w:line="315" w:lineRule="exact"/>
        <w:ind w:left="0" w:right="0" w:firstLine="520"/>
        <w:jc w:val="both"/>
      </w:pPr>
      <w:bookmarkStart w:id="776" w:name="bookmark776"/>
      <w:bookmarkEnd w:id="776"/>
      <w:r>
        <w:rPr>
          <w:color w:val="000000"/>
          <w:spacing w:val="0"/>
          <w:w w:val="100"/>
          <w:position w:val="0"/>
        </w:rPr>
        <w:t>合并母公司与子公司的资产、负债、所有者权益、收入、费用和现金流等项目。</w:t>
      </w:r>
    </w:p>
    <w:p>
      <w:pPr>
        <w:pStyle w:val="Style26"/>
        <w:keepNext w:val="0"/>
        <w:keepLines w:val="0"/>
        <w:widowControl w:val="0"/>
        <w:numPr>
          <w:ilvl w:val="0"/>
          <w:numId w:val="15"/>
        </w:numPr>
        <w:shd w:val="clear" w:color="auto" w:fill="auto"/>
        <w:tabs>
          <w:tab w:pos="893" w:val="left"/>
        </w:tabs>
        <w:bidi w:val="0"/>
        <w:spacing w:before="0" w:after="0" w:line="315" w:lineRule="exact"/>
        <w:ind w:left="0" w:right="0" w:firstLine="520"/>
        <w:jc w:val="both"/>
      </w:pPr>
      <w:bookmarkStart w:id="777" w:name="bookmark777"/>
      <w:bookmarkEnd w:id="777"/>
      <w:r>
        <w:rPr>
          <w:color w:val="000000"/>
          <w:spacing w:val="0"/>
          <w:w w:val="100"/>
          <w:position w:val="0"/>
        </w:rPr>
        <w:t>抵销母公司对子公司的长期股权投资与母公司在子公司所有者权益中所享有的份额。</w:t>
      </w:r>
    </w:p>
    <w:p>
      <w:pPr>
        <w:pStyle w:val="Style26"/>
        <w:keepNext w:val="0"/>
        <w:keepLines w:val="0"/>
        <w:widowControl w:val="0"/>
        <w:numPr>
          <w:ilvl w:val="0"/>
          <w:numId w:val="15"/>
        </w:numPr>
        <w:shd w:val="clear" w:color="auto" w:fill="auto"/>
        <w:tabs>
          <w:tab w:pos="877" w:val="left"/>
        </w:tabs>
        <w:bidi w:val="0"/>
        <w:spacing w:before="0" w:after="0" w:line="315" w:lineRule="exact"/>
        <w:ind w:left="0" w:right="0" w:firstLine="520"/>
        <w:jc w:val="both"/>
      </w:pPr>
      <w:bookmarkStart w:id="778" w:name="bookmark778"/>
      <w:bookmarkEnd w:id="778"/>
      <w:r>
        <w:rPr>
          <w:color w:val="000000"/>
          <w:spacing w:val="0"/>
          <w:w w:val="100"/>
          <w:position w:val="0"/>
        </w:rPr>
        <w:t>抵销母公司与子公司、子公司相互之间发生的内部交易的影响。内部交易表明相关资产发生减值损失的，应当全额 确认该部分损失。</w:t>
      </w:r>
    </w:p>
    <w:p>
      <w:pPr>
        <w:pStyle w:val="Style26"/>
        <w:keepNext w:val="0"/>
        <w:keepLines w:val="0"/>
        <w:widowControl w:val="0"/>
        <w:numPr>
          <w:ilvl w:val="0"/>
          <w:numId w:val="15"/>
        </w:numPr>
        <w:shd w:val="clear" w:color="auto" w:fill="auto"/>
        <w:tabs>
          <w:tab w:pos="893" w:val="left"/>
        </w:tabs>
        <w:bidi w:val="0"/>
        <w:spacing w:before="0" w:after="0" w:line="315" w:lineRule="exact"/>
        <w:ind w:left="0" w:right="0" w:firstLine="520"/>
        <w:jc w:val="both"/>
      </w:pPr>
      <w:bookmarkStart w:id="779" w:name="bookmark779"/>
      <w:bookmarkEnd w:id="779"/>
      <w:r>
        <w:rPr>
          <w:color w:val="000000"/>
          <w:spacing w:val="0"/>
          <w:w w:val="100"/>
          <w:position w:val="0"/>
        </w:rPr>
        <w:t>站在企业集团角度对特殊交易事项予以调整。</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4</w:t>
      </w:r>
      <w:r>
        <w:rPr>
          <w:color w:val="000000"/>
          <w:spacing w:val="0"/>
          <w:w w:val="100"/>
          <w:position w:val="0"/>
        </w:rPr>
        <w:t>）</w:t>
        <w:tab/>
        <w:t>报告期内增减子公司的处理</w:t>
      </w:r>
    </w:p>
    <w:p>
      <w:pPr>
        <w:pStyle w:val="Style26"/>
        <w:keepNext w:val="0"/>
        <w:keepLines w:val="0"/>
        <w:widowControl w:val="0"/>
        <w:numPr>
          <w:ilvl w:val="0"/>
          <w:numId w:val="17"/>
        </w:numPr>
        <w:shd w:val="clear" w:color="auto" w:fill="auto"/>
        <w:tabs>
          <w:tab w:pos="893" w:val="left"/>
        </w:tabs>
        <w:bidi w:val="0"/>
        <w:spacing w:before="0" w:after="100" w:line="315" w:lineRule="exact"/>
        <w:ind w:left="0" w:right="0" w:firstLine="520"/>
        <w:jc w:val="both"/>
      </w:pPr>
      <w:bookmarkStart w:id="781" w:name="bookmark781"/>
      <w:bookmarkEnd w:id="781"/>
      <w:r>
        <w:rPr>
          <w:color w:val="000000"/>
          <w:spacing w:val="0"/>
          <w:w w:val="100"/>
          <w:position w:val="0"/>
        </w:rPr>
        <w:t>增加子公司或业务</w:t>
      </w:r>
    </w:p>
    <w:p>
      <w:pPr>
        <w:pStyle w:val="Style26"/>
        <w:keepNext w:val="0"/>
        <w:keepLines w:val="0"/>
        <w:widowControl w:val="0"/>
        <w:numPr>
          <w:ilvl w:val="0"/>
          <w:numId w:val="19"/>
        </w:numPr>
        <w:shd w:val="clear" w:color="auto" w:fill="auto"/>
        <w:tabs>
          <w:tab w:pos="883" w:val="left"/>
        </w:tabs>
        <w:bidi w:val="0"/>
        <w:spacing w:before="0" w:after="0"/>
        <w:ind w:left="0" w:right="0" w:firstLine="520"/>
        <w:jc w:val="both"/>
      </w:pPr>
      <w:bookmarkStart w:id="782" w:name="bookmark782"/>
      <w:bookmarkEnd w:id="782"/>
      <w:r>
        <w:rPr>
          <w:color w:val="000000"/>
          <w:spacing w:val="0"/>
          <w:w w:val="100"/>
          <w:position w:val="0"/>
        </w:rPr>
        <w:t>同一控制下企业合并增加的子公司或业务</w:t>
      </w:r>
    </w:p>
    <w:p>
      <w:pPr>
        <w:pStyle w:val="Style26"/>
        <w:keepNext w:val="0"/>
        <w:keepLines w:val="0"/>
        <w:widowControl w:val="0"/>
        <w:shd w:val="clear" w:color="auto" w:fill="auto"/>
        <w:tabs>
          <w:tab w:pos="1030" w:val="left"/>
        </w:tabs>
        <w:bidi w:val="0"/>
        <w:spacing w:before="0" w:after="0" w:line="315" w:lineRule="exact"/>
        <w:ind w:left="0" w:right="0" w:firstLine="52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编制合并资产负债表时，调整合并资产负债表的期初数，同时对比较报表的相关项目进行调整，视同合并后的 报告主体自最终控制方开始控制时点起一直存在。</w:t>
      </w:r>
    </w:p>
    <w:p>
      <w:pPr>
        <w:pStyle w:val="Style26"/>
        <w:keepNext w:val="0"/>
        <w:keepLines w:val="0"/>
        <w:widowControl w:val="0"/>
        <w:shd w:val="clear" w:color="auto" w:fill="auto"/>
        <w:tabs>
          <w:tab w:pos="1050" w:val="left"/>
        </w:tabs>
        <w:bidi w:val="0"/>
        <w:spacing w:before="0" w:after="0" w:line="315" w:lineRule="exact"/>
        <w:ind w:left="0" w:right="0" w:firstLine="520"/>
        <w:jc w:val="both"/>
      </w:pPr>
      <w:bookmarkStart w:id="784" w:name="bookmark784"/>
      <w:r>
        <w:rPr>
          <w:color w:val="000000"/>
          <w:spacing w:val="0"/>
          <w:w w:val="100"/>
          <w:position w:val="0"/>
        </w:rPr>
        <w:t>（</w:t>
      </w:r>
      <w:bookmarkEnd w:id="784"/>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编制合并利润表时，将该子公司以及业务合并当期期初至报告期末的收入、费用、利润纳入合并利润表，同时 对比较报表的相关项目进行调整，视同合并后的报告主体自最终控制方开始控制时点起一直存在。</w:t>
      </w:r>
    </w:p>
    <w:p>
      <w:pPr>
        <w:pStyle w:val="Style26"/>
        <w:keepNext w:val="0"/>
        <w:keepLines w:val="0"/>
        <w:widowControl w:val="0"/>
        <w:shd w:val="clear" w:color="auto" w:fill="auto"/>
        <w:tabs>
          <w:tab w:pos="1050" w:val="left"/>
        </w:tabs>
        <w:bidi w:val="0"/>
        <w:spacing w:before="0" w:after="100" w:line="315" w:lineRule="exact"/>
        <w:ind w:left="0" w:right="0" w:firstLine="52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编制合并现金流量表时，将该子公司以及业务合并当期期初至报告期末的现金流量纳入合并现金流量表，同时 对比较报表的相关项目进行调整，视同合并后的报告主体自最终控制方开始控制时点起一直存在。</w:t>
      </w:r>
    </w:p>
    <w:p>
      <w:pPr>
        <w:pStyle w:val="Style26"/>
        <w:keepNext w:val="0"/>
        <w:keepLines w:val="0"/>
        <w:widowControl w:val="0"/>
        <w:numPr>
          <w:ilvl w:val="0"/>
          <w:numId w:val="19"/>
        </w:numPr>
        <w:shd w:val="clear" w:color="auto" w:fill="auto"/>
        <w:tabs>
          <w:tab w:pos="883" w:val="left"/>
        </w:tabs>
        <w:bidi w:val="0"/>
        <w:spacing w:before="0" w:after="0"/>
        <w:ind w:left="0" w:right="0" w:firstLine="520"/>
        <w:jc w:val="both"/>
      </w:pPr>
      <w:bookmarkStart w:id="786" w:name="bookmark786"/>
      <w:bookmarkEnd w:id="786"/>
      <w:r>
        <w:rPr>
          <w:color w:val="000000"/>
          <w:spacing w:val="0"/>
          <w:w w:val="100"/>
          <w:position w:val="0"/>
        </w:rPr>
        <w:t>非同一控制下企业合并增加的子公司或业务</w:t>
      </w:r>
    </w:p>
    <w:p>
      <w:pPr>
        <w:pStyle w:val="Style26"/>
        <w:keepNext w:val="0"/>
        <w:keepLines w:val="0"/>
        <w:widowControl w:val="0"/>
        <w:shd w:val="clear" w:color="auto" w:fill="auto"/>
        <w:tabs>
          <w:tab w:pos="952" w:val="left"/>
        </w:tabs>
        <w:bidi w:val="0"/>
        <w:spacing w:before="0" w:after="0" w:line="315" w:lineRule="exact"/>
        <w:ind w:left="0" w:right="0" w:firstLine="52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编制合并资产负债表时，不调整合并资产负债表的期初数。</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编制合并利润表时，将该子公司以及业务购买日至报告期末的收入、费用、利润纳入合并利润表。</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编制合并现金流量表时，将该子公司购买日至报告期末的现金流量纳入合并现金流量表。</w:t>
      </w:r>
    </w:p>
    <w:p>
      <w:pPr>
        <w:pStyle w:val="Style26"/>
        <w:keepNext w:val="0"/>
        <w:keepLines w:val="0"/>
        <w:widowControl w:val="0"/>
        <w:numPr>
          <w:ilvl w:val="0"/>
          <w:numId w:val="17"/>
        </w:numPr>
        <w:shd w:val="clear" w:color="auto" w:fill="auto"/>
        <w:tabs>
          <w:tab w:pos="893" w:val="left"/>
        </w:tabs>
        <w:bidi w:val="0"/>
        <w:spacing w:before="0" w:after="100" w:line="315" w:lineRule="exact"/>
        <w:ind w:left="0" w:right="0" w:firstLine="520"/>
        <w:jc w:val="both"/>
      </w:pPr>
      <w:bookmarkStart w:id="790" w:name="bookmark790"/>
      <w:bookmarkEnd w:id="790"/>
      <w:r>
        <w:rPr>
          <w:color w:val="000000"/>
          <w:spacing w:val="0"/>
          <w:w w:val="100"/>
          <w:position w:val="0"/>
        </w:rPr>
        <w:t>处置子公司或业务</w:t>
      </w:r>
    </w:p>
    <w:p>
      <w:pPr>
        <w:pStyle w:val="Style26"/>
        <w:keepNext w:val="0"/>
        <w:keepLines w:val="0"/>
        <w:widowControl w:val="0"/>
        <w:numPr>
          <w:ilvl w:val="0"/>
          <w:numId w:val="21"/>
        </w:numPr>
        <w:shd w:val="clear" w:color="auto" w:fill="auto"/>
        <w:tabs>
          <w:tab w:pos="883" w:val="left"/>
        </w:tabs>
        <w:bidi w:val="0"/>
        <w:spacing w:before="0" w:after="0"/>
        <w:ind w:left="0" w:right="0" w:firstLine="520"/>
        <w:jc w:val="both"/>
      </w:pPr>
      <w:bookmarkStart w:id="791" w:name="bookmark791"/>
      <w:bookmarkEnd w:id="791"/>
      <w:r>
        <w:rPr>
          <w:color w:val="000000"/>
          <w:spacing w:val="0"/>
          <w:w w:val="100"/>
          <w:position w:val="0"/>
        </w:rPr>
        <w:t>编制合并资产负债表时，不调整合并资产负债表的期初数。</w:t>
      </w:r>
    </w:p>
    <w:p>
      <w:pPr>
        <w:pStyle w:val="Style26"/>
        <w:keepNext w:val="0"/>
        <w:keepLines w:val="0"/>
        <w:widowControl w:val="0"/>
        <w:numPr>
          <w:ilvl w:val="0"/>
          <w:numId w:val="21"/>
        </w:numPr>
        <w:shd w:val="clear" w:color="auto" w:fill="auto"/>
        <w:tabs>
          <w:tab w:pos="883" w:val="left"/>
        </w:tabs>
        <w:bidi w:val="0"/>
        <w:spacing w:before="0" w:after="0"/>
        <w:ind w:left="0" w:right="0" w:firstLine="520"/>
        <w:jc w:val="both"/>
      </w:pPr>
      <w:bookmarkStart w:id="792" w:name="bookmark792"/>
      <w:bookmarkEnd w:id="792"/>
      <w:r>
        <w:rPr>
          <w:color w:val="000000"/>
          <w:spacing w:val="0"/>
          <w:w w:val="100"/>
          <w:position w:val="0"/>
        </w:rPr>
        <w:t>编制合并利润表时，将该子公司以及业务期初至处置日的收入、费用、利润纳入合并利润表。</w:t>
      </w:r>
    </w:p>
    <w:p>
      <w:pPr>
        <w:pStyle w:val="Style26"/>
        <w:keepNext w:val="0"/>
        <w:keepLines w:val="0"/>
        <w:widowControl w:val="0"/>
        <w:numPr>
          <w:ilvl w:val="0"/>
          <w:numId w:val="21"/>
        </w:numPr>
        <w:shd w:val="clear" w:color="auto" w:fill="auto"/>
        <w:tabs>
          <w:tab w:pos="883" w:val="left"/>
        </w:tabs>
        <w:bidi w:val="0"/>
        <w:spacing w:before="0" w:after="0"/>
        <w:ind w:left="0" w:right="0" w:firstLine="520"/>
        <w:jc w:val="both"/>
      </w:pPr>
      <w:bookmarkStart w:id="793" w:name="bookmark793"/>
      <w:bookmarkEnd w:id="793"/>
      <w:r>
        <w:rPr>
          <w:color w:val="000000"/>
          <w:spacing w:val="0"/>
          <w:w w:val="100"/>
          <w:position w:val="0"/>
        </w:rPr>
        <w:t>编制合并现金流量表时将该子公司以及业务期初至处置日的现金流量纳入合并现金流量表。</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rPr>
        <w:t>5</w:t>
      </w:r>
      <w:r>
        <w:rPr>
          <w:color w:val="000000"/>
          <w:spacing w:val="0"/>
          <w:w w:val="100"/>
          <w:position w:val="0"/>
        </w:rPr>
        <w:t>）</w:t>
        <w:tab/>
        <w:t>合并抵销中的特殊考虑</w:t>
      </w:r>
    </w:p>
    <w:p>
      <w:pPr>
        <w:pStyle w:val="Style26"/>
        <w:keepNext w:val="0"/>
        <w:keepLines w:val="0"/>
        <w:widowControl w:val="0"/>
        <w:numPr>
          <w:ilvl w:val="0"/>
          <w:numId w:val="23"/>
        </w:numPr>
        <w:shd w:val="clear" w:color="auto" w:fill="auto"/>
        <w:tabs>
          <w:tab w:pos="872" w:val="left"/>
        </w:tabs>
        <w:bidi w:val="0"/>
        <w:spacing w:before="0" w:after="0" w:line="315" w:lineRule="exact"/>
        <w:ind w:left="0" w:right="0" w:firstLine="520"/>
        <w:jc w:val="both"/>
      </w:pPr>
      <w:bookmarkStart w:id="795" w:name="bookmark795"/>
      <w:bookmarkEnd w:id="795"/>
      <w:r>
        <w:rPr>
          <w:color w:val="000000"/>
          <w:spacing w:val="0"/>
          <w:w w:val="100"/>
          <w:position w:val="0"/>
        </w:rPr>
        <w:t>子公司持有本公司的长期股权投资，应当视为本公司的库存股，作为所有者权益的减项，在合并资产负债表中所有 者权益项目下以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子公司相互之间持有的长期股权投资，比照本公司对子公司的股权投资的抵销方法，将长期股权投资与其对应的子公 司所有者权益中所享有的份额相互抵销。</w:t>
      </w:r>
    </w:p>
    <w:p>
      <w:pPr>
        <w:pStyle w:val="Style26"/>
        <w:keepNext w:val="0"/>
        <w:keepLines w:val="0"/>
        <w:widowControl w:val="0"/>
        <w:numPr>
          <w:ilvl w:val="0"/>
          <w:numId w:val="23"/>
        </w:numPr>
        <w:shd w:val="clear" w:color="auto" w:fill="auto"/>
        <w:tabs>
          <w:tab w:pos="872" w:val="left"/>
        </w:tabs>
        <w:bidi w:val="0"/>
        <w:spacing w:before="0" w:after="0" w:line="315" w:lineRule="exact"/>
        <w:ind w:left="0" w:right="0" w:firstLine="520"/>
        <w:jc w:val="both"/>
      </w:pPr>
      <w:bookmarkStart w:id="796" w:name="bookmark796"/>
      <w:bookmarkEnd w:id="796"/>
      <w:r>
        <w:rPr>
          <w:rFonts w:ascii="Times New Roman" w:eastAsia="Times New Roman" w:hAnsi="Times New Roman" w:cs="Times New Roman"/>
          <w:color w:val="000000"/>
          <w:spacing w:val="0"/>
          <w:w w:val="100"/>
          <w:position w:val="0"/>
        </w:rPr>
        <w:t>“</w:t>
      </w:r>
      <w:r>
        <w:rPr>
          <w:color w:val="000000"/>
          <w:spacing w:val="0"/>
          <w:w w:val="100"/>
          <w:position w:val="0"/>
        </w:rPr>
        <w:t>专项储备</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一般风险准备</w:t>
      </w:r>
      <w:r>
        <w:rPr>
          <w:rFonts w:ascii="Times New Roman" w:eastAsia="Times New Roman" w:hAnsi="Times New Roman" w:cs="Times New Roman"/>
          <w:color w:val="000000"/>
          <w:spacing w:val="0"/>
          <w:w w:val="100"/>
          <w:position w:val="0"/>
        </w:rPr>
        <w:t>”</w:t>
      </w:r>
      <w:r>
        <w:rPr>
          <w:color w:val="000000"/>
          <w:spacing w:val="0"/>
          <w:w w:val="100"/>
          <w:position w:val="0"/>
        </w:rPr>
        <w:t>项目由于既不属于实收资本（或股本）、资本公积，也与留存收益、未分配利润不同， 在长期股权投资与子公司所有者权益相互抵销后，按归属于母公司所有者的份额予以恢复。</w:t>
      </w:r>
    </w:p>
    <w:p>
      <w:pPr>
        <w:pStyle w:val="Style26"/>
        <w:keepNext w:val="0"/>
        <w:keepLines w:val="0"/>
        <w:widowControl w:val="0"/>
        <w:numPr>
          <w:ilvl w:val="0"/>
          <w:numId w:val="23"/>
        </w:numPr>
        <w:shd w:val="clear" w:color="auto" w:fill="auto"/>
        <w:tabs>
          <w:tab w:pos="867" w:val="left"/>
        </w:tabs>
        <w:bidi w:val="0"/>
        <w:spacing w:before="0" w:after="0" w:line="315" w:lineRule="exact"/>
        <w:ind w:left="0" w:right="0" w:firstLine="520"/>
        <w:jc w:val="both"/>
      </w:pPr>
      <w:bookmarkStart w:id="797" w:name="bookmark797"/>
      <w:bookmarkEnd w:id="797"/>
      <w:r>
        <w:rPr>
          <w:color w:val="000000"/>
          <w:spacing w:val="0"/>
          <w:w w:val="100"/>
          <w:position w:val="0"/>
        </w:rPr>
        <w:t xml:space="preserve">因抵销未实现内部销售损益导致合并资产负债表中资产、负债的账面价值与其在所属纳税主体的计税基础之间产生 暂时性差异的，在合并资产负债表中确认递延所得税资产或递延所得税负债，同时调整合并利润表中的所得税费用，但与直 </w:t>
      </w:r>
      <w:r>
        <w:rPr>
          <w:color w:val="000000"/>
          <w:spacing w:val="0"/>
          <w:w w:val="100"/>
          <w:position w:val="0"/>
        </w:rPr>
        <w:t>接计入所有者权益的交易或事项及企业合并相关的递延所得税除外。</w:t>
      </w:r>
    </w:p>
    <w:p>
      <w:pPr>
        <w:pStyle w:val="Style26"/>
        <w:keepNext w:val="0"/>
        <w:keepLines w:val="0"/>
        <w:widowControl w:val="0"/>
        <w:numPr>
          <w:ilvl w:val="0"/>
          <w:numId w:val="23"/>
        </w:numPr>
        <w:shd w:val="clear" w:color="auto" w:fill="auto"/>
        <w:tabs>
          <w:tab w:pos="822" w:val="left"/>
        </w:tabs>
        <w:bidi w:val="0"/>
        <w:spacing w:before="0" w:after="0" w:line="313" w:lineRule="exact"/>
        <w:ind w:left="0" w:right="0" w:firstLine="520"/>
        <w:jc w:val="both"/>
      </w:pPr>
      <w:bookmarkStart w:id="798" w:name="bookmark798"/>
      <w:bookmarkEnd w:id="798"/>
      <w:r>
        <w:rPr>
          <w:color w:val="000000"/>
          <w:spacing w:val="0"/>
          <w:w w:val="100"/>
          <w:position w:val="0"/>
        </w:rPr>
        <w:t>本公司向子公司出售资产所发生的未实现内部交易损益，应当全额抵销</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归属于母公司所有者的净利润子公司向 本公司出售资产所发生的未实现内部交易损益，应当按照本公司对该子公司的分配比例在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之间分配抵销。子公司之间出售资产所发生的未实现内部交易损益，应当按照本公司对出售方子公司的分 配比例在</w:t>
      </w:r>
      <w:r>
        <w:rPr>
          <w:rFonts w:ascii="Times New Roman" w:eastAsia="Times New Roman" w:hAnsi="Times New Roman" w:cs="Times New Roman"/>
          <w:color w:val="000000"/>
          <w:spacing w:val="0"/>
          <w:w w:val="100"/>
          <w:position w:val="0"/>
        </w:rPr>
        <w:t>“</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少数股东损益</w:t>
      </w:r>
      <w:r>
        <w:rPr>
          <w:rFonts w:ascii="Times New Roman" w:eastAsia="Times New Roman" w:hAnsi="Times New Roman" w:cs="Times New Roman"/>
          <w:color w:val="000000"/>
          <w:spacing w:val="0"/>
          <w:w w:val="100"/>
          <w:position w:val="0"/>
        </w:rPr>
        <w:t>”</w:t>
      </w:r>
      <w:r>
        <w:rPr>
          <w:color w:val="000000"/>
          <w:spacing w:val="0"/>
          <w:w w:val="100"/>
          <w:position w:val="0"/>
        </w:rPr>
        <w:t>之间分配抵销。</w:t>
      </w:r>
    </w:p>
    <w:p>
      <w:pPr>
        <w:pStyle w:val="Style26"/>
        <w:keepNext w:val="0"/>
        <w:keepLines w:val="0"/>
        <w:widowControl w:val="0"/>
        <w:numPr>
          <w:ilvl w:val="0"/>
          <w:numId w:val="23"/>
        </w:numPr>
        <w:shd w:val="clear" w:color="auto" w:fill="auto"/>
        <w:tabs>
          <w:tab w:pos="822" w:val="left"/>
        </w:tabs>
        <w:bidi w:val="0"/>
        <w:spacing w:before="0" w:after="0" w:line="313" w:lineRule="exact"/>
        <w:ind w:left="0" w:right="0" w:firstLine="520"/>
        <w:jc w:val="both"/>
      </w:pPr>
      <w:bookmarkStart w:id="799" w:name="bookmark799"/>
      <w:bookmarkEnd w:id="799"/>
      <w:r>
        <w:rPr>
          <w:color w:val="000000"/>
          <w:spacing w:val="0"/>
          <w:w w:val="100"/>
          <w:position w:val="0"/>
        </w:rPr>
        <w:t>子公司少数股东分担的当期亏损超过了少数股东在该子公司期初所有者权益中所享有的份额的，其余额仍应当冲减 少数股东权益。</w:t>
      </w:r>
    </w:p>
    <w:p>
      <w:pPr>
        <w:pStyle w:val="Style26"/>
        <w:keepNext w:val="0"/>
        <w:keepLines w:val="0"/>
        <w:widowControl w:val="0"/>
        <w:shd w:val="clear" w:color="auto" w:fill="auto"/>
        <w:bidi w:val="0"/>
        <w:spacing w:before="0" w:after="0" w:line="313" w:lineRule="exact"/>
        <w:ind w:left="0" w:right="0" w:firstLine="52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6</w:t>
      </w:r>
      <w:r>
        <w:rPr>
          <w:color w:val="000000"/>
          <w:spacing w:val="0"/>
          <w:w w:val="100"/>
          <w:position w:val="0"/>
        </w:rPr>
        <w:t>）特殊交易的会计处理</w:t>
      </w:r>
    </w:p>
    <w:p>
      <w:pPr>
        <w:pStyle w:val="Style26"/>
        <w:keepNext w:val="0"/>
        <w:keepLines w:val="0"/>
        <w:widowControl w:val="0"/>
        <w:numPr>
          <w:ilvl w:val="0"/>
          <w:numId w:val="25"/>
        </w:numPr>
        <w:shd w:val="clear" w:color="auto" w:fill="auto"/>
        <w:tabs>
          <w:tab w:pos="842" w:val="left"/>
        </w:tabs>
        <w:bidi w:val="0"/>
        <w:spacing w:before="0" w:after="0" w:line="313" w:lineRule="exact"/>
        <w:ind w:left="0" w:right="0" w:firstLine="520"/>
        <w:jc w:val="both"/>
      </w:pPr>
      <w:bookmarkStart w:id="801" w:name="bookmark801"/>
      <w:bookmarkEnd w:id="801"/>
      <w:r>
        <w:rPr>
          <w:color w:val="000000"/>
          <w:spacing w:val="0"/>
          <w:w w:val="100"/>
          <w:position w:val="0"/>
        </w:rPr>
        <w:t>购买少数股东股权</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本公司购买子公司少数股东拥有的子公司股权，在个别财务报表中，购买少数股权新取得的长期股权投资的投资成本 按照所支付对价的公允价值计量。在合并财务报表中，因购买少数股权新取得的长期股权投资与按照新增持股比例计算应享 有子公司自购买日或合并日开始持续计算的净资产份额之间的差额，应当调整资本公积（资本溢价或股本溢价），资本公积 不足冲减的，依次冲减盈余公积和未分配利润。</w:t>
      </w:r>
    </w:p>
    <w:p>
      <w:pPr>
        <w:pStyle w:val="Style26"/>
        <w:keepNext w:val="0"/>
        <w:keepLines w:val="0"/>
        <w:widowControl w:val="0"/>
        <w:numPr>
          <w:ilvl w:val="0"/>
          <w:numId w:val="25"/>
        </w:numPr>
        <w:shd w:val="clear" w:color="auto" w:fill="auto"/>
        <w:tabs>
          <w:tab w:pos="842" w:val="left"/>
        </w:tabs>
        <w:bidi w:val="0"/>
        <w:spacing w:before="0" w:after="100" w:line="313" w:lineRule="exact"/>
        <w:ind w:left="0" w:right="0" w:firstLine="520"/>
        <w:jc w:val="both"/>
      </w:pPr>
      <w:bookmarkStart w:id="802" w:name="bookmark802"/>
      <w:bookmarkEnd w:id="802"/>
      <w:r>
        <w:rPr>
          <w:color w:val="000000"/>
          <w:spacing w:val="0"/>
          <w:w w:val="100"/>
          <w:position w:val="0"/>
        </w:rPr>
        <w:t>通过多次交易分步取得子公司控制权的</w:t>
      </w:r>
    </w:p>
    <w:p>
      <w:pPr>
        <w:pStyle w:val="Style26"/>
        <w:keepNext w:val="0"/>
        <w:keepLines w:val="0"/>
        <w:widowControl w:val="0"/>
        <w:numPr>
          <w:ilvl w:val="0"/>
          <w:numId w:val="27"/>
        </w:numPr>
        <w:shd w:val="clear" w:color="auto" w:fill="auto"/>
        <w:tabs>
          <w:tab w:pos="833" w:val="left"/>
        </w:tabs>
        <w:bidi w:val="0"/>
        <w:spacing w:before="0" w:after="0"/>
        <w:ind w:left="0" w:right="0" w:firstLine="520"/>
        <w:jc w:val="both"/>
      </w:pPr>
      <w:bookmarkStart w:id="803" w:name="bookmark803"/>
      <w:bookmarkEnd w:id="803"/>
      <w:r>
        <w:rPr>
          <w:color w:val="000000"/>
          <w:spacing w:val="0"/>
          <w:w w:val="100"/>
          <w:position w:val="0"/>
        </w:rPr>
        <w:t>通过多次交易分步实现同一控制下企业合并</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在合并日，本公司在个别财务报表中，根据合并后应享有的子公司净资产在最终控制方合并财务报表中的账面价值的 份额，确定长期股权投资的初始投资成本；初始投资成本与达到合并前的长期股权投资账面价值加上合并日取得进一步股份 新支付对价的账面价值之和的差额，调整资本公积（资本溢价或股本溢价），资本公积（资本溢价或股本溢价）不足冲减的， 依次冲减盈余公积和未分配利润。</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在合并财务报表中，合并方在合并中取得的被合并方的资产、负债，除因会计政策不同而进行的调整以外，按合并日 在最终控制方合并财务报表中的账面价值计量；合并前持有投资的账面价值加上合并日新支付对价的账面价值之和，与合并 中取得的净资产账面价值的差额，调整资本公积（股本溢价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资本溢价），资本公积不足冲减的，调整留存收益。</w:t>
      </w:r>
    </w:p>
    <w:p>
      <w:pPr>
        <w:pStyle w:val="Style26"/>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合并方在取得被合并方控制权之前持有的股权投资且按权益法核算的，在取得原股权之日与合并方和被合并方同处于 同一方最终控制之日孰晚日起至合并日之间已确认有关损益、其他综合收益以及其他所有者权益变动，应分别冲减比较报表 期间的期初留存收益。</w:t>
      </w:r>
    </w:p>
    <w:p>
      <w:pPr>
        <w:pStyle w:val="Style26"/>
        <w:keepNext w:val="0"/>
        <w:keepLines w:val="0"/>
        <w:widowControl w:val="0"/>
        <w:numPr>
          <w:ilvl w:val="0"/>
          <w:numId w:val="27"/>
        </w:numPr>
        <w:shd w:val="clear" w:color="auto" w:fill="auto"/>
        <w:tabs>
          <w:tab w:pos="833" w:val="left"/>
        </w:tabs>
        <w:bidi w:val="0"/>
        <w:spacing w:before="0" w:after="0"/>
        <w:ind w:left="0" w:right="0" w:firstLine="520"/>
        <w:jc w:val="both"/>
      </w:pPr>
      <w:bookmarkStart w:id="804" w:name="bookmark804"/>
      <w:bookmarkEnd w:id="804"/>
      <w:r>
        <w:rPr>
          <w:color w:val="000000"/>
          <w:spacing w:val="0"/>
          <w:w w:val="100"/>
          <w:position w:val="0"/>
        </w:rPr>
        <w:t>通过多次交易分步实现非同一控制下企业合并</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在合并日，在个别财务报表中，按照原持有的长期股权投资的账面价值加上合并日新增投资成本之和，作为合并日长 期股权投资的初始投资成本。</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值与其账面价值的差额计入当期投资收益；购买日之前持有的被购买方的股权涉及权益法核算下的其他综合收益等的，与其 相关的其他综合收益等转为购买日所属当期收益，但由于被合并方重新计量设定受益计划净资产或净负债变动而产生的其他 综合收益除外。本公司在附注中披露其在购买日之前持有的被购买方的股权在购买日的公允价值、按照公允价值重新计量产 生的相关利得或损失的金额。</w:t>
      </w:r>
    </w:p>
    <w:p>
      <w:pPr>
        <w:pStyle w:val="Style26"/>
        <w:keepNext w:val="0"/>
        <w:keepLines w:val="0"/>
        <w:widowControl w:val="0"/>
        <w:numPr>
          <w:ilvl w:val="0"/>
          <w:numId w:val="25"/>
        </w:numPr>
        <w:shd w:val="clear" w:color="auto" w:fill="auto"/>
        <w:tabs>
          <w:tab w:pos="842" w:val="left"/>
        </w:tabs>
        <w:bidi w:val="0"/>
        <w:spacing w:before="0" w:after="0" w:line="313" w:lineRule="exact"/>
        <w:ind w:left="0" w:right="0" w:firstLine="520"/>
        <w:jc w:val="both"/>
      </w:pPr>
      <w:bookmarkStart w:id="805" w:name="bookmark805"/>
      <w:bookmarkEnd w:id="805"/>
      <w:r>
        <w:rPr>
          <w:color w:val="000000"/>
          <w:spacing w:val="0"/>
          <w:w w:val="100"/>
          <w:position w:val="0"/>
        </w:rPr>
        <w:t>本公司处置对子公司长期股权投资但未丧失控制权</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资相对应享有子公司自购买日或合并日开始持续计算的净资产份额之间的差额，调整资本公积（资本溢价或股本溢价），资 本公积不足冲减的，调整留存收益。</w:t>
      </w:r>
    </w:p>
    <w:p>
      <w:pPr>
        <w:pStyle w:val="Style26"/>
        <w:keepNext w:val="0"/>
        <w:keepLines w:val="0"/>
        <w:widowControl w:val="0"/>
        <w:numPr>
          <w:ilvl w:val="0"/>
          <w:numId w:val="25"/>
        </w:numPr>
        <w:shd w:val="clear" w:color="auto" w:fill="auto"/>
        <w:tabs>
          <w:tab w:pos="842" w:val="left"/>
        </w:tabs>
        <w:bidi w:val="0"/>
        <w:spacing w:before="0" w:after="100" w:line="313" w:lineRule="exact"/>
        <w:ind w:left="0" w:right="0" w:firstLine="520"/>
        <w:jc w:val="both"/>
      </w:pPr>
      <w:bookmarkStart w:id="806" w:name="bookmark806"/>
      <w:bookmarkEnd w:id="806"/>
      <w:r>
        <w:rPr>
          <w:color w:val="000000"/>
          <w:spacing w:val="0"/>
          <w:w w:val="100"/>
          <w:position w:val="0"/>
        </w:rPr>
        <w:t>本公司处置对子公司长期股权投资且丧失控制权</w:t>
      </w:r>
    </w:p>
    <w:p>
      <w:pPr>
        <w:pStyle w:val="Style26"/>
        <w:keepNext w:val="0"/>
        <w:keepLines w:val="0"/>
        <w:widowControl w:val="0"/>
        <w:numPr>
          <w:ilvl w:val="0"/>
          <w:numId w:val="29"/>
        </w:numPr>
        <w:shd w:val="clear" w:color="auto" w:fill="auto"/>
        <w:bidi w:val="0"/>
        <w:spacing w:before="0" w:after="0"/>
        <w:ind w:left="0" w:right="0" w:firstLine="520"/>
        <w:jc w:val="both"/>
      </w:pPr>
      <w:bookmarkStart w:id="807" w:name="bookmark807"/>
      <w:bookmarkEnd w:id="807"/>
      <w:r>
        <w:rPr>
          <w:color w:val="000000"/>
          <w:spacing w:val="0"/>
          <w:w w:val="100"/>
          <w:position w:val="0"/>
        </w:rPr>
        <w:t>一次交易处置</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w:t>
      </w:r>
    </w:p>
    <w:p>
      <w:pPr>
        <w:pStyle w:val="Style26"/>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与原子公司的股权投资相关的其他综合收益、其他所有者权益变动，在丧失控制权时转入当期损益，由于被投资方重 新计量设定受益计划净负债或净资产变动而产生的其他综合收益除外。</w:t>
      </w:r>
    </w:p>
    <w:p>
      <w:pPr>
        <w:pStyle w:val="Style26"/>
        <w:keepNext w:val="0"/>
        <w:keepLines w:val="0"/>
        <w:widowControl w:val="0"/>
        <w:numPr>
          <w:ilvl w:val="0"/>
          <w:numId w:val="29"/>
        </w:numPr>
        <w:shd w:val="clear" w:color="auto" w:fill="auto"/>
        <w:bidi w:val="0"/>
        <w:spacing w:before="0" w:after="0" w:line="312" w:lineRule="exact"/>
        <w:ind w:left="0" w:right="0" w:firstLine="520"/>
        <w:jc w:val="both"/>
      </w:pPr>
      <w:bookmarkStart w:id="808" w:name="bookmark808"/>
      <w:bookmarkEnd w:id="808"/>
      <w:r>
        <w:rPr>
          <w:color w:val="000000"/>
          <w:spacing w:val="0"/>
          <w:w w:val="100"/>
          <w:position w:val="0"/>
        </w:rPr>
        <w:t>多次交易分步处置</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在合并财务报表中，应首先判断分步交易是否属于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如果分步交易不属于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的，在个别财务报表中，对丧失子公司控制权之前的各项交易，结转每一次处置股 权相对应的长期股权投资的账面价值，所得价款与处置长期股权投资账面价值之间的差额计入当期投资收益；在合并财务报 表中，应按照</w:t>
      </w:r>
      <w:r>
        <w:rPr>
          <w:rFonts w:ascii="Times New Roman" w:eastAsia="Times New Roman" w:hAnsi="Times New Roman" w:cs="Times New Roman"/>
          <w:color w:val="000000"/>
          <w:spacing w:val="0"/>
          <w:w w:val="100"/>
          <w:position w:val="0"/>
        </w:rPr>
        <w:t>“</w:t>
      </w:r>
      <w:r>
        <w:rPr>
          <w:color w:val="000000"/>
          <w:spacing w:val="0"/>
          <w:w w:val="100"/>
          <w:position w:val="0"/>
        </w:rPr>
        <w:t>母公司处置对子公司长期股权投资但未丧失控制权</w:t>
      </w:r>
      <w:r>
        <w:rPr>
          <w:rFonts w:ascii="Times New Roman" w:eastAsia="Times New Roman" w:hAnsi="Times New Roman" w:cs="Times New Roman"/>
          <w:color w:val="000000"/>
          <w:spacing w:val="0"/>
          <w:w w:val="100"/>
          <w:position w:val="0"/>
        </w:rPr>
        <w:t>”</w:t>
      </w:r>
      <w:r>
        <w:rPr>
          <w:color w:val="000000"/>
          <w:spacing w:val="0"/>
          <w:w w:val="100"/>
          <w:position w:val="0"/>
        </w:rPr>
        <w:t>的有关规定处理。</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如果分步交易属于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的，应当将各项交易作为一项处置子公司并丧失控制权的交易进行会计处理；在个别 财务报表中，在丧失控制权之前的每一次处置价款与所处置的股权对应的长期股权投资账面价值之间的差额，先确认为其他 综合收益，到丧失控制权时再一并转入丧失控制权的当期损益；在合并财务报表中，对于丧失控制权之前的每一次交易，处 置价款与处置投资对应的享有该子公司净资产份额的差额应当确认为其他综合收益，在丧失控制权时一并转入丧失控制权当 期的损益。</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各项交易的条款、条件以及经济影响符合下列一种或多种情况的，通常将多次交易作为</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26"/>
        <w:keepNext w:val="0"/>
        <w:keepLines w:val="0"/>
        <w:widowControl w:val="0"/>
        <w:shd w:val="clear" w:color="auto" w:fill="auto"/>
        <w:tabs>
          <w:tab w:pos="950" w:val="left"/>
        </w:tabs>
        <w:bidi w:val="0"/>
        <w:spacing w:before="0" w:after="0" w:line="312" w:lineRule="exact"/>
        <w:ind w:left="0" w:right="0" w:firstLine="520"/>
        <w:jc w:val="left"/>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这些交易是同时或者在考虑了彼此影响的情况下订立的。</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811" w:name="bookmark811"/>
      <w:r>
        <w:rPr>
          <w:color w:val="000000"/>
          <w:spacing w:val="0"/>
          <w:w w:val="100"/>
          <w:position w:val="0"/>
        </w:rPr>
        <w:t>（</w:t>
      </w:r>
      <w:bookmarkEnd w:id="811"/>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812" w:name="bookmark812"/>
      <w:r>
        <w:rPr>
          <w:color w:val="000000"/>
          <w:spacing w:val="0"/>
          <w:w w:val="100"/>
          <w:position w:val="0"/>
        </w:rPr>
        <w:t>（</w:t>
      </w:r>
      <w:bookmarkEnd w:id="812"/>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26"/>
        <w:keepNext w:val="0"/>
        <w:keepLines w:val="0"/>
        <w:widowControl w:val="0"/>
        <w:numPr>
          <w:ilvl w:val="0"/>
          <w:numId w:val="25"/>
        </w:numPr>
        <w:shd w:val="clear" w:color="auto" w:fill="auto"/>
        <w:bidi w:val="0"/>
        <w:spacing w:before="0" w:after="0" w:line="312" w:lineRule="exact"/>
        <w:ind w:left="0" w:right="0" w:firstLine="520"/>
        <w:jc w:val="left"/>
      </w:pPr>
      <w:bookmarkStart w:id="813" w:name="bookmark813"/>
      <w:bookmarkEnd w:id="813"/>
      <w:r>
        <w:rPr>
          <w:color w:val="000000"/>
          <w:spacing w:val="0"/>
          <w:w w:val="100"/>
          <w:position w:val="0"/>
        </w:rPr>
        <w:t>因子公司的少数股东增资而稀释母公司拥有的股权比例</w:t>
      </w:r>
    </w:p>
    <w:p>
      <w:pPr>
        <w:pStyle w:val="Style26"/>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子公司的其他股东（少数股东）对子公司进行增资，由此稀释了母公司对子公司的股权比例。在合并财务报表中，按 照增资前的母公司股权比例计算其在增资前子公司账面净资产中的份额，该份额与增资后按照母公司持股比例计算的在增资 后子公司账面净资产份额之间的差额调整资本公积（资本溢价或股本溢价），资本公积（资本溢价或股本溢价）不足冲减的， 调整留存收益。</w:t>
      </w:r>
    </w:p>
    <w:p>
      <w:pPr>
        <w:pStyle w:val="Style30"/>
        <w:keepNext/>
        <w:keepLines/>
        <w:widowControl w:val="0"/>
        <w:shd w:val="clear" w:color="auto" w:fill="auto"/>
        <w:tabs>
          <w:tab w:pos="373" w:val="left"/>
        </w:tabs>
        <w:bidi w:val="0"/>
        <w:spacing w:before="0" w:after="28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7</w:t>
      </w:r>
      <w:bookmarkEnd w:id="816"/>
      <w:r>
        <w:rPr>
          <w:color w:val="000000"/>
          <w:spacing w:val="0"/>
          <w:w w:val="100"/>
          <w:position w:val="0"/>
        </w:rPr>
        <w:t>、</w:t>
        <w:tab/>
        <w:t>合营安排分类及共同经营会计处理方法</w:t>
      </w:r>
      <w:bookmarkEnd w:id="814"/>
      <w:bookmarkEnd w:id="815"/>
      <w:bookmarkEnd w:id="817"/>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合营安排，是指一项由两个或两个以上的参与方共同控制的安排。本公司合营安排分为共同经营和合营企业。</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共同经营</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共同经营是指本公司享有该安排相关资产且承担该安排相关负债的合营安排。</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本公司确认其与共同经营中利益份额相关的下列项目，并按照相关企业会计准则的规定进行会计处理：</w:t>
      </w:r>
    </w:p>
    <w:p>
      <w:pPr>
        <w:pStyle w:val="Style26"/>
        <w:keepNext w:val="0"/>
        <w:keepLines w:val="0"/>
        <w:widowControl w:val="0"/>
        <w:numPr>
          <w:ilvl w:val="0"/>
          <w:numId w:val="31"/>
        </w:numPr>
        <w:shd w:val="clear" w:color="auto" w:fill="auto"/>
        <w:tabs>
          <w:tab w:pos="893" w:val="left"/>
        </w:tabs>
        <w:bidi w:val="0"/>
        <w:spacing w:before="0" w:after="0" w:line="312" w:lineRule="exact"/>
        <w:ind w:left="0" w:right="0" w:firstLine="520"/>
        <w:jc w:val="left"/>
      </w:pPr>
      <w:bookmarkStart w:id="819" w:name="bookmark819"/>
      <w:bookmarkEnd w:id="819"/>
      <w:r>
        <w:rPr>
          <w:color w:val="000000"/>
          <w:spacing w:val="0"/>
          <w:w w:val="100"/>
          <w:position w:val="0"/>
        </w:rPr>
        <w:t>确认单独所持有的资产，以及按其份额确认共同持有的资产；</w:t>
      </w:r>
    </w:p>
    <w:p>
      <w:pPr>
        <w:pStyle w:val="Style26"/>
        <w:keepNext w:val="0"/>
        <w:keepLines w:val="0"/>
        <w:widowControl w:val="0"/>
        <w:numPr>
          <w:ilvl w:val="0"/>
          <w:numId w:val="31"/>
        </w:numPr>
        <w:shd w:val="clear" w:color="auto" w:fill="auto"/>
        <w:tabs>
          <w:tab w:pos="893" w:val="left"/>
        </w:tabs>
        <w:bidi w:val="0"/>
        <w:spacing w:before="0" w:after="0" w:line="312" w:lineRule="exact"/>
        <w:ind w:left="0" w:right="0" w:firstLine="520"/>
        <w:jc w:val="left"/>
      </w:pPr>
      <w:bookmarkStart w:id="820" w:name="bookmark820"/>
      <w:bookmarkEnd w:id="820"/>
      <w:r>
        <w:rPr>
          <w:color w:val="000000"/>
          <w:spacing w:val="0"/>
          <w:w w:val="100"/>
          <w:position w:val="0"/>
        </w:rPr>
        <w:t>确认单独所承担的负债，以及按其份额确认共同承担的负债；</w:t>
      </w:r>
    </w:p>
    <w:p>
      <w:pPr>
        <w:pStyle w:val="Style26"/>
        <w:keepNext w:val="0"/>
        <w:keepLines w:val="0"/>
        <w:widowControl w:val="0"/>
        <w:numPr>
          <w:ilvl w:val="0"/>
          <w:numId w:val="31"/>
        </w:numPr>
        <w:shd w:val="clear" w:color="auto" w:fill="auto"/>
        <w:tabs>
          <w:tab w:pos="893" w:val="left"/>
        </w:tabs>
        <w:bidi w:val="0"/>
        <w:spacing w:before="0" w:after="0" w:line="312" w:lineRule="exact"/>
        <w:ind w:left="0" w:right="0" w:firstLine="520"/>
        <w:jc w:val="left"/>
      </w:pPr>
      <w:bookmarkStart w:id="821" w:name="bookmark821"/>
      <w:bookmarkEnd w:id="821"/>
      <w:r>
        <w:rPr>
          <w:color w:val="000000"/>
          <w:spacing w:val="0"/>
          <w:w w:val="100"/>
          <w:position w:val="0"/>
        </w:rPr>
        <w:t>确认出售其享有的共同经营产出份额所产生的收入；</w:t>
      </w:r>
    </w:p>
    <w:p>
      <w:pPr>
        <w:pStyle w:val="Style26"/>
        <w:keepNext w:val="0"/>
        <w:keepLines w:val="0"/>
        <w:widowControl w:val="0"/>
        <w:numPr>
          <w:ilvl w:val="0"/>
          <w:numId w:val="31"/>
        </w:numPr>
        <w:shd w:val="clear" w:color="auto" w:fill="auto"/>
        <w:tabs>
          <w:tab w:pos="893" w:val="left"/>
        </w:tabs>
        <w:bidi w:val="0"/>
        <w:spacing w:before="0" w:after="0" w:line="312" w:lineRule="exact"/>
        <w:ind w:left="0" w:right="0" w:firstLine="520"/>
        <w:jc w:val="left"/>
      </w:pPr>
      <w:bookmarkStart w:id="822" w:name="bookmark822"/>
      <w:bookmarkEnd w:id="822"/>
      <w:r>
        <w:rPr>
          <w:color w:val="000000"/>
          <w:spacing w:val="0"/>
          <w:w w:val="100"/>
          <w:position w:val="0"/>
        </w:rPr>
        <w:t>按其份额确认共同经营因出售产出所产生的收入；</w:t>
      </w:r>
    </w:p>
    <w:p>
      <w:pPr>
        <w:pStyle w:val="Style26"/>
        <w:keepNext w:val="0"/>
        <w:keepLines w:val="0"/>
        <w:widowControl w:val="0"/>
        <w:numPr>
          <w:ilvl w:val="0"/>
          <w:numId w:val="31"/>
        </w:numPr>
        <w:shd w:val="clear" w:color="auto" w:fill="auto"/>
        <w:tabs>
          <w:tab w:pos="893" w:val="left"/>
        </w:tabs>
        <w:bidi w:val="0"/>
        <w:spacing w:before="0" w:after="0" w:line="312" w:lineRule="exact"/>
        <w:ind w:left="0" w:right="0" w:firstLine="520"/>
        <w:jc w:val="left"/>
      </w:pPr>
      <w:bookmarkStart w:id="823" w:name="bookmark823"/>
      <w:bookmarkEnd w:id="823"/>
      <w:r>
        <w:rPr>
          <w:color w:val="000000"/>
          <w:spacing w:val="0"/>
          <w:w w:val="100"/>
          <w:position w:val="0"/>
        </w:rPr>
        <w:t>确认单独所发生的费用，以及按其份额确认共同经营发生的费用。</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合营企业</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合营企业是指本公司仅对该安排的净资产享有权利的合营安排。</w:t>
      </w:r>
    </w:p>
    <w:p>
      <w:pPr>
        <w:pStyle w:val="Style26"/>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本公司按照长期股权投资有关权益法核算的规定对合营企业的投资进行会计处理。</w:t>
      </w:r>
    </w:p>
    <w:p>
      <w:pPr>
        <w:pStyle w:val="Style30"/>
        <w:keepNext/>
        <w:keepLines/>
        <w:widowControl w:val="0"/>
        <w:shd w:val="clear" w:color="auto" w:fill="auto"/>
        <w:tabs>
          <w:tab w:pos="378"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8</w:t>
      </w:r>
      <w:bookmarkEnd w:id="827"/>
      <w:r>
        <w:rPr>
          <w:color w:val="000000"/>
          <w:spacing w:val="0"/>
          <w:w w:val="100"/>
          <w:position w:val="0"/>
        </w:rPr>
        <w:t>、</w:t>
        <w:tab/>
        <w:t>现金及现金等价物的确定标准</w:t>
      </w:r>
      <w:bookmarkEnd w:id="825"/>
      <w:bookmarkEnd w:id="826"/>
      <w:bookmarkEnd w:id="828"/>
    </w:p>
    <w:p>
      <w:pPr>
        <w:pStyle w:val="Style26"/>
        <w:keepNext w:val="0"/>
        <w:keepLines w:val="0"/>
        <w:widowControl w:val="0"/>
        <w:shd w:val="clear" w:color="auto" w:fill="auto"/>
        <w:bidi w:val="0"/>
        <w:spacing w:before="0" w:after="380" w:line="317" w:lineRule="exact"/>
        <w:ind w:left="0" w:right="0" w:firstLine="520"/>
        <w:jc w:val="left"/>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0"/>
        <w:keepNext/>
        <w:keepLines/>
        <w:widowControl w:val="0"/>
        <w:shd w:val="clear" w:color="auto" w:fill="auto"/>
        <w:tabs>
          <w:tab w:pos="378"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9</w:t>
      </w:r>
      <w:bookmarkEnd w:id="831"/>
      <w:r>
        <w:rPr>
          <w:color w:val="000000"/>
          <w:spacing w:val="0"/>
          <w:w w:val="100"/>
          <w:position w:val="0"/>
        </w:rPr>
        <w:t>、</w:t>
        <w:tab/>
        <w:t>外币业务和外币报表折算</w:t>
      </w:r>
      <w:bookmarkEnd w:id="829"/>
      <w:bookmarkEnd w:id="830"/>
      <w:bookmarkEnd w:id="832"/>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）外币交易时折算汇率的确定方法</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 xml:space="preserve">本公司外币交易初始确认时采用交易发生日的即期汇率或采用按照系统合理的方法确定的、与交易发生日即期汇率近 </w:t>
      </w:r>
      <w:r>
        <w:rPr>
          <w:color w:val="000000"/>
          <w:spacing w:val="0"/>
          <w:w w:val="100"/>
          <w:position w:val="0"/>
        </w:rPr>
        <w:t>似的汇率（以下简称即期汇率的近似汇率）折算为记账本位币。</w:t>
      </w:r>
    </w:p>
    <w:p>
      <w:pPr>
        <w:pStyle w:val="Style26"/>
        <w:keepNext w:val="0"/>
        <w:keepLines w:val="0"/>
        <w:widowControl w:val="0"/>
        <w:shd w:val="clear" w:color="auto" w:fill="auto"/>
        <w:tabs>
          <w:tab w:pos="956" w:val="left"/>
        </w:tabs>
        <w:bidi w:val="0"/>
        <w:spacing w:before="0" w:after="0" w:line="314" w:lineRule="exact"/>
        <w:ind w:left="0" w:right="0" w:firstLine="52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资产负债表日外币货币性项目的折算方法</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在资产负债表日，对于外币货币性项目，采用资产负债表日的即期汇率折算。因资产负债表日即期汇率与初始确认时 或前一资产负债表日即期汇率不同而产生的汇兑差额，计入当期损益。对以历史成本计量的外币非货币性项目，仍采用交易 发生日的即期汇率折算；对以公允价值计量的外币非货币性项目，采用公允价值确定日的即期汇率折算，折算后的记账本位 币金额与原记账本位币金额的差额，计入当期损益。</w:t>
      </w:r>
    </w:p>
    <w:p>
      <w:pPr>
        <w:pStyle w:val="Style26"/>
        <w:keepNext w:val="0"/>
        <w:keepLines w:val="0"/>
        <w:widowControl w:val="0"/>
        <w:shd w:val="clear" w:color="auto" w:fill="auto"/>
        <w:tabs>
          <w:tab w:pos="956" w:val="left"/>
        </w:tabs>
        <w:bidi w:val="0"/>
        <w:spacing w:before="0" w:after="0" w:line="314" w:lineRule="exact"/>
        <w:ind w:left="0" w:right="0" w:firstLine="52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3</w:t>
      </w:r>
      <w:r>
        <w:rPr>
          <w:color w:val="000000"/>
          <w:spacing w:val="0"/>
          <w:w w:val="100"/>
          <w:position w:val="0"/>
        </w:rPr>
        <w:t>）</w:t>
        <w:tab/>
        <w:t>外币报表折算方法</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对企业境外经营财务报表进行折算前先调整境外经营的会计期间和会计政策，使之与企业会计期间和会计政策相一 致，再根据调整后会计政策及会计期间编制相应货币（记账本位币以外的货币）的财务报表，再按照以下方法对境外经营财 务报表进行折算：</w:t>
      </w:r>
    </w:p>
    <w:p>
      <w:pPr>
        <w:pStyle w:val="Style26"/>
        <w:keepNext w:val="0"/>
        <w:keepLines w:val="0"/>
        <w:widowControl w:val="0"/>
        <w:numPr>
          <w:ilvl w:val="0"/>
          <w:numId w:val="33"/>
        </w:numPr>
        <w:shd w:val="clear" w:color="auto" w:fill="auto"/>
        <w:tabs>
          <w:tab w:pos="863" w:val="left"/>
        </w:tabs>
        <w:bidi w:val="0"/>
        <w:spacing w:before="0" w:after="0" w:line="314" w:lineRule="exact"/>
        <w:ind w:left="0" w:right="0" w:firstLine="520"/>
        <w:jc w:val="both"/>
      </w:pPr>
      <w:bookmarkStart w:id="835" w:name="bookmark835"/>
      <w:bookmarkEnd w:id="835"/>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 他项目采用发生时的即期汇率折算。</w:t>
      </w:r>
    </w:p>
    <w:p>
      <w:pPr>
        <w:pStyle w:val="Style26"/>
        <w:keepNext w:val="0"/>
        <w:keepLines w:val="0"/>
        <w:widowControl w:val="0"/>
        <w:numPr>
          <w:ilvl w:val="0"/>
          <w:numId w:val="33"/>
        </w:numPr>
        <w:shd w:val="clear" w:color="auto" w:fill="auto"/>
        <w:tabs>
          <w:tab w:pos="884" w:val="left"/>
        </w:tabs>
        <w:bidi w:val="0"/>
        <w:spacing w:before="0" w:after="0" w:line="314" w:lineRule="exact"/>
        <w:ind w:left="0" w:right="0" w:firstLine="520"/>
        <w:jc w:val="both"/>
      </w:pPr>
      <w:bookmarkStart w:id="836" w:name="bookmark836"/>
      <w:bookmarkEnd w:id="836"/>
      <w:r>
        <w:rPr>
          <w:color w:val="000000"/>
          <w:spacing w:val="0"/>
          <w:w w:val="100"/>
          <w:position w:val="0"/>
        </w:rPr>
        <w:t>利润表中的收入和费用项目，采用交易发生日的即期汇率或即期汇率的近似汇率折算。</w:t>
      </w:r>
    </w:p>
    <w:p>
      <w:pPr>
        <w:pStyle w:val="Style26"/>
        <w:keepNext w:val="0"/>
        <w:keepLines w:val="0"/>
        <w:widowControl w:val="0"/>
        <w:numPr>
          <w:ilvl w:val="0"/>
          <w:numId w:val="33"/>
        </w:numPr>
        <w:shd w:val="clear" w:color="auto" w:fill="auto"/>
        <w:tabs>
          <w:tab w:pos="868" w:val="left"/>
        </w:tabs>
        <w:bidi w:val="0"/>
        <w:spacing w:before="0" w:after="0" w:line="314" w:lineRule="exact"/>
        <w:ind w:left="0" w:right="0" w:firstLine="520"/>
        <w:jc w:val="both"/>
      </w:pPr>
      <w:bookmarkStart w:id="837" w:name="bookmark837"/>
      <w:bookmarkEnd w:id="837"/>
      <w:r>
        <w:rPr>
          <w:color w:val="000000"/>
          <w:spacing w:val="0"/>
          <w:w w:val="100"/>
          <w:position w:val="0"/>
        </w:rPr>
        <w:t>外币现金流量以及境外子公司的现金流量，采用现金流量发生日的即期汇率或即期汇率的近似汇率折算。汇率变动 对现金的影响额应当作为调节项目，在现金流量表中单独列报。</w:t>
      </w:r>
    </w:p>
    <w:p>
      <w:pPr>
        <w:pStyle w:val="Style26"/>
        <w:keepNext w:val="0"/>
        <w:keepLines w:val="0"/>
        <w:widowControl w:val="0"/>
        <w:numPr>
          <w:ilvl w:val="0"/>
          <w:numId w:val="33"/>
        </w:numPr>
        <w:shd w:val="clear" w:color="auto" w:fill="auto"/>
        <w:tabs>
          <w:tab w:pos="863" w:val="left"/>
        </w:tabs>
        <w:bidi w:val="0"/>
        <w:spacing w:before="0" w:after="0" w:line="314" w:lineRule="exact"/>
        <w:ind w:left="0" w:right="0" w:firstLine="520"/>
        <w:jc w:val="both"/>
      </w:pPr>
      <w:bookmarkStart w:id="838" w:name="bookmark838"/>
      <w:bookmarkEnd w:id="838"/>
      <w:r>
        <w:rPr>
          <w:color w:val="000000"/>
          <w:spacing w:val="0"/>
          <w:w w:val="100"/>
          <w:position w:val="0"/>
        </w:rPr>
        <w:t>产生的外币财务报表折算差额，在编制合并财务报表时，在合并资产负债表中所有者权益项目下单独列示</w:t>
      </w:r>
      <w:r>
        <w:rPr>
          <w:rFonts w:ascii="Times New Roman" w:eastAsia="Times New Roman" w:hAnsi="Times New Roman" w:cs="Times New Roman"/>
          <w:color w:val="000000"/>
          <w:spacing w:val="0"/>
          <w:w w:val="100"/>
          <w:position w:val="0"/>
        </w:rPr>
        <w:t>“</w:t>
      </w:r>
      <w:r>
        <w:rPr>
          <w:color w:val="000000"/>
          <w:spacing w:val="0"/>
          <w:w w:val="100"/>
          <w:position w:val="0"/>
        </w:rPr>
        <w:t>其他综 合收益</w:t>
      </w:r>
    </w:p>
    <w:p>
      <w:pPr>
        <w:pStyle w:val="Style26"/>
        <w:keepNext w:val="0"/>
        <w:keepLines w:val="0"/>
        <w:widowControl w:val="0"/>
        <w:shd w:val="clear" w:color="auto" w:fill="auto"/>
        <w:bidi w:val="0"/>
        <w:spacing w:before="0" w:after="400" w:line="314" w:lineRule="exact"/>
        <w:ind w:left="0" w:right="0" w:firstLine="520"/>
        <w:jc w:val="both"/>
      </w:pPr>
      <w:r>
        <w:rPr>
          <w:color w:val="000000"/>
          <w:spacing w:val="0"/>
          <w:w w:val="100"/>
          <w:position w:val="0"/>
        </w:rPr>
        <w:t>处置境外经营并丧失控制权时，将资产负债表中所有者权益项目下列示的、与该境外经营相关的外币报表折算差额， 全部或按处置该境外经营的比例转入处置当期损益。</w:t>
      </w:r>
    </w:p>
    <w:p>
      <w:pPr>
        <w:pStyle w:val="Style30"/>
        <w:keepNext/>
        <w:keepLines/>
        <w:widowControl w:val="0"/>
        <w:shd w:val="clear" w:color="auto" w:fill="auto"/>
        <w:bidi w:val="0"/>
        <w:spacing w:before="0" w:after="26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9"/>
      <w:bookmarkEnd w:id="840"/>
      <w:bookmarkEnd w:id="842"/>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金融工具，是指形成一方的金融资产并形成其他方的金融负债或权益工具的合同。</w:t>
      </w:r>
    </w:p>
    <w:p>
      <w:pPr>
        <w:pStyle w:val="Style26"/>
        <w:keepNext w:val="0"/>
        <w:keepLines w:val="0"/>
        <w:widowControl w:val="0"/>
        <w:shd w:val="clear" w:color="auto" w:fill="auto"/>
        <w:tabs>
          <w:tab w:pos="956" w:val="left"/>
        </w:tabs>
        <w:bidi w:val="0"/>
        <w:spacing w:before="0" w:after="0" w:line="312" w:lineRule="exact"/>
        <w:ind w:left="0" w:right="0" w:firstLine="520"/>
        <w:jc w:val="both"/>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当本公司成为金融工具合同的一方时，确认相关的金融资产或金融负债。</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金融资产满足下列条件之一的，终止确认：</w:t>
      </w:r>
    </w:p>
    <w:p>
      <w:pPr>
        <w:pStyle w:val="Style26"/>
        <w:keepNext w:val="0"/>
        <w:keepLines w:val="0"/>
        <w:widowControl w:val="0"/>
        <w:numPr>
          <w:ilvl w:val="0"/>
          <w:numId w:val="35"/>
        </w:numPr>
        <w:shd w:val="clear" w:color="auto" w:fill="auto"/>
        <w:tabs>
          <w:tab w:pos="884" w:val="left"/>
        </w:tabs>
        <w:bidi w:val="0"/>
        <w:spacing w:before="0" w:after="0" w:line="312" w:lineRule="exact"/>
        <w:ind w:left="0" w:right="0" w:firstLine="520"/>
        <w:jc w:val="both"/>
      </w:pPr>
      <w:bookmarkStart w:id="844" w:name="bookmark844"/>
      <w:bookmarkEnd w:id="844"/>
      <w:r>
        <w:rPr>
          <w:color w:val="000000"/>
          <w:spacing w:val="0"/>
          <w:w w:val="100"/>
          <w:position w:val="0"/>
        </w:rPr>
        <w:t>收取该金融资产现金流量的合同权利终止；</w:t>
      </w:r>
    </w:p>
    <w:p>
      <w:pPr>
        <w:pStyle w:val="Style26"/>
        <w:keepNext w:val="0"/>
        <w:keepLines w:val="0"/>
        <w:widowControl w:val="0"/>
        <w:numPr>
          <w:ilvl w:val="0"/>
          <w:numId w:val="35"/>
        </w:numPr>
        <w:shd w:val="clear" w:color="auto" w:fill="auto"/>
        <w:tabs>
          <w:tab w:pos="884" w:val="left"/>
        </w:tabs>
        <w:bidi w:val="0"/>
        <w:spacing w:before="0" w:after="0" w:line="312" w:lineRule="exact"/>
        <w:ind w:left="0" w:right="0" w:firstLine="520"/>
        <w:jc w:val="both"/>
      </w:pPr>
      <w:bookmarkStart w:id="845" w:name="bookmark845"/>
      <w:bookmarkEnd w:id="845"/>
      <w:r>
        <w:rPr>
          <w:color w:val="000000"/>
          <w:spacing w:val="0"/>
          <w:w w:val="100"/>
          <w:position w:val="0"/>
        </w:rPr>
        <w:t>该金融资产已转移，且符合下述金融资产转移的终止确认条件。</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金融负债（或其一部分）的现时义务已经解除的，终止确认该金融负债（或该部分金融负债）。本公司（借入方）与 借出方之间签订协议，以承担新金融负债方式替换原金融负债，且新金融负债与原金融负债的合同条款实质上不同的，终止 确认原金融负债，并同时确认新金融负债。本公司对原金融负债（或其一部分）的合同条款作出实质性修改的，应当终止原 金融负债，同时按照修改后的条款确认一项新的金融负债。</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以常规方式买卖金融资产，按交易日进行会计确认和终止确认。常规方式买卖金融资产，是指按照合同条款规定，在 法规或市场惯例所确定的时间安排来交付金融资产。交易日，是指本公司承诺买入或卖出金融资产的日期。</w:t>
      </w:r>
    </w:p>
    <w:p>
      <w:pPr>
        <w:pStyle w:val="Style26"/>
        <w:keepNext w:val="0"/>
        <w:keepLines w:val="0"/>
        <w:widowControl w:val="0"/>
        <w:shd w:val="clear" w:color="auto" w:fill="auto"/>
        <w:tabs>
          <w:tab w:pos="956" w:val="left"/>
        </w:tabs>
        <w:bidi w:val="0"/>
        <w:spacing w:before="0" w:after="0" w:line="312" w:lineRule="exact"/>
        <w:ind w:left="0" w:right="0" w:firstLine="52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金融资产的分类与计量</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本公司在初始确认时根据管理金融资产的业务模式和金融资产的合同现金流量特征，将金融资产分类为：以摊余成本 计量的金融资产、以公允价值计量且其变动计入当期损益的金融资产、以公允价值计量且其变动计入其他综合收益的金融资 产。除非本公司改变管理金融资产的业务模式，在此情形下，所有受影响的相关金融资产在业务模式发生变更后的首个报告 期间的第一天进行重分类，否则金融资产在初始确认后不得进行重分类。</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金融资产在初始确认时以公允价值计量。对于以公允价值计量且其变动计入当期损益的金融资产，相关交易费用直接 计入当期损益，其他类别的金融资产相关交易费用计入其初始确认金额。因销售商品或提供劳务而产生的、未包含或不考虑 重大融资成分的应收票据及应收账款，本公司则按照收入准则定义的交易价格进行初始计量。</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金融资产的后续计量取决于其分类：</w:t>
      </w:r>
    </w:p>
    <w:p>
      <w:pPr>
        <w:pStyle w:val="Style26"/>
        <w:keepNext w:val="0"/>
        <w:keepLines w:val="0"/>
        <w:widowControl w:val="0"/>
        <w:numPr>
          <w:ilvl w:val="0"/>
          <w:numId w:val="37"/>
        </w:numPr>
        <w:shd w:val="clear" w:color="auto" w:fill="auto"/>
        <w:bidi w:val="0"/>
        <w:spacing w:before="0" w:after="140" w:line="312" w:lineRule="exact"/>
        <w:ind w:left="0" w:right="0" w:firstLine="520"/>
        <w:jc w:val="both"/>
      </w:pPr>
      <w:bookmarkStart w:id="847" w:name="bookmark847"/>
      <w:bookmarkEnd w:id="847"/>
      <w:r>
        <w:rPr>
          <w:color w:val="000000"/>
          <w:spacing w:val="0"/>
          <w:w w:val="100"/>
          <w:position w:val="0"/>
        </w:rPr>
        <w:t>以摊余成本计量的金融资产</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的支付。对于此类金融资产，采用实际利率法，按照摊余成本进行后续计量，其终止确认、按实际利率法摊销或减值产生的 利得或损失，均计入当期损益。</w:t>
      </w:r>
    </w:p>
    <w:p>
      <w:pPr>
        <w:pStyle w:val="Style26"/>
        <w:keepNext w:val="0"/>
        <w:keepLines w:val="0"/>
        <w:widowControl w:val="0"/>
        <w:numPr>
          <w:ilvl w:val="0"/>
          <w:numId w:val="37"/>
        </w:numPr>
        <w:shd w:val="clear" w:color="auto" w:fill="auto"/>
        <w:tabs>
          <w:tab w:pos="837" w:val="left"/>
        </w:tabs>
        <w:bidi w:val="0"/>
        <w:spacing w:before="0" w:after="0" w:line="312" w:lineRule="exact"/>
        <w:ind w:left="0" w:right="0" w:firstLine="520"/>
        <w:jc w:val="both"/>
      </w:pPr>
      <w:bookmarkStart w:id="848" w:name="bookmark848"/>
      <w:bookmarkEnd w:id="848"/>
      <w:r>
        <w:rPr>
          <w:color w:val="000000"/>
          <w:spacing w:val="0"/>
          <w:w w:val="100"/>
          <w:position w:val="0"/>
        </w:rPr>
        <w:t>以公允价值计量且其变动计入其他综合收益的金融资产</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金流量，仅为对本金和以未偿付本金金额为基础的利息的支付。对于此类金融资产，采用公允价值进行后续计量。除减值损 失或利得及汇兑损益确认为当期损益外，此类金融资产的公允价值变动作为其他综合收益确认，直到该金融资产终止确认时，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26"/>
        <w:keepNext w:val="0"/>
        <w:keepLines w:val="0"/>
        <w:widowControl w:val="0"/>
        <w:numPr>
          <w:ilvl w:val="0"/>
          <w:numId w:val="37"/>
        </w:numPr>
        <w:shd w:val="clear" w:color="auto" w:fill="auto"/>
        <w:tabs>
          <w:tab w:pos="837" w:val="left"/>
        </w:tabs>
        <w:bidi w:val="0"/>
        <w:spacing w:before="0" w:after="0" w:line="312" w:lineRule="exact"/>
        <w:ind w:left="0" w:right="0" w:firstLine="520"/>
        <w:jc w:val="both"/>
      </w:pPr>
      <w:bookmarkStart w:id="849" w:name="bookmark849"/>
      <w:bookmarkEnd w:id="849"/>
      <w:r>
        <w:rPr>
          <w:color w:val="000000"/>
          <w:spacing w:val="0"/>
          <w:w w:val="100"/>
          <w:position w:val="0"/>
        </w:rPr>
        <w:t>以公允价值计量且其变动计入当期损益的金融资产</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26"/>
        <w:keepNext w:val="0"/>
        <w:keepLines w:val="0"/>
        <w:widowControl w:val="0"/>
        <w:shd w:val="clear" w:color="auto" w:fill="auto"/>
        <w:bidi w:val="0"/>
        <w:spacing w:before="0" w:after="0" w:line="312" w:lineRule="exact"/>
        <w:ind w:left="0" w:right="0" w:firstLine="52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3</w:t>
      </w:r>
      <w:r>
        <w:rPr>
          <w:color w:val="000000"/>
          <w:spacing w:val="0"/>
          <w:w w:val="100"/>
          <w:position w:val="0"/>
        </w:rPr>
        <w:t>）金融负债的分类与计量</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本公司将金融负债分类为以公允价值计量且其变动计入当期损益的金融负债、低于市场利率贷款的贷款承诺及财务担 保合同负债及以摊余成本计量的金融负债。</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金融负债的后续计量取决于其分类：</w:t>
      </w:r>
    </w:p>
    <w:p>
      <w:pPr>
        <w:pStyle w:val="Style26"/>
        <w:keepNext w:val="0"/>
        <w:keepLines w:val="0"/>
        <w:widowControl w:val="0"/>
        <w:numPr>
          <w:ilvl w:val="0"/>
          <w:numId w:val="39"/>
        </w:numPr>
        <w:shd w:val="clear" w:color="auto" w:fill="auto"/>
        <w:tabs>
          <w:tab w:pos="837" w:val="left"/>
        </w:tabs>
        <w:bidi w:val="0"/>
        <w:spacing w:before="0" w:after="0" w:line="312" w:lineRule="exact"/>
        <w:ind w:left="0" w:right="0" w:firstLine="520"/>
        <w:jc w:val="both"/>
      </w:pPr>
      <w:bookmarkStart w:id="851" w:name="bookmark851"/>
      <w:bookmarkEnd w:id="851"/>
      <w:r>
        <w:rPr>
          <w:color w:val="000000"/>
          <w:spacing w:val="0"/>
          <w:w w:val="100"/>
          <w:position w:val="0"/>
        </w:rPr>
        <w:t>以公允价值计量且其变动计入当期损益的金融负债</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该类金融负债包括交易性金融负债（含属于金融负债的衍生工具）和指定为以公允价值计量且其变动计入当期损益的 金融负债。初始确认后，对于该类金融负债以公允价值进行后续计量，除与套期会计有关外，产生的利得或损失（包括利息 费用）计入当期损益。但本公司对指定为以公允价值计量且其变动计入当期损益的金融负债，由其自身信用风险变动引起的 该金融负债公允价值的变动金额计入其他综合收益，当该金融负债终止确认时，之前计入其他综合收益的累计利得和损失应 当从其他综合收益中转出，计入留存收益。</w:t>
      </w:r>
    </w:p>
    <w:p>
      <w:pPr>
        <w:pStyle w:val="Style26"/>
        <w:keepNext w:val="0"/>
        <w:keepLines w:val="0"/>
        <w:widowControl w:val="0"/>
        <w:numPr>
          <w:ilvl w:val="0"/>
          <w:numId w:val="39"/>
        </w:numPr>
        <w:shd w:val="clear" w:color="auto" w:fill="auto"/>
        <w:tabs>
          <w:tab w:pos="837" w:val="left"/>
        </w:tabs>
        <w:bidi w:val="0"/>
        <w:spacing w:before="0" w:after="0" w:line="312" w:lineRule="exact"/>
        <w:ind w:left="0" w:right="0" w:firstLine="520"/>
        <w:jc w:val="both"/>
      </w:pPr>
      <w:bookmarkStart w:id="852" w:name="bookmark852"/>
      <w:bookmarkEnd w:id="852"/>
      <w:r>
        <w:rPr>
          <w:color w:val="000000"/>
          <w:spacing w:val="0"/>
          <w:w w:val="100"/>
          <w:position w:val="0"/>
        </w:rPr>
        <w:t>贷款承诺及财务担保合同负债</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贷款承诺是本公司向客户提供的一项在承诺期间内以既定的合同条款向客户发放贷款的承诺。贷款承诺按照预期信用 损失模型计提减值损失。</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财务担保合同指，当特定债务人到期不能按照最初或修改后的债务工具条款偿付债务时，要求本公司向蒙受损失的合 同持有人赔付特定金额的合同。财务担保合同负债以按照依据金融工具的减值原则所确定的损失准备金额以及初始确认金额 扣除按收入确认原则确定的累计摊销额后的余额孰高进行后续计量。</w:t>
      </w:r>
    </w:p>
    <w:p>
      <w:pPr>
        <w:pStyle w:val="Style26"/>
        <w:keepNext w:val="0"/>
        <w:keepLines w:val="0"/>
        <w:widowControl w:val="0"/>
        <w:numPr>
          <w:ilvl w:val="0"/>
          <w:numId w:val="39"/>
        </w:numPr>
        <w:shd w:val="clear" w:color="auto" w:fill="auto"/>
        <w:tabs>
          <w:tab w:pos="837" w:val="left"/>
        </w:tabs>
        <w:bidi w:val="0"/>
        <w:spacing w:before="0" w:after="0" w:line="312" w:lineRule="exact"/>
        <w:ind w:left="0" w:right="0" w:firstLine="520"/>
        <w:jc w:val="both"/>
      </w:pPr>
      <w:bookmarkStart w:id="853" w:name="bookmark853"/>
      <w:bookmarkEnd w:id="853"/>
      <w:r>
        <w:rPr>
          <w:color w:val="000000"/>
          <w:spacing w:val="0"/>
          <w:w w:val="100"/>
          <w:position w:val="0"/>
        </w:rPr>
        <w:t>以摊余成本计量的金融负债</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初始确认后，对其他金融负债采用实际利率法以摊余成本计量。</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除特殊情况外，金融负债与权益工具按照下列原则进行区分：</w:t>
      </w:r>
    </w:p>
    <w:p>
      <w:pPr>
        <w:pStyle w:val="Style26"/>
        <w:keepNext w:val="0"/>
        <w:keepLines w:val="0"/>
        <w:widowControl w:val="0"/>
        <w:numPr>
          <w:ilvl w:val="0"/>
          <w:numId w:val="41"/>
        </w:numPr>
        <w:shd w:val="clear" w:color="auto" w:fill="auto"/>
        <w:tabs>
          <w:tab w:pos="816" w:val="left"/>
        </w:tabs>
        <w:bidi w:val="0"/>
        <w:spacing w:before="0" w:after="0" w:line="312" w:lineRule="exact"/>
        <w:ind w:left="0" w:right="0" w:firstLine="520"/>
        <w:jc w:val="both"/>
      </w:pPr>
      <w:bookmarkStart w:id="854" w:name="bookmark854"/>
      <w:bookmarkEnd w:id="854"/>
      <w:r>
        <w:rPr>
          <w:color w:val="000000"/>
          <w:spacing w:val="0"/>
          <w:w w:val="100"/>
          <w:position w:val="0"/>
        </w:rPr>
        <w:t>如果本公司不能无条件地避免以交付现金或其他金融资产来履行一项合同义务，则该合同义务符合金融负债的定 义。有些金融工具虽然没有明确地包含交付现金或其他金融资产义务的条款和条件，但有可能通过其他条款和条件间接地形 成合同义务。</w:t>
      </w:r>
    </w:p>
    <w:p>
      <w:pPr>
        <w:pStyle w:val="Style26"/>
        <w:keepNext w:val="0"/>
        <w:keepLines w:val="0"/>
        <w:widowControl w:val="0"/>
        <w:numPr>
          <w:ilvl w:val="0"/>
          <w:numId w:val="41"/>
        </w:numPr>
        <w:shd w:val="clear" w:color="auto" w:fill="auto"/>
        <w:tabs>
          <w:tab w:pos="816" w:val="left"/>
        </w:tabs>
        <w:bidi w:val="0"/>
        <w:spacing w:before="0" w:after="0" w:line="312" w:lineRule="exact"/>
        <w:ind w:left="0" w:right="0" w:firstLine="520"/>
        <w:jc w:val="both"/>
      </w:pPr>
      <w:bookmarkStart w:id="855" w:name="bookmark855"/>
      <w:bookmarkEnd w:id="855"/>
      <w:r>
        <w:rPr>
          <w:color w:val="000000"/>
          <w:spacing w:val="0"/>
          <w:w w:val="100"/>
          <w:position w:val="0"/>
        </w:rPr>
        <w:t xml:space="preserve">如果一项金融工具须用或可用本公司自身权益工具进行结算，需要考虑用于结算该工具的本公司自身权益工具，是 作为现金或其他金融资产的替代品，还是为了使该工具持有方享有在发行方扣除所有负债后的资产中的剩余权益。如果是前 者，该工具是发行方的金融负债；如果是后者，该工具是发行方的权益工具。在某些情况下，一项金融工具合同规定本公司 须用或可用自身权益工具结算该金融工具，其中合同权利或合同义务的金额等于可获取或需交付的自身权益工具的数量乘以 其结算时的公允价值，则无论该合同权利或合同义务的金额是固定的，还是完全或部分地基于除本公司自身权益工具的市场 </w:t>
      </w:r>
      <w:r>
        <w:rPr>
          <w:color w:val="000000"/>
          <w:spacing w:val="0"/>
          <w:w w:val="100"/>
          <w:position w:val="0"/>
        </w:rPr>
        <w:t>价格以外变量（例如利率、某种商品的价格或某项金融工具的价格）的变动而变动，该合同分类为金融负债。</w:t>
      </w:r>
    </w:p>
    <w:p>
      <w:pPr>
        <w:pStyle w:val="Style26"/>
        <w:keepNext w:val="0"/>
        <w:keepLines w:val="0"/>
        <w:widowControl w:val="0"/>
        <w:shd w:val="clear" w:color="auto" w:fill="auto"/>
        <w:tabs>
          <w:tab w:pos="937" w:val="left"/>
        </w:tabs>
        <w:bidi w:val="0"/>
        <w:spacing w:before="0" w:after="0" w:line="313" w:lineRule="exact"/>
        <w:ind w:left="0" w:right="0" w:firstLine="52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4</w:t>
      </w:r>
      <w:r>
        <w:rPr>
          <w:color w:val="000000"/>
          <w:spacing w:val="0"/>
          <w:w w:val="100"/>
          <w:position w:val="0"/>
        </w:rPr>
        <w:t>）</w:t>
        <w:tab/>
        <w:t>衍生金融工具及嵌入衍生工具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衍生金融工具以衍生交易合同签订当日的公允价值进行初始计量，并以其公允价值进行后续计量。公允价值为正数的 衍生金融工具确认为一项资产，公允价值为负数的确认为一项负债。</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除现金流量套期中属于套期有效的部分计入其他综合收益并于被套期项目影响损益时转出计入当期损益之外，衍生工 具公允价值变动而产生的利得或损失，直接计入当期损益。</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对包含嵌入衍生工具的混合工具，如主合同为金融资产的，混合工具作为一个整体适用金融资产分类的相关规定。如 主合同并非金融资产，且该混合工具不是以公允价值计量且其变动计入当期损益进行会计处理，嵌入衍生工具与该主合同在 经济特征及风险方面不存在紧密关系，且与嵌入衍生工具条件相同、单独存在的工具符合衍生工具定义的，嵌入衍生工具从 混合工具中分拆，作为单独的衍生金融工具处理。如果该嵌入衍生工具在取得日或后续资产负债表日的公允价值无法单独计 量，则将混合工具整体指定为以公允价值计量且其变动计入当期损益的金融资产或金融负债。</w:t>
      </w:r>
    </w:p>
    <w:p>
      <w:pPr>
        <w:pStyle w:val="Style26"/>
        <w:keepNext w:val="0"/>
        <w:keepLines w:val="0"/>
        <w:widowControl w:val="0"/>
        <w:shd w:val="clear" w:color="auto" w:fill="auto"/>
        <w:tabs>
          <w:tab w:pos="937" w:val="left"/>
        </w:tabs>
        <w:bidi w:val="0"/>
        <w:spacing w:before="0" w:after="0" w:line="313" w:lineRule="exact"/>
        <w:ind w:left="0" w:right="0" w:firstLine="52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5</w:t>
      </w:r>
      <w:r>
        <w:rPr>
          <w:color w:val="000000"/>
          <w:spacing w:val="0"/>
          <w:w w:val="100"/>
          <w:position w:val="0"/>
        </w:rPr>
        <w:t>）</w:t>
        <w:tab/>
        <w:t>金融工具减值</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本公司对于以摊余成本计量的金融资产、以公允价值计量且其变动计入其他综合收益的债权投资、合同资产、租赁应收款、 贷款承诺及财务担保合同等，以预期信用损失为基础确认损失准备。</w:t>
      </w:r>
    </w:p>
    <w:p>
      <w:pPr>
        <w:pStyle w:val="Style26"/>
        <w:keepNext w:val="0"/>
        <w:keepLines w:val="0"/>
        <w:widowControl w:val="0"/>
        <w:numPr>
          <w:ilvl w:val="0"/>
          <w:numId w:val="43"/>
        </w:numPr>
        <w:shd w:val="clear" w:color="auto" w:fill="auto"/>
        <w:bidi w:val="0"/>
        <w:spacing w:before="0" w:after="0" w:line="313" w:lineRule="exact"/>
        <w:ind w:left="0" w:right="0" w:firstLine="520"/>
        <w:jc w:val="both"/>
      </w:pPr>
      <w:bookmarkStart w:id="858" w:name="bookmark858"/>
      <w:bookmarkEnd w:id="858"/>
      <w:r>
        <w:rPr>
          <w:color w:val="000000"/>
          <w:spacing w:val="0"/>
          <w:w w:val="100"/>
          <w:position w:val="0"/>
        </w:rPr>
        <w:t>预期信用损失的计量</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利率折现的、根据合同应收的所有合同现金流量与预期收取的所有现金流量之间的差额，即全部现金短缺的现值。其中，对 于本公司购买或源生的已发生信用减值的金融资产，应按照该金融资产经信用调整的实际利率折现。</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整个存续期预期信用损失，是指因金融工具整个预计存续期内所有可能发生的违约事件而导致的预期信用损失。</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个月，则为预计存续 期）可能发生的金融工具违约事件而导致的预期信用损失，是整个存续期预期信用损失的一部分。</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于每个资产负债表日，本公司对于处于不同阶段的金融工具的预期信用损失分别进行计量。金融工具自初始确认后信 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个月内的预期信用损失计量损失准备；金融工具自初始确认后信用 风险已显著增加但尚未发生信用减值的，处于第二阶段，本公司按照该工具整个存续期的预期信用损失计量损失准备；金融 工具自初始确认后已经发生信用减值的，处于第三阶段，本公司按照该工具整个存续期的预期信用损失计量损失准备。</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个月内的预期信用损失计量损失准备。</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26"/>
        <w:keepNext w:val="0"/>
        <w:keepLines w:val="0"/>
        <w:widowControl w:val="0"/>
        <w:shd w:val="clear" w:color="auto" w:fill="auto"/>
        <w:bidi w:val="0"/>
        <w:spacing w:before="0" w:after="100" w:line="313" w:lineRule="exact"/>
        <w:ind w:left="0" w:right="0" w:firstLine="520"/>
        <w:jc w:val="both"/>
      </w:pPr>
      <w:r>
        <w:rPr>
          <w:color w:val="000000"/>
          <w:spacing w:val="0"/>
          <w:w w:val="100"/>
          <w:position w:val="0"/>
        </w:rPr>
        <w:t>对于应收票据、应收账款、应收款项融资及合同资产，无论是否存在重大融资成分，本公司均按照整个存续期的预期 信用损失计量损失准备。</w:t>
      </w:r>
    </w:p>
    <w:p>
      <w:pPr>
        <w:pStyle w:val="Style26"/>
        <w:keepNext w:val="0"/>
        <w:keepLines w:val="0"/>
        <w:widowControl w:val="0"/>
        <w:shd w:val="clear" w:color="auto" w:fill="auto"/>
        <w:bidi w:val="0"/>
        <w:spacing w:before="0" w:after="0"/>
        <w:ind w:left="0" w:right="0" w:firstLine="520"/>
        <w:jc w:val="both"/>
      </w:pPr>
      <w:r>
        <w:rPr>
          <w:rFonts w:ascii="Times New Roman" w:eastAsia="Times New Roman" w:hAnsi="Times New Roman" w:cs="Times New Roman"/>
          <w:color w:val="000000"/>
          <w:spacing w:val="0"/>
          <w:w w:val="100"/>
          <w:position w:val="0"/>
        </w:rPr>
        <w:t>A.</w:t>
      </w:r>
      <w:r>
        <w:rPr>
          <w:color w:val="000000"/>
          <w:spacing w:val="0"/>
          <w:w w:val="100"/>
          <w:position w:val="0"/>
        </w:rPr>
        <w:t>应收款项、合同资产</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对于存在客观证据表明存在减值，以及其他适用于单项评估的应收票据、应收账款，其他应收款、应收款项融资、合 同资产及长期应收款等单独进行减值测试，确认预期信用损失，计提单项减值准备。对于不存在减值客观证据的应收票据、 应收账款、其他应收款、应收款项融资、合同资产及长期应收款或当单项金融资产无法以合理成本评估预期信用损失的信息 时，本公司依据信用风险特征将应收票据、应收账款、其他应收款、应收款项融资、合同资产及长期应收款等划分为若干组 合，在组合基础上计算预期信用损失，确定组合的依据如下：</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应收票据确定组合的依据如下：</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对于划分为组合的应收票据，本公司参考历史信用损失经验，结合当前状况以及对未来经济状况的预测，通过违约风 险敞口和整个存续期预期信用损失率，计算预期信用损失。</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应收账款确定组合的依据如下：</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对于划分为组合的应收账款，本公司参考历史信用损失经验，结合当前状况以及对未来经济状况的预测，编制应收账 款账龄与整个存续期预期信用损失率对照表，计算预期信用损失。</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其他应收款确定组合的依据如下：</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应收合并范围内关联方款项</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应收其他客户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对于划分为组合的其他应收款，本公司参考历史信用损失经验，结合当前状况以及对未来经济状况的预测，通过违约 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应收款项融资确定组合的依据如下：</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应收款项融资组合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对于划分为组合的应收款项融资，本公司参考历史信用损失经验，结合当前状况以及对未来经济状况的预测，通过违 约风险敞口和整个存续期预期信用损失率，计算预期信用损失。</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合同资产确定组合的依据如下：</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合同资产组合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对于划分为组合的合同资产，本公司参考历史信用损失经验，结合当前状况以及对未来经济状况的预测，通过违约风 险敞口和整个存续期预期信用损失率，计算预期信用损失。</w:t>
      </w:r>
    </w:p>
    <w:p>
      <w:pPr>
        <w:pStyle w:val="Style26"/>
        <w:keepNext w:val="0"/>
        <w:keepLines w:val="0"/>
        <w:widowControl w:val="0"/>
        <w:shd w:val="clear" w:color="auto" w:fill="auto"/>
        <w:bidi w:val="0"/>
        <w:spacing w:before="0" w:after="0" w:line="313" w:lineRule="exact"/>
        <w:ind w:left="0" w:right="0" w:firstLine="520"/>
        <w:jc w:val="both"/>
      </w:pPr>
      <w:r>
        <w:rPr>
          <w:rFonts w:ascii="Times New Roman" w:eastAsia="Times New Roman" w:hAnsi="Times New Roman" w:cs="Times New Roman"/>
          <w:color w:val="000000"/>
          <w:spacing w:val="0"/>
          <w:w w:val="100"/>
          <w:position w:val="0"/>
        </w:rPr>
        <w:t>B.</w:t>
      </w:r>
      <w:r>
        <w:rPr>
          <w:color w:val="000000"/>
          <w:spacing w:val="0"/>
          <w:w w:val="100"/>
          <w:position w:val="0"/>
        </w:rPr>
        <w:t>债权投资、其他债权投资</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对于债权投资和其他债权投资，本公司按照投资的性质，根据交易对手和风险敞口的各种类型，通过违约风险敞口和未来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个月内或整个存续期预期信用损失率，计算预期信用损失。</w:t>
      </w:r>
    </w:p>
    <w:p>
      <w:pPr>
        <w:pStyle w:val="Style26"/>
        <w:keepNext w:val="0"/>
        <w:keepLines w:val="0"/>
        <w:widowControl w:val="0"/>
        <w:numPr>
          <w:ilvl w:val="0"/>
          <w:numId w:val="43"/>
        </w:numPr>
        <w:shd w:val="clear" w:color="auto" w:fill="auto"/>
        <w:tabs>
          <w:tab w:pos="893" w:val="left"/>
        </w:tabs>
        <w:bidi w:val="0"/>
        <w:spacing w:before="0" w:after="0" w:line="313" w:lineRule="exact"/>
        <w:ind w:left="0" w:right="0" w:firstLine="520"/>
        <w:jc w:val="both"/>
      </w:pPr>
      <w:bookmarkStart w:id="859" w:name="bookmark859"/>
      <w:bookmarkEnd w:id="859"/>
      <w:r>
        <w:rPr>
          <w:color w:val="000000"/>
          <w:spacing w:val="0"/>
          <w:w w:val="100"/>
          <w:position w:val="0"/>
        </w:rPr>
        <w:t>具有较低的信用风险</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26"/>
        <w:keepNext w:val="0"/>
        <w:keepLines w:val="0"/>
        <w:widowControl w:val="0"/>
        <w:numPr>
          <w:ilvl w:val="0"/>
          <w:numId w:val="43"/>
        </w:numPr>
        <w:shd w:val="clear" w:color="auto" w:fill="auto"/>
        <w:tabs>
          <w:tab w:pos="893" w:val="left"/>
        </w:tabs>
        <w:bidi w:val="0"/>
        <w:spacing w:before="0" w:after="0" w:line="313" w:lineRule="exact"/>
        <w:ind w:left="0" w:right="0" w:firstLine="520"/>
        <w:jc w:val="both"/>
      </w:pPr>
      <w:bookmarkStart w:id="860" w:name="bookmark860"/>
      <w:bookmarkEnd w:id="860"/>
      <w:r>
        <w:rPr>
          <w:color w:val="000000"/>
          <w:spacing w:val="0"/>
          <w:w w:val="100"/>
          <w:position w:val="0"/>
        </w:rPr>
        <w:t>信用风险显著增加</w:t>
      </w:r>
    </w:p>
    <w:p>
      <w:pPr>
        <w:pStyle w:val="Style26"/>
        <w:keepNext w:val="0"/>
        <w:keepLines w:val="0"/>
        <w:widowControl w:val="0"/>
        <w:shd w:val="clear" w:color="auto" w:fill="auto"/>
        <w:bidi w:val="0"/>
        <w:spacing w:before="0" w:after="0" w:line="313" w:lineRule="exact"/>
        <w:ind w:left="0" w:right="0" w:firstLine="520"/>
        <w:jc w:val="left"/>
      </w:pPr>
      <w:r>
        <w:rPr>
          <w:color w:val="000000"/>
          <w:spacing w:val="0"/>
          <w:w w:val="100"/>
          <w:position w:val="0"/>
        </w:rPr>
        <w:t>本公司通过比较金融工具在资产负债表日所确定的预计存续期内的违约概率与在初始确认时所确定的预计存续期内 的违约概率，以确定金融工具预计存续期内发生违约概率的相对变化，以评估金融工具的信用风险自初始确认后是否已显著 增加。</w:t>
      </w:r>
    </w:p>
    <w:p>
      <w:pPr>
        <w:pStyle w:val="Style26"/>
        <w:keepNext w:val="0"/>
        <w:keepLines w:val="0"/>
        <w:widowControl w:val="0"/>
        <w:shd w:val="clear" w:color="auto" w:fill="auto"/>
        <w:bidi w:val="0"/>
        <w:spacing w:before="0" w:after="0" w:line="313" w:lineRule="exact"/>
        <w:ind w:left="0" w:right="0" w:firstLine="520"/>
        <w:jc w:val="left"/>
      </w:pPr>
      <w:r>
        <w:rPr>
          <w:color w:val="000000"/>
          <w:spacing w:val="0"/>
          <w:w w:val="100"/>
          <w:position w:val="0"/>
        </w:rPr>
        <w:t>在确定信用风险自初始确认后是否显著增加时，本公司考虑无须付出不必要的额外成本或努力即可获得的合理且有依 据的信息，包括前瞻性信息。本公司考虑的信息包括：</w:t>
      </w:r>
    </w:p>
    <w:p>
      <w:pPr>
        <w:pStyle w:val="Style26"/>
        <w:keepNext w:val="0"/>
        <w:keepLines w:val="0"/>
        <w:widowControl w:val="0"/>
        <w:numPr>
          <w:ilvl w:val="0"/>
          <w:numId w:val="45"/>
        </w:numPr>
        <w:shd w:val="clear" w:color="auto" w:fill="auto"/>
        <w:tabs>
          <w:tab w:pos="883" w:val="left"/>
        </w:tabs>
        <w:bidi w:val="0"/>
        <w:spacing w:before="0" w:after="0" w:line="313" w:lineRule="exact"/>
        <w:ind w:left="0" w:right="0" w:firstLine="520"/>
        <w:jc w:val="left"/>
      </w:pPr>
      <w:bookmarkStart w:id="861" w:name="bookmark861"/>
      <w:bookmarkEnd w:id="861"/>
      <w:r>
        <w:rPr>
          <w:color w:val="000000"/>
          <w:spacing w:val="0"/>
          <w:w w:val="100"/>
          <w:position w:val="0"/>
        </w:rPr>
        <w:t>信用风险变化所导致的内部价格指标是否发生显著变化；</w:t>
      </w:r>
    </w:p>
    <w:p>
      <w:pPr>
        <w:pStyle w:val="Style26"/>
        <w:keepNext w:val="0"/>
        <w:keepLines w:val="0"/>
        <w:widowControl w:val="0"/>
        <w:numPr>
          <w:ilvl w:val="0"/>
          <w:numId w:val="45"/>
        </w:numPr>
        <w:shd w:val="clear" w:color="auto" w:fill="auto"/>
        <w:tabs>
          <w:tab w:pos="883" w:val="left"/>
        </w:tabs>
        <w:bidi w:val="0"/>
        <w:spacing w:before="0" w:after="0" w:line="313" w:lineRule="exact"/>
        <w:ind w:left="0" w:right="0" w:firstLine="520"/>
        <w:jc w:val="both"/>
      </w:pPr>
      <w:bookmarkStart w:id="862" w:name="bookmark862"/>
      <w:bookmarkEnd w:id="862"/>
      <w:r>
        <w:rPr>
          <w:color w:val="000000"/>
          <w:spacing w:val="0"/>
          <w:w w:val="100"/>
          <w:position w:val="0"/>
        </w:rPr>
        <w:t>预期将导致债务人履行其偿债义务的能力是否发生显著变化的业务、财务或经济状况的不利变化；</w:t>
      </w:r>
    </w:p>
    <w:p>
      <w:pPr>
        <w:pStyle w:val="Style26"/>
        <w:keepNext w:val="0"/>
        <w:keepLines w:val="0"/>
        <w:widowControl w:val="0"/>
        <w:numPr>
          <w:ilvl w:val="0"/>
          <w:numId w:val="45"/>
        </w:numPr>
        <w:shd w:val="clear" w:color="auto" w:fill="auto"/>
        <w:tabs>
          <w:tab w:pos="883" w:val="left"/>
        </w:tabs>
        <w:bidi w:val="0"/>
        <w:spacing w:before="0" w:after="0" w:line="313" w:lineRule="exact"/>
        <w:ind w:left="0" w:right="0" w:firstLine="520"/>
        <w:jc w:val="both"/>
      </w:pPr>
      <w:bookmarkStart w:id="863" w:name="bookmark863"/>
      <w:bookmarkEnd w:id="863"/>
      <w:r>
        <w:rPr>
          <w:color w:val="000000"/>
          <w:spacing w:val="0"/>
          <w:w w:val="100"/>
          <w:position w:val="0"/>
        </w:rPr>
        <w:t>债务人经营成果实际或预期是否发生显著变化；债务人所处的监管、经济或技术环境是否发生显著不利变化；</w:t>
      </w:r>
    </w:p>
    <w:p>
      <w:pPr>
        <w:pStyle w:val="Style26"/>
        <w:keepNext w:val="0"/>
        <w:keepLines w:val="0"/>
        <w:widowControl w:val="0"/>
        <w:numPr>
          <w:ilvl w:val="0"/>
          <w:numId w:val="45"/>
        </w:numPr>
        <w:shd w:val="clear" w:color="auto" w:fill="auto"/>
        <w:tabs>
          <w:tab w:pos="858" w:val="left"/>
        </w:tabs>
        <w:bidi w:val="0"/>
        <w:spacing w:before="0" w:after="0" w:line="313" w:lineRule="exact"/>
        <w:ind w:left="0" w:right="0" w:firstLine="520"/>
        <w:jc w:val="both"/>
      </w:pPr>
      <w:bookmarkStart w:id="864" w:name="bookmark864"/>
      <w:bookmarkEnd w:id="864"/>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26"/>
        <w:keepNext w:val="0"/>
        <w:keepLines w:val="0"/>
        <w:widowControl w:val="0"/>
        <w:numPr>
          <w:ilvl w:val="0"/>
          <w:numId w:val="45"/>
        </w:numPr>
        <w:shd w:val="clear" w:color="auto" w:fill="auto"/>
        <w:tabs>
          <w:tab w:pos="883" w:val="left"/>
        </w:tabs>
        <w:bidi w:val="0"/>
        <w:spacing w:before="0" w:after="0" w:line="313" w:lineRule="exact"/>
        <w:ind w:left="0" w:right="0" w:firstLine="520"/>
        <w:jc w:val="both"/>
      </w:pPr>
      <w:bookmarkStart w:id="865" w:name="bookmark865"/>
      <w:bookmarkEnd w:id="865"/>
      <w:r>
        <w:rPr>
          <w:color w:val="000000"/>
          <w:spacing w:val="0"/>
          <w:w w:val="100"/>
          <w:position w:val="0"/>
        </w:rPr>
        <w:t>预期将降低债务人按合同约定期限还款的经济动机是否发生显著变化；</w:t>
      </w:r>
    </w:p>
    <w:p>
      <w:pPr>
        <w:pStyle w:val="Style26"/>
        <w:keepNext w:val="0"/>
        <w:keepLines w:val="0"/>
        <w:widowControl w:val="0"/>
        <w:numPr>
          <w:ilvl w:val="0"/>
          <w:numId w:val="45"/>
        </w:numPr>
        <w:shd w:val="clear" w:color="auto" w:fill="auto"/>
        <w:tabs>
          <w:tab w:pos="858" w:val="left"/>
        </w:tabs>
        <w:bidi w:val="0"/>
        <w:spacing w:before="0" w:after="0" w:line="313" w:lineRule="exact"/>
        <w:ind w:left="0" w:right="0" w:firstLine="520"/>
        <w:jc w:val="both"/>
      </w:pPr>
      <w:bookmarkStart w:id="866" w:name="bookmark866"/>
      <w:bookmarkEnd w:id="866"/>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26"/>
        <w:keepNext w:val="0"/>
        <w:keepLines w:val="0"/>
        <w:widowControl w:val="0"/>
        <w:numPr>
          <w:ilvl w:val="0"/>
          <w:numId w:val="45"/>
        </w:numPr>
        <w:shd w:val="clear" w:color="auto" w:fill="auto"/>
        <w:tabs>
          <w:tab w:pos="883" w:val="left"/>
        </w:tabs>
        <w:bidi w:val="0"/>
        <w:spacing w:before="0" w:after="0" w:line="313" w:lineRule="exact"/>
        <w:ind w:left="0" w:right="0" w:firstLine="520"/>
        <w:jc w:val="both"/>
      </w:pPr>
      <w:bookmarkStart w:id="867" w:name="bookmark867"/>
      <w:bookmarkEnd w:id="867"/>
      <w:r>
        <w:rPr>
          <w:color w:val="000000"/>
          <w:spacing w:val="0"/>
          <w:w w:val="100"/>
          <w:position w:val="0"/>
        </w:rPr>
        <w:t>债务人预期表现和还款行为是否发生显著变化；</w:t>
      </w:r>
    </w:p>
    <w:p>
      <w:pPr>
        <w:pStyle w:val="Style26"/>
        <w:keepNext w:val="0"/>
        <w:keepLines w:val="0"/>
        <w:widowControl w:val="0"/>
        <w:numPr>
          <w:ilvl w:val="0"/>
          <w:numId w:val="45"/>
        </w:numPr>
        <w:shd w:val="clear" w:color="auto" w:fill="auto"/>
        <w:tabs>
          <w:tab w:pos="883" w:val="left"/>
        </w:tabs>
        <w:bidi w:val="0"/>
        <w:spacing w:before="0" w:after="0" w:line="313" w:lineRule="exact"/>
        <w:ind w:left="0" w:right="0" w:firstLine="520"/>
        <w:jc w:val="both"/>
      </w:pPr>
      <w:bookmarkStart w:id="868" w:name="bookmark868"/>
      <w:bookmarkEnd w:id="868"/>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根据金融工具的性质，本公司以单项金融工具或金融工具组合为基础评估信用风险是否显著增加。以金融工具组合为 基础进行评估时，本公司可基于共同信用风险特征对金融工具进行分类，例如逾期信息和信用风险评级。</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color w:val="000000"/>
          <w:spacing w:val="0"/>
          <w:w w:val="100"/>
          <w:position w:val="0"/>
          <w:sz w:val="22"/>
          <w:szCs w:val="22"/>
        </w:rPr>
        <w:t>0,</w:t>
      </w:r>
      <w:r>
        <w:rPr>
          <w:color w:val="000000"/>
          <w:spacing w:val="0"/>
          <w:w w:val="100"/>
          <w:position w:val="0"/>
        </w:rPr>
        <w:t>本公司确定金融工具的信用风险已经显著增加。除非本公司无需付出过多成本或努 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天，但信用风险自初始确认以来并未显著增加。</w:t>
      </w:r>
    </w:p>
    <w:p>
      <w:pPr>
        <w:pStyle w:val="Style26"/>
        <w:keepNext w:val="0"/>
        <w:keepLines w:val="0"/>
        <w:widowControl w:val="0"/>
        <w:numPr>
          <w:ilvl w:val="0"/>
          <w:numId w:val="43"/>
        </w:numPr>
        <w:shd w:val="clear" w:color="auto" w:fill="auto"/>
        <w:tabs>
          <w:tab w:pos="872" w:val="left"/>
        </w:tabs>
        <w:bidi w:val="0"/>
        <w:spacing w:before="0" w:after="0" w:line="314" w:lineRule="exact"/>
        <w:ind w:left="0" w:right="0" w:firstLine="520"/>
        <w:jc w:val="both"/>
      </w:pPr>
      <w:bookmarkStart w:id="869" w:name="bookmark869"/>
      <w:bookmarkEnd w:id="869"/>
      <w:r>
        <w:rPr>
          <w:color w:val="000000"/>
          <w:spacing w:val="0"/>
          <w:w w:val="100"/>
          <w:position w:val="0"/>
        </w:rPr>
        <w:t>已发生信用减值的金融资产</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本公司在资产负债表日评估以摊余成本计量的金融资产和以公允价值计量且其变动计入其他综合收益的债权投资是 否已发生信用减值。当对金融资产预期未来现金流量具有不利影响的一项或多项事件发生时，该金融资产成为已发生信用减 值的金融资产。金融资产已发生信用减值的证据包括下列可观察信息：</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发行方或债务人发生重大财务困难；债务人违反合同，如偿付利息或本金违约或逾期等；债权人出于与债务人财务困 难有关的经济或合同考虑，给予债务人在任何其他情况下都不会做出的让步；债务人很可能破产或进行其他财务重组；发行 方或债务人财务困难导致该金融资产的活跃市场消失；以大幅折扣购买或源生一项金融资产，该折扣反映了发生信用损失的 事实。</w:t>
      </w:r>
    </w:p>
    <w:p>
      <w:pPr>
        <w:pStyle w:val="Style26"/>
        <w:keepNext w:val="0"/>
        <w:keepLines w:val="0"/>
        <w:widowControl w:val="0"/>
        <w:numPr>
          <w:ilvl w:val="0"/>
          <w:numId w:val="43"/>
        </w:numPr>
        <w:shd w:val="clear" w:color="auto" w:fill="auto"/>
        <w:tabs>
          <w:tab w:pos="872" w:val="left"/>
        </w:tabs>
        <w:bidi w:val="0"/>
        <w:spacing w:before="0" w:after="0" w:line="314" w:lineRule="exact"/>
        <w:ind w:left="0" w:right="0" w:firstLine="520"/>
        <w:jc w:val="both"/>
      </w:pPr>
      <w:bookmarkStart w:id="870" w:name="bookmark870"/>
      <w:bookmarkEnd w:id="870"/>
      <w:r>
        <w:rPr>
          <w:color w:val="000000"/>
          <w:spacing w:val="0"/>
          <w:w w:val="100"/>
          <w:position w:val="0"/>
        </w:rPr>
        <w:t>预期信用损失准备的列报</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资产在资产负债表中列示的账面价值；对于以公允价值计量且其变动计入其他综合收益的债权投资，本公司在其他综合收益 中确认其损失准备，不抵减该金融资产的账面价值。</w:t>
      </w:r>
    </w:p>
    <w:p>
      <w:pPr>
        <w:pStyle w:val="Style26"/>
        <w:keepNext w:val="0"/>
        <w:keepLines w:val="0"/>
        <w:widowControl w:val="0"/>
        <w:numPr>
          <w:ilvl w:val="0"/>
          <w:numId w:val="43"/>
        </w:numPr>
        <w:shd w:val="clear" w:color="auto" w:fill="auto"/>
        <w:tabs>
          <w:tab w:pos="872" w:val="left"/>
        </w:tabs>
        <w:bidi w:val="0"/>
        <w:spacing w:before="0" w:after="0" w:line="314" w:lineRule="exact"/>
        <w:ind w:left="0" w:right="0" w:firstLine="520"/>
        <w:jc w:val="both"/>
      </w:pPr>
      <w:bookmarkStart w:id="871" w:name="bookmark871"/>
      <w:bookmarkEnd w:id="871"/>
      <w:r>
        <w:rPr>
          <w:color w:val="000000"/>
          <w:spacing w:val="0"/>
          <w:w w:val="100"/>
          <w:position w:val="0"/>
        </w:rPr>
        <w:t>核销</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构成相关金融资产的终止确认。这种情况通常发生在本公司确定债务人没有资产或收入来源可产生足够的现金流量以偿还将 被减记的金额。</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已减记的金融资产以后又收回的，作为减值损失的转回计入收回当期的损益。</w:t>
      </w:r>
    </w:p>
    <w:p>
      <w:pPr>
        <w:pStyle w:val="Style26"/>
        <w:keepNext w:val="0"/>
        <w:keepLines w:val="0"/>
        <w:widowControl w:val="0"/>
        <w:shd w:val="clear" w:color="auto" w:fill="auto"/>
        <w:bidi w:val="0"/>
        <w:spacing w:before="0" w:after="0" w:line="314" w:lineRule="exact"/>
        <w:ind w:left="0" w:right="0" w:firstLine="52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6</w:t>
      </w:r>
      <w:r>
        <w:rPr>
          <w:color w:val="000000"/>
          <w:spacing w:val="0"/>
          <w:w w:val="100"/>
          <w:position w:val="0"/>
        </w:rPr>
        <w:t>）金融资产转移</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金融资产转移是指下列两种情形：</w:t>
      </w:r>
    </w:p>
    <w:p>
      <w:pPr>
        <w:pStyle w:val="Style26"/>
        <w:keepNext w:val="0"/>
        <w:keepLines w:val="0"/>
        <w:widowControl w:val="0"/>
        <w:numPr>
          <w:ilvl w:val="0"/>
          <w:numId w:val="47"/>
        </w:numPr>
        <w:shd w:val="clear" w:color="auto" w:fill="auto"/>
        <w:tabs>
          <w:tab w:pos="862" w:val="left"/>
        </w:tabs>
        <w:bidi w:val="0"/>
        <w:spacing w:before="0" w:after="0" w:line="316" w:lineRule="exact"/>
        <w:ind w:left="0" w:right="0" w:firstLine="520"/>
        <w:jc w:val="both"/>
      </w:pPr>
      <w:bookmarkStart w:id="873" w:name="bookmark873"/>
      <w:bookmarkEnd w:id="873"/>
      <w:r>
        <w:rPr>
          <w:color w:val="000000"/>
          <w:spacing w:val="0"/>
          <w:w w:val="100"/>
          <w:position w:val="0"/>
        </w:rPr>
        <w:t>将收取金融资产现金流量的合同权利转移给另一方；</w:t>
      </w:r>
    </w:p>
    <w:p>
      <w:pPr>
        <w:pStyle w:val="Style26"/>
        <w:keepNext w:val="0"/>
        <w:keepLines w:val="0"/>
        <w:widowControl w:val="0"/>
        <w:numPr>
          <w:ilvl w:val="0"/>
          <w:numId w:val="47"/>
        </w:numPr>
        <w:shd w:val="clear" w:color="auto" w:fill="auto"/>
        <w:tabs>
          <w:tab w:pos="837" w:val="left"/>
        </w:tabs>
        <w:bidi w:val="0"/>
        <w:spacing w:before="0" w:after="0" w:line="316" w:lineRule="exact"/>
        <w:ind w:left="0" w:right="0" w:firstLine="520"/>
        <w:jc w:val="both"/>
      </w:pPr>
      <w:bookmarkStart w:id="874" w:name="bookmark874"/>
      <w:bookmarkEnd w:id="874"/>
      <w:r>
        <w:rPr>
          <w:color w:val="000000"/>
          <w:spacing w:val="0"/>
          <w:w w:val="100"/>
          <w:position w:val="0"/>
        </w:rPr>
        <w:t>将金融资产整体或部分转移给另一方，但保留收取金融资产现金流量的合同权利，并承担将收取的现金流量支付给 一个或多个收款方的合同义务。</w:t>
      </w:r>
    </w:p>
    <w:p>
      <w:pPr>
        <w:pStyle w:val="Style26"/>
        <w:keepNext w:val="0"/>
        <w:keepLines w:val="0"/>
        <w:widowControl w:val="0"/>
        <w:numPr>
          <w:ilvl w:val="0"/>
          <w:numId w:val="49"/>
        </w:numPr>
        <w:shd w:val="clear" w:color="auto" w:fill="auto"/>
        <w:tabs>
          <w:tab w:pos="872" w:val="left"/>
        </w:tabs>
        <w:bidi w:val="0"/>
        <w:spacing w:before="0" w:after="0" w:line="316" w:lineRule="exact"/>
        <w:ind w:left="0" w:right="0" w:firstLine="520"/>
        <w:jc w:val="both"/>
      </w:pPr>
      <w:bookmarkStart w:id="875" w:name="bookmark875"/>
      <w:bookmarkEnd w:id="875"/>
      <w:r>
        <w:rPr>
          <w:color w:val="000000"/>
          <w:spacing w:val="0"/>
          <w:w w:val="100"/>
          <w:position w:val="0"/>
        </w:rPr>
        <w:t>终止确认所转移的金融资产</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已将金融资产所有权上几乎所有的风险和报酬转移给转入方的，或既没有转移也没有保留金融资产所有权上几乎所有 的风险和报酬的，但放弃了对该金融资产控制的，终止确认该金融资产。</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在判断是否已放弃对所转移金融资产的控制时，根据转入方出售该金融资产的实际能力。转入方能够单方面将转移的 金融资产整体出售给不相关的第三方，且没有额外条件对此项出售加以限制的，则公司已放弃对该金融资产的控制。</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本公司在判断金融资产转移是否满足金融资产终止确认条件时，注重金融资产转移的实质。</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金融资产整体转移满足终止确认条件的，将下列两项金额的差额计入当期损益：</w:t>
      </w:r>
    </w:p>
    <w:p>
      <w:pPr>
        <w:pStyle w:val="Style26"/>
        <w:keepNext w:val="0"/>
        <w:keepLines w:val="0"/>
        <w:widowControl w:val="0"/>
        <w:numPr>
          <w:ilvl w:val="0"/>
          <w:numId w:val="51"/>
        </w:numPr>
        <w:shd w:val="clear" w:color="auto" w:fill="auto"/>
        <w:tabs>
          <w:tab w:pos="862" w:val="left"/>
        </w:tabs>
        <w:bidi w:val="0"/>
        <w:spacing w:before="0" w:after="0" w:line="316" w:lineRule="exact"/>
        <w:ind w:left="0" w:right="0" w:firstLine="520"/>
        <w:jc w:val="both"/>
      </w:pPr>
      <w:bookmarkStart w:id="876" w:name="bookmark876"/>
      <w:bookmarkEnd w:id="876"/>
      <w:r>
        <w:rPr>
          <w:color w:val="000000"/>
          <w:spacing w:val="0"/>
          <w:w w:val="100"/>
          <w:position w:val="0"/>
        </w:rPr>
        <w:t>所转移金融资产的账面价值；</w:t>
      </w:r>
    </w:p>
    <w:p>
      <w:pPr>
        <w:pStyle w:val="Style26"/>
        <w:keepNext w:val="0"/>
        <w:keepLines w:val="0"/>
        <w:widowControl w:val="0"/>
        <w:numPr>
          <w:ilvl w:val="0"/>
          <w:numId w:val="51"/>
        </w:numPr>
        <w:shd w:val="clear" w:color="auto" w:fill="auto"/>
        <w:tabs>
          <w:tab w:pos="837" w:val="left"/>
        </w:tabs>
        <w:bidi w:val="0"/>
        <w:spacing w:before="0" w:after="0" w:line="316" w:lineRule="exact"/>
        <w:ind w:left="0" w:right="0" w:firstLine="520"/>
        <w:jc w:val="both"/>
      </w:pPr>
      <w:bookmarkStart w:id="877" w:name="bookmark877"/>
      <w:bookmarkEnd w:id="877"/>
      <w:r>
        <w:rPr>
          <w:color w:val="000000"/>
          <w:spacing w:val="0"/>
          <w:w w:val="100"/>
          <w:position w:val="0"/>
        </w:rPr>
        <w:t>因转移而收到的对价，与原直接计入其他综合收益的公允价值变动累计额中对于终止确认部分的金额（涉及转移的 金融资产为根据《企业会计准则第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 的金融资产的情形）之和。</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金融资产部分转移满足终止确认条件的，将所转移金融资产整体的账面价值，在终止确认部分和未终止确认部分（在 此种情况下，所保留的服务资产视同继续确认金融资产的一部分）之间，按照转移日各自的相对公允价值进行分摊，并将下 列两项金额的差额计入当期损益：</w:t>
      </w:r>
    </w:p>
    <w:p>
      <w:pPr>
        <w:pStyle w:val="Style26"/>
        <w:keepNext w:val="0"/>
        <w:keepLines w:val="0"/>
        <w:widowControl w:val="0"/>
        <w:numPr>
          <w:ilvl w:val="0"/>
          <w:numId w:val="53"/>
        </w:numPr>
        <w:shd w:val="clear" w:color="auto" w:fill="auto"/>
        <w:tabs>
          <w:tab w:pos="862" w:val="left"/>
        </w:tabs>
        <w:bidi w:val="0"/>
        <w:spacing w:before="0" w:after="0" w:line="316" w:lineRule="exact"/>
        <w:ind w:left="0" w:right="0" w:firstLine="520"/>
        <w:jc w:val="both"/>
      </w:pPr>
      <w:bookmarkStart w:id="878" w:name="bookmark878"/>
      <w:bookmarkEnd w:id="878"/>
      <w:r>
        <w:rPr>
          <w:color w:val="000000"/>
          <w:spacing w:val="0"/>
          <w:w w:val="100"/>
          <w:position w:val="0"/>
        </w:rPr>
        <w:t>终止确认部分在终止确认日的账面价值；</w:t>
      </w:r>
    </w:p>
    <w:p>
      <w:pPr>
        <w:pStyle w:val="Style26"/>
        <w:keepNext w:val="0"/>
        <w:keepLines w:val="0"/>
        <w:widowControl w:val="0"/>
        <w:numPr>
          <w:ilvl w:val="0"/>
          <w:numId w:val="53"/>
        </w:numPr>
        <w:shd w:val="clear" w:color="auto" w:fill="auto"/>
        <w:tabs>
          <w:tab w:pos="832" w:val="left"/>
        </w:tabs>
        <w:bidi w:val="0"/>
        <w:spacing w:before="0" w:after="0" w:line="316" w:lineRule="exact"/>
        <w:ind w:left="0" w:right="0" w:firstLine="520"/>
        <w:jc w:val="both"/>
      </w:pPr>
      <w:bookmarkStart w:id="879" w:name="bookmark879"/>
      <w:bookmarkEnd w:id="879"/>
      <w:r>
        <w:rPr>
          <w:color w:val="000000"/>
          <w:spacing w:val="0"/>
          <w:w w:val="100"/>
          <w:position w:val="0"/>
        </w:rPr>
        <w:t>终止确认部分的对价，与原计入其他综合收益的公允价值变动累计额中对应终止确认部分的金额（涉及转移的金融 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金融工具确认和计量》第十八条分类为以公允价值计量且其变动计入其他综合收益的金 融资产的情形）之和。</w:t>
      </w:r>
    </w:p>
    <w:p>
      <w:pPr>
        <w:pStyle w:val="Style26"/>
        <w:keepNext w:val="0"/>
        <w:keepLines w:val="0"/>
        <w:widowControl w:val="0"/>
        <w:numPr>
          <w:ilvl w:val="0"/>
          <w:numId w:val="49"/>
        </w:numPr>
        <w:shd w:val="clear" w:color="auto" w:fill="auto"/>
        <w:tabs>
          <w:tab w:pos="872" w:val="left"/>
        </w:tabs>
        <w:bidi w:val="0"/>
        <w:spacing w:before="0" w:after="0" w:line="316" w:lineRule="exact"/>
        <w:ind w:left="0" w:right="0" w:firstLine="520"/>
        <w:jc w:val="both"/>
      </w:pPr>
      <w:bookmarkStart w:id="880" w:name="bookmark880"/>
      <w:bookmarkEnd w:id="880"/>
      <w:r>
        <w:rPr>
          <w:color w:val="000000"/>
          <w:spacing w:val="0"/>
          <w:w w:val="100"/>
          <w:position w:val="0"/>
        </w:rPr>
        <w:t>继续涉入所转移的金融资产</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既没有转移也没有保留金融资产所有权上几乎所有的风险和报酬的，且未放弃对该金融资产控制的，应当按照其继续 涉入所转移金融资产的程度确认有关金融资产，并相应确认有关负债。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继续涉入所转移金融资产的程度，是指企业承担的被转移金融资产价值变动风险或报酬的程度。</w:t>
      </w:r>
    </w:p>
    <w:p>
      <w:pPr>
        <w:pStyle w:val="Style26"/>
        <w:keepNext w:val="0"/>
        <w:keepLines w:val="0"/>
        <w:widowControl w:val="0"/>
        <w:numPr>
          <w:ilvl w:val="0"/>
          <w:numId w:val="49"/>
        </w:numPr>
        <w:shd w:val="clear" w:color="auto" w:fill="auto"/>
        <w:bidi w:val="0"/>
        <w:spacing w:before="0" w:after="0" w:line="315" w:lineRule="exact"/>
        <w:ind w:left="0" w:right="0" w:firstLine="520"/>
        <w:jc w:val="both"/>
      </w:pPr>
      <w:bookmarkStart w:id="881" w:name="bookmark881"/>
      <w:bookmarkEnd w:id="881"/>
      <w:r>
        <w:rPr>
          <w:color w:val="000000"/>
          <w:spacing w:val="0"/>
          <w:w w:val="100"/>
          <w:position w:val="0"/>
        </w:rPr>
        <w:t>继续确认所转移的金融资产</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仍保留与所转移金融资产所有权上几乎所有的风险和报酬的，应当继续确认所转移金融资产整体，并将收到的对价确 认为一项金融负债。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该金融资产与确认的相关金融负债不得相互抵销。在随后的会计期间，企业应当继续确认该金融资产产生的收入（或 利得）和该金融负债产生的费用（或损失）。</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金融资产和金融负债应当在资产负债表内分别列示，不得相互抵销。但同时满足下列条件的，以相互抵销后的净额在 资产负债表内列示：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本公司具有抵销已确认金额的法定权利，且该种法定权利是当前可执行的；</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本公司计划以净额结算，或同时变现该金融资产和清偿该金融负债。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不满足终止确认条件的金融资产转移，转出方不得将已转移的金融资产和相关负债进行抵销。</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金融工具公允价值的确定方法</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公允价值是指市场参与者在计量日发生的有序交易中，出售一项资产所能收到或者转移一项负债所需支付的价格。</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本公司以主要市场的价格计量相关资产或负债的公允价值，不存在主要市场的，本公司以最有利市场的价格计量相关 资产或负债的公允价值。本公司采用市场参与者在对该资产或负债定价时为实现其经济利益最大化所使用的假设。</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主要市场，是指相关资产或负债交易量最大和交易活跃程度最高的市场；最有利市场，是指在考虑交易费用和运输费 用后，能够以最高金额出售相关资产或者以最低金额转移相关负债的市场。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存在活跃市场的金融资产或金融负债，本公司采用活跃市场中的报价确定其公允价值。金融工具不存在活跃市场的， 本公司采用估值技术确定其公允价值。</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以公允价值计量非金融资产的，考虑市场参与者将该资产用于最佳用途产生经济利益的能力，或者将该资产出售给能 够用于最佳用途的其他市场参与者产生经济利益的能力。</w:t>
      </w:r>
    </w:p>
    <w:p>
      <w:pPr>
        <w:pStyle w:val="Style26"/>
        <w:keepNext w:val="0"/>
        <w:keepLines w:val="0"/>
        <w:widowControl w:val="0"/>
        <w:numPr>
          <w:ilvl w:val="0"/>
          <w:numId w:val="55"/>
        </w:numPr>
        <w:shd w:val="clear" w:color="auto" w:fill="auto"/>
        <w:tabs>
          <w:tab w:pos="893" w:val="left"/>
        </w:tabs>
        <w:bidi w:val="0"/>
        <w:spacing w:before="0" w:after="0" w:line="315" w:lineRule="exact"/>
        <w:ind w:left="0" w:right="0" w:firstLine="520"/>
        <w:jc w:val="both"/>
      </w:pPr>
      <w:bookmarkStart w:id="884" w:name="bookmark884"/>
      <w:bookmarkEnd w:id="884"/>
      <w:r>
        <w:rPr>
          <w:color w:val="000000"/>
          <w:spacing w:val="0"/>
          <w:w w:val="100"/>
          <w:position w:val="0"/>
        </w:rPr>
        <w:t>估值技术</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本公司采用在当期情况下适用并且有足够可利用数据和其他信息支持的估值技术，使用的估值技术主要包括市场法、 收益法和成本法。本公司使用与其中一种或多种估值技术相一致的方法计量公允价值，使用多种估值技术计量公允价值的， 考虑各估值结果的合理性，选取在当期情况下最能代表公允价值的金额作为公允价值。</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本公司在估值技术的应用中，优先使用相关可观察输入值，只有在相关可观察输入值无法取得或取得不切实可行的情 况下，才使用不可观察输入值。可观察输入值，是指能够从市场数据中取得的输入值。该输入值反映了市场参与者在对相关 资产或负债定价时所使用的假设。不可观察输入值，是指不能从市场数据中取得的输入值。该输入值根据可获得的市场参与 者在对相关资产或负债定价时所使用假设的最佳信息取得。</w:t>
      </w:r>
    </w:p>
    <w:p>
      <w:pPr>
        <w:pStyle w:val="Style26"/>
        <w:keepNext w:val="0"/>
        <w:keepLines w:val="0"/>
        <w:widowControl w:val="0"/>
        <w:numPr>
          <w:ilvl w:val="0"/>
          <w:numId w:val="55"/>
        </w:numPr>
        <w:shd w:val="clear" w:color="auto" w:fill="auto"/>
        <w:tabs>
          <w:tab w:pos="893" w:val="left"/>
        </w:tabs>
        <w:bidi w:val="0"/>
        <w:spacing w:before="0" w:after="0" w:line="315" w:lineRule="exact"/>
        <w:ind w:left="0" w:right="0" w:firstLine="520"/>
        <w:jc w:val="both"/>
      </w:pPr>
      <w:bookmarkStart w:id="885" w:name="bookmark885"/>
      <w:bookmarkEnd w:id="885"/>
      <w:r>
        <w:rPr>
          <w:color w:val="000000"/>
          <w:spacing w:val="0"/>
          <w:w w:val="100"/>
          <w:position w:val="0"/>
        </w:rPr>
        <w:t>公允价值层次</w:t>
      </w:r>
    </w:p>
    <w:p>
      <w:pPr>
        <w:pStyle w:val="Style26"/>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本公司将公允价值计量所使用的输入值划分为三个层次，并首先使用第一层次输入值，其次使用第二层次输入值，最 后使用第三层次输入值。第一层次输入值是在计量日能够取得的相同资产或负债在活跃市场上未经调整的报价。第二层次输 入值是除第一层次输入值外相关资产或负债直接或间接可观察的输入值。第三层次输入值是相关资产或负债的不可观察输入 值。</w:t>
      </w:r>
    </w:p>
    <w:p>
      <w:pPr>
        <w:pStyle w:val="Style30"/>
        <w:keepNext/>
        <w:keepLines/>
        <w:widowControl w:val="0"/>
        <w:shd w:val="clear" w:color="auto" w:fill="auto"/>
        <w:tabs>
          <w:tab w:pos="474" w:val="left"/>
        </w:tabs>
        <w:bidi w:val="0"/>
        <w:spacing w:before="0" w:after="260" w:line="240"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86"/>
      <w:bookmarkEnd w:id="887"/>
      <w:bookmarkEnd w:id="889"/>
    </w:p>
    <w:p>
      <w:pPr>
        <w:pStyle w:val="Style26"/>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3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90"/>
      <w:bookmarkEnd w:id="891"/>
      <w:bookmarkEnd w:id="893"/>
    </w:p>
    <w:p>
      <w:pPr>
        <w:pStyle w:val="Style26"/>
        <w:keepNext w:val="0"/>
        <w:keepLines w:val="0"/>
        <w:widowControl w:val="0"/>
        <w:shd w:val="clear" w:color="auto" w:fill="auto"/>
        <w:bidi w:val="0"/>
        <w:spacing w:before="0" w:after="120" w:line="240" w:lineRule="auto"/>
        <w:ind w:left="0" w:right="0" w:firstLine="52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8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94"/>
      <w:bookmarkEnd w:id="895"/>
      <w:bookmarkEnd w:id="897"/>
    </w:p>
    <w:p>
      <w:pPr>
        <w:pStyle w:val="Style26"/>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98"/>
      <w:bookmarkEnd w:id="899"/>
      <w:bookmarkEnd w:id="901"/>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其他应收款的预期信用损失的确定方法及会计处理方法</w:t>
      </w:r>
    </w:p>
    <w:p>
      <w:pPr>
        <w:pStyle w:val="Style26"/>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8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02"/>
      <w:bookmarkEnd w:id="903"/>
      <w:bookmarkEnd w:id="905"/>
    </w:p>
    <w:p>
      <w:pPr>
        <w:pStyle w:val="Style26"/>
        <w:keepNext w:val="0"/>
        <w:keepLines w:val="0"/>
        <w:widowControl w:val="0"/>
        <w:shd w:val="clear" w:color="auto" w:fill="auto"/>
        <w:tabs>
          <w:tab w:pos="445" w:val="left"/>
        </w:tabs>
        <w:bidi w:val="0"/>
        <w:spacing w:before="0" w:after="0" w:line="313" w:lineRule="exact"/>
        <w:ind w:left="0" w:right="0" w:firstLine="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存货是指本公司在日常活动中持有以备出售的产成品或商品、处在生产过程中的在产品、在生产过程或提供劳务过程中耗用 的材料和物料、处在开发过程中的软件产品、外购的以备出售的软件产品等，包括原材料、周转材料、合同履约成本、库存 商品、发出商品、工程施工等。</w:t>
      </w:r>
    </w:p>
    <w:p>
      <w:pPr>
        <w:pStyle w:val="Style26"/>
        <w:keepNext w:val="0"/>
        <w:keepLines w:val="0"/>
        <w:widowControl w:val="0"/>
        <w:shd w:val="clear" w:color="auto" w:fill="auto"/>
        <w:tabs>
          <w:tab w:pos="445" w:val="left"/>
        </w:tabs>
        <w:bidi w:val="0"/>
        <w:spacing w:before="0" w:after="0" w:line="313" w:lineRule="exact"/>
        <w:ind w:left="0" w:right="0" w:firstLine="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本公司存货发出时采用个别计价法计价和加权平均法计价。</w:t>
      </w:r>
    </w:p>
    <w:p>
      <w:pPr>
        <w:pStyle w:val="Style26"/>
        <w:keepNext w:val="0"/>
        <w:keepLines w:val="0"/>
        <w:widowControl w:val="0"/>
        <w:shd w:val="clear" w:color="auto" w:fill="auto"/>
        <w:tabs>
          <w:tab w:pos="445" w:val="left"/>
        </w:tabs>
        <w:bidi w:val="0"/>
        <w:spacing w:before="0" w:after="0" w:line="313" w:lineRule="exact"/>
        <w:ind w:left="0" w:right="0" w:firstLine="0"/>
        <w:jc w:val="left"/>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rPr>
        <w:t>3</w:t>
      </w:r>
      <w:r>
        <w:rPr>
          <w:color w:val="000000"/>
          <w:spacing w:val="0"/>
          <w:w w:val="100"/>
          <w:position w:val="0"/>
        </w:rPr>
        <w:t>）</w:t>
        <w:tab/>
        <w:t>工程施工核算方法</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工程施工按累计已发生的成本和累计已确认的毛利（亏损）减已办理结算的价款金额计价。工程施工成本以实际成本核算， 包括已安装产品及耗用的材料成本、劳务费及其他费用。</w:t>
      </w:r>
    </w:p>
    <w:p>
      <w:pPr>
        <w:pStyle w:val="Style26"/>
        <w:keepNext w:val="0"/>
        <w:keepLines w:val="0"/>
        <w:widowControl w:val="0"/>
        <w:shd w:val="clear" w:color="auto" w:fill="auto"/>
        <w:tabs>
          <w:tab w:pos="445" w:val="left"/>
        </w:tabs>
        <w:bidi w:val="0"/>
        <w:spacing w:before="0" w:after="0" w:line="313" w:lineRule="exact"/>
        <w:ind w:left="0" w:right="0" w:firstLine="0"/>
        <w:jc w:val="left"/>
      </w:pPr>
      <w:bookmarkStart w:id="909" w:name="bookmark909"/>
      <w:r>
        <w:rPr>
          <w:color w:val="000000"/>
          <w:spacing w:val="0"/>
          <w:w w:val="100"/>
          <w:position w:val="0"/>
        </w:rPr>
        <w:t>（</w:t>
      </w:r>
      <w:bookmarkEnd w:id="909"/>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本公司存货采用永续盘存制，每年至少盘点一次，盘盈及盘亏金额计入当年度损益。</w:t>
      </w:r>
    </w:p>
    <w:p>
      <w:pPr>
        <w:pStyle w:val="Style26"/>
        <w:keepNext w:val="0"/>
        <w:keepLines w:val="0"/>
        <w:widowControl w:val="0"/>
        <w:shd w:val="clear" w:color="auto" w:fill="auto"/>
        <w:tabs>
          <w:tab w:pos="445" w:val="left"/>
        </w:tabs>
        <w:bidi w:val="0"/>
        <w:spacing w:before="0" w:after="0" w:line="313" w:lineRule="exact"/>
        <w:ind w:left="0" w:right="0" w:firstLine="0"/>
        <w:jc w:val="left"/>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5</w:t>
      </w:r>
      <w:r>
        <w:rPr>
          <w:color w:val="000000"/>
          <w:spacing w:val="0"/>
          <w:w w:val="100"/>
          <w:position w:val="0"/>
        </w:rPr>
        <w:t>）</w:t>
        <w:tab/>
        <w:t>存货跌价准备的计提方法</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Style26"/>
        <w:keepNext w:val="0"/>
        <w:keepLines w:val="0"/>
        <w:widowControl w:val="0"/>
        <w:numPr>
          <w:ilvl w:val="0"/>
          <w:numId w:val="57"/>
        </w:numPr>
        <w:shd w:val="clear" w:color="auto" w:fill="auto"/>
        <w:tabs>
          <w:tab w:pos="373" w:val="left"/>
        </w:tabs>
        <w:bidi w:val="0"/>
        <w:spacing w:before="0" w:after="0" w:line="313" w:lineRule="exact"/>
        <w:ind w:left="0" w:right="0" w:firstLine="0"/>
        <w:jc w:val="left"/>
      </w:pPr>
      <w:bookmarkStart w:id="911" w:name="bookmark911"/>
      <w:bookmarkEnd w:id="911"/>
      <w:r>
        <w:rPr>
          <w:color w:val="000000"/>
          <w:spacing w:val="0"/>
          <w:w w:val="100"/>
          <w:position w:val="0"/>
        </w:rPr>
        <w:t>产成品、商品和用于出售的材料等直接用于出售的存货，在正常生产经营过程中，以该存货的估计售价减去估计的销售费 用和相关税费后的金额确定其可变现净值。为执行销售合同或者劳务合同而持有的存货，以合同价格作为其可变现净值的计 量基础；如果持有存货的数量多于销售合同订购数量，超出部分的存货可变现净值以一般销售价格为计量基础。用于出售的 材料等，以市场价格作为其可变现净值的计量基础。</w:t>
      </w:r>
    </w:p>
    <w:p>
      <w:pPr>
        <w:pStyle w:val="Style26"/>
        <w:keepNext w:val="0"/>
        <w:keepLines w:val="0"/>
        <w:widowControl w:val="0"/>
        <w:numPr>
          <w:ilvl w:val="0"/>
          <w:numId w:val="57"/>
        </w:numPr>
        <w:shd w:val="clear" w:color="auto" w:fill="auto"/>
        <w:tabs>
          <w:tab w:pos="373" w:val="left"/>
        </w:tabs>
        <w:bidi w:val="0"/>
        <w:spacing w:before="0" w:after="0" w:line="313" w:lineRule="exact"/>
        <w:ind w:left="0" w:right="0" w:firstLine="0"/>
        <w:jc w:val="left"/>
      </w:pPr>
      <w:bookmarkStart w:id="912" w:name="bookmark912"/>
      <w:bookmarkEnd w:id="912"/>
      <w:r>
        <w:rPr>
          <w:color w:val="000000"/>
          <w:spacing w:val="0"/>
          <w:w w:val="100"/>
          <w:position w:val="0"/>
        </w:rPr>
        <w:t>需要经过加工的材料存货，在正常生产经营过程中，以所生产的产成品的估计售价减去至完工时估计将要发生的成本、估 计的销售费用和相关税费后的金额确定其可变现净值。如果用其生产的产成品的可变现净值高于成本，则该材料按成本计量; 如果材料价格的下降表明产成品的可变现净值低于成本，则该材料按可变现净值计量，按其差额计提存货跌价准备。</w:t>
      </w:r>
    </w:p>
    <w:p>
      <w:pPr>
        <w:pStyle w:val="Style26"/>
        <w:keepNext w:val="0"/>
        <w:keepLines w:val="0"/>
        <w:widowControl w:val="0"/>
        <w:numPr>
          <w:ilvl w:val="0"/>
          <w:numId w:val="57"/>
        </w:numPr>
        <w:shd w:val="clear" w:color="auto" w:fill="auto"/>
        <w:tabs>
          <w:tab w:pos="373" w:val="left"/>
        </w:tabs>
        <w:bidi w:val="0"/>
        <w:spacing w:before="0" w:after="0" w:line="313" w:lineRule="exact"/>
        <w:ind w:left="0" w:right="0" w:firstLine="0"/>
        <w:jc w:val="left"/>
      </w:pPr>
      <w:bookmarkStart w:id="913" w:name="bookmark913"/>
      <w:bookmarkEnd w:id="913"/>
      <w:r>
        <w:rPr>
          <w:color w:val="000000"/>
          <w:spacing w:val="0"/>
          <w:w w:val="100"/>
          <w:position w:val="0"/>
        </w:rPr>
        <w:t>工程施工成本，对预计工程总成本超过预计总收入（扣除相关税费）的工程项目，按照预计工程总成本超过预计总收入（扣 除相关税费）的部分，计提存货跌价准备。</w:t>
      </w:r>
    </w:p>
    <w:p>
      <w:pPr>
        <w:pStyle w:val="Style26"/>
        <w:keepNext w:val="0"/>
        <w:keepLines w:val="0"/>
        <w:widowControl w:val="0"/>
        <w:numPr>
          <w:ilvl w:val="0"/>
          <w:numId w:val="57"/>
        </w:numPr>
        <w:shd w:val="clear" w:color="auto" w:fill="auto"/>
        <w:tabs>
          <w:tab w:pos="373" w:val="left"/>
        </w:tabs>
        <w:bidi w:val="0"/>
        <w:spacing w:before="0" w:after="0" w:line="313" w:lineRule="exact"/>
        <w:ind w:left="0" w:right="0" w:firstLine="0"/>
        <w:jc w:val="left"/>
      </w:pPr>
      <w:bookmarkStart w:id="914" w:name="bookmark914"/>
      <w:bookmarkEnd w:id="914"/>
      <w:r>
        <w:rPr>
          <w:color w:val="000000"/>
          <w:spacing w:val="0"/>
          <w:w w:val="100"/>
          <w:position w:val="0"/>
        </w:rPr>
        <w:t>存货跌价准备一般按单个存货项目计提；对于数量繁多、单价较低的存货，按存货类别计提。</w:t>
      </w:r>
    </w:p>
    <w:p>
      <w:pPr>
        <w:pStyle w:val="Style26"/>
        <w:keepNext w:val="0"/>
        <w:keepLines w:val="0"/>
        <w:widowControl w:val="0"/>
        <w:numPr>
          <w:ilvl w:val="0"/>
          <w:numId w:val="57"/>
        </w:numPr>
        <w:shd w:val="clear" w:color="auto" w:fill="auto"/>
        <w:tabs>
          <w:tab w:pos="373" w:val="left"/>
        </w:tabs>
        <w:bidi w:val="0"/>
        <w:spacing w:before="0" w:after="380" w:line="313" w:lineRule="exact"/>
        <w:ind w:left="0" w:right="0" w:firstLine="0"/>
        <w:jc w:val="left"/>
      </w:pPr>
      <w:bookmarkStart w:id="915" w:name="bookmark915"/>
      <w:bookmarkEnd w:id="915"/>
      <w:r>
        <w:rPr>
          <w:color w:val="000000"/>
          <w:spacing w:val="0"/>
          <w:w w:val="100"/>
          <w:position w:val="0"/>
        </w:rPr>
        <w:t>资产负债表日如果以前减记存货价值的影响因素已经消失，则减记的金额予以恢复，并在原已计提的存货跌价准备的金额 内转回，转回的金额计入当期损益。</w:t>
      </w:r>
    </w:p>
    <w:p>
      <w:pPr>
        <w:pStyle w:val="Style30"/>
        <w:keepNext/>
        <w:keepLines/>
        <w:widowControl w:val="0"/>
        <w:shd w:val="clear" w:color="auto" w:fill="auto"/>
        <w:tabs>
          <w:tab w:pos="474" w:val="left"/>
        </w:tabs>
        <w:bidi w:val="0"/>
        <w:spacing w:before="0" w:after="28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16"/>
      <w:bookmarkEnd w:id="917"/>
      <w:bookmarkEnd w:id="919"/>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26"/>
        <w:keepNext w:val="0"/>
        <w:keepLines w:val="0"/>
        <w:widowControl w:val="0"/>
        <w:shd w:val="clear" w:color="auto" w:fill="auto"/>
        <w:bidi w:val="0"/>
        <w:spacing w:before="0" w:after="280" w:line="312" w:lineRule="exact"/>
        <w:ind w:left="0" w:right="0" w:firstLine="520"/>
        <w:jc w:val="both"/>
      </w:pPr>
      <w:r>
        <w:rPr>
          <w:color w:val="000000"/>
          <w:spacing w:val="0"/>
          <w:w w:val="100"/>
          <w:position w:val="0"/>
        </w:rPr>
        <w:t>本公司根据履行履约义务与客户付款之间的关系在资产负债表中列示合同资产或合同负债。本公司已向客户转让商品 或提供服务而有权收取的对价（且该权利取决于时间流逝之外的其他因素）列示为合同资产。本公司已收或应收客户对价而 应向客户转让商品或提供服务的义务列示为合同负债。</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合同资产和合同负债在资产负债表中单独列示。同一合同下的合同资产和合同负债以净额列示，净额为借方余额的， 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其他非流 动负债</w:t>
      </w:r>
      <w:r>
        <w:rPr>
          <w:rFonts w:ascii="Times New Roman" w:eastAsia="Times New Roman" w:hAnsi="Times New Roman" w:cs="Times New Roman"/>
          <w:color w:val="000000"/>
          <w:spacing w:val="0"/>
          <w:w w:val="100"/>
          <w:position w:val="0"/>
        </w:rPr>
        <w:t>”</w:t>
      </w:r>
      <w:r>
        <w:rPr>
          <w:color w:val="000000"/>
          <w:spacing w:val="0"/>
          <w:w w:val="100"/>
          <w:position w:val="0"/>
        </w:rPr>
        <w:t>项目中列示。不同合同下的合同资产和合同负债不能相互抵销。</w:t>
      </w:r>
    </w:p>
    <w:p>
      <w:pPr>
        <w:pStyle w:val="Style26"/>
        <w:keepNext w:val="0"/>
        <w:keepLines w:val="0"/>
        <w:widowControl w:val="0"/>
        <w:shd w:val="clear" w:color="auto" w:fill="auto"/>
        <w:bidi w:val="0"/>
        <w:spacing w:before="0" w:after="400" w:line="312" w:lineRule="exact"/>
        <w:ind w:left="0" w:right="0" w:firstLine="520"/>
        <w:jc w:val="both"/>
      </w:pPr>
      <w:r>
        <w:rPr>
          <w:color w:val="000000"/>
          <w:spacing w:val="0"/>
          <w:w w:val="100"/>
          <w:position w:val="0"/>
        </w:rPr>
        <w:t>本公司对合同资产的预期信用损失的确定方法及会计处理方法详见附注五、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20"/>
      <w:bookmarkEnd w:id="921"/>
      <w:bookmarkEnd w:id="923"/>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合同成本分为合同履约成本与合同取得成本。</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本公司为履行合同而发生的成本，在同时满足下列条件时作为合同履约成本确认为一项资产：</w:t>
      </w:r>
    </w:p>
    <w:p>
      <w:pPr>
        <w:pStyle w:val="Style26"/>
        <w:keepNext w:val="0"/>
        <w:keepLines w:val="0"/>
        <w:widowControl w:val="0"/>
        <w:numPr>
          <w:ilvl w:val="0"/>
          <w:numId w:val="59"/>
        </w:numPr>
        <w:shd w:val="clear" w:color="auto" w:fill="auto"/>
        <w:tabs>
          <w:tab w:pos="872" w:val="left"/>
        </w:tabs>
        <w:bidi w:val="0"/>
        <w:spacing w:before="0" w:after="0" w:line="312" w:lineRule="exact"/>
        <w:ind w:left="0" w:right="0" w:firstLine="520"/>
        <w:jc w:val="left"/>
      </w:pPr>
      <w:bookmarkStart w:id="924" w:name="bookmark924"/>
      <w:bookmarkEnd w:id="924"/>
      <w:r>
        <w:rPr>
          <w:color w:val="000000"/>
          <w:spacing w:val="0"/>
          <w:w w:val="100"/>
          <w:position w:val="0"/>
        </w:rPr>
        <w:t>该成本与一份当前或预期取得的合同直接相关，包括直接人工、直接材料、制造费用（或类似费用）、明确由客 户承担的成本以及仅因该合同而发生的其他成本。</w:t>
      </w:r>
    </w:p>
    <w:p>
      <w:pPr>
        <w:pStyle w:val="Style26"/>
        <w:keepNext w:val="0"/>
        <w:keepLines w:val="0"/>
        <w:widowControl w:val="0"/>
        <w:numPr>
          <w:ilvl w:val="0"/>
          <w:numId w:val="59"/>
        </w:numPr>
        <w:shd w:val="clear" w:color="auto" w:fill="auto"/>
        <w:tabs>
          <w:tab w:pos="893" w:val="left"/>
        </w:tabs>
        <w:bidi w:val="0"/>
        <w:spacing w:before="0" w:after="0" w:line="312" w:lineRule="exact"/>
        <w:ind w:left="0" w:right="0" w:firstLine="520"/>
        <w:jc w:val="both"/>
      </w:pPr>
      <w:bookmarkStart w:id="925" w:name="bookmark925"/>
      <w:bookmarkEnd w:id="925"/>
      <w:r>
        <w:rPr>
          <w:color w:val="000000"/>
          <w:spacing w:val="0"/>
          <w:w w:val="100"/>
          <w:position w:val="0"/>
        </w:rPr>
        <w:t>该成本增加了本公司未来用于履行履约义务的资源。</w:t>
      </w:r>
    </w:p>
    <w:p>
      <w:pPr>
        <w:pStyle w:val="Style26"/>
        <w:keepNext w:val="0"/>
        <w:keepLines w:val="0"/>
        <w:widowControl w:val="0"/>
        <w:numPr>
          <w:ilvl w:val="0"/>
          <w:numId w:val="59"/>
        </w:numPr>
        <w:shd w:val="clear" w:color="auto" w:fill="auto"/>
        <w:tabs>
          <w:tab w:pos="893" w:val="left"/>
        </w:tabs>
        <w:bidi w:val="0"/>
        <w:spacing w:before="0" w:after="0" w:line="312" w:lineRule="exact"/>
        <w:ind w:left="0" w:right="0" w:firstLine="520"/>
        <w:jc w:val="both"/>
      </w:pPr>
      <w:bookmarkStart w:id="926" w:name="bookmark926"/>
      <w:bookmarkEnd w:id="926"/>
      <w:r>
        <w:rPr>
          <w:color w:val="000000"/>
          <w:spacing w:val="0"/>
          <w:w w:val="100"/>
          <w:position w:val="0"/>
        </w:rPr>
        <w:t>该成本预期能够收回。</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本公司为取得合同发生的增量成本预期能够收回的，作为合同取得成本确认为一项资产。</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与合同成本有关的资产采用与该资产相关的商品或服务收入确认相同的基础进行摊销；但是对于合同取得成本摊销期 限未超过一年的，本公司将其在发生时计入当期损益。</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与合同成本有关的资产，其账面价值高于下列两项的差额的，本公司将对于超出部分计提减值准备，并确认为资产减 值损失，并进一步考虑是否应计提亏损合同有关的预计负债：</w:t>
      </w:r>
    </w:p>
    <w:p>
      <w:pPr>
        <w:pStyle w:val="Style26"/>
        <w:keepNext w:val="0"/>
        <w:keepLines w:val="0"/>
        <w:widowControl w:val="0"/>
        <w:numPr>
          <w:ilvl w:val="0"/>
          <w:numId w:val="61"/>
        </w:numPr>
        <w:shd w:val="clear" w:color="auto" w:fill="auto"/>
        <w:tabs>
          <w:tab w:pos="893" w:val="left"/>
        </w:tabs>
        <w:bidi w:val="0"/>
        <w:spacing w:before="0" w:after="0" w:line="312" w:lineRule="exact"/>
        <w:ind w:left="0" w:right="0" w:firstLine="520"/>
        <w:jc w:val="both"/>
      </w:pPr>
      <w:bookmarkStart w:id="927" w:name="bookmark927"/>
      <w:bookmarkEnd w:id="927"/>
      <w:r>
        <w:rPr>
          <w:color w:val="000000"/>
          <w:spacing w:val="0"/>
          <w:w w:val="100"/>
          <w:position w:val="0"/>
        </w:rPr>
        <w:t>因转让与该资产相关的商品或服务预期能够取得的剩余对价；</w:t>
      </w:r>
    </w:p>
    <w:p>
      <w:pPr>
        <w:pStyle w:val="Style26"/>
        <w:keepNext w:val="0"/>
        <w:keepLines w:val="0"/>
        <w:widowControl w:val="0"/>
        <w:numPr>
          <w:ilvl w:val="0"/>
          <w:numId w:val="61"/>
        </w:numPr>
        <w:shd w:val="clear" w:color="auto" w:fill="auto"/>
        <w:tabs>
          <w:tab w:pos="893" w:val="left"/>
        </w:tabs>
        <w:bidi w:val="0"/>
        <w:spacing w:before="0" w:after="0" w:line="312" w:lineRule="exact"/>
        <w:ind w:left="0" w:right="0" w:firstLine="520"/>
        <w:jc w:val="both"/>
      </w:pPr>
      <w:bookmarkStart w:id="928" w:name="bookmark928"/>
      <w:bookmarkEnd w:id="928"/>
      <w:r>
        <w:rPr>
          <w:color w:val="000000"/>
          <w:spacing w:val="0"/>
          <w:w w:val="100"/>
          <w:position w:val="0"/>
        </w:rPr>
        <w:t>为转让该相关商品或服务估计将要发生的成本。</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项目中列示，初始确认 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6"/>
        <w:keepNext w:val="0"/>
        <w:keepLines w:val="0"/>
        <w:widowControl w:val="0"/>
        <w:shd w:val="clear" w:color="auto" w:fill="auto"/>
        <w:bidi w:val="0"/>
        <w:spacing w:before="0" w:after="400" w:line="312" w:lineRule="exact"/>
        <w:ind w:left="0" w:right="0" w:firstLine="52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 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0"/>
        <w:keepNext/>
        <w:keepLines/>
        <w:widowControl w:val="0"/>
        <w:shd w:val="clear" w:color="auto" w:fill="auto"/>
        <w:tabs>
          <w:tab w:pos="474" w:val="left"/>
        </w:tabs>
        <w:bidi w:val="0"/>
        <w:spacing w:before="0" w:after="26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29"/>
      <w:bookmarkEnd w:id="930"/>
      <w:bookmarkEnd w:id="932"/>
    </w:p>
    <w:p>
      <w:pPr>
        <w:pStyle w:val="Style26"/>
        <w:keepNext w:val="0"/>
        <w:keepLines w:val="0"/>
        <w:widowControl w:val="0"/>
        <w:shd w:val="clear" w:color="auto" w:fill="auto"/>
        <w:tabs>
          <w:tab w:pos="965" w:val="left"/>
        </w:tabs>
        <w:bidi w:val="0"/>
        <w:spacing w:before="0" w:after="0" w:line="311" w:lineRule="exact"/>
        <w:ind w:left="0" w:right="0" w:firstLine="520"/>
        <w:jc w:val="left"/>
      </w:pPr>
      <w:bookmarkStart w:id="933" w:name="bookmark933"/>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w:t>
        <w:tab/>
        <w:t>持有待售的非流动资产或处置组的分类</w:t>
      </w:r>
    </w:p>
    <w:p>
      <w:pPr>
        <w:pStyle w:val="Style26"/>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本公司将同时满足下列条件的非流动资产或处置组划分为持有待售类别：</w:t>
      </w:r>
    </w:p>
    <w:p>
      <w:pPr>
        <w:pStyle w:val="Style26"/>
        <w:keepNext w:val="0"/>
        <w:keepLines w:val="0"/>
        <w:widowControl w:val="0"/>
        <w:numPr>
          <w:ilvl w:val="0"/>
          <w:numId w:val="63"/>
        </w:numPr>
        <w:shd w:val="clear" w:color="auto" w:fill="auto"/>
        <w:tabs>
          <w:tab w:pos="893" w:val="left"/>
        </w:tabs>
        <w:bidi w:val="0"/>
        <w:spacing w:before="0" w:after="0" w:line="311" w:lineRule="exact"/>
        <w:ind w:left="0" w:right="0" w:firstLine="520"/>
        <w:jc w:val="left"/>
      </w:pPr>
      <w:bookmarkStart w:id="934" w:name="bookmark934"/>
      <w:bookmarkEnd w:id="934"/>
      <w:r>
        <w:rPr>
          <w:color w:val="000000"/>
          <w:spacing w:val="0"/>
          <w:w w:val="100"/>
          <w:position w:val="0"/>
        </w:rPr>
        <w:t>根据类似交易中出售此类资产或处置组的惯例，在当前状况下即可立即出售；</w:t>
      </w:r>
    </w:p>
    <w:p>
      <w:pPr>
        <w:pStyle w:val="Style26"/>
        <w:keepNext w:val="0"/>
        <w:keepLines w:val="0"/>
        <w:widowControl w:val="0"/>
        <w:numPr>
          <w:ilvl w:val="0"/>
          <w:numId w:val="63"/>
        </w:numPr>
        <w:shd w:val="clear" w:color="auto" w:fill="auto"/>
        <w:tabs>
          <w:tab w:pos="872" w:val="left"/>
        </w:tabs>
        <w:bidi w:val="0"/>
        <w:spacing w:before="0" w:after="0" w:line="311" w:lineRule="exact"/>
        <w:ind w:left="0" w:right="0" w:firstLine="520"/>
        <w:jc w:val="left"/>
      </w:pPr>
      <w:bookmarkStart w:id="935" w:name="bookmark935"/>
      <w:bookmarkEnd w:id="935"/>
      <w:r>
        <w:rPr>
          <w:color w:val="000000"/>
          <w:spacing w:val="0"/>
          <w:w w:val="100"/>
          <w:position w:val="0"/>
        </w:rPr>
        <w:t>出售极可能发生，即本公司已经就一项出售计划作出决议且获得确定的购买承诺，预计出售将在一年内完成。有关 规定要求本公司相关权力机构或者监管部门批准后方可出售的，已经获得批准。</w:t>
      </w:r>
    </w:p>
    <w:p>
      <w:pPr>
        <w:pStyle w:val="Style26"/>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本公司专为转售而取得的非流动资产或处置组，在取得日满足</w:t>
      </w:r>
      <w:r>
        <w:rPr>
          <w:rFonts w:ascii="Times New Roman" w:eastAsia="Times New Roman" w:hAnsi="Times New Roman" w:cs="Times New Roman"/>
          <w:color w:val="000000"/>
          <w:spacing w:val="0"/>
          <w:w w:val="100"/>
          <w:position w:val="0"/>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rPr>
        <w:t>”</w:t>
      </w:r>
      <w:r>
        <w:rPr>
          <w:color w:val="000000"/>
          <w:spacing w:val="0"/>
          <w:w w:val="100"/>
          <w:position w:val="0"/>
        </w:rPr>
        <w:t>的规定条件，且短期（通常 为</w:t>
      </w:r>
      <w:r>
        <w:rPr>
          <w:rFonts w:ascii="Times New Roman" w:eastAsia="Times New Roman" w:hAnsi="Times New Roman" w:cs="Times New Roman"/>
          <w:color w:val="000000"/>
          <w:spacing w:val="0"/>
          <w:w w:val="100"/>
          <w:position w:val="0"/>
        </w:rPr>
        <w:t>3</w:t>
      </w:r>
      <w:r>
        <w:rPr>
          <w:color w:val="000000"/>
          <w:spacing w:val="0"/>
          <w:w w:val="100"/>
          <w:position w:val="0"/>
        </w:rPr>
        <w:t>个月）内很可能满足持有待售类别的其他划分条件的，本公司在取得日将其划分为持有待售类别。</w:t>
      </w:r>
    </w:p>
    <w:p>
      <w:pPr>
        <w:pStyle w:val="Style26"/>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本公司因出售对子公司的投资等原因导致其丧失对子公司控制权的，无论出售后本公司是否保留部分权益性投资，在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Style26"/>
        <w:keepNext w:val="0"/>
        <w:keepLines w:val="0"/>
        <w:widowControl w:val="0"/>
        <w:shd w:val="clear" w:color="auto" w:fill="auto"/>
        <w:tabs>
          <w:tab w:pos="965" w:val="left"/>
        </w:tabs>
        <w:bidi w:val="0"/>
        <w:spacing w:before="0" w:after="0" w:line="311" w:lineRule="exact"/>
        <w:ind w:left="0" w:right="0" w:firstLine="52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2</w:t>
      </w:r>
      <w:r>
        <w:rPr>
          <w:color w:val="000000"/>
          <w:spacing w:val="0"/>
          <w:w w:val="100"/>
          <w:position w:val="0"/>
        </w:rPr>
        <w:t>）</w:t>
        <w:tab/>
        <w:t>持有待售的非流动资产或处置组的计量</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采用公允价值模式进行后续计量的投资性房地产、采用公允价值减去出售费用后的净额计量的生物资产、职工薪酬形 成的资产、递延所得税资产、由金融工具相关会计准则规范的金融资产及由保险合同相关会计准则规范的保险合同所产生的 权利的计量分别适用于其他相关会计准则。</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 xml:space="preserve">初始计量或在资产负债表日重新计量持有待售的非流动资产或处置组时，其账面价值高于公允价值减去出售费用后的 </w:t>
      </w:r>
      <w:r>
        <w:rPr>
          <w:color w:val="000000"/>
          <w:spacing w:val="0"/>
          <w:w w:val="100"/>
          <w:position w:val="0"/>
        </w:rPr>
        <w:t>净额的，将账面价值减记至公允价值减去出售费用后的净额，减记的金额确认为资产减值损失，计入当期损益，同时计提持 有待售资产减值准备。后续资产负债表日持有待售的非流动资产或处置组公允价值减去出售费用后的净额增加的，以前减记 的金额予以恢复，并在划分为持有待售类别后确认的资产减值损失金额内转回，转回金额计入当期损益。已抵减的商誉账面 价值不得转回。</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非流动资产或处置组因不再满足持有待售类别的划分条件而不再继续划分为持有待售类别或非流动资产从持有待售 的处置组中移除时，按照以下两者孰低计量：</w:t>
      </w:r>
    </w:p>
    <w:p>
      <w:pPr>
        <w:pStyle w:val="Style26"/>
        <w:keepNext w:val="0"/>
        <w:keepLines w:val="0"/>
        <w:widowControl w:val="0"/>
        <w:numPr>
          <w:ilvl w:val="0"/>
          <w:numId w:val="65"/>
        </w:numPr>
        <w:shd w:val="clear" w:color="auto" w:fill="auto"/>
        <w:tabs>
          <w:tab w:pos="832" w:val="left"/>
        </w:tabs>
        <w:bidi w:val="0"/>
        <w:spacing w:before="0" w:after="0" w:line="312" w:lineRule="exact"/>
        <w:ind w:left="0" w:right="0" w:firstLine="520"/>
        <w:jc w:val="both"/>
      </w:pPr>
      <w:bookmarkStart w:id="937" w:name="bookmark937"/>
      <w:bookmarkEnd w:id="937"/>
      <w:r>
        <w:rPr>
          <w:color w:val="000000"/>
          <w:spacing w:val="0"/>
          <w:w w:val="100"/>
          <w:position w:val="0"/>
        </w:rPr>
        <w:t>划分为持有待售类别前的账面价值，按照假定不划分为持有待售类别情况下本应确认的折旧、摊销或减值等进行调 整后的金额；</w:t>
      </w:r>
    </w:p>
    <w:p>
      <w:pPr>
        <w:pStyle w:val="Style26"/>
        <w:keepNext w:val="0"/>
        <w:keepLines w:val="0"/>
        <w:widowControl w:val="0"/>
        <w:numPr>
          <w:ilvl w:val="0"/>
          <w:numId w:val="65"/>
        </w:numPr>
        <w:shd w:val="clear" w:color="auto" w:fill="auto"/>
        <w:tabs>
          <w:tab w:pos="853" w:val="left"/>
        </w:tabs>
        <w:bidi w:val="0"/>
        <w:spacing w:before="0" w:after="0" w:line="312" w:lineRule="exact"/>
        <w:ind w:left="0" w:right="0" w:firstLine="520"/>
        <w:jc w:val="both"/>
      </w:pPr>
      <w:bookmarkStart w:id="938" w:name="bookmark938"/>
      <w:bookmarkEnd w:id="938"/>
      <w:r>
        <w:rPr>
          <w:color w:val="000000"/>
          <w:spacing w:val="0"/>
          <w:w w:val="100"/>
          <w:position w:val="0"/>
        </w:rPr>
        <w:t>可收回金额。</w:t>
      </w:r>
    </w:p>
    <w:p>
      <w:pPr>
        <w:pStyle w:val="Style26"/>
        <w:keepNext w:val="0"/>
        <w:keepLines w:val="0"/>
        <w:widowControl w:val="0"/>
        <w:shd w:val="clear" w:color="auto" w:fill="auto"/>
        <w:bidi w:val="0"/>
        <w:spacing w:before="0" w:after="0" w:line="312" w:lineRule="exact"/>
        <w:ind w:left="0" w:right="0" w:firstLine="520"/>
        <w:jc w:val="both"/>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3</w:t>
      </w:r>
      <w:r>
        <w:rPr>
          <w:color w:val="000000"/>
          <w:spacing w:val="0"/>
          <w:w w:val="100"/>
          <w:position w:val="0"/>
        </w:rPr>
        <w:t>）列报</w:t>
      </w:r>
    </w:p>
    <w:p>
      <w:pPr>
        <w:pStyle w:val="Style26"/>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本公司在资产负债表中区别于其他资产单独列示持有待售的非流动资产或持有待售的处置组中的资产，区别于其他负 债单独列示持有待售的处置组中的负债。持有待售的非流动资产或持有待售的处置组中的资产与持有待售的处置组中的负债 不予相互抵销，分别作为流动资产和流动负债列示。</w:t>
      </w:r>
    </w:p>
    <w:p>
      <w:pPr>
        <w:pStyle w:val="Style51"/>
        <w:keepNext w:val="0"/>
        <w:keepLines w:val="0"/>
        <w:widowControl w:val="0"/>
        <w:shd w:val="clear" w:color="auto" w:fill="auto"/>
        <w:tabs>
          <w:tab w:pos="434" w:val="left"/>
        </w:tabs>
        <w:bidi w:val="0"/>
        <w:spacing w:before="0" w:line="240" w:lineRule="auto"/>
        <w:ind w:left="0" w:right="0" w:firstLine="0"/>
        <w:jc w:val="both"/>
      </w:pPr>
      <w:bookmarkStart w:id="940" w:name="bookmark940"/>
      <w:r>
        <w:rPr>
          <w:rFonts w:ascii="Times New Roman" w:eastAsia="Times New Roman" w:hAnsi="Times New Roman" w:cs="Times New Roman"/>
          <w:color w:val="000000"/>
          <w:spacing w:val="0"/>
          <w:w w:val="100"/>
          <w:position w:val="0"/>
        </w:rPr>
        <w:t>1</w:t>
      </w:r>
      <w:bookmarkEnd w:id="94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p>
    <w:p>
      <w:pPr>
        <w:pStyle w:val="Style51"/>
        <w:keepNext w:val="0"/>
        <w:keepLines w:val="0"/>
        <w:widowControl w:val="0"/>
        <w:shd w:val="clear" w:color="auto" w:fill="auto"/>
        <w:tabs>
          <w:tab w:pos="444" w:val="left"/>
        </w:tabs>
        <w:bidi w:val="0"/>
        <w:spacing w:before="0" w:line="240" w:lineRule="auto"/>
        <w:ind w:left="0" w:right="0" w:firstLine="0"/>
        <w:jc w:val="both"/>
      </w:pPr>
      <w:bookmarkStart w:id="941" w:name="bookmark941"/>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p>
    <w:p>
      <w:pPr>
        <w:pStyle w:val="Style51"/>
        <w:keepNext w:val="0"/>
        <w:keepLines w:val="0"/>
        <w:widowControl w:val="0"/>
        <w:shd w:val="clear" w:color="auto" w:fill="auto"/>
        <w:tabs>
          <w:tab w:pos="444" w:val="left"/>
        </w:tabs>
        <w:bidi w:val="0"/>
        <w:spacing w:before="0" w:line="240" w:lineRule="auto"/>
        <w:ind w:left="0" w:right="0" w:firstLine="0"/>
        <w:jc w:val="both"/>
      </w:pPr>
      <w:bookmarkStart w:id="942" w:name="bookmark942"/>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p>
    <w:p>
      <w:pPr>
        <w:pStyle w:val="Style51"/>
        <w:keepNext w:val="0"/>
        <w:keepLines w:val="0"/>
        <w:widowControl w:val="0"/>
        <w:shd w:val="clear" w:color="auto" w:fill="auto"/>
        <w:tabs>
          <w:tab w:pos="444" w:val="left"/>
        </w:tabs>
        <w:bidi w:val="0"/>
        <w:spacing w:before="0" w:after="260" w:line="240" w:lineRule="auto"/>
        <w:ind w:left="0" w:right="0" w:firstLine="0"/>
        <w:jc w:val="both"/>
      </w:pPr>
      <w:bookmarkStart w:id="943" w:name="bookmark943"/>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本公司长期股权投资包括对被投资单位实施控制、重大影响的权益性投资，以及对合营企业的权益性投资。本公司能 够对被投资单位施加重大影响的，为本公司的联营企业。</w:t>
      </w:r>
    </w:p>
    <w:p>
      <w:pPr>
        <w:pStyle w:val="Style26"/>
        <w:keepNext w:val="0"/>
        <w:keepLines w:val="0"/>
        <w:widowControl w:val="0"/>
        <w:shd w:val="clear" w:color="auto" w:fill="auto"/>
        <w:tabs>
          <w:tab w:pos="925" w:val="left"/>
        </w:tabs>
        <w:bidi w:val="0"/>
        <w:spacing w:before="0" w:after="0" w:line="314" w:lineRule="exact"/>
        <w:ind w:left="0" w:right="0" w:firstLine="52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确定对被投资单位具有共同控制、重大影响的依据</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共同控制，是指按照相关约定对某项安排所共有的控制，并且该安排的相关活动必须经过分享控制权的参与方一致同 意后才能决策。在判断是否存在共同控制时，首先判断所有参与方或参与方组合是否集体控制该安排，如果所有参与方或一 组参与方必须一致行动才能决定某项安排的相关活动，则认为所有参与方或一组参与方集体控制该安排。其次再判断该安排 相关活动的决策是否必须经过这些集体控制该安排的参与方一致同意。如果存在两个或两个以上的参与方组合能够集体控制 某项安排的，不构成共同控制。判断是否存在共同控制时，不考虑享有的保护性权利。</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重大影响，是指投资方对被投资单位的财务和经营政策有参与决策的权力，但并不能够控制或者与其他方一起共同控 制这些政策的制定。在确定能否对被投资单位施加重大影响时，考虑投资方直接或间接持有被投资单位的表决权股份以及投 资方及其他方持有的当期可执行潜在表决权在假定转换为对被投资方单位的股权后产生的影响,包括被投资单位发行的当期 可转换的认股权证、股份期权及可转换公司债券等的影响。</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的表决权股份时，一般认为对被投资 单位具有重大影响，除非有明确证据表明该种情况下不能参与被投资单位的生产经营决策，不形成重大影响。</w:t>
      </w:r>
    </w:p>
    <w:p>
      <w:pPr>
        <w:pStyle w:val="Style26"/>
        <w:keepNext w:val="0"/>
        <w:keepLines w:val="0"/>
        <w:widowControl w:val="0"/>
        <w:shd w:val="clear" w:color="auto" w:fill="auto"/>
        <w:tabs>
          <w:tab w:pos="925" w:val="left"/>
        </w:tabs>
        <w:bidi w:val="0"/>
        <w:spacing w:before="0" w:after="0" w:line="314" w:lineRule="exact"/>
        <w:ind w:left="0" w:right="0" w:firstLine="52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26"/>
        <w:keepNext w:val="0"/>
        <w:keepLines w:val="0"/>
        <w:widowControl w:val="0"/>
        <w:numPr>
          <w:ilvl w:val="0"/>
          <w:numId w:val="67"/>
        </w:numPr>
        <w:shd w:val="clear" w:color="auto" w:fill="auto"/>
        <w:bidi w:val="0"/>
        <w:spacing w:before="0" w:after="0" w:line="314" w:lineRule="exact"/>
        <w:ind w:left="0" w:right="0" w:firstLine="520"/>
        <w:jc w:val="both"/>
      </w:pPr>
      <w:bookmarkStart w:id="946" w:name="bookmark946"/>
      <w:bookmarkEnd w:id="946"/>
      <w:r>
        <w:rPr>
          <w:color w:val="000000"/>
          <w:spacing w:val="0"/>
          <w:w w:val="100"/>
          <w:position w:val="0"/>
        </w:rPr>
        <w:t>企业合并形成的长期股权投资，按照下列规定确定其投资成本：</w:t>
      </w:r>
    </w:p>
    <w:p>
      <w:pPr>
        <w:pStyle w:val="Style26"/>
        <w:keepNext w:val="0"/>
        <w:keepLines w:val="0"/>
        <w:widowControl w:val="0"/>
        <w:numPr>
          <w:ilvl w:val="0"/>
          <w:numId w:val="69"/>
        </w:numPr>
        <w:shd w:val="clear" w:color="auto" w:fill="auto"/>
        <w:tabs>
          <w:tab w:pos="813" w:val="left"/>
        </w:tabs>
        <w:bidi w:val="0"/>
        <w:spacing w:before="0" w:after="0" w:line="314" w:lineRule="exact"/>
        <w:ind w:left="0" w:right="0" w:firstLine="520"/>
        <w:jc w:val="both"/>
      </w:pPr>
      <w:bookmarkStart w:id="947" w:name="bookmark947"/>
      <w:bookmarkEnd w:id="947"/>
      <w:r>
        <w:rPr>
          <w:color w:val="000000"/>
          <w:spacing w:val="0"/>
          <w:w w:val="100"/>
          <w:position w:val="0"/>
        </w:rPr>
        <w:t>同一控制下的企业合并，合并方以支付现金、转让非现金资产或承担债务方式作为合并对价的，在合并日按照被合 并方所有者权益在最终控制方合并财务报表中的账面价值的份额作为长期股权投资的初始投资成本。长期股权投资初始投资 成本与支付的现金、转让的非现金资产以及所承担债务账面价值之间的差额，调整资本公积；资本公积不足冲减的，调整留 存收益；</w:t>
      </w:r>
    </w:p>
    <w:p>
      <w:pPr>
        <w:pStyle w:val="Style26"/>
        <w:keepNext w:val="0"/>
        <w:keepLines w:val="0"/>
        <w:widowControl w:val="0"/>
        <w:numPr>
          <w:ilvl w:val="0"/>
          <w:numId w:val="69"/>
        </w:numPr>
        <w:shd w:val="clear" w:color="auto" w:fill="auto"/>
        <w:tabs>
          <w:tab w:pos="818" w:val="left"/>
        </w:tabs>
        <w:bidi w:val="0"/>
        <w:spacing w:before="0" w:after="140" w:line="314" w:lineRule="exact"/>
        <w:ind w:left="0" w:right="0" w:firstLine="520"/>
        <w:jc w:val="both"/>
      </w:pPr>
      <w:bookmarkStart w:id="948" w:name="bookmark948"/>
      <w:bookmarkEnd w:id="948"/>
      <w:r>
        <w:rPr>
          <w:color w:val="000000"/>
          <w:spacing w:val="0"/>
          <w:w w:val="100"/>
          <w:position w:val="0"/>
        </w:rPr>
        <w:t>同一控制下的企业合并，合并方以发行权益性证券作为合并对价的，在合并日按照被合并方所有者权益在最终控制 方合并财务报表中的账面价值的份额作为长期股权投资的初始投资成本。按照发行股份的面值总额作为股本，长期股权投资 初始投资成本与所发行股份面值总额之间的差额，调整资本公积；资本公积不足冲减的，调整留存收益；</w:t>
      </w:r>
    </w:p>
    <w:p>
      <w:pPr>
        <w:pStyle w:val="Style26"/>
        <w:keepNext w:val="0"/>
        <w:keepLines w:val="0"/>
        <w:widowControl w:val="0"/>
        <w:numPr>
          <w:ilvl w:val="0"/>
          <w:numId w:val="69"/>
        </w:numPr>
        <w:shd w:val="clear" w:color="auto" w:fill="auto"/>
        <w:bidi w:val="0"/>
        <w:spacing w:before="0" w:after="0" w:line="315" w:lineRule="exact"/>
        <w:ind w:left="0" w:right="0" w:firstLine="520"/>
        <w:jc w:val="both"/>
      </w:pPr>
      <w:bookmarkStart w:id="949" w:name="bookmark949"/>
      <w:bookmarkEnd w:id="949"/>
      <w:r>
        <w:rPr>
          <w:color w:val="000000"/>
          <w:spacing w:val="0"/>
          <w:w w:val="100"/>
          <w:position w:val="0"/>
        </w:rPr>
        <w:t>非同一控制下的企业合并，以购买日为取得对被购买方的控制权而付出的资产、发生或承担的负债以及发行的权益 性证券的公允价值确定为合并成本作为长期股权投资的初始投资成本。合并方为企业合并发生的审计、法律服务、评估咨询 等中介费用以及其他相关管理费用，于发生时计入当期损益。</w:t>
      </w:r>
    </w:p>
    <w:p>
      <w:pPr>
        <w:pStyle w:val="Style26"/>
        <w:keepNext w:val="0"/>
        <w:keepLines w:val="0"/>
        <w:widowControl w:val="0"/>
        <w:numPr>
          <w:ilvl w:val="0"/>
          <w:numId w:val="67"/>
        </w:numPr>
        <w:shd w:val="clear" w:color="auto" w:fill="auto"/>
        <w:bidi w:val="0"/>
        <w:spacing w:before="0" w:after="0" w:line="315" w:lineRule="exact"/>
        <w:ind w:left="0" w:right="0" w:firstLine="520"/>
        <w:jc w:val="both"/>
      </w:pPr>
      <w:bookmarkStart w:id="950" w:name="bookmark950"/>
      <w:bookmarkEnd w:id="950"/>
      <w:r>
        <w:rPr>
          <w:color w:val="000000"/>
          <w:spacing w:val="0"/>
          <w:w w:val="100"/>
          <w:position w:val="0"/>
        </w:rPr>
        <w:t>除企业合并形成的长期股权投资以外，其他方式取得的长期股权投资，按照下列规定确定其投资成本：</w:t>
      </w:r>
    </w:p>
    <w:p>
      <w:pPr>
        <w:pStyle w:val="Style26"/>
        <w:keepNext w:val="0"/>
        <w:keepLines w:val="0"/>
        <w:widowControl w:val="0"/>
        <w:numPr>
          <w:ilvl w:val="0"/>
          <w:numId w:val="71"/>
        </w:numPr>
        <w:shd w:val="clear" w:color="auto" w:fill="auto"/>
        <w:tabs>
          <w:tab w:pos="809" w:val="left"/>
        </w:tabs>
        <w:bidi w:val="0"/>
        <w:spacing w:before="0" w:after="100" w:line="315" w:lineRule="exact"/>
        <w:ind w:left="0" w:right="0" w:firstLine="520"/>
        <w:jc w:val="both"/>
      </w:pPr>
      <w:bookmarkStart w:id="951" w:name="bookmark951"/>
      <w:bookmarkEnd w:id="951"/>
      <w:r>
        <w:rPr>
          <w:color w:val="000000"/>
          <w:spacing w:val="0"/>
          <w:w w:val="100"/>
          <w:position w:val="0"/>
        </w:rPr>
        <w:t>以支付现金取得的长期股权投资，按照实际支付的购买价款作为投资成本。初始投资成本包括与取得长期股权投资 直接相关的费用、税金及其他必要支出；</w:t>
      </w:r>
    </w:p>
    <w:p>
      <w:pPr>
        <w:pStyle w:val="Style26"/>
        <w:keepNext w:val="0"/>
        <w:keepLines w:val="0"/>
        <w:widowControl w:val="0"/>
        <w:numPr>
          <w:ilvl w:val="0"/>
          <w:numId w:val="71"/>
        </w:numPr>
        <w:shd w:val="clear" w:color="auto" w:fill="auto"/>
        <w:tabs>
          <w:tab w:pos="840" w:val="left"/>
        </w:tabs>
        <w:bidi w:val="0"/>
        <w:spacing w:before="0" w:after="0"/>
        <w:ind w:left="0" w:right="0" w:firstLine="520"/>
        <w:jc w:val="both"/>
      </w:pPr>
      <w:bookmarkStart w:id="952" w:name="bookmark952"/>
      <w:bookmarkEnd w:id="952"/>
      <w:r>
        <w:rPr>
          <w:color w:val="000000"/>
          <w:spacing w:val="0"/>
          <w:w w:val="100"/>
          <w:position w:val="0"/>
        </w:rPr>
        <w:t>以发行权益性证券取得的长期股权投资，按照发行权益性证券的公允价值作为初始投资成本；</w:t>
      </w:r>
    </w:p>
    <w:p>
      <w:pPr>
        <w:pStyle w:val="Style26"/>
        <w:keepNext w:val="0"/>
        <w:keepLines w:val="0"/>
        <w:widowControl w:val="0"/>
        <w:numPr>
          <w:ilvl w:val="0"/>
          <w:numId w:val="71"/>
        </w:numPr>
        <w:shd w:val="clear" w:color="auto" w:fill="auto"/>
        <w:tabs>
          <w:tab w:pos="819" w:val="left"/>
        </w:tabs>
        <w:bidi w:val="0"/>
        <w:spacing w:before="0" w:after="0" w:line="315" w:lineRule="exact"/>
        <w:ind w:left="0" w:right="0" w:firstLine="520"/>
        <w:jc w:val="both"/>
      </w:pPr>
      <w:bookmarkStart w:id="953" w:name="bookmark953"/>
      <w:bookmarkEnd w:id="953"/>
      <w:r>
        <w:rPr>
          <w:color w:val="000000"/>
          <w:spacing w:val="0"/>
          <w:w w:val="100"/>
          <w:position w:val="0"/>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Style26"/>
        <w:keepNext w:val="0"/>
        <w:keepLines w:val="0"/>
        <w:widowControl w:val="0"/>
        <w:numPr>
          <w:ilvl w:val="0"/>
          <w:numId w:val="71"/>
        </w:numPr>
        <w:shd w:val="clear" w:color="auto" w:fill="auto"/>
        <w:tabs>
          <w:tab w:pos="814" w:val="left"/>
        </w:tabs>
        <w:bidi w:val="0"/>
        <w:spacing w:before="0" w:after="0" w:line="315" w:lineRule="exact"/>
        <w:ind w:left="0" w:right="0" w:firstLine="520"/>
        <w:jc w:val="both"/>
      </w:pPr>
      <w:bookmarkStart w:id="954" w:name="bookmark954"/>
      <w:bookmarkEnd w:id="954"/>
      <w:r>
        <w:rPr>
          <w:color w:val="000000"/>
          <w:spacing w:val="0"/>
          <w:w w:val="100"/>
          <w:position w:val="0"/>
        </w:rPr>
        <w:t>通过债务重组取得的长期股权投资，以所放弃债权的公允价值和可直接归属于该资产的税金等其他成本确定其入账 价值，并将所放弃债权的公允价值与账面价值之间的差额，计入当期损益。</w:t>
      </w:r>
    </w:p>
    <w:p>
      <w:pPr>
        <w:pStyle w:val="Style26"/>
        <w:keepNext w:val="0"/>
        <w:keepLines w:val="0"/>
        <w:widowControl w:val="0"/>
        <w:shd w:val="clear" w:color="auto" w:fill="auto"/>
        <w:tabs>
          <w:tab w:pos="921" w:val="left"/>
        </w:tabs>
        <w:bidi w:val="0"/>
        <w:spacing w:before="0" w:after="0" w:line="315" w:lineRule="exact"/>
        <w:ind w:left="0" w:right="0" w:firstLine="52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3</w:t>
      </w:r>
      <w:r>
        <w:rPr>
          <w:color w:val="000000"/>
          <w:spacing w:val="0"/>
          <w:w w:val="100"/>
          <w:position w:val="0"/>
        </w:rPr>
        <w:t>）</w:t>
        <w:tab/>
        <w:t>后续计量及损益确认方法</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本公司能够对被投资单位实施控制的长期股权投资采用成本法核算；对联营企业和合营企业的长期股权投资采用权益 法核算。</w:t>
      </w:r>
    </w:p>
    <w:p>
      <w:pPr>
        <w:pStyle w:val="Style26"/>
        <w:keepNext w:val="0"/>
        <w:keepLines w:val="0"/>
        <w:widowControl w:val="0"/>
        <w:numPr>
          <w:ilvl w:val="0"/>
          <w:numId w:val="73"/>
        </w:numPr>
        <w:shd w:val="clear" w:color="auto" w:fill="auto"/>
        <w:tabs>
          <w:tab w:pos="849" w:val="left"/>
        </w:tabs>
        <w:bidi w:val="0"/>
        <w:spacing w:before="0" w:after="0" w:line="315" w:lineRule="exact"/>
        <w:ind w:left="0" w:right="0" w:firstLine="520"/>
        <w:jc w:val="left"/>
      </w:pPr>
      <w:bookmarkStart w:id="956" w:name="bookmark956"/>
      <w:bookmarkEnd w:id="956"/>
      <w:r>
        <w:rPr>
          <w:color w:val="000000"/>
          <w:spacing w:val="0"/>
          <w:w w:val="100"/>
          <w:position w:val="0"/>
        </w:rPr>
        <w:t>成本法</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采用成本法核算的长期股权投资，追加或收回投资时调整长期股权投资的成本；被投资单位宣告分派的现金股利或利 润，确认为当期投资收益。</w:t>
      </w:r>
    </w:p>
    <w:p>
      <w:pPr>
        <w:pStyle w:val="Style26"/>
        <w:keepNext w:val="0"/>
        <w:keepLines w:val="0"/>
        <w:widowControl w:val="0"/>
        <w:numPr>
          <w:ilvl w:val="0"/>
          <w:numId w:val="73"/>
        </w:numPr>
        <w:shd w:val="clear" w:color="auto" w:fill="auto"/>
        <w:tabs>
          <w:tab w:pos="849" w:val="left"/>
        </w:tabs>
        <w:bidi w:val="0"/>
        <w:spacing w:before="0" w:after="0" w:line="315" w:lineRule="exact"/>
        <w:ind w:left="0" w:right="0" w:firstLine="520"/>
        <w:jc w:val="both"/>
      </w:pPr>
      <w:bookmarkStart w:id="957" w:name="bookmark957"/>
      <w:bookmarkEnd w:id="957"/>
      <w:r>
        <w:rPr>
          <w:color w:val="000000"/>
          <w:spacing w:val="0"/>
          <w:w w:val="100"/>
          <w:position w:val="0"/>
        </w:rPr>
        <w:t>权益法</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按照权益法核算的长期股权投资，一般会计处理为：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本公司长期股权投资的投资成本大于投资时应享有被投资单位可辨认净资产公允价值份额的，不调整长期股权投资的 初始投资成本；长期股权投资的初始投资成本小于投资时应享有被投资单位可辨认净资产公允价值份额的，其差额计入当期 损益，同时调整长期股权投资的成本。</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本公司按照应享有或应分担的被投资单位实现的净损益和其他综合收益的份额，分别确认投资收益和其他综合收益， 同时调整长期股权投资的账面价值；本公司按照被投资单位宣告分派的利润或现金股利计算应享有的部分，相应减少长期股 权投资的账面价值；被投资单位除净损益、其他综合收益和利润分配以外所有者权益的其他变动，调整长期股权投资的账面 价值并计入所有者权益。在确认应享有被投资单位净损益的份额时，以取得投资时被投资单位可辨认净资产的公允价值为基 础，对被投资单位的净利润进行调整后确认。被投资单位采用的会计政策及会计期间与本公司不一致的，应按照本公司的会 计政策及会计期间对被投资单位的财务报表进行调整，并据以确认投资收益和其他综合收益等。本公司与联营企业及合营企 业之间发生的未实现内部交易损益按照享有的比例计算归属于本公司的部分予以抵销，在此基础上确认投资损益。本公司与 被投资单位发生的未实现内部交易损失属于资产减值损失的，应全额确认。</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因追加投资等原因能够对被投资单位施加重大影响或实施共同控制但不构成控制的，按照原持有的股权投资的公允价 值加上新增投资成本之和，作为改按权益法核算的初始投资成本。原持有的股权投资分类为其他权益工具投资的，其公允价 值与账面价值之间的差额，以及原计入其他综合收益的累计利得或损失应当在改按权益法核算的当期从其他综合收益中转 出，计入留存收益。</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因处置部分股权投资等原因丧失了对被投资单位的共同控制或重大影响的，处置后的剩余股权改按公允价值计量，其 在丧失共同控制或重大影响之日的公允价值与账面价值之间的差额计入当期损益。原股权投资因采用权益法核算而确认的其 他综合收益，在终止采用权益法核算时采用与被投资单位直接处置相关资产或负债相同的基础进行会计处理。</w:t>
      </w:r>
    </w:p>
    <w:p>
      <w:pPr>
        <w:pStyle w:val="Style26"/>
        <w:keepNext w:val="0"/>
        <w:keepLines w:val="0"/>
        <w:widowControl w:val="0"/>
        <w:shd w:val="clear" w:color="auto" w:fill="auto"/>
        <w:tabs>
          <w:tab w:pos="921" w:val="left"/>
        </w:tabs>
        <w:bidi w:val="0"/>
        <w:spacing w:before="0" w:after="0" w:line="315" w:lineRule="exact"/>
        <w:ind w:left="0" w:right="0" w:firstLine="520"/>
        <w:jc w:val="both"/>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4</w:t>
      </w:r>
      <w:r>
        <w:rPr>
          <w:color w:val="000000"/>
          <w:spacing w:val="0"/>
          <w:w w:val="100"/>
          <w:position w:val="0"/>
        </w:rPr>
        <w:t>）</w:t>
        <w:tab/>
        <w:t>持有待售的权益性投资</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对联营企业或合营企业的权益性投资全部或部分分类为持有待售资产的，相关会计处理见附注五、</w:t>
      </w:r>
      <w:r>
        <w:rPr>
          <w:rFonts w:ascii="Times New Roman" w:eastAsia="Times New Roman" w:hAnsi="Times New Roman" w:cs="Times New Roman"/>
          <w:color w:val="000000"/>
          <w:spacing w:val="0"/>
          <w:w w:val="100"/>
          <w:position w:val="0"/>
        </w:rPr>
        <w:t>18</w:t>
      </w:r>
      <w:r>
        <w:rPr>
          <w:color w:val="000000"/>
          <w:spacing w:val="0"/>
          <w:w w:val="100"/>
          <w:position w:val="0"/>
        </w:rPr>
        <w:t>。</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对于未划分为持有待售资产的剩余权益性投资，采用权益法进行会计处理。</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已划分为持有待售的对联营企业或合营企业的权益性投资，不再符合持有待售资产分类条件的，从被分类为持有待售 资产之日起采用权益法进行追溯调整。分类为持有待售期间的财务报表做相应调整。</w:t>
      </w:r>
    </w:p>
    <w:p>
      <w:pPr>
        <w:pStyle w:val="Style26"/>
        <w:keepNext w:val="0"/>
        <w:keepLines w:val="0"/>
        <w:widowControl w:val="0"/>
        <w:shd w:val="clear" w:color="auto" w:fill="auto"/>
        <w:tabs>
          <w:tab w:pos="921" w:val="left"/>
        </w:tabs>
        <w:bidi w:val="0"/>
        <w:spacing w:before="0" w:after="0" w:line="315" w:lineRule="exact"/>
        <w:ind w:left="0" w:right="0" w:firstLine="52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5</w:t>
      </w:r>
      <w:r>
        <w:rPr>
          <w:color w:val="000000"/>
          <w:spacing w:val="0"/>
          <w:w w:val="100"/>
          <w:position w:val="0"/>
        </w:rPr>
        <w:t>）</w:t>
        <w:tab/>
        <w:t>减值测试方法及减值准备计提方法</w:t>
      </w:r>
    </w:p>
    <w:p>
      <w:pPr>
        <w:pStyle w:val="Style26"/>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对子公司、联营企业及合营企业的投资，计提资产减值的方法见附注五、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0"/>
        <w:keepNext/>
        <w:keepLines/>
        <w:widowControl w:val="0"/>
        <w:shd w:val="clear" w:color="auto" w:fill="auto"/>
        <w:bidi w:val="0"/>
        <w:spacing w:before="0" w:after="280" w:line="240" w:lineRule="auto"/>
        <w:ind w:left="0" w:right="0" w:firstLine="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960"/>
      <w:bookmarkEnd w:id="961"/>
      <w:bookmarkEnd w:id="963"/>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6"/>
        <w:keepNext w:val="0"/>
        <w:keepLines w:val="0"/>
        <w:widowControl w:val="0"/>
        <w:shd w:val="clear" w:color="auto" w:fill="auto"/>
        <w:tabs>
          <w:tab w:pos="965" w:val="left"/>
        </w:tabs>
        <w:bidi w:val="0"/>
        <w:spacing w:before="0" w:after="0" w:line="312" w:lineRule="exact"/>
        <w:ind w:left="0" w:right="0" w:firstLine="520"/>
        <w:jc w:val="both"/>
      </w:pPr>
      <w:bookmarkStart w:id="964" w:name="bookmark964"/>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投资性房地产的分类</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投资性房产是指为赚取租金或资本增值，或两者兼有而持有的房地产。主要包括：</w:t>
      </w:r>
    </w:p>
    <w:p>
      <w:pPr>
        <w:pStyle w:val="Style26"/>
        <w:keepNext w:val="0"/>
        <w:keepLines w:val="0"/>
        <w:widowControl w:val="0"/>
        <w:numPr>
          <w:ilvl w:val="0"/>
          <w:numId w:val="75"/>
        </w:numPr>
        <w:shd w:val="clear" w:color="auto" w:fill="auto"/>
        <w:tabs>
          <w:tab w:pos="893" w:val="left"/>
        </w:tabs>
        <w:bidi w:val="0"/>
        <w:spacing w:before="0" w:after="0" w:line="312" w:lineRule="exact"/>
        <w:ind w:left="0" w:right="0" w:firstLine="520"/>
        <w:jc w:val="both"/>
      </w:pPr>
      <w:bookmarkStart w:id="965" w:name="bookmark965"/>
      <w:bookmarkEnd w:id="965"/>
      <w:r>
        <w:rPr>
          <w:color w:val="000000"/>
          <w:spacing w:val="0"/>
          <w:w w:val="100"/>
          <w:position w:val="0"/>
        </w:rPr>
        <w:t>已出租的土地使用权。</w:t>
      </w:r>
    </w:p>
    <w:p>
      <w:pPr>
        <w:pStyle w:val="Style26"/>
        <w:keepNext w:val="0"/>
        <w:keepLines w:val="0"/>
        <w:widowControl w:val="0"/>
        <w:numPr>
          <w:ilvl w:val="0"/>
          <w:numId w:val="75"/>
        </w:numPr>
        <w:shd w:val="clear" w:color="auto" w:fill="auto"/>
        <w:tabs>
          <w:tab w:pos="893" w:val="left"/>
        </w:tabs>
        <w:bidi w:val="0"/>
        <w:spacing w:before="0" w:after="0" w:line="312" w:lineRule="exact"/>
        <w:ind w:left="0" w:right="0" w:firstLine="520"/>
        <w:jc w:val="both"/>
      </w:pPr>
      <w:bookmarkStart w:id="966" w:name="bookmark966"/>
      <w:bookmarkEnd w:id="966"/>
      <w:r>
        <w:rPr>
          <w:color w:val="000000"/>
          <w:spacing w:val="0"/>
          <w:w w:val="100"/>
          <w:position w:val="0"/>
        </w:rPr>
        <w:t>持有并准备增值后转让的土地使用权。</w:t>
      </w:r>
    </w:p>
    <w:p>
      <w:pPr>
        <w:pStyle w:val="Style26"/>
        <w:keepNext w:val="0"/>
        <w:keepLines w:val="0"/>
        <w:widowControl w:val="0"/>
        <w:numPr>
          <w:ilvl w:val="0"/>
          <w:numId w:val="75"/>
        </w:numPr>
        <w:shd w:val="clear" w:color="auto" w:fill="auto"/>
        <w:tabs>
          <w:tab w:pos="893" w:val="left"/>
        </w:tabs>
        <w:bidi w:val="0"/>
        <w:spacing w:before="0" w:after="0" w:line="312" w:lineRule="exact"/>
        <w:ind w:left="0" w:right="0" w:firstLine="520"/>
        <w:jc w:val="both"/>
      </w:pPr>
      <w:bookmarkStart w:id="967" w:name="bookmark967"/>
      <w:bookmarkEnd w:id="967"/>
      <w:r>
        <w:rPr>
          <w:color w:val="000000"/>
          <w:spacing w:val="0"/>
          <w:w w:val="100"/>
          <w:position w:val="0"/>
        </w:rPr>
        <w:t>已出租的建筑物。</w:t>
      </w:r>
    </w:p>
    <w:p>
      <w:pPr>
        <w:pStyle w:val="Style26"/>
        <w:keepNext w:val="0"/>
        <w:keepLines w:val="0"/>
        <w:widowControl w:val="0"/>
        <w:shd w:val="clear" w:color="auto" w:fill="auto"/>
        <w:tabs>
          <w:tab w:pos="965" w:val="left"/>
        </w:tabs>
        <w:bidi w:val="0"/>
        <w:spacing w:before="0" w:after="0" w:line="312" w:lineRule="exact"/>
        <w:ind w:left="0" w:right="0" w:firstLine="5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投资性房地产的计量模式</w:t>
      </w:r>
    </w:p>
    <w:p>
      <w:pPr>
        <w:pStyle w:val="Style26"/>
        <w:keepNext w:val="0"/>
        <w:keepLines w:val="0"/>
        <w:widowControl w:val="0"/>
        <w:shd w:val="clear" w:color="auto" w:fill="auto"/>
        <w:bidi w:val="0"/>
        <w:spacing w:before="0" w:after="100" w:line="312" w:lineRule="exact"/>
        <w:ind w:left="0" w:right="0" w:firstLine="520"/>
        <w:jc w:val="both"/>
      </w:pPr>
      <w:r>
        <w:rPr>
          <w:color w:val="000000"/>
          <w:spacing w:val="0"/>
          <w:w w:val="100"/>
          <w:position w:val="0"/>
        </w:rPr>
        <w:t>本公司采用成本模式对投资性房地产进行后续计量，计提资产减值方法见附注五、</w:t>
      </w:r>
      <w:r>
        <w:rPr>
          <w:rFonts w:ascii="Times New Roman" w:eastAsia="Times New Roman" w:hAnsi="Times New Roman" w:cs="Times New Roman"/>
          <w:color w:val="000000"/>
          <w:spacing w:val="0"/>
          <w:w w:val="100"/>
          <w:position w:val="0"/>
        </w:rPr>
        <w:t>31</w:t>
      </w:r>
      <w:r>
        <w:rPr>
          <w:color w:val="000000"/>
          <w:spacing w:val="0"/>
          <w:w w:val="100"/>
          <w:position w:val="0"/>
        </w:rPr>
        <w:t>。</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本公司对投资性房地产成本减累计减值及净残值后按直线法计算折旧或摊销，投资性房地产的类别、估计的经济使用 年限和预计的净残值率分别确定折旧年限和年折旧率如下：</w:t>
      </w:r>
    </w:p>
    <w:tbl>
      <w:tblPr>
        <w:tblOverlap w:val="never"/>
        <w:jc w:val="center"/>
        <w:tblLayout w:type="fixed"/>
      </w:tblPr>
      <w:tblGrid>
        <w:gridCol w:w="2635"/>
        <w:gridCol w:w="1800"/>
        <w:gridCol w:w="2069"/>
        <w:gridCol w:w="238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1.90-4.75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w:t>
            </w:r>
          </w:p>
        </w:tc>
      </w:tr>
    </w:tbl>
    <w:p>
      <w:pPr>
        <w:widowControl w:val="0"/>
        <w:spacing w:after="639" w:line="1" w:lineRule="exact"/>
      </w:pPr>
    </w:p>
    <w:p>
      <w:pPr>
        <w:pStyle w:val="Style30"/>
        <w:keepNext/>
        <w:keepLines/>
        <w:widowControl w:val="0"/>
        <w:shd w:val="clear" w:color="auto" w:fill="auto"/>
        <w:bidi w:val="0"/>
        <w:spacing w:before="0" w:after="380" w:line="240" w:lineRule="auto"/>
        <w:ind w:left="0" w:right="0" w:firstLine="0"/>
        <w:jc w:val="both"/>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2</w:t>
      </w:r>
      <w:bookmarkEnd w:id="97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969"/>
      <w:bookmarkEnd w:id="970"/>
      <w:bookmarkEnd w:id="972"/>
    </w:p>
    <w:p>
      <w:pPr>
        <w:pStyle w:val="Style30"/>
        <w:keepNext/>
        <w:keepLines/>
        <w:widowControl w:val="0"/>
        <w:shd w:val="clear" w:color="auto" w:fill="auto"/>
        <w:bidi w:val="0"/>
        <w:spacing w:before="0" w:after="280" w:line="240" w:lineRule="auto"/>
        <w:ind w:left="0" w:right="0" w:firstLine="0"/>
        <w:jc w:val="both"/>
      </w:pPr>
      <w:bookmarkStart w:id="969" w:name="bookmark969"/>
      <w:bookmarkStart w:id="970" w:name="bookmark970"/>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9"/>
      <w:bookmarkEnd w:id="970"/>
      <w:bookmarkEnd w:id="974"/>
    </w:p>
    <w:p>
      <w:pPr>
        <w:pStyle w:val="Style26"/>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固定资产是指为生产商品、提供劳务、出租或经营管理而持有的使用寿命超过一年的单位价值较高的有形资产。固 定资产在同时满足下列条件时，按取得时的实际成本予以确认：①与该固定资产有关的经济利益很可能流入企业。②该固定 资产的成本能够可靠地计量。固定资产发生的后续支出，符合固定资产确认条件的计入固定资产成本；不符合固定资产确认 条件的在发生时计入当期损益。</w:t>
      </w:r>
    </w:p>
    <w:p>
      <w:pPr>
        <w:pStyle w:val="Style30"/>
        <w:keepNext/>
        <w:keepLines/>
        <w:widowControl w:val="0"/>
        <w:shd w:val="clear" w:color="auto" w:fill="auto"/>
        <w:bidi w:val="0"/>
        <w:spacing w:before="0" w:after="320" w:line="240" w:lineRule="auto"/>
        <w:ind w:left="0" w:right="0" w:firstLine="14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w:t>
      </w:r>
      <w:bookmarkEnd w:id="97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75"/>
      <w:bookmarkEnd w:id="976"/>
      <w:bookmarkEnd w:id="97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双倍余额递减法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15.83%-66.67%</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9"/>
      <w:bookmarkEnd w:id="980"/>
      <w:bookmarkEnd w:id="982"/>
    </w:p>
    <w:p>
      <w:pPr>
        <w:pStyle w:val="Style26"/>
        <w:keepNext w:val="0"/>
        <w:keepLines w:val="0"/>
        <w:widowControl w:val="0"/>
        <w:shd w:val="clear" w:color="auto" w:fill="auto"/>
        <w:bidi w:val="0"/>
        <w:spacing w:before="0" w:after="380" w:line="317" w:lineRule="exact"/>
        <w:ind w:left="0" w:right="0" w:firstLine="640"/>
        <w:jc w:val="both"/>
      </w:pPr>
      <w:r>
        <w:rPr>
          <w:color w:val="000000"/>
          <w:spacing w:val="0"/>
          <w:w w:val="100"/>
          <w:position w:val="0"/>
        </w:rPr>
        <w:t xml:space="preserve">本公司在租入的固定资产实质上转移了与资产有关的全部风险和报酬时确认该项固定资产的租赁为融资租赁。融资 租赁取得的固定资产的成本，按租赁开始日租赁资产公允价值与最低租赁付款额现值两者中较低者确定。融资租入的固定资 </w:t>
      </w:r>
      <w:r>
        <w:rPr>
          <w:color w:val="000000"/>
          <w:spacing w:val="0"/>
          <w:w w:val="100"/>
          <w:position w:val="0"/>
        </w:rPr>
        <w:t>产采用与自有固定资产相一致的折旧政策计提租赁资产折旧。能够合理确定租赁期届满时将会取得租赁资产所有权的，在租 赁资产使用年限内计提折旧；无法合理确定租赁期届满时能够取得租赁资产所有权的，在租赁期与租赁资产使用寿命两者中 较短的期间内计提折旧。</w:t>
      </w:r>
    </w:p>
    <w:p>
      <w:pPr>
        <w:pStyle w:val="Style30"/>
        <w:keepNext/>
        <w:keepLines/>
        <w:widowControl w:val="0"/>
        <w:shd w:val="clear" w:color="auto" w:fill="auto"/>
        <w:tabs>
          <w:tab w:pos="476" w:val="left"/>
        </w:tabs>
        <w:bidi w:val="0"/>
        <w:spacing w:before="0" w:after="260" w:line="240" w:lineRule="auto"/>
        <w:ind w:left="0" w:right="0" w:firstLine="0"/>
        <w:jc w:val="both"/>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rPr>
        <w:t>2</w:t>
      </w:r>
      <w:bookmarkEnd w:id="985"/>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83"/>
      <w:bookmarkEnd w:id="984"/>
      <w:bookmarkEnd w:id="986"/>
    </w:p>
    <w:p>
      <w:pPr>
        <w:pStyle w:val="Style26"/>
        <w:keepNext w:val="0"/>
        <w:keepLines w:val="0"/>
        <w:widowControl w:val="0"/>
        <w:numPr>
          <w:ilvl w:val="0"/>
          <w:numId w:val="77"/>
        </w:numPr>
        <w:shd w:val="clear" w:color="auto" w:fill="auto"/>
        <w:tabs>
          <w:tab w:pos="957" w:val="left"/>
        </w:tabs>
        <w:bidi w:val="0"/>
        <w:spacing w:before="0" w:after="0" w:line="313" w:lineRule="exact"/>
        <w:ind w:left="0" w:right="0" w:firstLine="520"/>
        <w:jc w:val="left"/>
      </w:pPr>
      <w:bookmarkStart w:id="987" w:name="bookmark987"/>
      <w:bookmarkEnd w:id="987"/>
      <w:r>
        <w:rPr>
          <w:color w:val="000000"/>
          <w:spacing w:val="0"/>
          <w:w w:val="100"/>
          <w:position w:val="0"/>
        </w:rPr>
        <w:t>在建工程以立项项目分类核算。</w:t>
      </w:r>
    </w:p>
    <w:p>
      <w:pPr>
        <w:pStyle w:val="Style26"/>
        <w:keepNext w:val="0"/>
        <w:keepLines w:val="0"/>
        <w:widowControl w:val="0"/>
        <w:numPr>
          <w:ilvl w:val="0"/>
          <w:numId w:val="77"/>
        </w:numPr>
        <w:shd w:val="clear" w:color="auto" w:fill="auto"/>
        <w:tabs>
          <w:tab w:pos="957" w:val="left"/>
        </w:tabs>
        <w:bidi w:val="0"/>
        <w:spacing w:before="0" w:after="0" w:line="313" w:lineRule="exact"/>
        <w:ind w:left="0" w:right="0" w:firstLine="520"/>
        <w:jc w:val="left"/>
      </w:pPr>
      <w:bookmarkStart w:id="988" w:name="bookmark988"/>
      <w:bookmarkEnd w:id="988"/>
      <w:r>
        <w:rPr>
          <w:color w:val="000000"/>
          <w:spacing w:val="0"/>
          <w:w w:val="100"/>
          <w:position w:val="0"/>
        </w:rPr>
        <w:t>在建工程结转为固定资产的标准和时点</w:t>
      </w:r>
    </w:p>
    <w:p>
      <w:pPr>
        <w:pStyle w:val="Style26"/>
        <w:keepNext w:val="0"/>
        <w:keepLines w:val="0"/>
        <w:widowControl w:val="0"/>
        <w:shd w:val="clear" w:color="auto" w:fill="auto"/>
        <w:bidi w:val="0"/>
        <w:spacing w:before="0" w:after="380" w:line="313" w:lineRule="exact"/>
        <w:ind w:left="0" w:right="0" w:firstLine="520"/>
        <w:jc w:val="left"/>
      </w:pPr>
      <w:r>
        <w:rPr>
          <w:color w:val="000000"/>
          <w:spacing w:val="0"/>
          <w:w w:val="100"/>
          <w:position w:val="0"/>
        </w:rPr>
        <w:t>在建工程项目按建造该项资产达到预定可使用状态前所发生的全部支出，作为固定资产的入账价值。包括建筑费用、 机器设备原价、其他为使在建工程达到预定可使用状态所发生的必要支出以及在资产达到预定可使用状态之前为该项目专门 借款所发生的借款费用及占用的一般借款发生的借款费用。本公司在工程安装或建设完成达到预定可使用状态时将在建工程 转入固定资产。所建造的已达到预定可使用状态、但尚未办理竣工决算的固定资产，自达到预定可使用状态之日起，根据工 程预算、造价或者工程实际成本等，按估计的价值转入固定资产，并按本公司固定资产折旧政策计提固定资产的折旧，待办 理竣工决算后，再按实际成本调整原来的暂估价值，但不调整原已计提的折旧额。</w:t>
      </w:r>
    </w:p>
    <w:p>
      <w:pPr>
        <w:pStyle w:val="Style30"/>
        <w:keepNext/>
        <w:keepLines/>
        <w:widowControl w:val="0"/>
        <w:shd w:val="clear" w:color="auto" w:fill="auto"/>
        <w:tabs>
          <w:tab w:pos="476" w:val="left"/>
        </w:tabs>
        <w:bidi w:val="0"/>
        <w:spacing w:before="0" w:after="2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89"/>
      <w:bookmarkEnd w:id="990"/>
      <w:bookmarkEnd w:id="992"/>
    </w:p>
    <w:p>
      <w:pPr>
        <w:pStyle w:val="Style26"/>
        <w:keepNext w:val="0"/>
        <w:keepLines w:val="0"/>
        <w:widowControl w:val="0"/>
        <w:numPr>
          <w:ilvl w:val="0"/>
          <w:numId w:val="79"/>
        </w:numPr>
        <w:shd w:val="clear" w:color="auto" w:fill="auto"/>
        <w:tabs>
          <w:tab w:pos="957" w:val="left"/>
        </w:tabs>
        <w:bidi w:val="0"/>
        <w:spacing w:before="0" w:after="0" w:line="316" w:lineRule="exact"/>
        <w:ind w:left="0" w:right="0" w:firstLine="520"/>
        <w:jc w:val="left"/>
      </w:pPr>
      <w:bookmarkStart w:id="993" w:name="bookmark993"/>
      <w:bookmarkEnd w:id="993"/>
      <w:r>
        <w:rPr>
          <w:color w:val="000000"/>
          <w:spacing w:val="0"/>
          <w:w w:val="100"/>
          <w:position w:val="0"/>
        </w:rPr>
        <w:t>借款费用资本化的确认原则和资本化期间</w:t>
      </w:r>
    </w:p>
    <w:p>
      <w:pPr>
        <w:pStyle w:val="Style26"/>
        <w:keepNext w:val="0"/>
        <w:keepLines w:val="0"/>
        <w:widowControl w:val="0"/>
        <w:shd w:val="clear" w:color="auto" w:fill="auto"/>
        <w:bidi w:val="0"/>
        <w:spacing w:before="0" w:after="0" w:line="316" w:lineRule="exact"/>
        <w:ind w:left="0" w:right="0" w:firstLine="520"/>
        <w:jc w:val="left"/>
      </w:pPr>
      <w:r>
        <w:rPr>
          <w:color w:val="000000"/>
          <w:spacing w:val="0"/>
          <w:w w:val="100"/>
          <w:position w:val="0"/>
        </w:rPr>
        <w:t>本公司发生的可直接归属于符合资本化条件的资产的购建或生产的借款费用在同时满足下列条件时予以资本化计入 相关资产成本：</w:t>
      </w:r>
    </w:p>
    <w:p>
      <w:pPr>
        <w:pStyle w:val="Style26"/>
        <w:keepNext w:val="0"/>
        <w:keepLines w:val="0"/>
        <w:widowControl w:val="0"/>
        <w:numPr>
          <w:ilvl w:val="0"/>
          <w:numId w:val="81"/>
        </w:numPr>
        <w:shd w:val="clear" w:color="auto" w:fill="auto"/>
        <w:tabs>
          <w:tab w:pos="885" w:val="left"/>
        </w:tabs>
        <w:bidi w:val="0"/>
        <w:spacing w:before="0" w:after="0" w:line="316" w:lineRule="exact"/>
        <w:ind w:left="0" w:right="0" w:firstLine="520"/>
        <w:jc w:val="both"/>
      </w:pPr>
      <w:bookmarkStart w:id="994" w:name="bookmark994"/>
      <w:bookmarkEnd w:id="994"/>
      <w:r>
        <w:rPr>
          <w:color w:val="000000"/>
          <w:spacing w:val="0"/>
          <w:w w:val="100"/>
          <w:position w:val="0"/>
        </w:rPr>
        <w:t>资产支出已经发生；</w:t>
      </w:r>
    </w:p>
    <w:p>
      <w:pPr>
        <w:pStyle w:val="Style26"/>
        <w:keepNext w:val="0"/>
        <w:keepLines w:val="0"/>
        <w:widowControl w:val="0"/>
        <w:numPr>
          <w:ilvl w:val="0"/>
          <w:numId w:val="81"/>
        </w:numPr>
        <w:shd w:val="clear" w:color="auto" w:fill="auto"/>
        <w:tabs>
          <w:tab w:pos="885" w:val="left"/>
        </w:tabs>
        <w:bidi w:val="0"/>
        <w:spacing w:before="0" w:after="0" w:line="316" w:lineRule="exact"/>
        <w:ind w:left="0" w:right="0" w:firstLine="520"/>
        <w:jc w:val="both"/>
      </w:pPr>
      <w:bookmarkStart w:id="995" w:name="bookmark995"/>
      <w:bookmarkEnd w:id="995"/>
      <w:r>
        <w:rPr>
          <w:color w:val="000000"/>
          <w:spacing w:val="0"/>
          <w:w w:val="100"/>
          <w:position w:val="0"/>
        </w:rPr>
        <w:t>借款费用已经发生；</w:t>
      </w:r>
    </w:p>
    <w:p>
      <w:pPr>
        <w:pStyle w:val="Style26"/>
        <w:keepNext w:val="0"/>
        <w:keepLines w:val="0"/>
        <w:widowControl w:val="0"/>
        <w:numPr>
          <w:ilvl w:val="0"/>
          <w:numId w:val="81"/>
        </w:numPr>
        <w:shd w:val="clear" w:color="auto" w:fill="auto"/>
        <w:tabs>
          <w:tab w:pos="885" w:val="left"/>
        </w:tabs>
        <w:bidi w:val="0"/>
        <w:spacing w:before="0" w:after="0" w:line="316" w:lineRule="exact"/>
        <w:ind w:left="0" w:right="0" w:firstLine="520"/>
        <w:jc w:val="left"/>
      </w:pPr>
      <w:bookmarkStart w:id="996" w:name="bookmark996"/>
      <w:bookmarkEnd w:id="996"/>
      <w:r>
        <w:rPr>
          <w:color w:val="000000"/>
          <w:spacing w:val="0"/>
          <w:w w:val="100"/>
          <w:position w:val="0"/>
        </w:rPr>
        <w:t>为使资产达到预定可使用状态所必要的购建或者生产活动已经开始。</w:t>
      </w:r>
    </w:p>
    <w:p>
      <w:pPr>
        <w:pStyle w:val="Style26"/>
        <w:keepNext w:val="0"/>
        <w:keepLines w:val="0"/>
        <w:widowControl w:val="0"/>
        <w:shd w:val="clear" w:color="auto" w:fill="auto"/>
        <w:bidi w:val="0"/>
        <w:spacing w:before="0" w:after="0" w:line="316" w:lineRule="exact"/>
        <w:ind w:left="0" w:right="0" w:firstLine="520"/>
        <w:jc w:val="left"/>
      </w:pPr>
      <w:r>
        <w:rPr>
          <w:color w:val="000000"/>
          <w:spacing w:val="0"/>
          <w:w w:val="100"/>
          <w:position w:val="0"/>
        </w:rPr>
        <w:t>其他的借款利息、折价或溢价和汇兑差额，计入发生当期的损益。</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个月的，暂停借款费用的资本 化。</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当购建或者生产符合资本化条件的资产达到预定可使用或者可销售状态时，停止其借款费用的资本化；以后发生的借 款费用于发生当期确认为费用。</w:t>
      </w:r>
    </w:p>
    <w:p>
      <w:pPr>
        <w:pStyle w:val="Style26"/>
        <w:keepNext w:val="0"/>
        <w:keepLines w:val="0"/>
        <w:widowControl w:val="0"/>
        <w:numPr>
          <w:ilvl w:val="0"/>
          <w:numId w:val="79"/>
        </w:numPr>
        <w:shd w:val="clear" w:color="auto" w:fill="auto"/>
        <w:tabs>
          <w:tab w:pos="957" w:val="left"/>
        </w:tabs>
        <w:bidi w:val="0"/>
        <w:spacing w:before="0" w:after="0" w:line="316" w:lineRule="exact"/>
        <w:ind w:left="0" w:right="0" w:firstLine="520"/>
        <w:jc w:val="both"/>
      </w:pPr>
      <w:bookmarkStart w:id="997" w:name="bookmark997"/>
      <w:bookmarkEnd w:id="997"/>
      <w:r>
        <w:rPr>
          <w:color w:val="000000"/>
          <w:spacing w:val="0"/>
          <w:w w:val="100"/>
          <w:position w:val="0"/>
        </w:rPr>
        <w:t>借款费用资本化率以及资本化金额的计算方法</w:t>
      </w:r>
    </w:p>
    <w:p>
      <w:pPr>
        <w:pStyle w:val="Style26"/>
        <w:keepNext w:val="0"/>
        <w:keepLines w:val="0"/>
        <w:widowControl w:val="0"/>
        <w:shd w:val="clear" w:color="auto" w:fill="auto"/>
        <w:bidi w:val="0"/>
        <w:spacing w:before="0" w:after="0" w:line="316" w:lineRule="exact"/>
        <w:ind w:left="0" w:right="0" w:firstLine="520"/>
        <w:jc w:val="both"/>
      </w:pPr>
      <w:r>
        <w:rPr>
          <w:color w:val="000000"/>
          <w:spacing w:val="0"/>
          <w:w w:val="100"/>
          <w:position w:val="0"/>
        </w:rPr>
        <w:t>为购建或者生产符合资本化条件的资产而借入专门借款的，以专门借款当期实际发生的利息费用，减去将尚未动用的 借款资金存入银行取得的利息收入或者进行暂时性投资取得的投资收益后的金额，确定为专门借款利息费用的资本化金额。</w:t>
      </w:r>
    </w:p>
    <w:p>
      <w:pPr>
        <w:pStyle w:val="Style26"/>
        <w:keepNext w:val="0"/>
        <w:keepLines w:val="0"/>
        <w:widowControl w:val="0"/>
        <w:shd w:val="clear" w:color="auto" w:fill="auto"/>
        <w:bidi w:val="0"/>
        <w:spacing w:before="0" w:after="260" w:line="316" w:lineRule="exact"/>
        <w:ind w:left="0" w:right="0" w:firstLine="520"/>
        <w:jc w:val="both"/>
        <w:sectPr>
          <w:footnotePr>
            <w:pos w:val="pageBottom"/>
            <w:numFmt w:val="decimal"/>
            <w:numRestart w:val="continuous"/>
          </w:footnotePr>
          <w:type w:val="continuous"/>
          <w:pgSz w:w="11900" w:h="16840"/>
          <w:pgMar w:top="1383" w:right="1062" w:bottom="1431" w:left="1060" w:header="0" w:footer="3" w:gutter="0"/>
          <w:cols w:space="720"/>
          <w:noEndnote/>
          <w:rtlGutter w:val="0"/>
          <w:docGrid w:linePitch="360"/>
        </w:sectPr>
      </w:pPr>
      <w:r>
        <w:rPr>
          <w:color w:val="000000"/>
          <w:spacing w:val="0"/>
          <w:w w:val="100"/>
          <w:position w:val="0"/>
        </w:rPr>
        <w:t>购建或者生产符合资本化条件的资产占用了一般借款的，一般借款应予资本化的利息金额按累计资产支出超过专门借 款部分的资产支出加权平均数乘以所占用一般借款的资本化率，计算确定一般借款应予资本化的利息金额。资本化率根据一 般借款加权平均利率计算确定。</w:t>
      </w:r>
    </w:p>
    <w:p>
      <w:pPr>
        <w:pStyle w:val="Style51"/>
        <w:keepNext w:val="0"/>
        <w:keepLines w:val="0"/>
        <w:widowControl w:val="0"/>
        <w:shd w:val="clear" w:color="auto" w:fill="auto"/>
        <w:tabs>
          <w:tab w:pos="483" w:val="left"/>
        </w:tabs>
        <w:bidi w:val="0"/>
        <w:spacing w:before="300" w:line="240" w:lineRule="auto"/>
        <w:ind w:left="0" w:right="0" w:firstLine="0"/>
        <w:jc w:val="left"/>
      </w:pPr>
      <w:bookmarkStart w:id="998" w:name="bookmark998"/>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p>
    <w:p>
      <w:pPr>
        <w:pStyle w:val="Style51"/>
        <w:keepNext w:val="0"/>
        <w:keepLines w:val="0"/>
        <w:widowControl w:val="0"/>
        <w:shd w:val="clear" w:color="auto" w:fill="auto"/>
        <w:tabs>
          <w:tab w:pos="483" w:val="left"/>
        </w:tabs>
        <w:bidi w:val="0"/>
        <w:spacing w:before="0" w:line="240" w:lineRule="auto"/>
        <w:ind w:left="0" w:right="0" w:firstLine="0"/>
        <w:jc w:val="left"/>
      </w:pPr>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p>
    <w:p>
      <w:pPr>
        <w:pStyle w:val="Style51"/>
        <w:keepNext w:val="0"/>
        <w:keepLines w:val="0"/>
        <w:widowControl w:val="0"/>
        <w:shd w:val="clear" w:color="auto" w:fill="auto"/>
        <w:tabs>
          <w:tab w:pos="483" w:val="left"/>
        </w:tabs>
        <w:bidi w:val="0"/>
        <w:spacing w:before="0" w:line="240" w:lineRule="auto"/>
        <w:ind w:left="0" w:right="0" w:firstLine="0"/>
        <w:jc w:val="left"/>
      </w:pPr>
      <w:bookmarkStart w:id="1000" w:name="bookmark1000"/>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p>
    <w:p>
      <w:pPr>
        <w:pStyle w:val="Style51"/>
        <w:keepNext w:val="0"/>
        <w:keepLines w:val="0"/>
        <w:widowControl w:val="0"/>
        <w:shd w:val="clear" w:color="auto" w:fill="auto"/>
        <w:tabs>
          <w:tab w:pos="483" w:val="left"/>
        </w:tabs>
        <w:bidi w:val="0"/>
        <w:spacing w:before="0" w:line="240" w:lineRule="auto"/>
        <w:ind w:left="0" w:right="0" w:firstLine="0"/>
        <w:jc w:val="left"/>
      </w:pPr>
      <w:bookmarkStart w:id="1001" w:name="bookmark1001"/>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51"/>
        <w:keepNext w:val="0"/>
        <w:keepLines w:val="0"/>
        <w:widowControl w:val="0"/>
        <w:shd w:val="clear" w:color="auto" w:fill="auto"/>
        <w:bidi w:val="0"/>
        <w:spacing w:before="0" w:line="240" w:lineRule="auto"/>
        <w:ind w:left="0" w:right="0" w:firstLine="0"/>
        <w:jc w:val="left"/>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26"/>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p>
    <w:p>
      <w:pPr>
        <w:pStyle w:val="Style26"/>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按取得时的实际成本入账。</w:t>
      </w:r>
    </w:p>
    <w:p>
      <w:pPr>
        <w:pStyle w:val="Style26"/>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）无形资产使用寿命及摊销</w:t>
      </w:r>
    </w:p>
    <w:p>
      <w:pPr>
        <w:pStyle w:val="Style36"/>
        <w:keepNext w:val="0"/>
        <w:keepLines w:val="0"/>
        <w:widowControl w:val="0"/>
        <w:shd w:val="clear" w:color="auto" w:fill="auto"/>
        <w:bidi w:val="0"/>
        <w:spacing w:before="0" w:after="0" w:line="240" w:lineRule="auto"/>
        <w:ind w:left="490" w:right="0" w:firstLine="0"/>
        <w:jc w:val="left"/>
      </w:pPr>
      <w:r>
        <w:rPr>
          <w:color w:val="000000"/>
          <w:spacing w:val="0"/>
          <w:w w:val="100"/>
          <w:position w:val="0"/>
        </w:rPr>
        <w:t>①使用寿命有限的无形资产的使用寿命估计情况:</w:t>
      </w:r>
    </w:p>
    <w:tbl>
      <w:tblPr>
        <w:tblOverlap w:val="never"/>
        <w:jc w:val="left"/>
        <w:tblLayout w:type="fixed"/>
      </w:tblPr>
      <w:tblGrid>
        <w:gridCol w:w="2381"/>
        <w:gridCol w:w="1843"/>
        <w:gridCol w:w="466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法定使用权</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参考能为公司带来经济利益的期限确定使用寿命</w:t>
            </w:r>
          </w:p>
        </w:tc>
      </w:tr>
    </w:tbl>
    <w:p>
      <w:pPr>
        <w:pStyle w:val="Style26"/>
        <w:keepNext w:val="0"/>
        <w:keepLines w:val="0"/>
        <w:widowControl w:val="0"/>
        <w:shd w:val="clear" w:color="auto" w:fill="auto"/>
        <w:bidi w:val="0"/>
        <w:spacing w:before="0" w:after="0" w:line="311" w:lineRule="exact"/>
        <w:ind w:left="0" w:right="0" w:firstLine="520"/>
        <w:jc w:val="left"/>
      </w:pPr>
      <w:r>
        <w:rPr>
          <w:color w:val="000000"/>
          <w:spacing w:val="0"/>
          <w:w w:val="100"/>
          <w:position w:val="0"/>
        </w:rPr>
        <w:t>每年年度终了，公司对使用寿命有限的无形资产的使用寿命及摊销方法进行复核。经复核，本期末无形资产的使用寿 命及摊销方法与以前估计未有不同。</w:t>
      </w:r>
    </w:p>
    <w:p>
      <w:pPr>
        <w:pStyle w:val="Style26"/>
        <w:keepNext w:val="0"/>
        <w:keepLines w:val="0"/>
        <w:widowControl w:val="0"/>
        <w:numPr>
          <w:ilvl w:val="0"/>
          <w:numId w:val="83"/>
        </w:numPr>
        <w:shd w:val="clear" w:color="auto" w:fill="auto"/>
        <w:tabs>
          <w:tab w:pos="872" w:val="left"/>
        </w:tabs>
        <w:bidi w:val="0"/>
        <w:spacing w:before="0" w:after="0" w:line="311" w:lineRule="exact"/>
        <w:ind w:left="0" w:right="0" w:firstLine="520"/>
        <w:jc w:val="left"/>
      </w:pPr>
      <w:bookmarkStart w:id="1003" w:name="bookmark1003"/>
      <w:bookmarkEnd w:id="1003"/>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6"/>
        <w:keepNext w:val="0"/>
        <w:keepLines w:val="0"/>
        <w:widowControl w:val="0"/>
        <w:numPr>
          <w:ilvl w:val="0"/>
          <w:numId w:val="83"/>
        </w:numPr>
        <w:shd w:val="clear" w:color="auto" w:fill="auto"/>
        <w:tabs>
          <w:tab w:pos="893" w:val="left"/>
        </w:tabs>
        <w:bidi w:val="0"/>
        <w:spacing w:before="0" w:after="0" w:line="311" w:lineRule="exact"/>
        <w:ind w:left="0" w:right="0" w:firstLine="520"/>
        <w:jc w:val="left"/>
      </w:pPr>
      <w:bookmarkStart w:id="1004" w:name="bookmark1004"/>
      <w:bookmarkEnd w:id="1004"/>
      <w:r>
        <w:rPr>
          <w:color w:val="000000"/>
          <w:spacing w:val="0"/>
          <w:w w:val="100"/>
          <w:position w:val="0"/>
        </w:rPr>
        <w:t>无形资产的摊销</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对于使用寿命有限的无形资产，本公司在取得时确定其使用寿命，在使用寿命内采用直线法系统合理摊销，摊销金额 按受益项目计入当期损益。具体应摊销金额为其成本扣除预计残值后的金额。已计提减值准备的无形资产，还应扣除已计提 的无形资产减值准备累计金额。使用寿命有限的无形资产，其残值视为零，但下列情况除外：有第三方承诺在无形资产使用 寿命结束时购买该无形资产或可以根据活跃市场得到预计残值信息，并且该市场在无形资产使用寿命结束时很可能存在。</w:t>
      </w:r>
    </w:p>
    <w:p>
      <w:pPr>
        <w:pStyle w:val="Style26"/>
        <w:keepNext w:val="0"/>
        <w:keepLines w:val="0"/>
        <w:widowControl w:val="0"/>
        <w:shd w:val="clear" w:color="auto" w:fill="auto"/>
        <w:bidi w:val="0"/>
        <w:spacing w:before="0" w:after="380" w:line="311" w:lineRule="exact"/>
        <w:ind w:left="0" w:right="0" w:firstLine="520"/>
        <w:jc w:val="both"/>
      </w:pPr>
      <w:r>
        <w:rPr>
          <w:color w:val="000000"/>
          <w:spacing w:val="0"/>
          <w:w w:val="100"/>
          <w:position w:val="0"/>
        </w:rPr>
        <w:t>对使用寿命不确定的无形资产，不予摊销。每年年度终了对使用寿命不确定的无形资产的使用寿命进行复核，如果有 证据表明无形资产的使用寿命是有限的，估计其使用寿命并在预计使用年限内系统合理摊销。</w:t>
      </w:r>
    </w:p>
    <w:p>
      <w:pPr>
        <w:pStyle w:val="Style51"/>
        <w:keepNext w:val="0"/>
        <w:keepLines w:val="0"/>
        <w:widowControl w:val="0"/>
        <w:shd w:val="clear" w:color="auto" w:fill="auto"/>
        <w:bidi w:val="0"/>
        <w:spacing w:before="0" w:line="240" w:lineRule="auto"/>
        <w:ind w:left="0" w:right="0" w:firstLine="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p>
    <w:p>
      <w:pPr>
        <w:pStyle w:val="Style26"/>
        <w:keepNext w:val="0"/>
        <w:keepLines w:val="0"/>
        <w:widowControl w:val="0"/>
        <w:shd w:val="clear" w:color="auto" w:fill="auto"/>
        <w:tabs>
          <w:tab w:pos="869" w:val="left"/>
        </w:tabs>
        <w:bidi w:val="0"/>
        <w:spacing w:before="0" w:after="0"/>
        <w:ind w:left="0" w:right="0" w:firstLine="520"/>
        <w:jc w:val="left"/>
      </w:pPr>
      <w:bookmarkStart w:id="1006" w:name="bookmark1006"/>
      <w:r>
        <w:rPr>
          <w:rFonts w:ascii="Times New Roman" w:eastAsia="Times New Roman" w:hAnsi="Times New Roman" w:cs="Times New Roman"/>
          <w:color w:val="000000"/>
          <w:spacing w:val="0"/>
          <w:w w:val="100"/>
          <w:position w:val="0"/>
        </w:rPr>
        <w:t>1</w:t>
      </w:r>
      <w:bookmarkEnd w:id="1006"/>
      <w:r>
        <w:rPr>
          <w:color w:val="000000"/>
          <w:spacing w:val="0"/>
          <w:w w:val="100"/>
          <w:position w:val="0"/>
        </w:rPr>
        <w:t>）</w:t>
        <w:tab/>
        <w:t>划分内部研究开发项目的研究阶段和开发阶段具体标准</w:t>
      </w:r>
    </w:p>
    <w:p>
      <w:pPr>
        <w:pStyle w:val="Style26"/>
        <w:keepNext w:val="0"/>
        <w:keepLines w:val="0"/>
        <w:widowControl w:val="0"/>
        <w:numPr>
          <w:ilvl w:val="0"/>
          <w:numId w:val="85"/>
        </w:numPr>
        <w:shd w:val="clear" w:color="auto" w:fill="auto"/>
        <w:tabs>
          <w:tab w:pos="877" w:val="left"/>
        </w:tabs>
        <w:bidi w:val="0"/>
        <w:spacing w:before="0" w:after="0" w:line="317" w:lineRule="exact"/>
        <w:ind w:left="0" w:right="0" w:firstLine="520"/>
        <w:jc w:val="both"/>
      </w:pPr>
      <w:bookmarkStart w:id="1007" w:name="bookmark1007"/>
      <w:bookmarkEnd w:id="1007"/>
      <w:r>
        <w:rPr>
          <w:color w:val="000000"/>
          <w:spacing w:val="0"/>
          <w:w w:val="100"/>
          <w:position w:val="0"/>
        </w:rPr>
        <w:t>本公司将为进一步开发活动进行的资料及相关方面的准备活动作为研究阶段，无形资产研究阶段的支出在发生时计 入当期损益。</w:t>
      </w:r>
    </w:p>
    <w:p>
      <w:pPr>
        <w:pStyle w:val="Style26"/>
        <w:keepNext w:val="0"/>
        <w:keepLines w:val="0"/>
        <w:widowControl w:val="0"/>
        <w:numPr>
          <w:ilvl w:val="0"/>
          <w:numId w:val="85"/>
        </w:numPr>
        <w:shd w:val="clear" w:color="auto" w:fill="auto"/>
        <w:tabs>
          <w:tab w:pos="893" w:val="left"/>
        </w:tabs>
        <w:bidi w:val="0"/>
        <w:spacing w:before="0" w:after="100" w:line="317" w:lineRule="exact"/>
        <w:ind w:left="0" w:right="0" w:firstLine="520"/>
        <w:jc w:val="both"/>
      </w:pPr>
      <w:bookmarkStart w:id="1008" w:name="bookmark1008"/>
      <w:bookmarkEnd w:id="1008"/>
      <w:r>
        <w:rPr>
          <w:color w:val="000000"/>
          <w:spacing w:val="0"/>
          <w:w w:val="100"/>
          <w:position w:val="0"/>
        </w:rPr>
        <w:t>在本公司已完成研究阶段的工作后再进行的开发活动作为开发阶段。</w:t>
      </w:r>
    </w:p>
    <w:p>
      <w:pPr>
        <w:pStyle w:val="Style26"/>
        <w:keepNext w:val="0"/>
        <w:keepLines w:val="0"/>
        <w:widowControl w:val="0"/>
        <w:shd w:val="clear" w:color="auto" w:fill="auto"/>
        <w:tabs>
          <w:tab w:pos="888" w:val="left"/>
        </w:tabs>
        <w:bidi w:val="0"/>
        <w:spacing w:before="0" w:after="0"/>
        <w:ind w:left="0" w:right="0" w:firstLine="520"/>
        <w:jc w:val="both"/>
      </w:pPr>
      <w:bookmarkStart w:id="1009" w:name="bookmark1009"/>
      <w:r>
        <w:rPr>
          <w:rFonts w:ascii="Times New Roman" w:eastAsia="Times New Roman" w:hAnsi="Times New Roman" w:cs="Times New Roman"/>
          <w:color w:val="000000"/>
          <w:spacing w:val="0"/>
          <w:w w:val="100"/>
          <w:position w:val="0"/>
        </w:rPr>
        <w:t>2</w:t>
      </w:r>
      <w:bookmarkEnd w:id="1009"/>
      <w:r>
        <w:rPr>
          <w:color w:val="000000"/>
          <w:spacing w:val="0"/>
          <w:w w:val="100"/>
          <w:position w:val="0"/>
        </w:rPr>
        <w:t>）</w:t>
        <w:tab/>
        <w:t>开发阶段支出资本化的具体条件</w:t>
      </w:r>
    </w:p>
    <w:p>
      <w:pPr>
        <w:pStyle w:val="Style26"/>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开发阶段的支出同时满足下列条件时，才能确认为无形资产：</w:t>
      </w:r>
    </w:p>
    <w:p>
      <w:pPr>
        <w:pStyle w:val="Style26"/>
        <w:keepNext w:val="0"/>
        <w:keepLines w:val="0"/>
        <w:widowControl w:val="0"/>
        <w:numPr>
          <w:ilvl w:val="0"/>
          <w:numId w:val="87"/>
        </w:numPr>
        <w:shd w:val="clear" w:color="auto" w:fill="auto"/>
        <w:tabs>
          <w:tab w:pos="883" w:val="left"/>
        </w:tabs>
        <w:bidi w:val="0"/>
        <w:spacing w:before="0" w:after="0"/>
        <w:ind w:left="0" w:right="0" w:firstLine="520"/>
        <w:jc w:val="both"/>
      </w:pPr>
      <w:bookmarkStart w:id="1010" w:name="bookmark1010"/>
      <w:bookmarkEnd w:id="1010"/>
      <w:r>
        <w:rPr>
          <w:color w:val="000000"/>
          <w:spacing w:val="0"/>
          <w:w w:val="100"/>
          <w:position w:val="0"/>
        </w:rPr>
        <w:t>完成该无形资产以使其能够使用或出售在技术上具有可行性；</w:t>
      </w:r>
    </w:p>
    <w:p>
      <w:pPr>
        <w:pStyle w:val="Style26"/>
        <w:keepNext w:val="0"/>
        <w:keepLines w:val="0"/>
        <w:widowControl w:val="0"/>
        <w:numPr>
          <w:ilvl w:val="0"/>
          <w:numId w:val="87"/>
        </w:numPr>
        <w:shd w:val="clear" w:color="auto" w:fill="auto"/>
        <w:tabs>
          <w:tab w:pos="883" w:val="left"/>
        </w:tabs>
        <w:bidi w:val="0"/>
        <w:spacing w:before="0" w:after="0"/>
        <w:ind w:left="0" w:right="0" w:firstLine="520"/>
        <w:jc w:val="both"/>
      </w:pPr>
      <w:bookmarkStart w:id="1011" w:name="bookmark1011"/>
      <w:bookmarkEnd w:id="1011"/>
      <w:r>
        <w:rPr>
          <w:color w:val="000000"/>
          <w:spacing w:val="0"/>
          <w:w w:val="100"/>
          <w:position w:val="0"/>
        </w:rPr>
        <w:t>具有完成该无形资产并使用或出售的意图；</w:t>
      </w:r>
    </w:p>
    <w:p>
      <w:pPr>
        <w:pStyle w:val="Style26"/>
        <w:keepNext w:val="0"/>
        <w:keepLines w:val="0"/>
        <w:widowControl w:val="0"/>
        <w:numPr>
          <w:ilvl w:val="0"/>
          <w:numId w:val="87"/>
        </w:numPr>
        <w:shd w:val="clear" w:color="auto" w:fill="auto"/>
        <w:tabs>
          <w:tab w:pos="858" w:val="left"/>
        </w:tabs>
        <w:bidi w:val="0"/>
        <w:spacing w:before="0" w:after="100" w:line="317" w:lineRule="exact"/>
        <w:ind w:left="0" w:right="0" w:firstLine="520"/>
        <w:jc w:val="both"/>
      </w:pPr>
      <w:bookmarkStart w:id="1012" w:name="bookmark1012"/>
      <w:bookmarkEnd w:id="1012"/>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6"/>
        <w:keepNext w:val="0"/>
        <w:keepLines w:val="0"/>
        <w:widowControl w:val="0"/>
        <w:numPr>
          <w:ilvl w:val="0"/>
          <w:numId w:val="87"/>
        </w:numPr>
        <w:shd w:val="clear" w:color="auto" w:fill="auto"/>
        <w:tabs>
          <w:tab w:pos="883" w:val="left"/>
        </w:tabs>
        <w:bidi w:val="0"/>
        <w:spacing w:before="0" w:after="0"/>
        <w:ind w:left="0" w:right="0" w:firstLine="520"/>
        <w:jc w:val="left"/>
      </w:pPr>
      <w:bookmarkStart w:id="1013" w:name="bookmark1013"/>
      <w:bookmarkEnd w:id="1013"/>
      <w:r>
        <w:rPr>
          <w:color w:val="000000"/>
          <w:spacing w:val="0"/>
          <w:w w:val="100"/>
          <w:position w:val="0"/>
        </w:rPr>
        <w:t>有足够的技术、财务资源和其他资源支持，以完成该无形资产的开发，并有能力使用或出售该无形资产；</w:t>
      </w:r>
    </w:p>
    <w:p>
      <w:pPr>
        <w:pStyle w:val="Style26"/>
        <w:keepNext w:val="0"/>
        <w:keepLines w:val="0"/>
        <w:widowControl w:val="0"/>
        <w:numPr>
          <w:ilvl w:val="0"/>
          <w:numId w:val="87"/>
        </w:numPr>
        <w:shd w:val="clear" w:color="auto" w:fill="auto"/>
        <w:tabs>
          <w:tab w:pos="883" w:val="left"/>
        </w:tabs>
        <w:bidi w:val="0"/>
        <w:spacing w:before="0" w:after="240"/>
        <w:ind w:left="0" w:right="0" w:firstLine="520"/>
        <w:jc w:val="both"/>
      </w:pPr>
      <w:bookmarkStart w:id="1014" w:name="bookmark1014"/>
      <w:bookmarkEnd w:id="1014"/>
      <w:r>
        <w:rPr>
          <w:color w:val="000000"/>
          <w:spacing w:val="0"/>
          <w:w w:val="100"/>
          <w:position w:val="0"/>
        </w:rPr>
        <w:t>归属于该无形资产开发阶段的支出能够可靠地计量。</w:t>
      </w:r>
    </w:p>
    <w:p>
      <w:pPr>
        <w:pStyle w:val="Style30"/>
        <w:keepNext/>
        <w:keepLines/>
        <w:widowControl w:val="0"/>
        <w:shd w:val="clear" w:color="auto" w:fill="auto"/>
        <w:tabs>
          <w:tab w:pos="483" w:val="left"/>
        </w:tabs>
        <w:bidi w:val="0"/>
        <w:spacing w:before="0" w:after="26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15"/>
      <w:bookmarkEnd w:id="1016"/>
      <w:bookmarkEnd w:id="1018"/>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对子公司、联营企业和合营企业的长期股权投资、采用成本模式进行后续计量的投资性房地产、固定资产、在建工程、 采用成本模式计量的无形资产、商誉（存货、按公允价值模式计量的投资性房地产、递延所得税资产、金融资产除外）的资 产减值，按以下方法确定：</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于资产负债表日判断资产是否存在可能发生减值的迹象，存在减值迹象的，本公司将估计其可收回金额，进行减值测 试。对因企业合并所形成的商誉、使用寿命不确定的无形资产和尚未达到可使用状态的无形资产无论是否存在减值迹象，每 年都进行减值测试。</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可收回金额根据资产的公允价值减去处置费用后的净额与资产预计未来现金流量的现值两者之间较高者确定。本公司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就商誉的减值测试而言，对于因企业合并形成的商誉的账面价值，自购买日起按照合理的方法分摊至相关的资产组； 难以分摊至相关的资产组的，将其分摊至相关的资产组组合。相关的资产组或资产组组合，是能够从企业合并的协同效应中 受益的资产组或者资产组组合，且不大于本公司确定的报告分部。</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减值测试时，如与商誉相关的资产组或者资产组组合存在减值迹象的，首先对不包含商誉的资产组或者资产组组合进 行减值测试，计算可收回金额，确认相应的减值损失。然后对包含商誉的资产组或者资产组组合进行减值测试，比较其账面 价值与可收回金额，如可收回金额低于账面价值的，确认商誉的减值损失。</w:t>
      </w:r>
    </w:p>
    <w:p>
      <w:pPr>
        <w:pStyle w:val="Style26"/>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资产减值损失一经确认，在以后会计期间不再转回。</w:t>
      </w:r>
    </w:p>
    <w:p>
      <w:pPr>
        <w:pStyle w:val="Style30"/>
        <w:keepNext/>
        <w:keepLines/>
        <w:widowControl w:val="0"/>
        <w:shd w:val="clear" w:color="auto" w:fill="auto"/>
        <w:tabs>
          <w:tab w:pos="483" w:val="left"/>
        </w:tabs>
        <w:bidi w:val="0"/>
        <w:spacing w:before="0" w:after="260" w:line="240" w:lineRule="auto"/>
        <w:ind w:left="0" w:right="0" w:firstLine="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3</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19"/>
      <w:bookmarkEnd w:id="1020"/>
      <w:bookmarkEnd w:id="1022"/>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长期待摊费用核算本公司已经发生但应由本期和以后各期负担的分摊期限在一年以上的各项费用。</w:t>
      </w:r>
    </w:p>
    <w:p>
      <w:pPr>
        <w:pStyle w:val="Style26"/>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本公司长期待摊费用在受益期内平均摊销。</w:t>
      </w:r>
    </w:p>
    <w:p>
      <w:pPr>
        <w:pStyle w:val="Style30"/>
        <w:keepNext/>
        <w:keepLines/>
        <w:widowControl w:val="0"/>
        <w:shd w:val="clear" w:color="auto" w:fill="auto"/>
        <w:tabs>
          <w:tab w:pos="483" w:val="left"/>
        </w:tabs>
        <w:bidi w:val="0"/>
        <w:spacing w:before="0" w:after="26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23"/>
      <w:bookmarkEnd w:id="1024"/>
      <w:bookmarkEnd w:id="1026"/>
    </w:p>
    <w:p>
      <w:pPr>
        <w:pStyle w:val="Style26"/>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详见附注五、</w:t>
      </w:r>
      <w:r>
        <w:rPr>
          <w:rFonts w:ascii="Times New Roman" w:eastAsia="Times New Roman" w:hAnsi="Times New Roman" w:cs="Times New Roman"/>
          <w:color w:val="000000"/>
          <w:spacing w:val="0"/>
          <w:w w:val="100"/>
          <w:position w:val="0"/>
        </w:rPr>
        <w:t>16</w:t>
      </w:r>
      <w:r>
        <w:rPr>
          <w:color w:val="000000"/>
          <w:spacing w:val="0"/>
          <w:w w:val="100"/>
          <w:position w:val="0"/>
        </w:rPr>
        <w:t>、合同资产。</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27"/>
      <w:bookmarkEnd w:id="1028"/>
      <w:bookmarkEnd w:id="1030"/>
    </w:p>
    <w:p>
      <w:pPr>
        <w:pStyle w:val="Style30"/>
        <w:keepNext/>
        <w:keepLines/>
        <w:widowControl w:val="0"/>
        <w:shd w:val="clear" w:color="auto" w:fill="auto"/>
        <w:bidi w:val="0"/>
        <w:spacing w:before="0" w:after="260" w:line="240" w:lineRule="auto"/>
        <w:ind w:left="0" w:right="0" w:firstLine="0"/>
        <w:jc w:val="left"/>
      </w:pPr>
      <w:bookmarkStart w:id="1027" w:name="bookmark1027"/>
      <w:bookmarkStart w:id="1028" w:name="bookmark1028"/>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27"/>
      <w:bookmarkEnd w:id="1028"/>
      <w:bookmarkEnd w:id="1032"/>
    </w:p>
    <w:p>
      <w:pPr>
        <w:pStyle w:val="Style26"/>
        <w:keepNext w:val="0"/>
        <w:keepLines w:val="0"/>
        <w:widowControl w:val="0"/>
        <w:numPr>
          <w:ilvl w:val="0"/>
          <w:numId w:val="89"/>
        </w:numPr>
        <w:shd w:val="clear" w:color="auto" w:fill="auto"/>
        <w:tabs>
          <w:tab w:pos="893" w:val="left"/>
        </w:tabs>
        <w:bidi w:val="0"/>
        <w:spacing w:before="0" w:after="0" w:line="317" w:lineRule="exact"/>
        <w:ind w:left="0" w:right="0" w:firstLine="520"/>
        <w:jc w:val="left"/>
      </w:pPr>
      <w:bookmarkStart w:id="1033" w:name="bookmark1033"/>
      <w:bookmarkEnd w:id="1033"/>
      <w:r>
        <w:rPr>
          <w:color w:val="000000"/>
          <w:spacing w:val="0"/>
          <w:w w:val="100"/>
          <w:position w:val="0"/>
        </w:rPr>
        <w:t>职工基本薪酬（工资、奖金、津贴、补贴）</w:t>
      </w:r>
    </w:p>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本公司在职工为其提供服务的会计期间，将实际发生的短期薪酬确认为负债，并计入当期损益，其他会计准则要求或 允许计入资产成本的除外。</w:t>
      </w:r>
    </w:p>
    <w:p>
      <w:pPr>
        <w:pStyle w:val="Style26"/>
        <w:keepNext w:val="0"/>
        <w:keepLines w:val="0"/>
        <w:widowControl w:val="0"/>
        <w:numPr>
          <w:ilvl w:val="0"/>
          <w:numId w:val="89"/>
        </w:numPr>
        <w:shd w:val="clear" w:color="auto" w:fill="auto"/>
        <w:tabs>
          <w:tab w:pos="893" w:val="left"/>
        </w:tabs>
        <w:bidi w:val="0"/>
        <w:spacing w:before="0" w:after="0" w:line="317" w:lineRule="exact"/>
        <w:ind w:left="0" w:right="0" w:firstLine="520"/>
        <w:jc w:val="both"/>
      </w:pPr>
      <w:bookmarkStart w:id="1034" w:name="bookmark1034"/>
      <w:bookmarkEnd w:id="1034"/>
      <w:r>
        <w:rPr>
          <w:color w:val="000000"/>
          <w:spacing w:val="0"/>
          <w:w w:val="100"/>
          <w:position w:val="0"/>
        </w:rPr>
        <w:t>职工福利费</w:t>
      </w:r>
    </w:p>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本公司发生的职工福利费，在实际发生时根据实际发生额计入当期损益或相关资产成本。职工福利费为非货币性福利 的，按照公允价值计量。</w:t>
      </w:r>
    </w:p>
    <w:p>
      <w:pPr>
        <w:pStyle w:val="Style26"/>
        <w:keepNext w:val="0"/>
        <w:keepLines w:val="0"/>
        <w:widowControl w:val="0"/>
        <w:numPr>
          <w:ilvl w:val="0"/>
          <w:numId w:val="89"/>
        </w:numPr>
        <w:shd w:val="clear" w:color="auto" w:fill="auto"/>
        <w:tabs>
          <w:tab w:pos="893" w:val="left"/>
        </w:tabs>
        <w:bidi w:val="0"/>
        <w:spacing w:before="0" w:after="0" w:line="317" w:lineRule="exact"/>
        <w:ind w:left="0" w:right="0" w:firstLine="520"/>
        <w:jc w:val="left"/>
      </w:pPr>
      <w:bookmarkStart w:id="1035" w:name="bookmark1035"/>
      <w:bookmarkEnd w:id="1035"/>
      <w:r>
        <w:rPr>
          <w:color w:val="000000"/>
          <w:spacing w:val="0"/>
          <w:w w:val="100"/>
          <w:position w:val="0"/>
        </w:rPr>
        <w:t>医疗保险费、工伤保险费、生育保险费等社会保险费和住房公积金，以及工会经费和职工教育经费</w:t>
      </w:r>
    </w:p>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本公司为职工缴纳的医疗保险费、工伤保险费、生育保险费等社会保险费和住房公积金，以及按规定提取的工会经费 和职工教育经费，在职工为其提供服务的会计期间，根据规定的计提基础和计提比例计算确定相应的职工薪酬金额，并确认 相应负债，计入当期损益或相关资产成本。</w:t>
      </w:r>
    </w:p>
    <w:p>
      <w:pPr>
        <w:pStyle w:val="Style26"/>
        <w:keepNext w:val="0"/>
        <w:keepLines w:val="0"/>
        <w:widowControl w:val="0"/>
        <w:numPr>
          <w:ilvl w:val="0"/>
          <w:numId w:val="89"/>
        </w:numPr>
        <w:shd w:val="clear" w:color="auto" w:fill="auto"/>
        <w:tabs>
          <w:tab w:pos="893" w:val="left"/>
        </w:tabs>
        <w:bidi w:val="0"/>
        <w:spacing w:before="0" w:after="260" w:line="317" w:lineRule="exact"/>
        <w:ind w:left="0" w:right="0" w:firstLine="520"/>
        <w:jc w:val="left"/>
      </w:pPr>
      <w:bookmarkStart w:id="1036" w:name="bookmark1036"/>
      <w:bookmarkEnd w:id="1036"/>
      <w:r>
        <w:rPr>
          <w:color w:val="000000"/>
          <w:spacing w:val="0"/>
          <w:w w:val="100"/>
          <w:position w:val="0"/>
        </w:rPr>
        <w:t>短期带薪缺勤</w:t>
      </w:r>
    </w:p>
    <w:p>
      <w:pPr>
        <w:pStyle w:val="Style26"/>
        <w:keepNext w:val="0"/>
        <w:keepLines w:val="0"/>
        <w:widowControl w:val="0"/>
        <w:shd w:val="clear" w:color="auto" w:fill="auto"/>
        <w:bidi w:val="0"/>
        <w:spacing w:before="0" w:after="0" w:line="322" w:lineRule="exact"/>
        <w:ind w:left="0" w:right="0" w:firstLine="520"/>
        <w:jc w:val="both"/>
      </w:pPr>
      <w:r>
        <w:rPr>
          <w:color w:val="000000"/>
          <w:spacing w:val="0"/>
          <w:w w:val="100"/>
          <w:position w:val="0"/>
        </w:rPr>
        <w:t>本公司在职工提供服务从而增加了其未来享有的带薪缺勤权利时，确认与累积带薪缺勤相关的职工薪酬，并以累积未 行使权利而增加的预期支付金额计量。本公司在职工实际发生缺勤的会计期间确认与非累积带薪缺勤相关的职工薪酬。</w:t>
      </w:r>
    </w:p>
    <w:p>
      <w:pPr>
        <w:pStyle w:val="Style26"/>
        <w:keepNext w:val="0"/>
        <w:keepLines w:val="0"/>
        <w:widowControl w:val="0"/>
        <w:numPr>
          <w:ilvl w:val="0"/>
          <w:numId w:val="89"/>
        </w:numPr>
        <w:shd w:val="clear" w:color="auto" w:fill="auto"/>
        <w:bidi w:val="0"/>
        <w:spacing w:before="0" w:after="0" w:line="322" w:lineRule="exact"/>
        <w:ind w:left="0" w:right="0" w:firstLine="520"/>
        <w:jc w:val="both"/>
      </w:pPr>
      <w:bookmarkStart w:id="1037" w:name="bookmark1037"/>
      <w:bookmarkEnd w:id="1037"/>
      <w:r>
        <w:rPr>
          <w:color w:val="000000"/>
          <w:spacing w:val="0"/>
          <w:w w:val="100"/>
          <w:position w:val="0"/>
        </w:rPr>
        <w:t>短期利润分享计划</w:t>
      </w:r>
    </w:p>
    <w:p>
      <w:pPr>
        <w:pStyle w:val="Style26"/>
        <w:keepNext w:val="0"/>
        <w:keepLines w:val="0"/>
        <w:widowControl w:val="0"/>
        <w:shd w:val="clear" w:color="auto" w:fill="auto"/>
        <w:bidi w:val="0"/>
        <w:spacing w:before="0" w:after="100" w:line="322" w:lineRule="exact"/>
        <w:ind w:left="0" w:right="0" w:firstLine="520"/>
        <w:jc w:val="left"/>
      </w:pPr>
      <w:r>
        <w:rPr>
          <w:color w:val="000000"/>
          <w:spacing w:val="0"/>
          <w:w w:val="100"/>
          <w:position w:val="0"/>
        </w:rPr>
        <w:t>利润分享计划同时满足下列条件的，本公司确认相关的应付职工薪酬：</w:t>
      </w:r>
    </w:p>
    <w:p>
      <w:pPr>
        <w:pStyle w:val="Style26"/>
        <w:keepNext w:val="0"/>
        <w:keepLines w:val="0"/>
        <w:widowControl w:val="0"/>
        <w:numPr>
          <w:ilvl w:val="0"/>
          <w:numId w:val="91"/>
        </w:numPr>
        <w:shd w:val="clear" w:color="auto" w:fill="auto"/>
        <w:tabs>
          <w:tab w:pos="883" w:val="left"/>
        </w:tabs>
        <w:bidi w:val="0"/>
        <w:spacing w:before="0" w:after="0"/>
        <w:ind w:left="0" w:right="0" w:firstLine="520"/>
        <w:jc w:val="left"/>
      </w:pPr>
      <w:bookmarkStart w:id="1038" w:name="bookmark1038"/>
      <w:bookmarkEnd w:id="1038"/>
      <w:r>
        <w:rPr>
          <w:color w:val="000000"/>
          <w:spacing w:val="0"/>
          <w:w w:val="100"/>
          <w:position w:val="0"/>
        </w:rPr>
        <w:t>企业因过去事项导致现在具有支付职工薪酬的法定义务或推定义务；</w:t>
      </w:r>
    </w:p>
    <w:p>
      <w:pPr>
        <w:pStyle w:val="Style26"/>
        <w:keepNext w:val="0"/>
        <w:keepLines w:val="0"/>
        <w:widowControl w:val="0"/>
        <w:numPr>
          <w:ilvl w:val="0"/>
          <w:numId w:val="91"/>
        </w:numPr>
        <w:shd w:val="clear" w:color="auto" w:fill="auto"/>
        <w:tabs>
          <w:tab w:pos="883" w:val="left"/>
        </w:tabs>
        <w:bidi w:val="0"/>
        <w:spacing w:before="0" w:after="280"/>
        <w:ind w:left="0" w:right="0" w:firstLine="520"/>
        <w:jc w:val="left"/>
      </w:pPr>
      <w:bookmarkStart w:id="1039" w:name="bookmark1039"/>
      <w:bookmarkEnd w:id="1039"/>
      <w:r>
        <w:rPr>
          <w:color w:val="000000"/>
          <w:spacing w:val="0"/>
          <w:w w:val="100"/>
          <w:position w:val="0"/>
        </w:rPr>
        <w:t>因利润分享计划所产生的应付职工薪酬义务金额能够可靠估计。</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40"/>
      <w:bookmarkEnd w:id="1041"/>
      <w:bookmarkEnd w:id="1043"/>
    </w:p>
    <w:p>
      <w:pPr>
        <w:pStyle w:val="Style26"/>
        <w:keepNext w:val="0"/>
        <w:keepLines w:val="0"/>
        <w:widowControl w:val="0"/>
        <w:numPr>
          <w:ilvl w:val="0"/>
          <w:numId w:val="93"/>
        </w:numPr>
        <w:shd w:val="clear" w:color="auto" w:fill="auto"/>
        <w:tabs>
          <w:tab w:pos="893" w:val="left"/>
        </w:tabs>
        <w:bidi w:val="0"/>
        <w:spacing w:before="0" w:after="0" w:line="311" w:lineRule="exact"/>
        <w:ind w:left="0" w:right="0" w:firstLine="520"/>
        <w:jc w:val="left"/>
      </w:pPr>
      <w:bookmarkStart w:id="1044" w:name="bookmark1044"/>
      <w:bookmarkEnd w:id="1044"/>
      <w:r>
        <w:rPr>
          <w:color w:val="000000"/>
          <w:spacing w:val="0"/>
          <w:w w:val="100"/>
          <w:position w:val="0"/>
        </w:rPr>
        <w:t>设定提存计划</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本公司在职工为其提供服务的会计期间，将根据设定提存计划计算的应缴存金额确认为负债，并计入当期损益或相关 资产成本。</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根据设定提存计划，预期不会在职工提供相关服务的年度报告期结束后十二个月内支付全部应缴存金额的，本公司参 照相应的折现率（根据资产负债表日与设定提存计划义务期限和币种相匹配的国债或活跃市场上的高质量公司债券的市场收 益率确定），将全部应缴存金额以折现后的金额计量应付职工薪酬。</w:t>
      </w:r>
    </w:p>
    <w:p>
      <w:pPr>
        <w:pStyle w:val="Style26"/>
        <w:keepNext w:val="0"/>
        <w:keepLines w:val="0"/>
        <w:widowControl w:val="0"/>
        <w:numPr>
          <w:ilvl w:val="0"/>
          <w:numId w:val="93"/>
        </w:numPr>
        <w:shd w:val="clear" w:color="auto" w:fill="auto"/>
        <w:tabs>
          <w:tab w:pos="893" w:val="left"/>
        </w:tabs>
        <w:bidi w:val="0"/>
        <w:spacing w:before="0" w:after="100" w:line="311" w:lineRule="exact"/>
        <w:ind w:left="0" w:right="0" w:firstLine="520"/>
        <w:jc w:val="left"/>
      </w:pPr>
      <w:bookmarkStart w:id="1045" w:name="bookmark1045"/>
      <w:bookmarkEnd w:id="1045"/>
      <w:r>
        <w:rPr>
          <w:color w:val="000000"/>
          <w:spacing w:val="0"/>
          <w:w w:val="100"/>
          <w:position w:val="0"/>
        </w:rPr>
        <w:t>设定受益计划</w:t>
      </w:r>
    </w:p>
    <w:p>
      <w:pPr>
        <w:pStyle w:val="Style26"/>
        <w:keepNext w:val="0"/>
        <w:keepLines w:val="0"/>
        <w:widowControl w:val="0"/>
        <w:numPr>
          <w:ilvl w:val="0"/>
          <w:numId w:val="95"/>
        </w:numPr>
        <w:shd w:val="clear" w:color="auto" w:fill="auto"/>
        <w:tabs>
          <w:tab w:pos="883" w:val="left"/>
        </w:tabs>
        <w:bidi w:val="0"/>
        <w:spacing w:before="0" w:after="0"/>
        <w:ind w:left="0" w:right="0" w:firstLine="520"/>
        <w:jc w:val="left"/>
      </w:pPr>
      <w:bookmarkStart w:id="1046" w:name="bookmark1046"/>
      <w:bookmarkEnd w:id="1046"/>
      <w:r>
        <w:rPr>
          <w:color w:val="000000"/>
          <w:spacing w:val="0"/>
          <w:w w:val="100"/>
          <w:position w:val="0"/>
        </w:rPr>
        <w:t>确定设定受益计划义务的现值和当期服务成本</w:t>
      </w:r>
    </w:p>
    <w:p>
      <w:pPr>
        <w:pStyle w:val="Style26"/>
        <w:keepNext w:val="0"/>
        <w:keepLines w:val="0"/>
        <w:widowControl w:val="0"/>
        <w:shd w:val="clear" w:color="auto" w:fill="auto"/>
        <w:bidi w:val="0"/>
        <w:spacing w:before="0" w:after="100" w:line="311" w:lineRule="exact"/>
        <w:ind w:left="0" w:right="0" w:firstLine="520"/>
        <w:jc w:val="both"/>
      </w:pPr>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益计划所产生的义务，并确定相关义务的归属期间。本公司按照相应的折现率（根据资产负债表日与设定受益计划义务期限 和币种相匹配的国债或活跃市场上的高质量公司债券的市场收益率确定）将设定受益计划所产生的义务予以折现，以确定设 定受益计划义务的现值和当期服务成本。</w:t>
      </w:r>
    </w:p>
    <w:p>
      <w:pPr>
        <w:pStyle w:val="Style26"/>
        <w:keepNext w:val="0"/>
        <w:keepLines w:val="0"/>
        <w:widowControl w:val="0"/>
        <w:numPr>
          <w:ilvl w:val="0"/>
          <w:numId w:val="95"/>
        </w:numPr>
        <w:shd w:val="clear" w:color="auto" w:fill="auto"/>
        <w:tabs>
          <w:tab w:pos="883" w:val="left"/>
        </w:tabs>
        <w:bidi w:val="0"/>
        <w:spacing w:before="0" w:after="0"/>
        <w:ind w:left="0" w:right="0" w:firstLine="520"/>
        <w:jc w:val="both"/>
      </w:pPr>
      <w:bookmarkStart w:id="1047" w:name="bookmark1047"/>
      <w:bookmarkEnd w:id="1047"/>
      <w:r>
        <w:rPr>
          <w:color w:val="000000"/>
          <w:spacing w:val="0"/>
          <w:w w:val="100"/>
          <w:position w:val="0"/>
        </w:rPr>
        <w:t>确认设定受益计划净负债或净资产</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设定受益计划存在资产的，本公司将设定受益计划义务现值减去设定受益计划资产公允价值所形成的赤字或盈余确认 为一项设定受益计划净负债或净资产。</w:t>
      </w:r>
    </w:p>
    <w:p>
      <w:pPr>
        <w:pStyle w:val="Style26"/>
        <w:keepNext w:val="0"/>
        <w:keepLines w:val="0"/>
        <w:widowControl w:val="0"/>
        <w:shd w:val="clear" w:color="auto" w:fill="auto"/>
        <w:bidi w:val="0"/>
        <w:spacing w:before="0" w:after="100" w:line="311" w:lineRule="exact"/>
        <w:ind w:left="0" w:right="0" w:firstLine="520"/>
        <w:jc w:val="left"/>
      </w:pPr>
      <w:r>
        <w:rPr>
          <w:color w:val="000000"/>
          <w:spacing w:val="0"/>
          <w:w w:val="100"/>
          <w:position w:val="0"/>
        </w:rPr>
        <w:t>设定受益计划存在盈余的，本公司以设定受益计划的盈余和资产上限两项的孰低者计量设定受益计划净资产。</w:t>
      </w:r>
    </w:p>
    <w:p>
      <w:pPr>
        <w:pStyle w:val="Style26"/>
        <w:keepNext w:val="0"/>
        <w:keepLines w:val="0"/>
        <w:widowControl w:val="0"/>
        <w:numPr>
          <w:ilvl w:val="0"/>
          <w:numId w:val="95"/>
        </w:numPr>
        <w:shd w:val="clear" w:color="auto" w:fill="auto"/>
        <w:tabs>
          <w:tab w:pos="883" w:val="left"/>
        </w:tabs>
        <w:bidi w:val="0"/>
        <w:spacing w:before="0" w:after="0"/>
        <w:ind w:left="0" w:right="0" w:firstLine="520"/>
        <w:jc w:val="left"/>
      </w:pPr>
      <w:bookmarkStart w:id="1048" w:name="bookmark1048"/>
      <w:bookmarkEnd w:id="1048"/>
      <w:r>
        <w:rPr>
          <w:color w:val="000000"/>
          <w:spacing w:val="0"/>
          <w:w w:val="100"/>
          <w:position w:val="0"/>
        </w:rPr>
        <w:t>确定应计入资产成本或当期损益的金额</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服务成本，包括当期服务成本、过去服务成本和结算利得或损失。其中，除了其他会计准则要求或允许计入资产成本 的当期服务成本之外，其他服务成本均计入当期损益。</w:t>
      </w:r>
    </w:p>
    <w:p>
      <w:pPr>
        <w:pStyle w:val="Style26"/>
        <w:keepNext w:val="0"/>
        <w:keepLines w:val="0"/>
        <w:widowControl w:val="0"/>
        <w:shd w:val="clear" w:color="auto" w:fill="auto"/>
        <w:bidi w:val="0"/>
        <w:spacing w:before="0" w:after="100" w:line="311" w:lineRule="exact"/>
        <w:ind w:left="0" w:right="0" w:firstLine="520"/>
        <w:jc w:val="both"/>
      </w:pPr>
      <w:r>
        <w:rPr>
          <w:color w:val="000000"/>
          <w:spacing w:val="0"/>
          <w:w w:val="100"/>
          <w:position w:val="0"/>
        </w:rPr>
        <w:t>设定受益计划净负债或净资产的利息净额，包括计划资产的利息收益、设定受益计划义务的利息费用以及资产上限影 响的利息，均计入当期损益。</w:t>
      </w:r>
    </w:p>
    <w:p>
      <w:pPr>
        <w:pStyle w:val="Style26"/>
        <w:keepNext w:val="0"/>
        <w:keepLines w:val="0"/>
        <w:widowControl w:val="0"/>
        <w:numPr>
          <w:ilvl w:val="0"/>
          <w:numId w:val="95"/>
        </w:numPr>
        <w:shd w:val="clear" w:color="auto" w:fill="auto"/>
        <w:tabs>
          <w:tab w:pos="883" w:val="left"/>
        </w:tabs>
        <w:bidi w:val="0"/>
        <w:spacing w:before="0" w:after="0"/>
        <w:ind w:left="0" w:right="0" w:firstLine="520"/>
        <w:jc w:val="both"/>
      </w:pPr>
      <w:bookmarkStart w:id="1049" w:name="bookmark1049"/>
      <w:bookmarkEnd w:id="1049"/>
      <w:r>
        <w:rPr>
          <w:color w:val="000000"/>
          <w:spacing w:val="0"/>
          <w:w w:val="100"/>
          <w:position w:val="0"/>
        </w:rPr>
        <w:t>确定应计入其他综合收益的金额</w:t>
      </w:r>
    </w:p>
    <w:p>
      <w:pPr>
        <w:pStyle w:val="Style26"/>
        <w:keepNext w:val="0"/>
        <w:keepLines w:val="0"/>
        <w:widowControl w:val="0"/>
        <w:shd w:val="clear" w:color="auto" w:fill="auto"/>
        <w:bidi w:val="0"/>
        <w:spacing w:before="0" w:after="0" w:line="311" w:lineRule="exact"/>
        <w:ind w:left="0" w:right="0" w:firstLine="520"/>
        <w:jc w:val="both"/>
      </w:pPr>
      <w:r>
        <w:rPr>
          <w:color w:val="000000"/>
          <w:spacing w:val="0"/>
          <w:w w:val="100"/>
          <w:position w:val="0"/>
        </w:rPr>
        <w:t>重新计量设定受益计划净负债或净资产所产生的变动，包括：</w:t>
      </w:r>
    </w:p>
    <w:p>
      <w:pPr>
        <w:pStyle w:val="Style26"/>
        <w:keepNext w:val="0"/>
        <w:keepLines w:val="0"/>
        <w:widowControl w:val="0"/>
        <w:shd w:val="clear" w:color="auto" w:fill="auto"/>
        <w:tabs>
          <w:tab w:pos="950" w:val="left"/>
        </w:tabs>
        <w:bidi w:val="0"/>
        <w:spacing w:before="0" w:after="0" w:line="311" w:lineRule="exact"/>
        <w:ind w:left="0" w:right="0" w:firstLine="520"/>
        <w:jc w:val="both"/>
      </w:pPr>
      <w:bookmarkStart w:id="1050" w:name="bookmark1050"/>
      <w:r>
        <w:rPr>
          <w:color w:val="000000"/>
          <w:spacing w:val="0"/>
          <w:w w:val="100"/>
          <w:position w:val="0"/>
        </w:rPr>
        <w:t>（</w:t>
      </w:r>
      <w:bookmarkEnd w:id="1050"/>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精算利得或损失，即由于精算假设和经验调整导致之前所计量的设定受益计划义务现值的增加或减少；</w:t>
      </w:r>
    </w:p>
    <w:p>
      <w:pPr>
        <w:pStyle w:val="Style26"/>
        <w:keepNext w:val="0"/>
        <w:keepLines w:val="0"/>
        <w:widowControl w:val="0"/>
        <w:shd w:val="clear" w:color="auto" w:fill="auto"/>
        <w:tabs>
          <w:tab w:pos="965" w:val="left"/>
        </w:tabs>
        <w:bidi w:val="0"/>
        <w:spacing w:before="0" w:after="0" w:line="311" w:lineRule="exact"/>
        <w:ind w:left="0" w:right="0" w:firstLine="520"/>
        <w:jc w:val="both"/>
      </w:pPr>
      <w:bookmarkStart w:id="1051" w:name="bookmark1051"/>
      <w:r>
        <w:rPr>
          <w:color w:val="000000"/>
          <w:spacing w:val="0"/>
          <w:w w:val="100"/>
          <w:position w:val="0"/>
        </w:rPr>
        <w:t>（</w:t>
      </w:r>
      <w:bookmarkEnd w:id="1051"/>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计划资产回报，扣除包括在设定受益计划净负债或净资产的利息净额中的金额</w:t>
      </w:r>
      <w:r>
        <w:rPr>
          <w:color w:val="000000"/>
          <w:spacing w:val="0"/>
          <w:w w:val="100"/>
          <w:position w:val="0"/>
        </w:rPr>
        <w:t>；</w:t>
      </w:r>
    </w:p>
    <w:p>
      <w:pPr>
        <w:pStyle w:val="Style26"/>
        <w:keepNext w:val="0"/>
        <w:keepLines w:val="0"/>
        <w:widowControl w:val="0"/>
        <w:shd w:val="clear" w:color="auto" w:fill="auto"/>
        <w:tabs>
          <w:tab w:pos="965" w:val="left"/>
        </w:tabs>
        <w:bidi w:val="0"/>
        <w:spacing w:before="0" w:after="0" w:line="311" w:lineRule="exact"/>
        <w:ind w:left="0" w:right="0" w:firstLine="52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资产上限影响的变动，扣除包括在设定受益计划净负债或净资产的利息净额中的金额。</w:t>
      </w:r>
    </w:p>
    <w:p>
      <w:pPr>
        <w:pStyle w:val="Style26"/>
        <w:keepNext w:val="0"/>
        <w:keepLines w:val="0"/>
        <w:widowControl w:val="0"/>
        <w:shd w:val="clear" w:color="auto" w:fill="auto"/>
        <w:bidi w:val="0"/>
        <w:spacing w:before="0" w:after="380" w:line="311" w:lineRule="exact"/>
        <w:ind w:left="0" w:right="0" w:firstLine="520"/>
        <w:jc w:val="both"/>
      </w:pPr>
      <w:r>
        <w:rPr>
          <w:color w:val="000000"/>
          <w:spacing w:val="0"/>
          <w:w w:val="100"/>
          <w:position w:val="0"/>
        </w:rPr>
        <w:t>上述重新计量设定受益计划净负债或净资产所产生的变动直接计入其他综合收益</w:t>
      </w:r>
      <w:r>
        <w:rPr>
          <w:color w:val="000000"/>
          <w:spacing w:val="0"/>
          <w:w w:val="100"/>
          <w:position w:val="0"/>
        </w:rPr>
        <w:t>，</w:t>
      </w:r>
      <w:r>
        <w:rPr>
          <w:color w:val="000000"/>
          <w:spacing w:val="0"/>
          <w:w w:val="100"/>
          <w:position w:val="0"/>
        </w:rPr>
        <w:t>并且在后续会计期间不允许转回至 损益，但本公司可以在权益范围内转移这些在其他综合收益中确认的金额。</w:t>
      </w:r>
    </w:p>
    <w:p>
      <w:pPr>
        <w:pStyle w:val="Style30"/>
        <w:keepNext/>
        <w:keepLines/>
        <w:widowControl w:val="0"/>
        <w:shd w:val="clear" w:color="auto" w:fill="auto"/>
        <w:tabs>
          <w:tab w:pos="493" w:val="left"/>
        </w:tabs>
        <w:bidi w:val="0"/>
        <w:spacing w:before="0" w:after="280" w:line="240" w:lineRule="auto"/>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53"/>
      <w:bookmarkEnd w:id="1054"/>
      <w:bookmarkEnd w:id="1056"/>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本公司向职工提供辞退福利的，在下列两者孰早日确认辞退福利产生的职工薪酬负债，并计入当期损益：</w:t>
      </w:r>
    </w:p>
    <w:p>
      <w:pPr>
        <w:pStyle w:val="Style26"/>
        <w:keepNext w:val="0"/>
        <w:keepLines w:val="0"/>
        <w:widowControl w:val="0"/>
        <w:numPr>
          <w:ilvl w:val="0"/>
          <w:numId w:val="97"/>
        </w:numPr>
        <w:shd w:val="clear" w:color="auto" w:fill="auto"/>
        <w:tabs>
          <w:tab w:pos="893" w:val="left"/>
        </w:tabs>
        <w:bidi w:val="0"/>
        <w:spacing w:before="0" w:after="0" w:line="312" w:lineRule="exact"/>
        <w:ind w:left="0" w:right="0" w:firstLine="520"/>
        <w:jc w:val="left"/>
      </w:pPr>
      <w:bookmarkStart w:id="1057" w:name="bookmark1057"/>
      <w:bookmarkEnd w:id="1057"/>
      <w:r>
        <w:rPr>
          <w:color w:val="000000"/>
          <w:spacing w:val="0"/>
          <w:w w:val="100"/>
          <w:position w:val="0"/>
        </w:rPr>
        <w:t>企业不能单方面撤回因解除劳动关系计划或裁减建议所提供的辞退福利时；</w:t>
      </w:r>
    </w:p>
    <w:p>
      <w:pPr>
        <w:pStyle w:val="Style26"/>
        <w:keepNext w:val="0"/>
        <w:keepLines w:val="0"/>
        <w:widowControl w:val="0"/>
        <w:numPr>
          <w:ilvl w:val="0"/>
          <w:numId w:val="97"/>
        </w:numPr>
        <w:shd w:val="clear" w:color="auto" w:fill="auto"/>
        <w:tabs>
          <w:tab w:pos="893" w:val="left"/>
        </w:tabs>
        <w:bidi w:val="0"/>
        <w:spacing w:before="0" w:after="0" w:line="312" w:lineRule="exact"/>
        <w:ind w:left="0" w:right="0" w:firstLine="520"/>
        <w:jc w:val="left"/>
      </w:pPr>
      <w:bookmarkStart w:id="1058" w:name="bookmark1058"/>
      <w:bookmarkEnd w:id="1058"/>
      <w:r>
        <w:rPr>
          <w:color w:val="000000"/>
          <w:spacing w:val="0"/>
          <w:w w:val="100"/>
          <w:position w:val="0"/>
        </w:rPr>
        <w:t>企业确认与涉及支付辞退福利的重组相关的成本或费用时。</w:t>
      </w:r>
    </w:p>
    <w:p>
      <w:pPr>
        <w:pStyle w:val="Style26"/>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 xml:space="preserve">辞退福利预期在年度报告期结束后十二个月内不能完全支付的，参照相应的折现率（根据资产负债表日与设定受益计 划义务期限和币种相匹配的国债或活跃市场上的高质量公司债券的市场收益率确定）将辞退福利金额予以折现，以折现后的 </w:t>
      </w:r>
      <w:r>
        <w:rPr>
          <w:color w:val="000000"/>
          <w:spacing w:val="0"/>
          <w:w w:val="100"/>
          <w:position w:val="0"/>
        </w:rPr>
        <w:t>金额计量应付职工薪酬。</w:t>
      </w:r>
    </w:p>
    <w:p>
      <w:pPr>
        <w:pStyle w:val="Style30"/>
        <w:keepNext/>
        <w:keepLines/>
        <w:widowControl w:val="0"/>
        <w:shd w:val="clear" w:color="auto" w:fill="auto"/>
        <w:bidi w:val="0"/>
        <w:spacing w:before="0" w:after="2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59"/>
      <w:bookmarkEnd w:id="1060"/>
      <w:bookmarkEnd w:id="1062"/>
    </w:p>
    <w:p>
      <w:pPr>
        <w:pStyle w:val="Style26"/>
        <w:keepNext w:val="0"/>
        <w:keepLines w:val="0"/>
        <w:widowControl w:val="0"/>
        <w:numPr>
          <w:ilvl w:val="0"/>
          <w:numId w:val="99"/>
        </w:numPr>
        <w:shd w:val="clear" w:color="auto" w:fill="auto"/>
        <w:tabs>
          <w:tab w:pos="893" w:val="left"/>
        </w:tabs>
        <w:bidi w:val="0"/>
        <w:spacing w:before="0" w:after="0" w:line="317" w:lineRule="exact"/>
        <w:ind w:left="0" w:right="0" w:firstLine="520"/>
        <w:jc w:val="left"/>
      </w:pPr>
      <w:bookmarkStart w:id="1063" w:name="bookmark1063"/>
      <w:bookmarkEnd w:id="1063"/>
      <w:r>
        <w:rPr>
          <w:color w:val="000000"/>
          <w:spacing w:val="0"/>
          <w:w w:val="100"/>
          <w:position w:val="0"/>
        </w:rPr>
        <w:t>符合设定提存计划条件的</w:t>
      </w:r>
    </w:p>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本公司向职工提供的其他长期职工福利，符合设定提存计划条件的，将全部应缴存金额以折现后的金额计量应付职工 薪酬。</w:t>
      </w:r>
    </w:p>
    <w:p>
      <w:pPr>
        <w:pStyle w:val="Style26"/>
        <w:keepNext w:val="0"/>
        <w:keepLines w:val="0"/>
        <w:widowControl w:val="0"/>
        <w:numPr>
          <w:ilvl w:val="0"/>
          <w:numId w:val="99"/>
        </w:numPr>
        <w:shd w:val="clear" w:color="auto" w:fill="auto"/>
        <w:tabs>
          <w:tab w:pos="893" w:val="left"/>
        </w:tabs>
        <w:bidi w:val="0"/>
        <w:spacing w:before="0" w:after="0" w:line="317" w:lineRule="exact"/>
        <w:ind w:left="0" w:right="0" w:firstLine="520"/>
        <w:jc w:val="left"/>
      </w:pPr>
      <w:bookmarkStart w:id="1064" w:name="bookmark1064"/>
      <w:bookmarkEnd w:id="1064"/>
      <w:r>
        <w:rPr>
          <w:color w:val="000000"/>
          <w:spacing w:val="0"/>
          <w:w w:val="100"/>
          <w:position w:val="0"/>
        </w:rPr>
        <w:t>符合设定受益计划条件的</w:t>
      </w:r>
    </w:p>
    <w:p>
      <w:pPr>
        <w:pStyle w:val="Style26"/>
        <w:keepNext w:val="0"/>
        <w:keepLines w:val="0"/>
        <w:widowControl w:val="0"/>
        <w:shd w:val="clear" w:color="auto" w:fill="auto"/>
        <w:bidi w:val="0"/>
        <w:spacing w:before="0" w:after="100" w:line="317" w:lineRule="exact"/>
        <w:ind w:left="0" w:right="0" w:firstLine="520"/>
        <w:jc w:val="left"/>
      </w:pPr>
      <w:r>
        <w:rPr>
          <w:color w:val="000000"/>
          <w:spacing w:val="0"/>
          <w:w w:val="100"/>
          <w:position w:val="0"/>
        </w:rPr>
        <w:t>在报告期末，本公司将其他长期职工福利产生的职工薪酬成本确认为下列组成部分：</w:t>
      </w:r>
    </w:p>
    <w:p>
      <w:pPr>
        <w:pStyle w:val="Style26"/>
        <w:keepNext w:val="0"/>
        <w:keepLines w:val="0"/>
        <w:widowControl w:val="0"/>
        <w:numPr>
          <w:ilvl w:val="0"/>
          <w:numId w:val="101"/>
        </w:numPr>
        <w:shd w:val="clear" w:color="auto" w:fill="auto"/>
        <w:tabs>
          <w:tab w:pos="883" w:val="left"/>
        </w:tabs>
        <w:bidi w:val="0"/>
        <w:spacing w:before="0" w:after="0"/>
        <w:ind w:left="0" w:right="0" w:firstLine="520"/>
        <w:jc w:val="left"/>
      </w:pPr>
      <w:bookmarkStart w:id="1065" w:name="bookmark1065"/>
      <w:bookmarkEnd w:id="1065"/>
      <w:r>
        <w:rPr>
          <w:color w:val="000000"/>
          <w:spacing w:val="0"/>
          <w:w w:val="100"/>
          <w:position w:val="0"/>
        </w:rPr>
        <w:t>服务成本；</w:t>
      </w:r>
    </w:p>
    <w:p>
      <w:pPr>
        <w:pStyle w:val="Style26"/>
        <w:keepNext w:val="0"/>
        <w:keepLines w:val="0"/>
        <w:widowControl w:val="0"/>
        <w:numPr>
          <w:ilvl w:val="0"/>
          <w:numId w:val="101"/>
        </w:numPr>
        <w:shd w:val="clear" w:color="auto" w:fill="auto"/>
        <w:tabs>
          <w:tab w:pos="883" w:val="left"/>
        </w:tabs>
        <w:bidi w:val="0"/>
        <w:spacing w:before="0" w:after="0" w:line="317" w:lineRule="exact"/>
        <w:ind w:left="0" w:right="0" w:firstLine="520"/>
        <w:jc w:val="left"/>
      </w:pPr>
      <w:bookmarkStart w:id="1066" w:name="bookmark1066"/>
      <w:bookmarkEnd w:id="1066"/>
      <w:r>
        <w:rPr>
          <w:color w:val="000000"/>
          <w:spacing w:val="0"/>
          <w:w w:val="100"/>
          <w:position w:val="0"/>
        </w:rPr>
        <w:t>其他长期职工福利净负债或净资产的利息净额；</w:t>
      </w:r>
    </w:p>
    <w:p>
      <w:pPr>
        <w:pStyle w:val="Style26"/>
        <w:keepNext w:val="0"/>
        <w:keepLines w:val="0"/>
        <w:widowControl w:val="0"/>
        <w:numPr>
          <w:ilvl w:val="0"/>
          <w:numId w:val="101"/>
        </w:numPr>
        <w:shd w:val="clear" w:color="auto" w:fill="auto"/>
        <w:tabs>
          <w:tab w:pos="883" w:val="left"/>
        </w:tabs>
        <w:bidi w:val="0"/>
        <w:spacing w:before="0" w:after="0" w:line="317" w:lineRule="exact"/>
        <w:ind w:left="0" w:right="0" w:firstLine="520"/>
        <w:jc w:val="left"/>
      </w:pPr>
      <w:bookmarkStart w:id="1067" w:name="bookmark1067"/>
      <w:bookmarkEnd w:id="1067"/>
      <w:r>
        <w:rPr>
          <w:color w:val="000000"/>
          <w:spacing w:val="0"/>
          <w:w w:val="100"/>
          <w:position w:val="0"/>
        </w:rPr>
        <w:t>重新计量其他长期职工福利净负债或净资产所产生的变动。</w:t>
      </w:r>
    </w:p>
    <w:p>
      <w:pPr>
        <w:pStyle w:val="Style26"/>
        <w:keepNext w:val="0"/>
        <w:keepLines w:val="0"/>
        <w:widowControl w:val="0"/>
        <w:shd w:val="clear" w:color="auto" w:fill="auto"/>
        <w:bidi w:val="0"/>
        <w:spacing w:before="0" w:after="380" w:line="317" w:lineRule="exact"/>
        <w:ind w:left="0" w:right="0" w:firstLine="520"/>
        <w:jc w:val="left"/>
      </w:pPr>
      <w:r>
        <w:rPr>
          <w:color w:val="000000"/>
          <w:spacing w:val="0"/>
          <w:w w:val="100"/>
          <w:position w:val="0"/>
        </w:rPr>
        <w:t>为简化相关会计处理，上述项目的总净额计入当期损益或相关资产成本。</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3</w:t>
      </w:r>
      <w:bookmarkEnd w:id="107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068"/>
      <w:bookmarkEnd w:id="1069"/>
      <w:bookmarkEnd w:id="1071"/>
    </w:p>
    <w:p>
      <w:pPr>
        <w:pStyle w:val="Style30"/>
        <w:keepNext/>
        <w:keepLines/>
        <w:widowControl w:val="0"/>
        <w:shd w:val="clear" w:color="auto" w:fill="auto"/>
        <w:tabs>
          <w:tab w:pos="483" w:val="left"/>
        </w:tabs>
        <w:bidi w:val="0"/>
        <w:spacing w:before="0" w:after="280" w:line="240" w:lineRule="auto"/>
        <w:ind w:left="0" w:right="0" w:firstLine="0"/>
        <w:jc w:val="left"/>
      </w:pPr>
      <w:bookmarkStart w:id="1068" w:name="bookmark1068"/>
      <w:bookmarkStart w:id="1069" w:name="bookmark1069"/>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68"/>
      <w:bookmarkEnd w:id="1069"/>
      <w:bookmarkEnd w:id="1073"/>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如果与或有事项相关的义务同时符合以下条件，本公司将其确认为预计负债：</w:t>
      </w:r>
    </w:p>
    <w:p>
      <w:pPr>
        <w:pStyle w:val="Style26"/>
        <w:keepNext w:val="0"/>
        <w:keepLines w:val="0"/>
        <w:widowControl w:val="0"/>
        <w:numPr>
          <w:ilvl w:val="0"/>
          <w:numId w:val="103"/>
        </w:numPr>
        <w:shd w:val="clear" w:color="auto" w:fill="auto"/>
        <w:tabs>
          <w:tab w:pos="893" w:val="left"/>
        </w:tabs>
        <w:bidi w:val="0"/>
        <w:spacing w:before="0" w:after="0" w:line="312" w:lineRule="exact"/>
        <w:ind w:left="0" w:right="0" w:firstLine="520"/>
        <w:jc w:val="left"/>
      </w:pPr>
      <w:bookmarkStart w:id="1075" w:name="bookmark1075"/>
      <w:bookmarkEnd w:id="1075"/>
      <w:r>
        <w:rPr>
          <w:color w:val="000000"/>
          <w:spacing w:val="0"/>
          <w:w w:val="100"/>
          <w:position w:val="0"/>
        </w:rPr>
        <w:t>该义务是本公司承担的现时义务；</w:t>
      </w:r>
    </w:p>
    <w:p>
      <w:pPr>
        <w:pStyle w:val="Style26"/>
        <w:keepNext w:val="0"/>
        <w:keepLines w:val="0"/>
        <w:widowControl w:val="0"/>
        <w:numPr>
          <w:ilvl w:val="0"/>
          <w:numId w:val="103"/>
        </w:numPr>
        <w:shd w:val="clear" w:color="auto" w:fill="auto"/>
        <w:tabs>
          <w:tab w:pos="893" w:val="left"/>
        </w:tabs>
        <w:bidi w:val="0"/>
        <w:spacing w:before="0" w:after="0" w:line="312" w:lineRule="exact"/>
        <w:ind w:left="0" w:right="0" w:firstLine="520"/>
        <w:jc w:val="left"/>
      </w:pPr>
      <w:bookmarkStart w:id="1076" w:name="bookmark1076"/>
      <w:bookmarkEnd w:id="1076"/>
      <w:r>
        <w:rPr>
          <w:color w:val="000000"/>
          <w:spacing w:val="0"/>
          <w:w w:val="100"/>
          <w:position w:val="0"/>
        </w:rPr>
        <w:t>该义务的履行很可能导致经济利益流出本公司；</w:t>
      </w:r>
    </w:p>
    <w:p>
      <w:pPr>
        <w:pStyle w:val="Style26"/>
        <w:keepNext w:val="0"/>
        <w:keepLines w:val="0"/>
        <w:widowControl w:val="0"/>
        <w:numPr>
          <w:ilvl w:val="0"/>
          <w:numId w:val="103"/>
        </w:numPr>
        <w:shd w:val="clear" w:color="auto" w:fill="auto"/>
        <w:tabs>
          <w:tab w:pos="893" w:val="left"/>
        </w:tabs>
        <w:bidi w:val="0"/>
        <w:spacing w:before="0" w:after="0" w:line="312" w:lineRule="exact"/>
        <w:ind w:left="0" w:right="0" w:firstLine="520"/>
        <w:jc w:val="left"/>
      </w:pPr>
      <w:bookmarkStart w:id="1077" w:name="bookmark1077"/>
      <w:bookmarkEnd w:id="1077"/>
      <w:r>
        <w:rPr>
          <w:color w:val="000000"/>
          <w:spacing w:val="0"/>
          <w:w w:val="100"/>
          <w:position w:val="0"/>
        </w:rPr>
        <w:t>该义务的金额能够可靠地计量。</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p>
    <w:p>
      <w:pPr>
        <w:pStyle w:val="Style26"/>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预计负债按照履行相关现时义务所需支出的最佳估计数进行初始计量，并综合考虑与或有事项有关的风险、不确定性 和货币时间价值等因素。每个资产负债表日对预计负债的账面价值进行复核。有确凿证据表明该账面价值不能反映当前最佳 估计数的，按照当前最佳估计数对该账面价值进行调整。</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79"/>
      <w:bookmarkEnd w:id="1080"/>
      <w:bookmarkEnd w:id="1082"/>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本公司股份支付包括以现金结算的股份支付和以权益结算的股份支付。</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①对于授予职工的股份，其公允价值按公司股份的市场价格计量，同时考虑授予股份所依据的条款和条件（不包括市 场条件之外的可行权条件）进行调整。②对于授予职工的股票期权，在许多情况下难以获得其市场价格。如果不存在条款和 条件相似的交易期权，公司选择适用的期权定价模型估计所授予的期权的公允价值。</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在等待期内每个资产负债表日，公司根据最新取得的可行权职工人数变动等后续信息作出最佳估计，修正预计可行权 的权益工具数量，以作出可行权权益工具的最佳估计。</w:t>
      </w:r>
    </w:p>
    <w:p>
      <w:pPr>
        <w:pStyle w:val="Style26"/>
        <w:keepNext w:val="0"/>
        <w:keepLines w:val="0"/>
        <w:widowControl w:val="0"/>
        <w:shd w:val="clear" w:color="auto" w:fill="auto"/>
        <w:tabs>
          <w:tab w:pos="965" w:val="left"/>
        </w:tabs>
        <w:bidi w:val="0"/>
        <w:spacing w:before="0" w:after="0" w:line="312" w:lineRule="exact"/>
        <w:ind w:left="0" w:right="0" w:firstLine="520"/>
        <w:jc w:val="left"/>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w:t>
        <w:tab/>
        <w:t>股份支付计划实施的会计处理</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以现金结算的股份支付</w:t>
      </w:r>
    </w:p>
    <w:p>
      <w:pPr>
        <w:pStyle w:val="Style26"/>
        <w:keepNext w:val="0"/>
        <w:keepLines w:val="0"/>
        <w:widowControl w:val="0"/>
        <w:numPr>
          <w:ilvl w:val="0"/>
          <w:numId w:val="105"/>
        </w:numPr>
        <w:shd w:val="clear" w:color="auto" w:fill="auto"/>
        <w:tabs>
          <w:tab w:pos="877" w:val="left"/>
        </w:tabs>
        <w:bidi w:val="0"/>
        <w:spacing w:before="0" w:after="0" w:line="312" w:lineRule="exact"/>
        <w:ind w:left="0" w:right="0" w:firstLine="520"/>
        <w:jc w:val="both"/>
      </w:pPr>
      <w:bookmarkStart w:id="1087" w:name="bookmark1087"/>
      <w:bookmarkEnd w:id="1087"/>
      <w:r>
        <w:rPr>
          <w:color w:val="000000"/>
          <w:spacing w:val="0"/>
          <w:w w:val="100"/>
          <w:position w:val="0"/>
        </w:rPr>
        <w:t>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Style26"/>
        <w:keepNext w:val="0"/>
        <w:keepLines w:val="0"/>
        <w:widowControl w:val="0"/>
        <w:numPr>
          <w:ilvl w:val="0"/>
          <w:numId w:val="105"/>
        </w:numPr>
        <w:shd w:val="clear" w:color="auto" w:fill="auto"/>
        <w:tabs>
          <w:tab w:pos="853" w:val="left"/>
        </w:tabs>
        <w:bidi w:val="0"/>
        <w:spacing w:before="0" w:after="280" w:line="312" w:lineRule="exact"/>
        <w:ind w:left="0" w:right="0" w:firstLine="520"/>
        <w:jc w:val="both"/>
      </w:pPr>
      <w:bookmarkStart w:id="1088" w:name="bookmark1088"/>
      <w:bookmarkEnd w:id="1088"/>
      <w:r>
        <w:rPr>
          <w:color w:val="000000"/>
          <w:spacing w:val="0"/>
          <w:w w:val="100"/>
          <w:position w:val="0"/>
        </w:rPr>
        <w:t>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Style26"/>
        <w:keepNext w:val="0"/>
        <w:keepLines w:val="0"/>
        <w:widowControl w:val="0"/>
        <w:shd w:val="clear" w:color="auto" w:fill="auto"/>
        <w:bidi w:val="0"/>
        <w:spacing w:before="0" w:after="0" w:line="307" w:lineRule="exact"/>
        <w:ind w:left="0" w:right="0" w:firstLine="520"/>
        <w:jc w:val="both"/>
      </w:pPr>
      <w:r>
        <w:rPr>
          <w:color w:val="000000"/>
          <w:spacing w:val="0"/>
          <w:w w:val="100"/>
          <w:position w:val="0"/>
        </w:rPr>
        <w:t>以权益结算的股份支付</w:t>
      </w:r>
    </w:p>
    <w:p>
      <w:pPr>
        <w:pStyle w:val="Style26"/>
        <w:keepNext w:val="0"/>
        <w:keepLines w:val="0"/>
        <w:widowControl w:val="0"/>
        <w:numPr>
          <w:ilvl w:val="0"/>
          <w:numId w:val="107"/>
        </w:numPr>
        <w:shd w:val="clear" w:color="auto" w:fill="auto"/>
        <w:tabs>
          <w:tab w:pos="866" w:val="left"/>
        </w:tabs>
        <w:bidi w:val="0"/>
        <w:spacing w:before="0" w:after="0" w:line="307" w:lineRule="exact"/>
        <w:ind w:left="0" w:right="0" w:firstLine="520"/>
        <w:jc w:val="both"/>
      </w:pPr>
      <w:bookmarkStart w:id="1089" w:name="bookmark1089"/>
      <w:bookmarkEnd w:id="1089"/>
      <w:r>
        <w:rPr>
          <w:color w:val="000000"/>
          <w:spacing w:val="0"/>
          <w:w w:val="100"/>
          <w:position w:val="0"/>
        </w:rPr>
        <w:t>授予后立即可行权的换取职工服务的以权益结算的股份支付，在授予日以权益工具的公允价值计入相关成本或费 用，相应增加资本公积。</w:t>
      </w:r>
    </w:p>
    <w:p>
      <w:pPr>
        <w:pStyle w:val="Style26"/>
        <w:keepNext w:val="0"/>
        <w:keepLines w:val="0"/>
        <w:widowControl w:val="0"/>
        <w:numPr>
          <w:ilvl w:val="0"/>
          <w:numId w:val="107"/>
        </w:numPr>
        <w:shd w:val="clear" w:color="auto" w:fill="auto"/>
        <w:tabs>
          <w:tab w:pos="861" w:val="left"/>
        </w:tabs>
        <w:bidi w:val="0"/>
        <w:spacing w:before="0" w:after="0" w:line="307" w:lineRule="exact"/>
        <w:ind w:left="0" w:right="0" w:firstLine="520"/>
        <w:jc w:val="both"/>
      </w:pPr>
      <w:bookmarkStart w:id="1090" w:name="bookmark1090"/>
      <w:bookmarkEnd w:id="1090"/>
      <w:r>
        <w:rPr>
          <w:color w:val="000000"/>
          <w:spacing w:val="0"/>
          <w:w w:val="100"/>
          <w:position w:val="0"/>
        </w:rPr>
        <w:t>完成等待期内的服务或达到规定业绩条件以后才可行权换取职工服务的以权益结算的股份支付，在等待期内的每个 资产负债表日，以对可行权权益工具数量的最佳估计为基础，按权益工具授予日的公允价值，将当期取得的服务计入成本或 费用和资本公积。</w:t>
      </w:r>
    </w:p>
    <w:p>
      <w:pPr>
        <w:pStyle w:val="Style26"/>
        <w:keepNext w:val="0"/>
        <w:keepLines w:val="0"/>
        <w:widowControl w:val="0"/>
        <w:shd w:val="clear" w:color="auto" w:fill="auto"/>
        <w:tabs>
          <w:tab w:pos="958" w:val="left"/>
        </w:tabs>
        <w:bidi w:val="0"/>
        <w:spacing w:before="0" w:after="0" w:line="307" w:lineRule="exact"/>
        <w:ind w:left="0" w:right="0" w:firstLine="52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5</w:t>
      </w:r>
      <w:r>
        <w:rPr>
          <w:color w:val="000000"/>
          <w:spacing w:val="0"/>
          <w:w w:val="100"/>
          <w:position w:val="0"/>
        </w:rPr>
        <w:t>）</w:t>
        <w:tab/>
        <w:t>股份支付计划修改的会计处理</w:t>
      </w:r>
    </w:p>
    <w:p>
      <w:pPr>
        <w:pStyle w:val="Style26"/>
        <w:keepNext w:val="0"/>
        <w:keepLines w:val="0"/>
        <w:widowControl w:val="0"/>
        <w:shd w:val="clear" w:color="auto" w:fill="auto"/>
        <w:bidi w:val="0"/>
        <w:spacing w:before="0" w:after="0" w:line="307" w:lineRule="exact"/>
        <w:ind w:left="0" w:right="0" w:firstLine="520"/>
        <w:jc w:val="both"/>
      </w:pPr>
      <w:r>
        <w:rPr>
          <w:color w:val="000000"/>
          <w:spacing w:val="0"/>
          <w:w w:val="100"/>
          <w:position w:val="0"/>
        </w:rPr>
        <w:t>本公司对股份支付计划进行修改时，若修改增加了所授予权益工具的公允价值，按照权益工具公允价值的增加相应地 确认取得服务的增加;若修改增加了所授予权益工具的数量，则将增加的权益工具的公允价值相应地确认为取得服务的增加。 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6"/>
        <w:keepNext w:val="0"/>
        <w:keepLines w:val="0"/>
        <w:widowControl w:val="0"/>
        <w:shd w:val="clear" w:color="auto" w:fill="auto"/>
        <w:tabs>
          <w:tab w:pos="958" w:val="left"/>
        </w:tabs>
        <w:bidi w:val="0"/>
        <w:spacing w:before="0" w:after="0" w:line="315" w:lineRule="exact"/>
        <w:ind w:left="0" w:right="0" w:firstLine="52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w:t>
        <w:tab/>
        <w:t>股份支付计划终止的会计处理</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如果在等待期内取消了所授予的权益工具或结算了所授予的权益工具（因未满足可行权条件而被取消的除外），本公 司：</w:t>
      </w:r>
    </w:p>
    <w:p>
      <w:pPr>
        <w:pStyle w:val="Style26"/>
        <w:keepNext w:val="0"/>
        <w:keepLines w:val="0"/>
        <w:widowControl w:val="0"/>
        <w:numPr>
          <w:ilvl w:val="0"/>
          <w:numId w:val="109"/>
        </w:numPr>
        <w:shd w:val="clear" w:color="auto" w:fill="auto"/>
        <w:tabs>
          <w:tab w:pos="886" w:val="left"/>
        </w:tabs>
        <w:bidi w:val="0"/>
        <w:spacing w:before="0" w:after="0" w:line="315" w:lineRule="exact"/>
        <w:ind w:left="0" w:right="0" w:firstLine="520"/>
        <w:jc w:val="both"/>
      </w:pPr>
      <w:bookmarkStart w:id="1093" w:name="bookmark1093"/>
      <w:bookmarkEnd w:id="1093"/>
      <w:r>
        <w:rPr>
          <w:color w:val="000000"/>
          <w:spacing w:val="0"/>
          <w:w w:val="100"/>
          <w:position w:val="0"/>
        </w:rPr>
        <w:t>将取消或结算作为加速可行权处理，立即确认原本应在剩余等待期内确认的金额；</w:t>
      </w:r>
    </w:p>
    <w:p>
      <w:pPr>
        <w:pStyle w:val="Style26"/>
        <w:keepNext w:val="0"/>
        <w:keepLines w:val="0"/>
        <w:widowControl w:val="0"/>
        <w:numPr>
          <w:ilvl w:val="0"/>
          <w:numId w:val="109"/>
        </w:numPr>
        <w:shd w:val="clear" w:color="auto" w:fill="auto"/>
        <w:tabs>
          <w:tab w:pos="851" w:val="left"/>
        </w:tabs>
        <w:bidi w:val="0"/>
        <w:spacing w:before="0" w:after="0" w:line="315" w:lineRule="exact"/>
        <w:ind w:left="0" w:right="0" w:firstLine="520"/>
        <w:jc w:val="both"/>
      </w:pPr>
      <w:bookmarkStart w:id="1094" w:name="bookmark1094"/>
      <w:bookmarkEnd w:id="1094"/>
      <w:r>
        <w:rPr>
          <w:color w:val="000000"/>
          <w:spacing w:val="0"/>
          <w:w w:val="100"/>
          <w:position w:val="0"/>
        </w:rPr>
        <w:t>在取消或结算时支付给职工的所有款项均作为权益的回购处理，回购支付的金额高于该权益工具在回购日公允价值 的部分，计入当期费用。</w:t>
      </w:r>
    </w:p>
    <w:p>
      <w:pPr>
        <w:pStyle w:val="Style26"/>
        <w:keepNext w:val="0"/>
        <w:keepLines w:val="0"/>
        <w:widowControl w:val="0"/>
        <w:shd w:val="clear" w:color="auto" w:fill="auto"/>
        <w:bidi w:val="0"/>
        <w:spacing w:before="0" w:after="380" w:line="315" w:lineRule="exact"/>
        <w:ind w:left="0" w:right="0" w:firstLine="520"/>
        <w:jc w:val="both"/>
      </w:pPr>
      <w:r>
        <w:rPr>
          <w:color w:val="000000"/>
          <w:spacing w:val="0"/>
          <w:w w:val="100"/>
          <w:position w:val="0"/>
        </w:rPr>
        <w:t>本公司如果回购其职工已可行权的权益工具，冲减企业的所有者权益；回购支付的款项高于该权益工具在回购日公允 价值的部分，计入当期损益。</w:t>
      </w:r>
    </w:p>
    <w:p>
      <w:pPr>
        <w:pStyle w:val="Style30"/>
        <w:keepNext/>
        <w:keepLines/>
        <w:widowControl w:val="0"/>
        <w:shd w:val="clear" w:color="auto" w:fill="auto"/>
        <w:tabs>
          <w:tab w:pos="477" w:val="left"/>
        </w:tabs>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3</w:t>
      </w:r>
      <w:bookmarkEnd w:id="109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5"/>
      <w:bookmarkEnd w:id="1096"/>
      <w:bookmarkEnd w:id="1098"/>
    </w:p>
    <w:p>
      <w:pPr>
        <w:pStyle w:val="Style30"/>
        <w:keepNext/>
        <w:keepLines/>
        <w:widowControl w:val="0"/>
        <w:shd w:val="clear" w:color="auto" w:fill="auto"/>
        <w:tabs>
          <w:tab w:pos="477" w:val="left"/>
        </w:tabs>
        <w:bidi w:val="0"/>
        <w:spacing w:before="0" w:after="260" w:line="240" w:lineRule="auto"/>
        <w:ind w:left="0" w:right="0" w:firstLine="0"/>
        <w:jc w:val="left"/>
      </w:pPr>
      <w:bookmarkStart w:id="1095" w:name="bookmark1095"/>
      <w:bookmarkStart w:id="1096" w:name="bookmark1096"/>
      <w:bookmarkStart w:id="1099" w:name="bookmark1099"/>
      <w:bookmarkStart w:id="1100" w:name="bookmark1100"/>
      <w:r>
        <w:rPr>
          <w:rFonts w:ascii="Times New Roman" w:eastAsia="Times New Roman" w:hAnsi="Times New Roman" w:cs="Times New Roman"/>
          <w:color w:val="000000"/>
          <w:spacing w:val="0"/>
          <w:w w:val="100"/>
          <w:position w:val="0"/>
        </w:rPr>
        <w:t>3</w:t>
      </w:r>
      <w:bookmarkEnd w:id="1099"/>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95"/>
      <w:bookmarkEnd w:id="1096"/>
      <w:bookmarkEnd w:id="1100"/>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）一般原则</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收入是本公司在日常活动中形成的、会导致股东权益增加且与股东投入资本无关的经济利益的总流入。</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本公司在履行了合同中的履约义务，即在客户取得相关商品控制权时确认收入。取得相关商品控制权，是指能够主导 该商品的使用并从中获得几乎全部的经济利益。</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比例，将交易价格分摊至各单项履约义务，按照分摊至各单项履约义务的交易价格计量收入。</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交易价格是本公司因向客户转让商品或服务而预期有权收取的对价金额，不包括代第三方收取的款项。在确定合同交 易价格时，如果存在可变对价，本公司按照期望值或最可能发生金额确定可变对价的最佳估计数，并以不超过在相关不确定 性消除时累计已确认收入极可能不会发生重大转回的金额计入交易价格。合同中如果存在重大融资成分，本公司将根据客户 在取得商品控制权时即以现金支付的应付金额确定交易价格，该交易价格与合同对价之间的差额，在合同期间内采用实际利 率法摊销，对于控制权转移与客户支付价款间隔未超过一年的，本公司不考虑其中的融资成分。</w:t>
      </w:r>
    </w:p>
    <w:p>
      <w:pPr>
        <w:pStyle w:val="Style26"/>
        <w:keepNext w:val="0"/>
        <w:keepLines w:val="0"/>
        <w:widowControl w:val="0"/>
        <w:shd w:val="clear" w:color="auto" w:fill="auto"/>
        <w:bidi w:val="0"/>
        <w:spacing w:before="0" w:after="60" w:line="313" w:lineRule="exact"/>
        <w:ind w:left="0" w:right="0" w:firstLine="520"/>
        <w:jc w:val="both"/>
      </w:pPr>
      <w:r>
        <w:rPr>
          <w:color w:val="000000"/>
          <w:spacing w:val="0"/>
          <w:w w:val="100"/>
          <w:position w:val="0"/>
        </w:rPr>
        <w:t>满足下列条件之一的，属于在某一时段内履行履约义务；否则，属于在某一时点履行履约义务：</w:t>
      </w:r>
    </w:p>
    <w:p>
      <w:pPr>
        <w:pStyle w:val="Style26"/>
        <w:keepNext w:val="0"/>
        <w:keepLines w:val="0"/>
        <w:widowControl w:val="0"/>
        <w:numPr>
          <w:ilvl w:val="0"/>
          <w:numId w:val="111"/>
        </w:numPr>
        <w:shd w:val="clear" w:color="auto" w:fill="auto"/>
        <w:tabs>
          <w:tab w:pos="886" w:val="left"/>
        </w:tabs>
        <w:bidi w:val="0"/>
        <w:spacing w:before="0" w:after="0" w:line="240" w:lineRule="auto"/>
        <w:ind w:left="0" w:right="0" w:firstLine="520"/>
        <w:jc w:val="both"/>
      </w:pPr>
      <w:bookmarkStart w:id="1101" w:name="bookmark1101"/>
      <w:bookmarkEnd w:id="1101"/>
      <w:r>
        <w:rPr>
          <w:color w:val="000000"/>
          <w:spacing w:val="0"/>
          <w:w w:val="100"/>
          <w:position w:val="0"/>
        </w:rPr>
        <w:t>客户在本公司履约的同时即取得并消耗本公司履约所带来的经济利益；</w:t>
      </w:r>
    </w:p>
    <w:p>
      <w:pPr>
        <w:pStyle w:val="Style26"/>
        <w:keepNext w:val="0"/>
        <w:keepLines w:val="0"/>
        <w:widowControl w:val="0"/>
        <w:numPr>
          <w:ilvl w:val="0"/>
          <w:numId w:val="111"/>
        </w:numPr>
        <w:shd w:val="clear" w:color="auto" w:fill="auto"/>
        <w:tabs>
          <w:tab w:pos="886" w:val="left"/>
        </w:tabs>
        <w:bidi w:val="0"/>
        <w:spacing w:before="0" w:after="0" w:line="312" w:lineRule="exact"/>
        <w:ind w:left="0" w:right="0" w:firstLine="520"/>
        <w:jc w:val="both"/>
      </w:pPr>
      <w:bookmarkStart w:id="1102" w:name="bookmark1102"/>
      <w:bookmarkEnd w:id="1102"/>
      <w:r>
        <w:rPr>
          <w:color w:val="000000"/>
          <w:spacing w:val="0"/>
          <w:w w:val="100"/>
          <w:position w:val="0"/>
        </w:rPr>
        <w:t>客户能够控制本公司履约过程中在建的商品；</w:t>
      </w:r>
    </w:p>
    <w:p>
      <w:pPr>
        <w:pStyle w:val="Style26"/>
        <w:keepNext w:val="0"/>
        <w:keepLines w:val="0"/>
        <w:widowControl w:val="0"/>
        <w:numPr>
          <w:ilvl w:val="0"/>
          <w:numId w:val="111"/>
        </w:numPr>
        <w:shd w:val="clear" w:color="auto" w:fill="auto"/>
        <w:tabs>
          <w:tab w:pos="861" w:val="left"/>
        </w:tabs>
        <w:bidi w:val="0"/>
        <w:spacing w:before="0" w:after="0" w:line="312" w:lineRule="exact"/>
        <w:ind w:left="0" w:right="0" w:firstLine="520"/>
        <w:jc w:val="both"/>
      </w:pPr>
      <w:bookmarkStart w:id="1103" w:name="bookmark1103"/>
      <w:bookmarkEnd w:id="1103"/>
      <w:r>
        <w:rPr>
          <w:color w:val="000000"/>
          <w:spacing w:val="0"/>
          <w:w w:val="100"/>
          <w:position w:val="0"/>
        </w:rPr>
        <w:t>本公司履约过程中所产出的商品具有不可替代用途，且本公司在整个合同期间内有权就累计至今已完成的履约部分 收取款项。</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 xml:space="preserve">对于在某一时段内履行的履约义务，本公司在该段时间内按照履约进度确认收入，但是，履约进度不能合理确定的除 </w:t>
      </w:r>
      <w:r>
        <w:rPr>
          <w:color w:val="000000"/>
          <w:spacing w:val="0"/>
          <w:w w:val="100"/>
          <w:position w:val="0"/>
        </w:rPr>
        <w:t>外。本公司按照投入法（或产出法）确定提供服务的履约进度。当履约进度不能合理确定时，本公司已经发生的成本预计能 够得到补偿的，按照已经发生的成本金额确认收入，直到履约进度能够合理确定为止。</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对于在某一时点履行的履约义务，本公司在客户取得相关商品控制权时点确认收入。在判断客户是否已取得商品或服 务控制权时，本公司会考虑下列迹象：</w:t>
      </w:r>
    </w:p>
    <w:p>
      <w:pPr>
        <w:pStyle w:val="Style26"/>
        <w:keepNext w:val="0"/>
        <w:keepLines w:val="0"/>
        <w:widowControl w:val="0"/>
        <w:numPr>
          <w:ilvl w:val="0"/>
          <w:numId w:val="113"/>
        </w:numPr>
        <w:shd w:val="clear" w:color="auto" w:fill="auto"/>
        <w:tabs>
          <w:tab w:pos="893" w:val="left"/>
        </w:tabs>
        <w:bidi w:val="0"/>
        <w:spacing w:before="0" w:after="0" w:line="313" w:lineRule="exact"/>
        <w:ind w:left="0" w:right="0" w:firstLine="520"/>
        <w:jc w:val="both"/>
      </w:pPr>
      <w:bookmarkStart w:id="1104" w:name="bookmark1104"/>
      <w:bookmarkEnd w:id="1104"/>
      <w:r>
        <w:rPr>
          <w:color w:val="000000"/>
          <w:spacing w:val="0"/>
          <w:w w:val="100"/>
          <w:position w:val="0"/>
        </w:rPr>
        <w:t>本公司就该商品或服务享有现时收款权利，即客户就该商品负有现时付款义务；</w:t>
      </w:r>
    </w:p>
    <w:p>
      <w:pPr>
        <w:pStyle w:val="Style26"/>
        <w:keepNext w:val="0"/>
        <w:keepLines w:val="0"/>
        <w:widowControl w:val="0"/>
        <w:numPr>
          <w:ilvl w:val="0"/>
          <w:numId w:val="113"/>
        </w:numPr>
        <w:shd w:val="clear" w:color="auto" w:fill="auto"/>
        <w:tabs>
          <w:tab w:pos="893" w:val="left"/>
        </w:tabs>
        <w:bidi w:val="0"/>
        <w:spacing w:before="0" w:after="0" w:line="313" w:lineRule="exact"/>
        <w:ind w:left="0" w:right="0" w:firstLine="520"/>
        <w:jc w:val="both"/>
      </w:pPr>
      <w:bookmarkStart w:id="1105" w:name="bookmark1105"/>
      <w:bookmarkEnd w:id="1105"/>
      <w:r>
        <w:rPr>
          <w:color w:val="000000"/>
          <w:spacing w:val="0"/>
          <w:w w:val="100"/>
          <w:position w:val="0"/>
        </w:rPr>
        <w:t>本公司已将该商品的法定所有权转移给客户，即客户已拥有了该商品的法定所有权；</w:t>
      </w:r>
    </w:p>
    <w:p>
      <w:pPr>
        <w:pStyle w:val="Style26"/>
        <w:keepNext w:val="0"/>
        <w:keepLines w:val="0"/>
        <w:widowControl w:val="0"/>
        <w:numPr>
          <w:ilvl w:val="0"/>
          <w:numId w:val="113"/>
        </w:numPr>
        <w:shd w:val="clear" w:color="auto" w:fill="auto"/>
        <w:tabs>
          <w:tab w:pos="893" w:val="left"/>
        </w:tabs>
        <w:bidi w:val="0"/>
        <w:spacing w:before="0" w:after="0" w:line="313" w:lineRule="exact"/>
        <w:ind w:left="0" w:right="0" w:firstLine="520"/>
        <w:jc w:val="both"/>
      </w:pPr>
      <w:bookmarkStart w:id="1106" w:name="bookmark1106"/>
      <w:bookmarkEnd w:id="1106"/>
      <w:r>
        <w:rPr>
          <w:color w:val="000000"/>
          <w:spacing w:val="0"/>
          <w:w w:val="100"/>
          <w:position w:val="0"/>
        </w:rPr>
        <w:t>本公司已将该商品的实物转移给客户，即客户已实物占有该商品；</w:t>
      </w:r>
    </w:p>
    <w:p>
      <w:pPr>
        <w:pStyle w:val="Style26"/>
        <w:keepNext w:val="0"/>
        <w:keepLines w:val="0"/>
        <w:widowControl w:val="0"/>
        <w:numPr>
          <w:ilvl w:val="0"/>
          <w:numId w:val="113"/>
        </w:numPr>
        <w:shd w:val="clear" w:color="auto" w:fill="auto"/>
        <w:tabs>
          <w:tab w:pos="893" w:val="left"/>
        </w:tabs>
        <w:bidi w:val="0"/>
        <w:spacing w:before="0" w:after="0" w:line="313" w:lineRule="exact"/>
        <w:ind w:left="0" w:right="0" w:firstLine="520"/>
        <w:jc w:val="both"/>
      </w:pPr>
      <w:bookmarkStart w:id="1107" w:name="bookmark1107"/>
      <w:bookmarkEnd w:id="1107"/>
      <w:r>
        <w:rPr>
          <w:color w:val="000000"/>
          <w:spacing w:val="0"/>
          <w:w w:val="100"/>
          <w:position w:val="0"/>
        </w:rPr>
        <w:t>本公司已将该商品所有权上的主要风险和报酬转移给客户，即客户已取得该商品所有权上的主要风险和报酬；</w:t>
      </w:r>
    </w:p>
    <w:p>
      <w:pPr>
        <w:pStyle w:val="Style26"/>
        <w:keepNext w:val="0"/>
        <w:keepLines w:val="0"/>
        <w:widowControl w:val="0"/>
        <w:numPr>
          <w:ilvl w:val="0"/>
          <w:numId w:val="113"/>
        </w:numPr>
        <w:shd w:val="clear" w:color="auto" w:fill="auto"/>
        <w:tabs>
          <w:tab w:pos="893" w:val="left"/>
        </w:tabs>
        <w:bidi w:val="0"/>
        <w:spacing w:before="0" w:after="0" w:line="313" w:lineRule="exact"/>
        <w:ind w:left="0" w:right="0" w:firstLine="520"/>
        <w:jc w:val="both"/>
      </w:pPr>
      <w:bookmarkStart w:id="1108" w:name="bookmark1108"/>
      <w:bookmarkEnd w:id="1108"/>
      <w:r>
        <w:rPr>
          <w:color w:val="000000"/>
          <w:spacing w:val="0"/>
          <w:w w:val="100"/>
          <w:position w:val="0"/>
        </w:rPr>
        <w:t>客户已接受该商品。</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）具体方法</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本公司收入确认的具体方法如下：</w:t>
      </w:r>
    </w:p>
    <w:p>
      <w:pPr>
        <w:pStyle w:val="Style26"/>
        <w:keepNext w:val="0"/>
        <w:keepLines w:val="0"/>
        <w:widowControl w:val="0"/>
        <w:numPr>
          <w:ilvl w:val="0"/>
          <w:numId w:val="115"/>
        </w:numPr>
        <w:shd w:val="clear" w:color="auto" w:fill="auto"/>
        <w:tabs>
          <w:tab w:pos="893" w:val="left"/>
        </w:tabs>
        <w:bidi w:val="0"/>
        <w:spacing w:before="0" w:after="0" w:line="313" w:lineRule="exact"/>
        <w:ind w:left="0" w:right="0" w:firstLine="520"/>
        <w:jc w:val="left"/>
      </w:pPr>
      <w:bookmarkStart w:id="1109" w:name="bookmark1109"/>
      <w:bookmarkEnd w:id="1109"/>
      <w:r>
        <w:rPr>
          <w:color w:val="000000"/>
          <w:spacing w:val="0"/>
          <w:w w:val="100"/>
          <w:position w:val="0"/>
        </w:rPr>
        <w:t>软件定制业务</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本公司与客户之间签订的软件定制类销售合同，基于合同条款及适用于合同的法律规定，定制软件可在某一时段确认 收入或在某一时点确认收入。仅当本公司在履约过程中所产出的商品具有不可替代用途，且本公司在整个合同期间内有权就 累计至今已完成的履约部分收取款项的情况下，按照合同期间已完成履约义务的进度在一段时间内确认收入，已完成履约义 务的进度按照为完成履约义务而实际发生的合同成本占合同预计总成本的比例确定。否则，于某一时点确认收入。</w:t>
      </w:r>
    </w:p>
    <w:p>
      <w:pPr>
        <w:pStyle w:val="Style26"/>
        <w:keepNext w:val="0"/>
        <w:keepLines w:val="0"/>
        <w:widowControl w:val="0"/>
        <w:numPr>
          <w:ilvl w:val="0"/>
          <w:numId w:val="115"/>
        </w:numPr>
        <w:shd w:val="clear" w:color="auto" w:fill="auto"/>
        <w:tabs>
          <w:tab w:pos="893" w:val="left"/>
        </w:tabs>
        <w:bidi w:val="0"/>
        <w:spacing w:before="0" w:after="0" w:line="313" w:lineRule="exact"/>
        <w:ind w:left="0" w:right="0" w:firstLine="520"/>
        <w:jc w:val="both"/>
      </w:pPr>
      <w:bookmarkStart w:id="1110" w:name="bookmark1110"/>
      <w:bookmarkEnd w:id="1110"/>
      <w:r>
        <w:rPr>
          <w:color w:val="000000"/>
          <w:spacing w:val="0"/>
          <w:w w:val="100"/>
          <w:position w:val="0"/>
        </w:rPr>
        <w:t>技术服务业务</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本公司与客户之间签订的技术服务类销售合同，由于本公司履约过程中所提供的服务具有不可替代用途，且本公司在 整个合同期间内有权就累计至今已完成的履约部分收入款项，因此将其作为在某一时段内履行的履约义务，在服务提供期间 内，根据与客户结算的服务确认收入。</w:t>
      </w:r>
    </w:p>
    <w:p>
      <w:pPr>
        <w:pStyle w:val="Style26"/>
        <w:keepNext w:val="0"/>
        <w:keepLines w:val="0"/>
        <w:widowControl w:val="0"/>
        <w:numPr>
          <w:ilvl w:val="0"/>
          <w:numId w:val="115"/>
        </w:numPr>
        <w:shd w:val="clear" w:color="auto" w:fill="auto"/>
        <w:tabs>
          <w:tab w:pos="893" w:val="left"/>
        </w:tabs>
        <w:bidi w:val="0"/>
        <w:spacing w:before="0" w:after="0" w:line="313" w:lineRule="exact"/>
        <w:ind w:left="0" w:right="0" w:firstLine="520"/>
        <w:jc w:val="both"/>
      </w:pPr>
      <w:bookmarkStart w:id="1111" w:name="bookmark1111"/>
      <w:bookmarkEnd w:id="1111"/>
      <w:r>
        <w:rPr>
          <w:color w:val="000000"/>
          <w:spacing w:val="0"/>
          <w:w w:val="100"/>
          <w:position w:val="0"/>
        </w:rPr>
        <w:t>自主软件产品销售业务</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本公司与客户之间签订的自主软件产品类销售合同，属于某一时点履行的履约义务，本公司将产品交付给客户且客户 已接受该产品后确认收入。</w:t>
      </w:r>
    </w:p>
    <w:p>
      <w:pPr>
        <w:pStyle w:val="Style26"/>
        <w:keepNext w:val="0"/>
        <w:keepLines w:val="0"/>
        <w:widowControl w:val="0"/>
        <w:numPr>
          <w:ilvl w:val="0"/>
          <w:numId w:val="115"/>
        </w:numPr>
        <w:shd w:val="clear" w:color="auto" w:fill="auto"/>
        <w:tabs>
          <w:tab w:pos="893" w:val="left"/>
        </w:tabs>
        <w:bidi w:val="0"/>
        <w:spacing w:before="0" w:after="0" w:line="313" w:lineRule="exact"/>
        <w:ind w:left="0" w:right="0" w:firstLine="520"/>
        <w:jc w:val="both"/>
      </w:pPr>
      <w:bookmarkStart w:id="1112" w:name="bookmark1112"/>
      <w:bookmarkEnd w:id="1112"/>
      <w:r>
        <w:rPr>
          <w:color w:val="000000"/>
          <w:spacing w:val="0"/>
          <w:w w:val="100"/>
          <w:position w:val="0"/>
        </w:rPr>
        <w:t>外购产品销售业务</w:t>
      </w:r>
    </w:p>
    <w:p>
      <w:pPr>
        <w:pStyle w:val="Style26"/>
        <w:keepNext w:val="0"/>
        <w:keepLines w:val="0"/>
        <w:widowControl w:val="0"/>
        <w:shd w:val="clear" w:color="auto" w:fill="auto"/>
        <w:bidi w:val="0"/>
        <w:spacing w:before="0" w:after="400" w:line="313" w:lineRule="exact"/>
        <w:ind w:left="0" w:right="0" w:firstLine="520"/>
        <w:jc w:val="both"/>
      </w:pPr>
      <w:r>
        <w:rPr>
          <w:color w:val="000000"/>
          <w:spacing w:val="0"/>
          <w:w w:val="100"/>
          <w:position w:val="0"/>
        </w:rPr>
        <w:t>本公司与客户之间签订的外购产品类销售合同，属于某一时点履行的履约义务，合同约定需要安装的产品，需安装完 成并经客户验收后确认收入，合同约定不需要安装的产品，以产品交付并经客户验收后确认收入。</w:t>
      </w:r>
    </w:p>
    <w:p>
      <w:pPr>
        <w:pStyle w:val="Style30"/>
        <w:keepNext/>
        <w:keepLines/>
        <w:widowControl w:val="0"/>
        <w:shd w:val="clear" w:color="auto" w:fill="auto"/>
        <w:bidi w:val="0"/>
        <w:spacing w:before="0" w:after="2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4</w:t>
      </w:r>
      <w:bookmarkEnd w:id="111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13"/>
      <w:bookmarkEnd w:id="1114"/>
      <w:bookmarkEnd w:id="1116"/>
    </w:p>
    <w:p>
      <w:pPr>
        <w:pStyle w:val="Style26"/>
        <w:keepNext w:val="0"/>
        <w:keepLines w:val="0"/>
        <w:widowControl w:val="0"/>
        <w:shd w:val="clear" w:color="auto" w:fill="auto"/>
        <w:tabs>
          <w:tab w:pos="965" w:val="left"/>
        </w:tabs>
        <w:bidi w:val="0"/>
        <w:spacing w:before="0" w:after="0" w:line="312" w:lineRule="exact"/>
        <w:ind w:left="0" w:right="0" w:firstLine="520"/>
        <w:jc w:val="both"/>
      </w:pPr>
      <w:bookmarkStart w:id="1117" w:name="bookmark1117"/>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w:t>
        <w:tab/>
        <w:t>政府补助的确认</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政府补助同时满足下列条件的，才能予以确认：</w:t>
      </w:r>
    </w:p>
    <w:p>
      <w:pPr>
        <w:pStyle w:val="Style26"/>
        <w:keepNext w:val="0"/>
        <w:keepLines w:val="0"/>
        <w:widowControl w:val="0"/>
        <w:numPr>
          <w:ilvl w:val="0"/>
          <w:numId w:val="117"/>
        </w:numPr>
        <w:shd w:val="clear" w:color="auto" w:fill="auto"/>
        <w:tabs>
          <w:tab w:pos="893" w:val="left"/>
        </w:tabs>
        <w:bidi w:val="0"/>
        <w:spacing w:before="0" w:after="0" w:line="312" w:lineRule="exact"/>
        <w:ind w:left="0" w:right="0" w:firstLine="520"/>
        <w:jc w:val="both"/>
      </w:pPr>
      <w:bookmarkStart w:id="1118" w:name="bookmark1118"/>
      <w:bookmarkEnd w:id="1118"/>
      <w:r>
        <w:rPr>
          <w:color w:val="000000"/>
          <w:spacing w:val="0"/>
          <w:w w:val="100"/>
          <w:position w:val="0"/>
        </w:rPr>
        <w:t>本公司能够满足政府补助所附条件；</w:t>
      </w:r>
    </w:p>
    <w:p>
      <w:pPr>
        <w:pStyle w:val="Style26"/>
        <w:keepNext w:val="0"/>
        <w:keepLines w:val="0"/>
        <w:widowControl w:val="0"/>
        <w:numPr>
          <w:ilvl w:val="0"/>
          <w:numId w:val="117"/>
        </w:numPr>
        <w:shd w:val="clear" w:color="auto" w:fill="auto"/>
        <w:tabs>
          <w:tab w:pos="893" w:val="left"/>
        </w:tabs>
        <w:bidi w:val="0"/>
        <w:spacing w:before="0" w:after="0" w:line="312" w:lineRule="exact"/>
        <w:ind w:left="0" w:right="0" w:firstLine="520"/>
        <w:jc w:val="both"/>
      </w:pPr>
      <w:bookmarkStart w:id="1119" w:name="bookmark1119"/>
      <w:bookmarkEnd w:id="1119"/>
      <w:r>
        <w:rPr>
          <w:color w:val="000000"/>
          <w:spacing w:val="0"/>
          <w:w w:val="100"/>
          <w:position w:val="0"/>
        </w:rPr>
        <w:t>本公司能够收到政府补助。</w:t>
      </w:r>
    </w:p>
    <w:p>
      <w:pPr>
        <w:pStyle w:val="Style26"/>
        <w:keepNext w:val="0"/>
        <w:keepLines w:val="0"/>
        <w:widowControl w:val="0"/>
        <w:shd w:val="clear" w:color="auto" w:fill="auto"/>
        <w:tabs>
          <w:tab w:pos="965" w:val="left"/>
        </w:tabs>
        <w:bidi w:val="0"/>
        <w:spacing w:before="0" w:after="0" w:line="312" w:lineRule="exact"/>
        <w:ind w:left="0" w:right="0" w:firstLine="520"/>
        <w:jc w:val="both"/>
      </w:pPr>
      <w:bookmarkStart w:id="1120" w:name="bookmark1120"/>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w:t>
        <w:tab/>
        <w:t>政府补助的计量</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政府补助为货币性资产的，按照收到或应收的金额计量。政府补助为非货币性资产的，按照公允价值计量；公允价值 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26"/>
        <w:keepNext w:val="0"/>
        <w:keepLines w:val="0"/>
        <w:widowControl w:val="0"/>
        <w:shd w:val="clear" w:color="auto" w:fill="auto"/>
        <w:tabs>
          <w:tab w:pos="965" w:val="left"/>
        </w:tabs>
        <w:bidi w:val="0"/>
        <w:spacing w:before="0" w:after="0" w:line="312" w:lineRule="exact"/>
        <w:ind w:left="0" w:right="0" w:firstLine="520"/>
        <w:jc w:val="both"/>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3</w:t>
      </w:r>
      <w:r>
        <w:rPr>
          <w:color w:val="000000"/>
          <w:spacing w:val="0"/>
          <w:w w:val="100"/>
          <w:position w:val="0"/>
        </w:rPr>
        <w:t>）</w:t>
        <w:tab/>
        <w:t>政府补助的会计处理</w:t>
      </w:r>
    </w:p>
    <w:p>
      <w:pPr>
        <w:pStyle w:val="Style26"/>
        <w:keepNext w:val="0"/>
        <w:keepLines w:val="0"/>
        <w:widowControl w:val="0"/>
        <w:numPr>
          <w:ilvl w:val="0"/>
          <w:numId w:val="119"/>
        </w:numPr>
        <w:shd w:val="clear" w:color="auto" w:fill="auto"/>
        <w:tabs>
          <w:tab w:pos="893" w:val="left"/>
        </w:tabs>
        <w:bidi w:val="0"/>
        <w:spacing w:before="0" w:after="0" w:line="310" w:lineRule="exact"/>
        <w:ind w:left="0" w:right="0" w:firstLine="520"/>
        <w:jc w:val="both"/>
      </w:pPr>
      <w:bookmarkStart w:id="1122" w:name="bookmark1122"/>
      <w:bookmarkEnd w:id="1122"/>
      <w:r>
        <w:rPr>
          <w:color w:val="000000"/>
          <w:spacing w:val="0"/>
          <w:w w:val="100"/>
          <w:position w:val="0"/>
        </w:rPr>
        <w:t>与资产相关的政府补助</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公司取得的、用于购建或以其他方式形成长期资产的政府补助划分为与资产相关的政府补助。与资产相关的政府补助 确认为递延收益，在相关资产使用期限内按照合理、系统的方法分期计入损益。按照名义金额计量的政府补助，直接计入当 期损益。相关资产在使用寿命结束前被出售、转让、报废或发生毁损的，将尚未分配的相关递延收益余额转入资产处置当期 的损益。</w:t>
      </w:r>
    </w:p>
    <w:p>
      <w:pPr>
        <w:pStyle w:val="Style26"/>
        <w:keepNext w:val="0"/>
        <w:keepLines w:val="0"/>
        <w:widowControl w:val="0"/>
        <w:numPr>
          <w:ilvl w:val="0"/>
          <w:numId w:val="119"/>
        </w:numPr>
        <w:shd w:val="clear" w:color="auto" w:fill="auto"/>
        <w:tabs>
          <w:tab w:pos="893" w:val="left"/>
        </w:tabs>
        <w:bidi w:val="0"/>
        <w:spacing w:before="0" w:after="0" w:line="310" w:lineRule="exact"/>
        <w:ind w:left="0" w:right="0" w:firstLine="520"/>
        <w:jc w:val="both"/>
      </w:pPr>
      <w:bookmarkStart w:id="1123" w:name="bookmark1123"/>
      <w:bookmarkEnd w:id="1123"/>
      <w:r>
        <w:rPr>
          <w:color w:val="000000"/>
          <w:spacing w:val="0"/>
          <w:w w:val="100"/>
          <w:position w:val="0"/>
        </w:rPr>
        <w:t>与收益相关的政府补助</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除与资产相关的政府补助之外的政府补助划分为与收益相关的政府补助。与收益相关的政府补助，分情况按照以下规</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定进行会计处理：</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用于补偿本公司以后期间的相关成本费用或损失的，确认为递延收益，并在确认相关成本费用或损失的期间，计入当 期损益；</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用于补偿本公司已发生的相关成本费用或损失的，直接计入当期损益。</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对于同时包含与资产相关部分和与收益相关部分的政府补助，区分不同部分分别进行会计处理；难以区分的，整体归 类为与收益相关的政府补助。</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与本公司日常活动相关的政府补助，按照经济业务实质，计入其他收益。与本公司日常活动无关的政府补助，计入营 业外收支。</w:t>
      </w:r>
    </w:p>
    <w:p>
      <w:pPr>
        <w:pStyle w:val="Style26"/>
        <w:keepNext w:val="0"/>
        <w:keepLines w:val="0"/>
        <w:widowControl w:val="0"/>
        <w:numPr>
          <w:ilvl w:val="0"/>
          <w:numId w:val="119"/>
        </w:numPr>
        <w:shd w:val="clear" w:color="auto" w:fill="auto"/>
        <w:tabs>
          <w:tab w:pos="893" w:val="left"/>
        </w:tabs>
        <w:bidi w:val="0"/>
        <w:spacing w:before="0" w:after="0" w:line="314" w:lineRule="exact"/>
        <w:ind w:left="0" w:right="0" w:firstLine="520"/>
        <w:jc w:val="both"/>
      </w:pPr>
      <w:bookmarkStart w:id="1124" w:name="bookmark1124"/>
      <w:bookmarkEnd w:id="1124"/>
      <w:r>
        <w:rPr>
          <w:color w:val="000000"/>
          <w:spacing w:val="0"/>
          <w:w w:val="100"/>
          <w:position w:val="0"/>
        </w:rPr>
        <w:t>政策性优惠贷款贴息</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财政将贴息资金拨付给贷款银行，由贷款银行以政策性优惠利率向本公司提供贷款的，以实际收到的借款金额作为借 款的入账价值，按照借款本金和该政策性优惠利率计算相关借款费用。</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财政将贴息资金直接拨付给本公司，本公司将对应的贴息冲减相关借款费用。</w:t>
      </w:r>
    </w:p>
    <w:p>
      <w:pPr>
        <w:pStyle w:val="Style26"/>
        <w:keepNext w:val="0"/>
        <w:keepLines w:val="0"/>
        <w:widowControl w:val="0"/>
        <w:numPr>
          <w:ilvl w:val="0"/>
          <w:numId w:val="119"/>
        </w:numPr>
        <w:shd w:val="clear" w:color="auto" w:fill="auto"/>
        <w:tabs>
          <w:tab w:pos="893" w:val="left"/>
        </w:tabs>
        <w:bidi w:val="0"/>
        <w:spacing w:before="0" w:after="0" w:line="314" w:lineRule="exact"/>
        <w:ind w:left="0" w:right="0" w:firstLine="520"/>
        <w:jc w:val="both"/>
      </w:pPr>
      <w:bookmarkStart w:id="1125" w:name="bookmark1125"/>
      <w:bookmarkEnd w:id="1125"/>
      <w:r>
        <w:rPr>
          <w:color w:val="000000"/>
          <w:spacing w:val="0"/>
          <w:w w:val="100"/>
          <w:position w:val="0"/>
        </w:rPr>
        <w:t>政府补助退回</w:t>
      </w:r>
    </w:p>
    <w:p>
      <w:pPr>
        <w:pStyle w:val="Style26"/>
        <w:keepNext w:val="0"/>
        <w:keepLines w:val="0"/>
        <w:widowControl w:val="0"/>
        <w:shd w:val="clear" w:color="auto" w:fill="auto"/>
        <w:bidi w:val="0"/>
        <w:spacing w:before="0" w:after="400" w:line="314" w:lineRule="exact"/>
        <w:ind w:left="0" w:right="0" w:firstLine="52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0"/>
        <w:keepNext/>
        <w:keepLines/>
        <w:widowControl w:val="0"/>
        <w:shd w:val="clear" w:color="auto" w:fill="auto"/>
        <w:bidi w:val="0"/>
        <w:spacing w:before="0" w:after="2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4</w:t>
      </w:r>
      <w:bookmarkEnd w:id="112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6"/>
      <w:bookmarkEnd w:id="1127"/>
      <w:bookmarkEnd w:id="1129"/>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本公司通常根据资产与负债在资产负债表日的账面价值与计税基础之间的暂时性差异，采用资产负债表债务法将应纳 税暂时性差异或可抵扣暂时性差异对所得税的影响额确认和计量为递延所得税负债或递延所得税资产。本公司不对递延所得 税资产和递延所得税负债进行折现。</w:t>
      </w:r>
    </w:p>
    <w:p>
      <w:pPr>
        <w:pStyle w:val="Style26"/>
        <w:keepNext w:val="0"/>
        <w:keepLines w:val="0"/>
        <w:widowControl w:val="0"/>
        <w:shd w:val="clear" w:color="auto" w:fill="auto"/>
        <w:tabs>
          <w:tab w:pos="965" w:val="left"/>
        </w:tabs>
        <w:bidi w:val="0"/>
        <w:spacing w:before="0" w:after="0" w:line="310" w:lineRule="exact"/>
        <w:ind w:left="0" w:right="0" w:firstLine="520"/>
        <w:jc w:val="both"/>
      </w:pPr>
      <w:bookmarkStart w:id="1130" w:name="bookmark1130"/>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递延所得税资产的确认</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对于可抵扣暂时性差异、能够结转以后年度的可抵扣亏损和税款抵减，其对所得税的影响额按预计转回期间的所得税 税率计算，并将该影响额确认为递延所得税资产，但是以本公司很可能取得用来抵扣可抵扣暂时性差异、可抵扣亏损和税款 抵减的未来应纳税所得额为限。</w:t>
      </w:r>
    </w:p>
    <w:p>
      <w:pPr>
        <w:pStyle w:val="Style26"/>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同时具有下列特征的交易或事项中因资产或负债的初始确认所产生的可抵扣暂时性差异对所得税的影响额不确认为 递延所得税资产：</w:t>
      </w:r>
    </w:p>
    <w:p>
      <w:pPr>
        <w:pStyle w:val="Style26"/>
        <w:keepNext w:val="0"/>
        <w:keepLines w:val="0"/>
        <w:widowControl w:val="0"/>
        <w:numPr>
          <w:ilvl w:val="0"/>
          <w:numId w:val="121"/>
        </w:numPr>
        <w:shd w:val="clear" w:color="auto" w:fill="auto"/>
        <w:tabs>
          <w:tab w:pos="883" w:val="left"/>
        </w:tabs>
        <w:bidi w:val="0"/>
        <w:spacing w:before="0" w:after="0"/>
        <w:ind w:left="0" w:right="0" w:firstLine="520"/>
        <w:jc w:val="both"/>
      </w:pPr>
      <w:bookmarkStart w:id="1131" w:name="bookmark1131"/>
      <w:bookmarkEnd w:id="1131"/>
      <w:r>
        <w:rPr>
          <w:color w:val="000000"/>
          <w:spacing w:val="0"/>
          <w:w w:val="100"/>
          <w:position w:val="0"/>
        </w:rPr>
        <w:t>该项交易不是企业合并；</w:t>
      </w:r>
    </w:p>
    <w:p>
      <w:pPr>
        <w:pStyle w:val="Style26"/>
        <w:keepNext w:val="0"/>
        <w:keepLines w:val="0"/>
        <w:widowControl w:val="0"/>
        <w:numPr>
          <w:ilvl w:val="0"/>
          <w:numId w:val="121"/>
        </w:numPr>
        <w:shd w:val="clear" w:color="auto" w:fill="auto"/>
        <w:tabs>
          <w:tab w:pos="883" w:val="left"/>
        </w:tabs>
        <w:bidi w:val="0"/>
        <w:spacing w:before="0" w:after="0"/>
        <w:ind w:left="0" w:right="0" w:firstLine="520"/>
        <w:jc w:val="both"/>
      </w:pPr>
      <w:bookmarkStart w:id="1132" w:name="bookmark1132"/>
      <w:bookmarkEnd w:id="1132"/>
      <w:r>
        <w:rPr>
          <w:color w:val="000000"/>
          <w:spacing w:val="0"/>
          <w:w w:val="100"/>
          <w:position w:val="0"/>
        </w:rPr>
        <w:t>交易发生时既不影响会计利润也不影响应纳税所得额（或可抵扣亏损）。</w:t>
      </w:r>
    </w:p>
    <w:p>
      <w:pPr>
        <w:pStyle w:val="Style26"/>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本公司对与子公司、联营公司及合营企业投资相关的可抵扣暂时性差异，同时满足下列两项条件的，其对所得税的影 响额（才能）确认为递延所得税资产：</w:t>
      </w:r>
    </w:p>
    <w:p>
      <w:pPr>
        <w:pStyle w:val="Style26"/>
        <w:keepNext w:val="0"/>
        <w:keepLines w:val="0"/>
        <w:widowControl w:val="0"/>
        <w:numPr>
          <w:ilvl w:val="0"/>
          <w:numId w:val="123"/>
        </w:numPr>
        <w:shd w:val="clear" w:color="auto" w:fill="auto"/>
        <w:tabs>
          <w:tab w:pos="883" w:val="left"/>
        </w:tabs>
        <w:bidi w:val="0"/>
        <w:spacing w:before="0" w:after="0"/>
        <w:ind w:left="0" w:right="0" w:firstLine="520"/>
        <w:jc w:val="both"/>
      </w:pPr>
      <w:bookmarkStart w:id="1133" w:name="bookmark1133"/>
      <w:bookmarkEnd w:id="1133"/>
      <w:r>
        <w:rPr>
          <w:color w:val="000000"/>
          <w:spacing w:val="0"/>
          <w:w w:val="100"/>
          <w:position w:val="0"/>
        </w:rPr>
        <w:t>暂时性差异在可预见的未来很可能转回；</w:t>
      </w:r>
    </w:p>
    <w:p>
      <w:pPr>
        <w:pStyle w:val="Style26"/>
        <w:keepNext w:val="0"/>
        <w:keepLines w:val="0"/>
        <w:widowControl w:val="0"/>
        <w:numPr>
          <w:ilvl w:val="0"/>
          <w:numId w:val="123"/>
        </w:numPr>
        <w:shd w:val="clear" w:color="auto" w:fill="auto"/>
        <w:tabs>
          <w:tab w:pos="883" w:val="left"/>
        </w:tabs>
        <w:bidi w:val="0"/>
        <w:spacing w:before="0" w:after="0"/>
        <w:ind w:left="0" w:right="0" w:firstLine="520"/>
        <w:jc w:val="both"/>
      </w:pPr>
      <w:bookmarkStart w:id="1134" w:name="bookmark1134"/>
      <w:bookmarkEnd w:id="1134"/>
      <w:r>
        <w:rPr>
          <w:color w:val="000000"/>
          <w:spacing w:val="0"/>
          <w:w w:val="100"/>
          <w:position w:val="0"/>
        </w:rPr>
        <w:t>未来很可能获得用来抵扣可抵扣暂时性差异的应纳税所得额；</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资产负债表日，有确凿证据表明未来期间很可能获得足够的应纳税所得额用来抵扣可抵扣暂时性差异的，确认以前期 间未确认的递延所得税资产。</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在资产负债表日，本公司对递延所得税资产的账面价值进行复核。如果未来期间很可能无法获得足够的应纳税所得额 用以抵扣递延所得税资产的利益，减记递延所得税资产的账面价值。在很可能获得足够的应纳税所得额时，减记的金额予以 转回。</w:t>
      </w:r>
    </w:p>
    <w:p>
      <w:pPr>
        <w:pStyle w:val="Style26"/>
        <w:keepNext w:val="0"/>
        <w:keepLines w:val="0"/>
        <w:widowControl w:val="0"/>
        <w:shd w:val="clear" w:color="auto" w:fill="auto"/>
        <w:tabs>
          <w:tab w:pos="965" w:val="left"/>
        </w:tabs>
        <w:bidi w:val="0"/>
        <w:spacing w:before="0" w:after="0" w:line="310" w:lineRule="exact"/>
        <w:ind w:left="0" w:right="0" w:firstLine="52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w:t>
      </w:r>
    </w:p>
    <w:p>
      <w:pPr>
        <w:pStyle w:val="Style26"/>
        <w:keepNext w:val="0"/>
        <w:keepLines w:val="0"/>
        <w:widowControl w:val="0"/>
        <w:shd w:val="clear" w:color="auto" w:fill="auto"/>
        <w:bidi w:val="0"/>
        <w:spacing w:before="0" w:after="0" w:line="310" w:lineRule="exact"/>
        <w:ind w:left="0" w:right="0" w:firstLine="520"/>
        <w:jc w:val="both"/>
      </w:pPr>
      <w:r>
        <w:rPr>
          <w:color w:val="000000"/>
          <w:spacing w:val="0"/>
          <w:w w:val="100"/>
          <w:position w:val="0"/>
        </w:rPr>
        <w:t>本公司所有应纳税暂时性差异均按预计转回期间的所得税税率计量对所得税的影响，并将该影响额确认为递延所得税 负债，但下列情况的除外：</w:t>
      </w:r>
    </w:p>
    <w:p>
      <w:pPr>
        <w:pStyle w:val="Style26"/>
        <w:keepNext w:val="0"/>
        <w:keepLines w:val="0"/>
        <w:widowControl w:val="0"/>
        <w:shd w:val="clear" w:color="auto" w:fill="auto"/>
        <w:bidi w:val="0"/>
        <w:spacing w:before="0" w:after="100" w:line="310" w:lineRule="exact"/>
        <w:ind w:left="0" w:right="0" w:firstLine="520"/>
        <w:jc w:val="both"/>
      </w:pPr>
      <w:r>
        <w:rPr>
          <w:color w:val="000000"/>
          <w:spacing w:val="0"/>
          <w:w w:val="100"/>
          <w:position w:val="0"/>
        </w:rPr>
        <w:t>①因下列交易或事项中产生的应纳税暂时性差异对所得税的影响不确认为递延所得税负债：</w:t>
      </w:r>
    </w:p>
    <w:p>
      <w:pPr>
        <w:pStyle w:val="Style26"/>
        <w:keepNext w:val="0"/>
        <w:keepLines w:val="0"/>
        <w:widowControl w:val="0"/>
        <w:numPr>
          <w:ilvl w:val="0"/>
          <w:numId w:val="125"/>
        </w:numPr>
        <w:shd w:val="clear" w:color="auto" w:fill="auto"/>
        <w:tabs>
          <w:tab w:pos="883" w:val="left"/>
        </w:tabs>
        <w:bidi w:val="0"/>
        <w:spacing w:before="0" w:after="0"/>
        <w:ind w:left="0" w:right="0" w:firstLine="520"/>
        <w:jc w:val="both"/>
      </w:pPr>
      <w:bookmarkStart w:id="1136" w:name="bookmark1136"/>
      <w:bookmarkEnd w:id="1136"/>
      <w:r>
        <w:rPr>
          <w:color w:val="000000"/>
          <w:spacing w:val="0"/>
          <w:w w:val="100"/>
          <w:position w:val="0"/>
        </w:rPr>
        <w:t>商誉的初始确认；</w:t>
      </w:r>
    </w:p>
    <w:p>
      <w:pPr>
        <w:pStyle w:val="Style26"/>
        <w:keepNext w:val="0"/>
        <w:keepLines w:val="0"/>
        <w:widowControl w:val="0"/>
        <w:numPr>
          <w:ilvl w:val="0"/>
          <w:numId w:val="125"/>
        </w:numPr>
        <w:shd w:val="clear" w:color="auto" w:fill="auto"/>
        <w:tabs>
          <w:tab w:pos="363" w:val="left"/>
        </w:tabs>
        <w:bidi w:val="0"/>
        <w:spacing w:before="0" w:after="0"/>
        <w:ind w:left="0" w:right="0" w:firstLine="520"/>
        <w:jc w:val="both"/>
      </w:pPr>
      <w:bookmarkStart w:id="1137" w:name="bookmark1137"/>
      <w:bookmarkEnd w:id="1137"/>
      <w:r>
        <w:rPr>
          <w:color w:val="000000"/>
          <w:spacing w:val="0"/>
          <w:w w:val="100"/>
          <w:position w:val="0"/>
        </w:rPr>
        <w:t xml:space="preserve">具有以下特征的交易中产生的资产或负债的初始确认：该交易不是企业合并，并且交易发生时既不影响会计利润也 </w:t>
      </w:r>
      <w:r>
        <w:rPr>
          <w:color w:val="000000"/>
          <w:spacing w:val="0"/>
          <w:w w:val="100"/>
          <w:position w:val="0"/>
        </w:rPr>
        <w:t>不影响应纳税所得额或可抵扣亏损。</w:t>
      </w:r>
    </w:p>
    <w:p>
      <w:pPr>
        <w:pStyle w:val="Style26"/>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②本公司对与子公司、合营企业及联营企业投资相关的应纳税暂时性差异，其对所得税的影响额一般确认为递延所得 税负债，但同时满足以下两项条件的除外：</w:t>
      </w:r>
    </w:p>
    <w:p>
      <w:pPr>
        <w:pStyle w:val="Style26"/>
        <w:keepNext w:val="0"/>
        <w:keepLines w:val="0"/>
        <w:widowControl w:val="0"/>
        <w:numPr>
          <w:ilvl w:val="0"/>
          <w:numId w:val="127"/>
        </w:numPr>
        <w:shd w:val="clear" w:color="auto" w:fill="auto"/>
        <w:tabs>
          <w:tab w:pos="861" w:val="left"/>
        </w:tabs>
        <w:bidi w:val="0"/>
        <w:spacing w:before="0" w:after="0"/>
        <w:ind w:left="0" w:right="0" w:firstLine="520"/>
        <w:jc w:val="both"/>
      </w:pPr>
      <w:bookmarkStart w:id="1138" w:name="bookmark1138"/>
      <w:bookmarkEnd w:id="1138"/>
      <w:r>
        <w:rPr>
          <w:color w:val="000000"/>
          <w:spacing w:val="0"/>
          <w:w w:val="100"/>
          <w:position w:val="0"/>
        </w:rPr>
        <w:t>本公司能够控制暂时性差异转回的时间；</w:t>
      </w:r>
    </w:p>
    <w:p>
      <w:pPr>
        <w:pStyle w:val="Style26"/>
        <w:keepNext w:val="0"/>
        <w:keepLines w:val="0"/>
        <w:widowControl w:val="0"/>
        <w:numPr>
          <w:ilvl w:val="0"/>
          <w:numId w:val="127"/>
        </w:numPr>
        <w:shd w:val="clear" w:color="auto" w:fill="auto"/>
        <w:tabs>
          <w:tab w:pos="861" w:val="left"/>
        </w:tabs>
        <w:bidi w:val="0"/>
        <w:spacing w:before="0" w:after="0"/>
        <w:ind w:left="0" w:right="0" w:firstLine="520"/>
        <w:jc w:val="both"/>
      </w:pPr>
      <w:bookmarkStart w:id="1139" w:name="bookmark1139"/>
      <w:bookmarkEnd w:id="1139"/>
      <w:r>
        <w:rPr>
          <w:color w:val="000000"/>
          <w:spacing w:val="0"/>
          <w:w w:val="100"/>
          <w:position w:val="0"/>
        </w:rPr>
        <w:t>该暂时性差异在可预见的未来很可能不会转回。</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）特定交易或事项所涉及的递延所得税负债或资产的确认</w:t>
      </w:r>
    </w:p>
    <w:p>
      <w:pPr>
        <w:pStyle w:val="Style26"/>
        <w:keepNext w:val="0"/>
        <w:keepLines w:val="0"/>
        <w:widowControl w:val="0"/>
        <w:numPr>
          <w:ilvl w:val="0"/>
          <w:numId w:val="129"/>
        </w:numPr>
        <w:shd w:val="clear" w:color="auto" w:fill="auto"/>
        <w:tabs>
          <w:tab w:pos="871" w:val="left"/>
        </w:tabs>
        <w:bidi w:val="0"/>
        <w:spacing w:before="0" w:after="0" w:line="314" w:lineRule="exact"/>
        <w:ind w:left="0" w:right="0" w:firstLine="520"/>
        <w:jc w:val="both"/>
      </w:pPr>
      <w:bookmarkStart w:id="1140" w:name="bookmark1140"/>
      <w:bookmarkEnd w:id="1140"/>
      <w:r>
        <w:rPr>
          <w:color w:val="000000"/>
          <w:spacing w:val="0"/>
          <w:w w:val="100"/>
          <w:position w:val="0"/>
        </w:rPr>
        <w:t>与企业合并相关的递延所得税负债或资产</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6"/>
        <w:keepNext w:val="0"/>
        <w:keepLines w:val="0"/>
        <w:widowControl w:val="0"/>
        <w:numPr>
          <w:ilvl w:val="0"/>
          <w:numId w:val="129"/>
        </w:numPr>
        <w:shd w:val="clear" w:color="auto" w:fill="auto"/>
        <w:tabs>
          <w:tab w:pos="871" w:val="left"/>
        </w:tabs>
        <w:bidi w:val="0"/>
        <w:spacing w:before="0" w:after="0" w:line="314" w:lineRule="exact"/>
        <w:ind w:left="0" w:right="0" w:firstLine="520"/>
        <w:jc w:val="both"/>
      </w:pPr>
      <w:bookmarkStart w:id="1141" w:name="bookmark1141"/>
      <w:bookmarkEnd w:id="1141"/>
      <w:r>
        <w:rPr>
          <w:color w:val="000000"/>
          <w:spacing w:val="0"/>
          <w:w w:val="100"/>
          <w:position w:val="0"/>
        </w:rPr>
        <w:t>直接计入所有者权益的项目</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与直接计入所有者权益的交易或者事项相关的当期所得税和递延所得税，计入所有者权益。暂时性差异对所得税的影 响计入所有者权益的交易或事项包括：其他债权投资公允价值变动等形成的其他综合收益、会计政策变更采用追溯调整法或 对前期（重要）会计差错更正差异追溯重述法调整期初留存收益、同时包含负债成份及权益成份的混合金融工具在初始确认 时计入所有者权益等。</w:t>
      </w:r>
    </w:p>
    <w:p>
      <w:pPr>
        <w:pStyle w:val="Style26"/>
        <w:keepNext w:val="0"/>
        <w:keepLines w:val="0"/>
        <w:widowControl w:val="0"/>
        <w:numPr>
          <w:ilvl w:val="0"/>
          <w:numId w:val="129"/>
        </w:numPr>
        <w:shd w:val="clear" w:color="auto" w:fill="auto"/>
        <w:tabs>
          <w:tab w:pos="871" w:val="left"/>
        </w:tabs>
        <w:bidi w:val="0"/>
        <w:spacing w:before="0" w:after="100" w:line="314" w:lineRule="exact"/>
        <w:ind w:left="0" w:right="0" w:firstLine="520"/>
        <w:jc w:val="both"/>
      </w:pPr>
      <w:bookmarkStart w:id="1142" w:name="bookmark1142"/>
      <w:bookmarkEnd w:id="1142"/>
      <w:r>
        <w:rPr>
          <w:color w:val="000000"/>
          <w:spacing w:val="0"/>
          <w:w w:val="100"/>
          <w:position w:val="0"/>
        </w:rPr>
        <w:t>可弥补亏损和税款抵减</w:t>
      </w:r>
    </w:p>
    <w:p>
      <w:pPr>
        <w:pStyle w:val="Style26"/>
        <w:keepNext w:val="0"/>
        <w:keepLines w:val="0"/>
        <w:widowControl w:val="0"/>
        <w:numPr>
          <w:ilvl w:val="0"/>
          <w:numId w:val="131"/>
        </w:numPr>
        <w:shd w:val="clear" w:color="auto" w:fill="auto"/>
        <w:tabs>
          <w:tab w:pos="861" w:val="left"/>
        </w:tabs>
        <w:bidi w:val="0"/>
        <w:spacing w:before="0" w:after="0"/>
        <w:ind w:left="0" w:right="0" w:firstLine="520"/>
        <w:jc w:val="both"/>
      </w:pPr>
      <w:bookmarkStart w:id="1143" w:name="bookmark1143"/>
      <w:bookmarkEnd w:id="1143"/>
      <w:r>
        <w:rPr>
          <w:color w:val="000000"/>
          <w:spacing w:val="0"/>
          <w:w w:val="100"/>
          <w:position w:val="0"/>
        </w:rPr>
        <w:t>本公司自身经营产生的可弥补亏损以及税款抵减</w:t>
      </w:r>
    </w:p>
    <w:p>
      <w:pPr>
        <w:pStyle w:val="Style26"/>
        <w:keepNext w:val="0"/>
        <w:keepLines w:val="0"/>
        <w:widowControl w:val="0"/>
        <w:shd w:val="clear" w:color="auto" w:fill="auto"/>
        <w:bidi w:val="0"/>
        <w:spacing w:before="0" w:after="100" w:line="314" w:lineRule="exact"/>
        <w:ind w:left="0" w:right="0" w:firstLine="520"/>
        <w:jc w:val="both"/>
      </w:pPr>
      <w:r>
        <w:rPr>
          <w:color w:val="000000"/>
          <w:spacing w:val="0"/>
          <w:w w:val="100"/>
          <w:position w:val="0"/>
        </w:rPr>
        <w:t>可抵扣亏损是指按照税法规定计算确定的准予用以后年度的应纳税所得额弥补的亏损。对于按照税法规定可以结转以 后年度的未弥补亏损（可抵扣亏损）和税款抵减，视同可抵扣暂时性差异处理。在预计可利用可弥补亏损或税款抵减的未来 期间内很可能取得足够的应纳税所得额时，以很可能取得的应纳税所得额为限，确认相应的递延所得税资产，同时减少当期 利润表中的所得税费用。</w:t>
      </w:r>
    </w:p>
    <w:p>
      <w:pPr>
        <w:pStyle w:val="Style26"/>
        <w:keepNext w:val="0"/>
        <w:keepLines w:val="0"/>
        <w:widowControl w:val="0"/>
        <w:numPr>
          <w:ilvl w:val="0"/>
          <w:numId w:val="131"/>
        </w:numPr>
        <w:shd w:val="clear" w:color="auto" w:fill="auto"/>
        <w:tabs>
          <w:tab w:pos="861" w:val="left"/>
        </w:tabs>
        <w:bidi w:val="0"/>
        <w:spacing w:before="0" w:after="0"/>
        <w:ind w:left="0" w:right="0" w:firstLine="520"/>
        <w:jc w:val="both"/>
      </w:pPr>
      <w:bookmarkStart w:id="1144" w:name="bookmark1144"/>
      <w:bookmarkEnd w:id="1144"/>
      <w:r>
        <w:rPr>
          <w:color w:val="000000"/>
          <w:spacing w:val="0"/>
          <w:w w:val="100"/>
          <w:position w:val="0"/>
        </w:rPr>
        <w:t>因企业合并而形成的可弥补的被合并企业的未弥补亏损</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在企业合并中，本公司取得被购买方的可抵扣暂时性差异，在购买日不符合递延所得税资产确认条件的，不予以确认。 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6"/>
        <w:keepNext w:val="0"/>
        <w:keepLines w:val="0"/>
        <w:widowControl w:val="0"/>
        <w:numPr>
          <w:ilvl w:val="0"/>
          <w:numId w:val="129"/>
        </w:numPr>
        <w:shd w:val="clear" w:color="auto" w:fill="auto"/>
        <w:tabs>
          <w:tab w:pos="871" w:val="left"/>
        </w:tabs>
        <w:bidi w:val="0"/>
        <w:spacing w:before="0" w:after="0" w:line="314" w:lineRule="exact"/>
        <w:ind w:left="0" w:right="0" w:firstLine="520"/>
        <w:jc w:val="both"/>
      </w:pPr>
      <w:bookmarkStart w:id="1145" w:name="bookmark1145"/>
      <w:bookmarkEnd w:id="1145"/>
      <w:r>
        <w:rPr>
          <w:color w:val="000000"/>
          <w:spacing w:val="0"/>
          <w:w w:val="100"/>
          <w:position w:val="0"/>
        </w:rPr>
        <w:t>合并抵销形成的暂时性差异</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本公司在编制合并财务报表时，因抵销未实现内部销售损益导致合并资产负债表中资产、负债的账面价值与其在所属 纳税主体的计税基础之间产生暂时性差异的，在合并资产负债表中确认递延所得税资产或递延所得税负债，同时调整合并利 润表中的所得税费用，但与直接计入所有者权益的交易或事项及企业合并相关的递延所得税除外。</w:t>
      </w:r>
    </w:p>
    <w:p>
      <w:pPr>
        <w:pStyle w:val="Style26"/>
        <w:keepNext w:val="0"/>
        <w:keepLines w:val="0"/>
        <w:widowControl w:val="0"/>
        <w:numPr>
          <w:ilvl w:val="0"/>
          <w:numId w:val="129"/>
        </w:numPr>
        <w:shd w:val="clear" w:color="auto" w:fill="auto"/>
        <w:tabs>
          <w:tab w:pos="871" w:val="left"/>
        </w:tabs>
        <w:bidi w:val="0"/>
        <w:spacing w:before="0" w:after="0" w:line="314" w:lineRule="exact"/>
        <w:ind w:left="0" w:right="0" w:firstLine="520"/>
        <w:jc w:val="both"/>
      </w:pPr>
      <w:bookmarkStart w:id="1146" w:name="bookmark1146"/>
      <w:bookmarkEnd w:id="1146"/>
      <w:r>
        <w:rPr>
          <w:color w:val="000000"/>
          <w:spacing w:val="0"/>
          <w:w w:val="100"/>
          <w:position w:val="0"/>
        </w:rPr>
        <w:t>以权益结算的股份支付</w:t>
      </w:r>
    </w:p>
    <w:p>
      <w:pPr>
        <w:pStyle w:val="Style26"/>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如果税法规定与股份支付相关的支出允许税前扣除，在按照会计准则规定确认成本费用的期间内，本公司根据会计期 末取得信息估计可税前扣除的金额计算确定其计税基础及由此产生的暂时性差异,符合确认条件的情况下确认相关的递延所 得税。其中预计未来期间可税前扣除的金额超过按照会计准则规定确认的与股份支付相关的成本费用，超过部分的所得税影 响应直接计入所有者权益。</w:t>
      </w:r>
    </w:p>
    <w:p>
      <w:pPr>
        <w:pStyle w:val="Style30"/>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4</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147"/>
      <w:bookmarkEnd w:id="1148"/>
      <w:bookmarkEnd w:id="1150"/>
    </w:p>
    <w:p>
      <w:pPr>
        <w:pStyle w:val="Style30"/>
        <w:keepNext/>
        <w:keepLines/>
        <w:widowControl w:val="0"/>
        <w:shd w:val="clear" w:color="auto" w:fill="auto"/>
        <w:bidi w:val="0"/>
        <w:spacing w:before="0" w:after="280" w:line="240" w:lineRule="auto"/>
        <w:ind w:left="0" w:right="0" w:firstLine="0"/>
        <w:jc w:val="left"/>
      </w:pPr>
      <w:bookmarkStart w:id="1147" w:name="bookmark1147"/>
      <w:bookmarkStart w:id="1148" w:name="bookmark1148"/>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7"/>
      <w:bookmarkEnd w:id="1148"/>
      <w:bookmarkEnd w:id="1152"/>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①本公司作为经营租赁承租人时，将经营租赁的租金支出，在租赁期内各个期间按照直线法或根据租赁资产的使用量 计入当期损益。出租人提供免租期的，本公司将租金总额在不扣除免租期的整个租赁期内，按直线法或其他合理的方法进行 分摊，免租期内确认租金费用及相应的负债。出租人承担了承租人某些费用的，本公司按该费用从租金费用总额中扣除后的 租金费用余额在租赁期内进行分摊。</w:t>
      </w:r>
    </w:p>
    <w:p>
      <w:pPr>
        <w:pStyle w:val="Style26"/>
        <w:keepNext w:val="0"/>
        <w:keepLines w:val="0"/>
        <w:widowControl w:val="0"/>
        <w:shd w:val="clear" w:color="auto" w:fill="auto"/>
        <w:bidi w:val="0"/>
        <w:spacing w:before="0" w:after="100" w:line="312" w:lineRule="exact"/>
        <w:ind w:left="0" w:right="0" w:firstLine="520"/>
        <w:jc w:val="left"/>
      </w:pPr>
      <w:r>
        <w:rPr>
          <w:color w:val="000000"/>
          <w:spacing w:val="0"/>
          <w:w w:val="100"/>
          <w:position w:val="0"/>
        </w:rPr>
        <w:t>初始直接费用，计入当期损益。如协议约定或有租金的在实际发生时计入当期损益。</w:t>
      </w:r>
    </w:p>
    <w:p>
      <w:pPr>
        <w:pStyle w:val="Style26"/>
        <w:keepNext w:val="0"/>
        <w:keepLines w:val="0"/>
        <w:widowControl w:val="0"/>
        <w:shd w:val="clear" w:color="auto" w:fill="auto"/>
        <w:bidi w:val="0"/>
        <w:spacing w:before="0" w:after="0" w:line="309" w:lineRule="exact"/>
        <w:ind w:left="0" w:right="0" w:firstLine="520"/>
        <w:jc w:val="both"/>
      </w:pPr>
      <w:r>
        <w:rPr>
          <w:color w:val="000000"/>
          <w:spacing w:val="0"/>
          <w:w w:val="100"/>
          <w:position w:val="0"/>
        </w:rPr>
        <w:t>②本公司作为经营租赁出租人时，采用直线法将收到的租金在租赁期内确认为收益。出租人提供免租期的，出租人将 租金总额在不扣除免租期的整个租赁期内，按直线法或其他合理的方法进行分配，免租期内出租人也确认租金收入。承担了 承租人某些费用的，本公司按该费用自租金收入总额中扣除后的租金收入余额在租赁期内进行分配。</w:t>
      </w:r>
    </w:p>
    <w:p>
      <w:pPr>
        <w:pStyle w:val="Style26"/>
        <w:keepNext w:val="0"/>
        <w:keepLines w:val="0"/>
        <w:widowControl w:val="0"/>
        <w:shd w:val="clear" w:color="auto" w:fill="auto"/>
        <w:bidi w:val="0"/>
        <w:spacing w:before="0" w:after="380" w:line="309" w:lineRule="exact"/>
        <w:ind w:left="0" w:right="0" w:firstLine="520"/>
        <w:jc w:val="both"/>
      </w:pPr>
      <w:r>
        <w:rPr>
          <w:color w:val="000000"/>
          <w:spacing w:val="0"/>
          <w:w w:val="100"/>
          <w:position w:val="0"/>
        </w:rPr>
        <w:t>初始直接费用，计入当期损益。金额较大的予以资本化，在整个经营租赁期内按照与确认租金收入相同的基础分期计 入当期损益。如协议约定或有租金的在实际发生时计入当期收益。</w:t>
      </w:r>
    </w:p>
    <w:p>
      <w:pPr>
        <w:pStyle w:val="Style30"/>
        <w:keepNext/>
        <w:keepLines/>
        <w:widowControl w:val="0"/>
        <w:shd w:val="clear" w:color="auto" w:fill="auto"/>
        <w:bidi w:val="0"/>
        <w:spacing w:before="0" w:after="28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53"/>
      <w:bookmarkEnd w:id="1154"/>
      <w:bookmarkEnd w:id="1156"/>
    </w:p>
    <w:p>
      <w:pPr>
        <w:pStyle w:val="Style26"/>
        <w:keepNext w:val="0"/>
        <w:keepLines w:val="0"/>
        <w:widowControl w:val="0"/>
        <w:numPr>
          <w:ilvl w:val="0"/>
          <w:numId w:val="133"/>
        </w:numPr>
        <w:shd w:val="clear" w:color="auto" w:fill="auto"/>
        <w:tabs>
          <w:tab w:pos="872" w:val="left"/>
        </w:tabs>
        <w:bidi w:val="0"/>
        <w:spacing w:before="0" w:after="0" w:line="314" w:lineRule="exact"/>
        <w:ind w:left="0" w:right="0" w:firstLine="520"/>
        <w:jc w:val="both"/>
      </w:pPr>
      <w:bookmarkStart w:id="1157" w:name="bookmark1157"/>
      <w:bookmarkEnd w:id="1157"/>
      <w:r>
        <w:rPr>
          <w:color w:val="000000"/>
          <w:spacing w:val="0"/>
          <w:w w:val="100"/>
          <w:position w:val="0"/>
        </w:rPr>
        <w:t>本公司作为融资租赁承租人时，在租赁期开始日，将租赁开始日租赁资产公允价值与最低租赁付款额现值两者中较 低者作为租入资产的入账价值，将最低租赁付款额作为长期应付款的入账价值，其差额作为未确认融资费用。在租赁期内各 个期间采用实际利率法进行分摊，确认为当期融资费用，计入财务费用。</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发生的初始直接费用，计入租入资产价值。</w:t>
      </w:r>
    </w:p>
    <w:p>
      <w:pPr>
        <w:pStyle w:val="Style26"/>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在计提融资租赁资产折旧时，本公司采用与自有应折旧资产相一致的折旧政策，折旧期间以租赁合同而定。如果能够 合理确定租赁期届满时本公司将会取得租赁资产所有权，以租赁期开始日租赁资产的寿命作为折旧期间；如果无法合理确定 租赁期届满后本公司是否能够取得租赁资产的所有权，以租赁期与租赁资产寿命两者中较短者作为折旧期间。</w:t>
      </w:r>
    </w:p>
    <w:p>
      <w:pPr>
        <w:pStyle w:val="Style26"/>
        <w:keepNext w:val="0"/>
        <w:keepLines w:val="0"/>
        <w:widowControl w:val="0"/>
        <w:numPr>
          <w:ilvl w:val="0"/>
          <w:numId w:val="133"/>
        </w:numPr>
        <w:shd w:val="clear" w:color="auto" w:fill="auto"/>
        <w:tabs>
          <w:tab w:pos="872" w:val="left"/>
        </w:tabs>
        <w:bidi w:val="0"/>
        <w:spacing w:before="0" w:after="380" w:line="314" w:lineRule="exact"/>
        <w:ind w:left="0" w:right="0" w:firstLine="520"/>
        <w:jc w:val="both"/>
      </w:pPr>
      <w:bookmarkStart w:id="1158" w:name="bookmark1158"/>
      <w:bookmarkEnd w:id="1158"/>
      <w:r>
        <w:rPr>
          <w:color w:val="000000"/>
          <w:spacing w:val="0"/>
          <w:w w:val="100"/>
          <w:position w:val="0"/>
        </w:rPr>
        <w:t>本公司作为融资租赁出租人时，于租赁期开始日将租赁开始日最低租赁应收款额与初始直接费用之和作为应收融资 租赁款的入账价值，计入资产负债表的长期应收款，同时记录未担保余值；将最低租赁应收款额、初始直接费用及未担保余 值之和与其现值之和的差额作为未实现融资收益，在租赁期内各个期间采用实际利率法确认为租赁收入。</w:t>
      </w:r>
    </w:p>
    <w:p>
      <w:pPr>
        <w:pStyle w:val="Style30"/>
        <w:keepNext/>
        <w:keepLines/>
        <w:widowControl w:val="0"/>
        <w:shd w:val="clear" w:color="auto" w:fill="auto"/>
        <w:tabs>
          <w:tab w:pos="483" w:val="left"/>
        </w:tabs>
        <w:bidi w:val="0"/>
        <w:spacing w:before="0" w:after="280" w:line="240"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4</w:t>
      </w:r>
      <w:bookmarkEnd w:id="116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59"/>
      <w:bookmarkEnd w:id="1160"/>
      <w:bookmarkEnd w:id="1162"/>
    </w:p>
    <w:p>
      <w:pPr>
        <w:pStyle w:val="Style26"/>
        <w:keepNext w:val="0"/>
        <w:keepLines w:val="0"/>
        <w:widowControl w:val="0"/>
        <w:shd w:val="clear" w:color="auto" w:fill="auto"/>
        <w:tabs>
          <w:tab w:pos="965" w:val="left"/>
        </w:tabs>
        <w:bidi w:val="0"/>
        <w:spacing w:before="0" w:after="100" w:line="315" w:lineRule="exact"/>
        <w:ind w:left="0" w:right="0" w:firstLine="520"/>
        <w:jc w:val="both"/>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w:t>
        <w:tab/>
        <w:t>终止经营</w:t>
      </w:r>
    </w:p>
    <w:p>
      <w:pPr>
        <w:pStyle w:val="Style26"/>
        <w:keepNext w:val="0"/>
        <w:keepLines w:val="0"/>
        <w:widowControl w:val="0"/>
        <w:shd w:val="clear" w:color="auto" w:fill="auto"/>
        <w:tabs>
          <w:tab w:pos="869" w:val="left"/>
        </w:tabs>
        <w:bidi w:val="0"/>
        <w:spacing w:before="0" w:after="0"/>
        <w:ind w:left="0" w:right="0" w:firstLine="520"/>
        <w:jc w:val="both"/>
      </w:pPr>
      <w:bookmarkStart w:id="1164" w:name="bookmark1164"/>
      <w:r>
        <w:rPr>
          <w:rFonts w:ascii="Times New Roman" w:eastAsia="Times New Roman" w:hAnsi="Times New Roman" w:cs="Times New Roman"/>
          <w:color w:val="000000"/>
          <w:spacing w:val="0"/>
          <w:w w:val="100"/>
          <w:position w:val="0"/>
        </w:rPr>
        <w:t>1</w:t>
      </w:r>
      <w:bookmarkEnd w:id="1164"/>
      <w:r>
        <w:rPr>
          <w:color w:val="000000"/>
          <w:spacing w:val="0"/>
          <w:w w:val="100"/>
          <w:position w:val="0"/>
        </w:rPr>
        <w:t>）</w:t>
        <w:tab/>
        <w:t>终止经营的认定标准</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终止经营，是指本公司满足下列条件之一的、能够单独区分的组成部分，且该组成部分已经处置或划分为持有待售类 别：</w:t>
      </w:r>
    </w:p>
    <w:p>
      <w:pPr>
        <w:pStyle w:val="Style26"/>
        <w:keepNext w:val="0"/>
        <w:keepLines w:val="0"/>
        <w:widowControl w:val="0"/>
        <w:numPr>
          <w:ilvl w:val="0"/>
          <w:numId w:val="135"/>
        </w:numPr>
        <w:shd w:val="clear" w:color="auto" w:fill="auto"/>
        <w:tabs>
          <w:tab w:pos="893" w:val="left"/>
        </w:tabs>
        <w:bidi w:val="0"/>
        <w:spacing w:before="0" w:after="0" w:line="315" w:lineRule="exact"/>
        <w:ind w:left="0" w:right="0" w:firstLine="520"/>
        <w:jc w:val="both"/>
      </w:pPr>
      <w:bookmarkStart w:id="1165" w:name="bookmark1165"/>
      <w:bookmarkEnd w:id="1165"/>
      <w:r>
        <w:rPr>
          <w:color w:val="000000"/>
          <w:spacing w:val="0"/>
          <w:w w:val="100"/>
          <w:position w:val="0"/>
        </w:rPr>
        <w:t>该组成部分代表一项独立的主要业务或一个单独的主要经营地区；</w:t>
      </w:r>
    </w:p>
    <w:p>
      <w:pPr>
        <w:pStyle w:val="Style26"/>
        <w:keepNext w:val="0"/>
        <w:keepLines w:val="0"/>
        <w:widowControl w:val="0"/>
        <w:numPr>
          <w:ilvl w:val="0"/>
          <w:numId w:val="135"/>
        </w:numPr>
        <w:shd w:val="clear" w:color="auto" w:fill="auto"/>
        <w:tabs>
          <w:tab w:pos="893" w:val="left"/>
        </w:tabs>
        <w:bidi w:val="0"/>
        <w:spacing w:before="0" w:after="0" w:line="315" w:lineRule="exact"/>
        <w:ind w:left="0" w:right="0" w:firstLine="520"/>
        <w:jc w:val="both"/>
      </w:pPr>
      <w:bookmarkStart w:id="1166" w:name="bookmark1166"/>
      <w:bookmarkEnd w:id="1166"/>
      <w:r>
        <w:rPr>
          <w:color w:val="000000"/>
          <w:spacing w:val="0"/>
          <w:w w:val="100"/>
          <w:position w:val="0"/>
        </w:rPr>
        <w:t>该组成部分是拟对一项独立的主要业务或一个单独的主要经营地区进行处置的一项相关联计划的一部分；</w:t>
      </w:r>
    </w:p>
    <w:p>
      <w:pPr>
        <w:pStyle w:val="Style26"/>
        <w:keepNext w:val="0"/>
        <w:keepLines w:val="0"/>
        <w:widowControl w:val="0"/>
        <w:numPr>
          <w:ilvl w:val="0"/>
          <w:numId w:val="135"/>
        </w:numPr>
        <w:shd w:val="clear" w:color="auto" w:fill="auto"/>
        <w:tabs>
          <w:tab w:pos="893" w:val="left"/>
        </w:tabs>
        <w:bidi w:val="0"/>
        <w:spacing w:before="0" w:after="100" w:line="315" w:lineRule="exact"/>
        <w:ind w:left="0" w:right="0" w:firstLine="520"/>
        <w:jc w:val="both"/>
      </w:pPr>
      <w:bookmarkStart w:id="1167" w:name="bookmark1167"/>
      <w:bookmarkEnd w:id="1167"/>
      <w:r>
        <w:rPr>
          <w:color w:val="000000"/>
          <w:spacing w:val="0"/>
          <w:w w:val="100"/>
          <w:position w:val="0"/>
        </w:rPr>
        <w:t>该组成部分是专为转售而取得的子公司。</w:t>
      </w:r>
    </w:p>
    <w:p>
      <w:pPr>
        <w:pStyle w:val="Style26"/>
        <w:keepNext w:val="0"/>
        <w:keepLines w:val="0"/>
        <w:widowControl w:val="0"/>
        <w:shd w:val="clear" w:color="auto" w:fill="auto"/>
        <w:tabs>
          <w:tab w:pos="888" w:val="left"/>
        </w:tabs>
        <w:bidi w:val="0"/>
        <w:spacing w:before="0" w:after="0"/>
        <w:ind w:left="0" w:right="0" w:firstLine="520"/>
        <w:jc w:val="both"/>
      </w:pPr>
      <w:bookmarkStart w:id="1168" w:name="bookmark1168"/>
      <w:r>
        <w:rPr>
          <w:rFonts w:ascii="Times New Roman" w:eastAsia="Times New Roman" w:hAnsi="Times New Roman" w:cs="Times New Roman"/>
          <w:color w:val="000000"/>
          <w:spacing w:val="0"/>
          <w:w w:val="100"/>
          <w:position w:val="0"/>
        </w:rPr>
        <w:t>2</w:t>
      </w:r>
      <w:bookmarkEnd w:id="1168"/>
      <w:r>
        <w:rPr>
          <w:color w:val="000000"/>
          <w:spacing w:val="0"/>
          <w:w w:val="100"/>
          <w:position w:val="0"/>
        </w:rPr>
        <w:t>）</w:t>
        <w:tab/>
        <w:t>终止经营的列示</w:t>
      </w:r>
    </w:p>
    <w:p>
      <w:pPr>
        <w:pStyle w:val="Style26"/>
        <w:keepNext w:val="0"/>
        <w:keepLines w:val="0"/>
        <w:widowControl w:val="0"/>
        <w:shd w:val="clear" w:color="auto" w:fill="auto"/>
        <w:bidi w:val="0"/>
        <w:spacing w:before="0" w:after="0" w:line="315" w:lineRule="exact"/>
        <w:ind w:left="0" w:right="0" w:firstLine="520"/>
        <w:jc w:val="both"/>
      </w:pPr>
      <w:r>
        <w:rPr>
          <w:color w:val="000000"/>
          <w:spacing w:val="0"/>
          <w:w w:val="100"/>
          <w:position w:val="0"/>
        </w:rPr>
        <w:t>本公司在利润表中分别列示持续经营损益和终止经营损益。对于当期列报的终止经营，本公司在当期财务报表中，将 原来作为持续经营损益列报的信息重新作为可比会计期间的终止经营损益列报。终止经营不再满足持有待售类别划分条件 的，本公司在当期财务报表中，将原来作为终止经营损益列报的信息重新作为可比会计期间的持续经营损益列报。</w:t>
      </w:r>
    </w:p>
    <w:p>
      <w:pPr>
        <w:pStyle w:val="Style26"/>
        <w:keepNext w:val="0"/>
        <w:keepLines w:val="0"/>
        <w:widowControl w:val="0"/>
        <w:shd w:val="clear" w:color="auto" w:fill="auto"/>
        <w:tabs>
          <w:tab w:pos="965" w:val="left"/>
        </w:tabs>
        <w:bidi w:val="0"/>
        <w:spacing w:before="0" w:after="0" w:line="315" w:lineRule="exact"/>
        <w:ind w:left="0" w:right="0" w:firstLine="520"/>
        <w:jc w:val="both"/>
      </w:pPr>
      <w:bookmarkStart w:id="1169" w:name="bookmark1169"/>
      <w:r>
        <w:rPr>
          <w:color w:val="000000"/>
          <w:spacing w:val="0"/>
          <w:w w:val="100"/>
          <w:position w:val="0"/>
        </w:rPr>
        <w:t>（</w:t>
      </w:r>
      <w:bookmarkEnd w:id="1169"/>
      <w:r>
        <w:rPr>
          <w:rFonts w:ascii="Times New Roman" w:eastAsia="Times New Roman" w:hAnsi="Times New Roman" w:cs="Times New Roman"/>
          <w:color w:val="000000"/>
          <w:spacing w:val="0"/>
          <w:w w:val="100"/>
          <w:position w:val="0"/>
        </w:rPr>
        <w:t>2</w:t>
      </w:r>
      <w:r>
        <w:rPr>
          <w:color w:val="000000"/>
          <w:spacing w:val="0"/>
          <w:w w:val="100"/>
          <w:position w:val="0"/>
        </w:rPr>
        <w:t>）</w:t>
        <w:tab/>
        <w:t>回购公司股份</w:t>
      </w:r>
    </w:p>
    <w:p>
      <w:pPr>
        <w:pStyle w:val="Style26"/>
        <w:keepNext w:val="0"/>
        <w:keepLines w:val="0"/>
        <w:widowControl w:val="0"/>
        <w:shd w:val="clear" w:color="auto" w:fill="auto"/>
        <w:bidi w:val="0"/>
        <w:spacing w:before="0" w:after="100" w:line="315" w:lineRule="exact"/>
        <w:ind w:left="0" w:right="0" w:firstLine="520"/>
        <w:jc w:val="both"/>
      </w:pPr>
      <w:bookmarkStart w:id="1170" w:name="bookmark1170"/>
      <w:r>
        <w:rPr>
          <w:rFonts w:ascii="Times New Roman" w:eastAsia="Times New Roman" w:hAnsi="Times New Roman" w:cs="Times New Roman"/>
          <w:color w:val="000000"/>
          <w:spacing w:val="0"/>
          <w:w w:val="100"/>
          <w:position w:val="0"/>
        </w:rPr>
        <w:t>1</w:t>
      </w:r>
      <w:bookmarkEnd w:id="1170"/>
      <w:r>
        <w:rPr>
          <w:color w:val="000000"/>
          <w:spacing w:val="0"/>
          <w:w w:val="100"/>
          <w:position w:val="0"/>
        </w:rPr>
        <w:t>） 本公司按法定程序报经批准采用收购本公司股票方式减资的，按注销股票面值总额减少股本，购回股票支付的价 款（含交易费用）与股票面值的差额调整所有者权益，超过面值总额的部分，依次冲减资本公积（股本溢价）、盈余公积和 未分配利润；低于面值总额的，低于面值总额的部分增加资本公积（股本溢价）。</w:t>
      </w:r>
    </w:p>
    <w:p>
      <w:pPr>
        <w:pStyle w:val="Style26"/>
        <w:keepNext w:val="0"/>
        <w:keepLines w:val="0"/>
        <w:widowControl w:val="0"/>
        <w:shd w:val="clear" w:color="auto" w:fill="auto"/>
        <w:tabs>
          <w:tab w:pos="888" w:val="left"/>
        </w:tabs>
        <w:bidi w:val="0"/>
        <w:spacing w:before="0" w:after="0"/>
        <w:ind w:left="0" w:right="0" w:firstLine="520"/>
        <w:jc w:val="both"/>
      </w:pPr>
      <w:bookmarkStart w:id="1171" w:name="bookmark1171"/>
      <w:r>
        <w:rPr>
          <w:rFonts w:ascii="Times New Roman" w:eastAsia="Times New Roman" w:hAnsi="Times New Roman" w:cs="Times New Roman"/>
          <w:color w:val="000000"/>
          <w:spacing w:val="0"/>
          <w:w w:val="100"/>
          <w:position w:val="0"/>
        </w:rPr>
        <w:t>2</w:t>
      </w:r>
      <w:bookmarkEnd w:id="1171"/>
      <w:r>
        <w:rPr>
          <w:color w:val="000000"/>
          <w:spacing w:val="0"/>
          <w:w w:val="100"/>
          <w:position w:val="0"/>
        </w:rPr>
        <w:t>）</w:t>
        <w:tab/>
        <w:t>公司回购的股份在注销或者转让之前，作为库存股管理，回购股份的全部支出转作库存股成本。</w:t>
      </w:r>
    </w:p>
    <w:p>
      <w:pPr>
        <w:pStyle w:val="Style26"/>
        <w:keepNext w:val="0"/>
        <w:keepLines w:val="0"/>
        <w:widowControl w:val="0"/>
        <w:shd w:val="clear" w:color="auto" w:fill="auto"/>
        <w:tabs>
          <w:tab w:pos="872" w:val="left"/>
        </w:tabs>
        <w:bidi w:val="0"/>
        <w:spacing w:before="0" w:after="380" w:line="315" w:lineRule="exact"/>
        <w:ind w:left="0" w:right="0" w:firstLine="520"/>
        <w:jc w:val="both"/>
      </w:pPr>
      <w:bookmarkStart w:id="1172" w:name="bookmark1172"/>
      <w:r>
        <w:rPr>
          <w:rFonts w:ascii="Times New Roman" w:eastAsia="Times New Roman" w:hAnsi="Times New Roman" w:cs="Times New Roman"/>
          <w:color w:val="000000"/>
          <w:spacing w:val="0"/>
          <w:w w:val="100"/>
          <w:position w:val="0"/>
        </w:rPr>
        <w:t>3</w:t>
      </w:r>
      <w:bookmarkEnd w:id="1172"/>
      <w:r>
        <w:rPr>
          <w:color w:val="000000"/>
          <w:spacing w:val="0"/>
          <w:w w:val="100"/>
          <w:position w:val="0"/>
        </w:rPr>
        <w:t>）</w:t>
        <w:tab/>
        <w:t>库存股转让时，转让收入高于库存股成本的部分，增加资本公积（股本溢价）；低于库存股成本的部分，依次冲 减资本公积（股本溢价）、盈余公积、未分配利润。</w:t>
      </w:r>
    </w:p>
    <w:p>
      <w:pPr>
        <w:pStyle w:val="Style30"/>
        <w:keepNext/>
        <w:keepLines/>
        <w:widowControl w:val="0"/>
        <w:shd w:val="clear" w:color="auto" w:fill="auto"/>
        <w:tabs>
          <w:tab w:pos="483" w:val="left"/>
        </w:tabs>
        <w:bidi w:val="0"/>
        <w:spacing w:before="0" w:after="380" w:line="240" w:lineRule="auto"/>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4</w:t>
      </w:r>
      <w:bookmarkEnd w:id="117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73"/>
      <w:bookmarkEnd w:id="1174"/>
      <w:bookmarkEnd w:id="1176"/>
    </w:p>
    <w:p>
      <w:pPr>
        <w:pStyle w:val="Style30"/>
        <w:keepNext/>
        <w:keepLines/>
        <w:widowControl w:val="0"/>
        <w:shd w:val="clear" w:color="auto" w:fill="auto"/>
        <w:bidi w:val="0"/>
        <w:spacing w:before="0" w:after="380" w:line="240" w:lineRule="auto"/>
        <w:ind w:left="0" w:right="0" w:firstLine="0"/>
        <w:jc w:val="both"/>
      </w:pPr>
      <w:bookmarkStart w:id="1173" w:name="bookmark1173"/>
      <w:bookmarkStart w:id="1174" w:name="bookmark1174"/>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73"/>
      <w:bookmarkEnd w:id="1174"/>
      <w:bookmarkEnd w:id="1178"/>
    </w:p>
    <w:p>
      <w:pPr>
        <w:pStyle w:val="Style26"/>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202"/>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日，财政部发布了《企业 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收入》（财会【</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w:t>
            </w:r>
            <w:r>
              <w:rPr>
                <w:rFonts w:ascii="Times New Roman" w:eastAsia="Times New Roman" w:hAnsi="Times New Roman" w:cs="Times New Roman"/>
                <w:color w:val="000000"/>
                <w:spacing w:val="0"/>
                <w:w w:val="100"/>
                <w:position w:val="0"/>
              </w:rPr>
              <w:t>”</w:t>
            </w:r>
            <w:r>
              <w:rPr>
                <w:color w:val="000000"/>
                <w:spacing w:val="0"/>
                <w:w w:val="100"/>
                <w:position w:val="0"/>
              </w:rPr>
              <w:t>）。要求 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 新收入准则。本公司于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执行新收入准则，对会计政策的相关内 容进行调整，详见附注五、</w:t>
            </w:r>
            <w:r>
              <w:rPr>
                <w:rFonts w:ascii="Times New Roman" w:eastAsia="Times New Roman" w:hAnsi="Times New Roman" w:cs="Times New Roman"/>
                <w:color w:val="000000"/>
                <w:spacing w:val="0"/>
                <w:w w:val="100"/>
                <w:position w:val="0"/>
              </w:rPr>
              <w:t>39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新收入准则要求首次执行该准则的累积 影响数调整首次执行当年年初（即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日）留存收益及财务报表其他 相关项目金额，对可比期间信息不予调 整。在执行新收入准则时，本公司仅对 首次执行日尚未完成的合同的累计影响 数进行调整。</w:t>
            </w:r>
          </w:p>
        </w:tc>
      </w:tr>
    </w:tbl>
    <w:p>
      <w:pPr>
        <w:widowControl w:val="0"/>
        <w:spacing w:after="3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上述会计政策的累积影响数如下:</w:t>
      </w:r>
    </w:p>
    <w:tbl>
      <w:tblPr>
        <w:tblOverlap w:val="never"/>
        <w:jc w:val="left"/>
        <w:tblLayout w:type="fixed"/>
      </w:tblPr>
      <w:tblGrid>
        <w:gridCol w:w="2520"/>
        <w:gridCol w:w="1013"/>
        <w:gridCol w:w="1867"/>
        <w:gridCol w:w="1699"/>
        <w:gridCol w:w="1589"/>
      </w:tblGrid>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会计政策变更的内容和原 因</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审批程序</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受影响的报表项目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日余额的影响金额</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母公司</w:t>
            </w:r>
          </w:p>
        </w:tc>
      </w:tr>
      <w:tr>
        <w:trPr>
          <w:trHeight w:val="3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tabs>
                <w:tab w:pos="533" w:val="left"/>
              </w:tabs>
              <w:bidi w:val="0"/>
              <w:spacing w:before="0" w:after="0" w:line="313"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部分原按照完工进度 确认收入的合同，因不满足 在一段时间确认收入的条 件，改为按控制权转移时点 确认收入。</w:t>
            </w:r>
          </w:p>
          <w:p>
            <w:pPr>
              <w:pStyle w:val="Style2"/>
              <w:keepNext w:val="0"/>
              <w:keepLines w:val="0"/>
              <w:widowControl w:val="0"/>
              <w:shd w:val="clear" w:color="auto" w:fill="auto"/>
              <w:tabs>
                <w:tab w:pos="523" w:val="left"/>
              </w:tabs>
              <w:bidi w:val="0"/>
              <w:spacing w:before="0" w:after="0" w:line="313"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将与运维服务相关、 不满足无条件收款权的应 收账款重分类至合同资产， 将与己生效合同相关的预 收款项重分类至合同负债。</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按财政部 规定执行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-217,191,554.85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-74,369,309.62</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222,516,369.43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81,417,833.37</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10,138,761.97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8,573,580.70</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1,166,060.95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6,994,907.02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-803,215.60</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-2,892,556.23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-2,835,954.00</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133,963,959.73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55,454,007.57</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-9,552,827.29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-2,022,503.94</w:t>
            </w:r>
          </w:p>
        </w:tc>
      </w:tr>
      <w:tr>
        <w:trPr>
          <w:trHeight w:val="39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-97,894,031.69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-35,776,660.78</w:t>
            </w:r>
          </w:p>
        </w:tc>
      </w:tr>
    </w:tbl>
    <w:p>
      <w:pPr>
        <w:widowControl w:val="0"/>
        <w:spacing w:after="639" w:line="1" w:lineRule="exact"/>
      </w:pPr>
    </w:p>
    <w:p>
      <w:pPr>
        <w:pStyle w:val="Style30"/>
        <w:keepNext/>
        <w:keepLines/>
        <w:widowControl w:val="0"/>
        <w:shd w:val="clear" w:color="auto" w:fill="auto"/>
        <w:tabs>
          <w:tab w:pos="493" w:val="left"/>
        </w:tabs>
        <w:bidi w:val="0"/>
        <w:spacing w:before="0" w:line="240" w:lineRule="auto"/>
        <w:ind w:left="0" w:right="0" w:firstLine="0"/>
        <w:jc w:val="both"/>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9"/>
      <w:bookmarkEnd w:id="1180"/>
      <w:bookmarkEnd w:id="1182"/>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83"/>
      <w:bookmarkEnd w:id="1184"/>
      <w:bookmarkEnd w:id="1186"/>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760,601,549.27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760,601,549.27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468,000,000.00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18,418,420.20</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18,418,420.20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1,172,540,005.76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955,348,450.91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-217,191,554.85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6,092,603.34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6,092,603.34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22,312,614.60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22,312,614.60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222,516,369.43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222,516,369.43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10,138,761.97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10,138,761.97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17,386,124.67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18,552,185.62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1,166,060.95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2,470,720,513.87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2,487,350,151.37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16,629,637.50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89,474,576.86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89,474,576.86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233,637,522.46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233,637,522.46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613,875,908.21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613,875,908.21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132,423,144.44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132,423,144.44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22,046,257.36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22,046,257.36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986,181,014.18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986,181,014.18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13,080,292.92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13,080,292.92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65,629,985.57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72,624,892.59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6,994,907.02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2,156,403,747.87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2,163,398,654.89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6,994,907.02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4,627,124,261.74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4,650,748,806.26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23,624,544.52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825,413,393.43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825,413,393.43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90,530,731.70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90,530,731.70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8,692,766.75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5,800,210.52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-2,892,556.23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133,963,959.73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133,963,959.73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173,789,631.25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173,789,631.25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32,997,323.85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32,997,323.85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22,335,464.56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22,335,464.56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121,976,853.63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121,976,853.63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68,091,813.51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58,538,986.22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-9,552,827.29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1,343,827,978.68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1,465,346,554.89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121,518,576.21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448,305,478.19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448,305,478.19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465,241,886.33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465,241,886.33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1,809,069,865.01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1,930,588,441.22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121,518,576.21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2,879,893,912.55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2,879,893,912.55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-605,657.19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-605,657.19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-771,624,550.68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-869,518,582.37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-97,894,031.69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2,820,718,103.20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2,722,824,071.51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-97,894,031.69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-2,663,706.47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-2,663,706.47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2,818,054,396.73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2,720,160,365.04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-97,894,031.69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4,627,124,261.74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4,650,748,806.26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23,624,544.52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331,972,901.99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331,972,901.99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18,418,420.20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18,418,420.20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486,031,018.92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411,661,709.30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-74,369,309.62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1,191,392.26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1,191,392.26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37,930,534.76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37,930,534.76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81,417,833.37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81,417,833.37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8,573,580.70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8,573,580.70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8,822,642.55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8,822,642.55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1,337,736,106.71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1,353,358,211.16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15,622,104.45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1,866,818,691.98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1,866,818,691.98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226,508,355.32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226,508,355.32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32,570,259.11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32,570,259.11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96,956,545.64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96,956,545.64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22,046,257.36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22,046,257.36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511,695.14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511,695.14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45,235,221.57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44,432,005.97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2,290,647,026.12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2,289,843,810.52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-803,215.60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3,628,383,132.83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3,643,202,021.68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14,818,888.85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635,122,695.41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635,122,695.41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72,032,978.68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72,032,978.68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2,835,954.00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-2,835,954.00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55,454,007.57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55,454,007.57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57,997,547.14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57,997,547.14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8,239,925.07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8,239,925.07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116,804,709.32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116,804,709.32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105,138,607.64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105,138,607.64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14,511,494.05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12,488,990.11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-2,022,503.94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1,012,683,911.31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1,063,279,460.94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50,595,549.63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25,039,913.19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25,039,913.19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33,539,913.19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33,539,913.19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1,046,223,824.50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1,096,819,374.13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50,595,549.63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796,410,841.00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2,893,883,236.82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2,893,883,236.82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162,988,941.20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79,311,389.74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79,311,389.74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-1,024,457,218.03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-1,060,233,878.81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-35,776,660.78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2,582,159,308.33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2,546,382,647.55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-35,776,660.78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3,628,383,132.83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3,643,202,021.68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14,818,888.85</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0"/>
        <w:keepNext/>
        <w:keepLines/>
        <w:widowControl w:val="0"/>
        <w:numPr>
          <w:ilvl w:val="0"/>
          <w:numId w:val="137"/>
        </w:numPr>
        <w:shd w:val="clear" w:color="auto" w:fill="auto"/>
        <w:tabs>
          <w:tab w:pos="49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bookmarkEnd w:id="1189"/>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87"/>
      <w:bookmarkEnd w:id="1188"/>
      <w:bookmarkEnd w:id="1190"/>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191"/>
      <w:bookmarkEnd w:id="1192"/>
      <w:bookmarkEnd w:id="1194"/>
    </w:p>
    <w:p>
      <w:pPr>
        <w:pStyle w:val="Style24"/>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sz w:val="24"/>
          <w:szCs w:val="24"/>
        </w:rPr>
        <w:t>六</w:t>
      </w:r>
      <w:bookmarkEnd w:id="1197"/>
      <w:r>
        <w:rPr>
          <w:color w:val="000000"/>
          <w:spacing w:val="0"/>
          <w:w w:val="100"/>
          <w:position w:val="0"/>
          <w:sz w:val="24"/>
          <w:szCs w:val="24"/>
        </w:rPr>
        <w:t>、税项</w:t>
      </w:r>
      <w:bookmarkEnd w:id="1195"/>
      <w:bookmarkEnd w:id="1196"/>
      <w:bookmarkEnd w:id="1198"/>
    </w:p>
    <w:p>
      <w:pPr>
        <w:pStyle w:val="Style30"/>
        <w:keepNext/>
        <w:keepLines/>
        <w:widowControl w:val="0"/>
        <w:shd w:val="clear" w:color="auto" w:fill="auto"/>
        <w:bidi w:val="0"/>
        <w:spacing w:before="0" w:after="30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bookmarkEnd w:id="1201"/>
      <w:r>
        <w:rPr>
          <w:color w:val="000000"/>
          <w:spacing w:val="0"/>
          <w:w w:val="100"/>
          <w:position w:val="0"/>
        </w:rPr>
        <w:t>、主要税种及税率</w:t>
      </w:r>
      <w:bookmarkEnd w:id="1199"/>
      <w:bookmarkEnd w:id="1200"/>
      <w:bookmarkEnd w:id="120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应税销售额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西安润和软件信息技术有限公司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北京捷科智诚科技有限公司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福州捷科智诚信息科技有限公司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w:t>
            </w: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北京联创智融信息技术有限公司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上海菲耐得信息科技有限公司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上海润和信息技术服务有限公司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color w:val="000000"/>
          <w:spacing w:val="0"/>
          <w:w w:val="100"/>
          <w:position w:val="0"/>
        </w:rPr>
        <w:t>、税收优惠</w:t>
      </w:r>
      <w:bookmarkEnd w:id="1203"/>
      <w:bookmarkEnd w:id="1204"/>
      <w:bookmarkEnd w:id="1206"/>
    </w:p>
    <w:p>
      <w:pPr>
        <w:pStyle w:val="Style26"/>
        <w:keepNext w:val="0"/>
        <w:keepLines w:val="0"/>
        <w:widowControl w:val="0"/>
        <w:shd w:val="clear" w:color="auto" w:fill="auto"/>
        <w:tabs>
          <w:tab w:pos="905" w:val="left"/>
        </w:tabs>
        <w:bidi w:val="0"/>
        <w:spacing w:before="0" w:after="0" w:line="312" w:lineRule="exact"/>
        <w:ind w:left="0" w:right="0" w:firstLine="520"/>
        <w:jc w:val="both"/>
      </w:pPr>
      <w:bookmarkStart w:id="1207" w:name="bookmark1207"/>
      <w:r>
        <w:rPr>
          <w:color w:val="000000"/>
          <w:spacing w:val="0"/>
          <w:w w:val="100"/>
          <w:position w:val="0"/>
        </w:rPr>
        <w:t>（</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w:t>
        <w:tab/>
        <w:t>增值税</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根据国务院《进一步鼓励软件产业和集成电路产业发展的若干政策》的通知（国发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号）和财政部、国家税务总 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号），本公司、捷科智诚、联创智融销售其自行开发生产的软件产 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的法定税率征收增值税，对实际税负超过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根据财政部、国家税务总局下发《关于在全国开展交通运输业和部分现代服务业营业税改征增值税试点税收政策的通 知》（财税</w:t>
      </w:r>
      <w:r>
        <w:rPr>
          <w:rFonts w:ascii="Times New Roman" w:eastAsia="Times New Roman" w:hAnsi="Times New Roman" w:cs="Times New Roman"/>
          <w:color w:val="000000"/>
          <w:spacing w:val="0"/>
          <w:w w:val="100"/>
          <w:position w:val="0"/>
        </w:rPr>
        <w:t>[2013]37</w:t>
      </w:r>
      <w:r>
        <w:rPr>
          <w:color w:val="000000"/>
          <w:spacing w:val="0"/>
          <w:w w:val="100"/>
          <w:position w:val="0"/>
        </w:rPr>
        <w:t>号），本公司及子公司开发业务、运行维护等服务业务按照</w:t>
      </w:r>
      <w:r>
        <w:rPr>
          <w:rFonts w:ascii="Times New Roman" w:eastAsia="Times New Roman" w:hAnsi="Times New Roman" w:cs="Times New Roman"/>
          <w:color w:val="000000"/>
          <w:spacing w:val="0"/>
          <w:w w:val="100"/>
          <w:position w:val="0"/>
        </w:rPr>
        <w:t>6%</w:t>
      </w:r>
      <w:r>
        <w:rPr>
          <w:color w:val="000000"/>
          <w:spacing w:val="0"/>
          <w:w w:val="100"/>
          <w:position w:val="0"/>
        </w:rPr>
        <w:t>的法定税率征收增值税；软信和熙对外出 租房屋收入采用</w:t>
      </w:r>
      <w:r>
        <w:rPr>
          <w:rFonts w:ascii="Times New Roman" w:eastAsia="Times New Roman" w:hAnsi="Times New Roman" w:cs="Times New Roman"/>
          <w:color w:val="000000"/>
          <w:spacing w:val="0"/>
          <w:w w:val="100"/>
          <w:position w:val="0"/>
        </w:rPr>
        <w:t>5%</w:t>
      </w:r>
      <w:r>
        <w:rPr>
          <w:color w:val="000000"/>
          <w:spacing w:val="0"/>
          <w:w w:val="100"/>
          <w:position w:val="0"/>
        </w:rPr>
        <w:t>税率；外包园公司对外出租房屋的收入税率分别为</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，其中适用</w:t>
      </w:r>
      <w:r>
        <w:rPr>
          <w:rFonts w:ascii="Times New Roman" w:eastAsia="Times New Roman" w:hAnsi="Times New Roman" w:cs="Times New Roman"/>
          <w:color w:val="000000"/>
          <w:spacing w:val="0"/>
          <w:w w:val="100"/>
          <w:position w:val="0"/>
        </w:rPr>
        <w:t>5%</w:t>
      </w:r>
      <w:r>
        <w:rPr>
          <w:color w:val="000000"/>
          <w:spacing w:val="0"/>
          <w:w w:val="100"/>
          <w:position w:val="0"/>
        </w:rPr>
        <w:t>税率为采用简易征收方式；外 包园公司物业管理采用</w:t>
      </w:r>
      <w:r>
        <w:rPr>
          <w:rFonts w:ascii="Times New Roman" w:eastAsia="Times New Roman" w:hAnsi="Times New Roman" w:cs="Times New Roman"/>
          <w:color w:val="000000"/>
          <w:spacing w:val="0"/>
          <w:w w:val="100"/>
          <w:position w:val="0"/>
        </w:rPr>
        <w:t>6%</w:t>
      </w:r>
      <w:r>
        <w:rPr>
          <w:color w:val="000000"/>
          <w:spacing w:val="0"/>
          <w:w w:val="100"/>
          <w:position w:val="0"/>
        </w:rPr>
        <w:t>税率，电费采用</w:t>
      </w:r>
      <w:r>
        <w:rPr>
          <w:rFonts w:ascii="Times New Roman" w:eastAsia="Times New Roman" w:hAnsi="Times New Roman" w:cs="Times New Roman"/>
          <w:color w:val="000000"/>
          <w:spacing w:val="0"/>
          <w:w w:val="100"/>
          <w:position w:val="0"/>
        </w:rPr>
        <w:t>13%</w:t>
      </w:r>
      <w:r>
        <w:rPr>
          <w:color w:val="000000"/>
          <w:spacing w:val="0"/>
          <w:w w:val="100"/>
          <w:position w:val="0"/>
        </w:rPr>
        <w:t>税率，水费采用</w:t>
      </w:r>
      <w:r>
        <w:rPr>
          <w:rFonts w:ascii="Times New Roman" w:eastAsia="Times New Roman" w:hAnsi="Times New Roman" w:cs="Times New Roman"/>
          <w:color w:val="000000"/>
          <w:spacing w:val="0"/>
          <w:w w:val="100"/>
          <w:position w:val="0"/>
        </w:rPr>
        <w:t>3%</w:t>
      </w:r>
      <w:r>
        <w:rPr>
          <w:color w:val="000000"/>
          <w:spacing w:val="0"/>
          <w:w w:val="100"/>
          <w:position w:val="0"/>
        </w:rPr>
        <w:t>税率；本公司及子公司销售软硬件产品按照</w:t>
      </w:r>
      <w:r>
        <w:rPr>
          <w:rFonts w:ascii="Times New Roman" w:eastAsia="Times New Roman" w:hAnsi="Times New Roman" w:cs="Times New Roman"/>
          <w:color w:val="000000"/>
          <w:spacing w:val="0"/>
          <w:w w:val="100"/>
          <w:position w:val="0"/>
        </w:rPr>
        <w:t>13%</w:t>
      </w:r>
      <w:r>
        <w:rPr>
          <w:color w:val="000000"/>
          <w:spacing w:val="0"/>
          <w:w w:val="100"/>
          <w:position w:val="0"/>
        </w:rPr>
        <w:t>税率征收 增值税。</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根据《财政部、国家税务总局关于在北京等</w:t>
      </w:r>
      <w:r>
        <w:rPr>
          <w:rFonts w:ascii="Times New Roman" w:eastAsia="Times New Roman" w:hAnsi="Times New Roman" w:cs="Times New Roman"/>
          <w:color w:val="000000"/>
          <w:spacing w:val="0"/>
          <w:w w:val="100"/>
          <w:position w:val="0"/>
        </w:rPr>
        <w:t>8</w:t>
      </w:r>
      <w:r>
        <w:rPr>
          <w:color w:val="000000"/>
          <w:spacing w:val="0"/>
          <w:w w:val="100"/>
          <w:position w:val="0"/>
        </w:rPr>
        <w:t>省市开展交通运输业和部分现代服务业营业税改征增值税试点的通知》 （财税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2012]71</w:t>
      </w:r>
      <w:r>
        <w:rPr>
          <w:color w:val="000000"/>
          <w:spacing w:val="0"/>
          <w:w w:val="100"/>
          <w:position w:val="0"/>
        </w:rPr>
        <w:t>号）及《关于在全国开展交通运输业和部分现代服务业营业税改征增值税试点税收政策的通知》（财税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2013]37 </w:t>
      </w:r>
      <w:r>
        <w:rPr>
          <w:color w:val="000000"/>
          <w:spacing w:val="0"/>
          <w:w w:val="100"/>
          <w:position w:val="0"/>
        </w:rPr>
        <w:t>号），本公司、西安润和、上海润和、捷科智诚、福州捷科、联创智融所属从事的技术转让、技术开发业务及与之相关的技 术咨询、技术服务业务取得的收入在取得技术合同认定并经税务局备案后由原先免征营业税部分继续免征增值税。</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根据《关于深化增值税改革有关政策的公告》（财政部、税务总局、海关总署公告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39</w:t>
      </w:r>
      <w:r>
        <w:rPr>
          <w:color w:val="000000"/>
          <w:spacing w:val="0"/>
          <w:w w:val="100"/>
          <w:position w:val="0"/>
        </w:rPr>
        <w:t>号），本公司及境内子 公司作为生产、生活性服务业纳税人，自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日，可按照当期可抵扣进项税额加计</w:t>
      </w:r>
      <w:r>
        <w:rPr>
          <w:rFonts w:ascii="Times New Roman" w:eastAsia="Times New Roman" w:hAnsi="Times New Roman" w:cs="Times New Roman"/>
          <w:color w:val="000000"/>
          <w:spacing w:val="0"/>
          <w:w w:val="100"/>
          <w:position w:val="0"/>
        </w:rPr>
        <w:t>10%</w:t>
      </w:r>
      <w:r>
        <w:rPr>
          <w:color w:val="000000"/>
          <w:spacing w:val="0"/>
          <w:w w:val="100"/>
          <w:position w:val="0"/>
        </w:rPr>
        <w:t>抵减应纳增 值税额。</w:t>
      </w:r>
    </w:p>
    <w:p>
      <w:pPr>
        <w:pStyle w:val="Style26"/>
        <w:keepNext w:val="0"/>
        <w:keepLines w:val="0"/>
        <w:widowControl w:val="0"/>
        <w:shd w:val="clear" w:color="auto" w:fill="auto"/>
        <w:tabs>
          <w:tab w:pos="905" w:val="left"/>
        </w:tabs>
        <w:bidi w:val="0"/>
        <w:spacing w:before="0" w:after="0" w:line="312" w:lineRule="exact"/>
        <w:ind w:left="0" w:right="0" w:firstLine="520"/>
        <w:jc w:val="both"/>
      </w:pPr>
      <w:bookmarkStart w:id="1208" w:name="bookmark1208"/>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企业所得税</w:t>
      </w:r>
    </w:p>
    <w:p>
      <w:pPr>
        <w:pStyle w:val="Style26"/>
        <w:keepNext w:val="0"/>
        <w:keepLines w:val="0"/>
        <w:widowControl w:val="0"/>
        <w:numPr>
          <w:ilvl w:val="0"/>
          <w:numId w:val="139"/>
        </w:numPr>
        <w:shd w:val="clear" w:color="auto" w:fill="auto"/>
        <w:tabs>
          <w:tab w:pos="833" w:val="left"/>
        </w:tabs>
        <w:bidi w:val="0"/>
        <w:spacing w:before="0" w:after="0" w:line="312" w:lineRule="exact"/>
        <w:ind w:left="0" w:right="0" w:firstLine="520"/>
        <w:jc w:val="left"/>
      </w:pPr>
      <w:bookmarkStart w:id="1209" w:name="bookmark1209"/>
      <w:bookmarkEnd w:id="1209"/>
      <w:r>
        <w:rPr>
          <w:color w:val="000000"/>
          <w:spacing w:val="0"/>
          <w:w w:val="100"/>
          <w:position w:val="0"/>
        </w:rPr>
        <w:t>本公司</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本公司已于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日取得江苏省科学技术厅、江苏省财政厅、江苏省国家税务局、江苏省地方税务局批准的《高新技 术企业证书》，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日高新技术企业复审通过。本公司</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税率征收企业所得税的税收优惠政策。</w:t>
      </w:r>
    </w:p>
    <w:p>
      <w:pPr>
        <w:pStyle w:val="Style26"/>
        <w:keepNext w:val="0"/>
        <w:keepLines w:val="0"/>
        <w:widowControl w:val="0"/>
        <w:numPr>
          <w:ilvl w:val="0"/>
          <w:numId w:val="139"/>
        </w:numPr>
        <w:shd w:val="clear" w:color="auto" w:fill="auto"/>
        <w:tabs>
          <w:tab w:pos="833" w:val="left"/>
        </w:tabs>
        <w:bidi w:val="0"/>
        <w:spacing w:before="0" w:after="0" w:line="312" w:lineRule="exact"/>
        <w:ind w:left="0" w:right="0" w:firstLine="520"/>
        <w:jc w:val="left"/>
      </w:pPr>
      <w:bookmarkStart w:id="1210" w:name="bookmark1210"/>
      <w:bookmarkEnd w:id="1210"/>
      <w:r>
        <w:rPr>
          <w:color w:val="000000"/>
          <w:spacing w:val="0"/>
          <w:w w:val="100"/>
          <w:position w:val="0"/>
        </w:rPr>
        <w:t>西安润和</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西安润和于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日取得陕西省科学技术厅、陕西省财政厅、国家税务总局陕西省税务局批准的《高新技术企业证书》。 西安润和</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6"/>
        <w:keepNext w:val="0"/>
        <w:keepLines w:val="0"/>
        <w:widowControl w:val="0"/>
        <w:numPr>
          <w:ilvl w:val="0"/>
          <w:numId w:val="139"/>
        </w:numPr>
        <w:shd w:val="clear" w:color="auto" w:fill="auto"/>
        <w:tabs>
          <w:tab w:pos="833" w:val="left"/>
        </w:tabs>
        <w:bidi w:val="0"/>
        <w:spacing w:before="0" w:after="0" w:line="312" w:lineRule="exact"/>
        <w:ind w:left="0" w:right="0" w:firstLine="520"/>
        <w:jc w:val="left"/>
      </w:pPr>
      <w:bookmarkStart w:id="1211" w:name="bookmark1211"/>
      <w:bookmarkEnd w:id="1211"/>
      <w:r>
        <w:rPr>
          <w:color w:val="000000"/>
          <w:spacing w:val="0"/>
          <w:w w:val="100"/>
          <w:position w:val="0"/>
        </w:rPr>
        <w:t>捷科智诚</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[2016]49</w:t>
      </w:r>
      <w:r>
        <w:rPr>
          <w:color w:val="000000"/>
          <w:spacing w:val="0"/>
          <w:w w:val="100"/>
          <w:position w:val="0"/>
        </w:rPr>
        <w:t>号，国家规划布局内重点软件企业的税收优惠资格认定改为备案制，</w:t>
      </w:r>
      <w:r>
        <w:rPr>
          <w:rFonts w:ascii="Times New Roman" w:eastAsia="Times New Roman" w:hAnsi="Times New Roman" w:cs="Times New Roman"/>
          <w:color w:val="000000"/>
          <w:spacing w:val="0"/>
          <w:w w:val="100"/>
          <w:position w:val="0"/>
        </w:rPr>
        <w:t>2020</w:t>
      </w:r>
      <w:r>
        <w:rPr>
          <w:color w:val="000000"/>
          <w:spacing w:val="0"/>
          <w:w w:val="100"/>
          <w:position w:val="0"/>
        </w:rPr>
        <w:t>年度捷科智诚符合备案条 件，</w:t>
      </w:r>
      <w:r>
        <w:rPr>
          <w:rFonts w:ascii="Times New Roman" w:eastAsia="Times New Roman" w:hAnsi="Times New Roman" w:cs="Times New Roman"/>
          <w:color w:val="000000"/>
          <w:spacing w:val="0"/>
          <w:w w:val="100"/>
          <w:position w:val="0"/>
        </w:rPr>
        <w:t>2020</w:t>
      </w:r>
      <w:r>
        <w:rPr>
          <w:color w:val="000000"/>
          <w:spacing w:val="0"/>
          <w:w w:val="100"/>
          <w:position w:val="0"/>
        </w:rPr>
        <w:t>年度暂按享受重点软件企业减按</w:t>
      </w:r>
      <w:r>
        <w:rPr>
          <w:rFonts w:ascii="Times New Roman" w:eastAsia="Times New Roman" w:hAnsi="Times New Roman" w:cs="Times New Roman"/>
          <w:color w:val="000000"/>
          <w:spacing w:val="0"/>
          <w:w w:val="100"/>
          <w:position w:val="0"/>
        </w:rPr>
        <w:t>10%</w:t>
      </w:r>
      <w:r>
        <w:rPr>
          <w:color w:val="000000"/>
          <w:spacing w:val="0"/>
          <w:w w:val="100"/>
          <w:position w:val="0"/>
        </w:rPr>
        <w:t>税率征收企业所得税的税收优惠政策。</w:t>
      </w:r>
    </w:p>
    <w:p>
      <w:pPr>
        <w:pStyle w:val="Style26"/>
        <w:keepNext w:val="0"/>
        <w:keepLines w:val="0"/>
        <w:widowControl w:val="0"/>
        <w:numPr>
          <w:ilvl w:val="0"/>
          <w:numId w:val="139"/>
        </w:numPr>
        <w:shd w:val="clear" w:color="auto" w:fill="auto"/>
        <w:tabs>
          <w:tab w:pos="833" w:val="left"/>
        </w:tabs>
        <w:bidi w:val="0"/>
        <w:spacing w:before="0" w:after="0" w:line="312" w:lineRule="exact"/>
        <w:ind w:left="0" w:right="0" w:firstLine="520"/>
        <w:jc w:val="left"/>
      </w:pPr>
      <w:bookmarkStart w:id="1212" w:name="bookmark1212"/>
      <w:bookmarkEnd w:id="1212"/>
      <w:r>
        <w:rPr>
          <w:color w:val="000000"/>
          <w:spacing w:val="0"/>
          <w:w w:val="100"/>
          <w:position w:val="0"/>
        </w:rPr>
        <w:t>福州捷科</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根据财政部、国家税务总局《关于进一步鼓励软件产业和集成电路产业发展企业所得税政策的通知》（财税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 xml:space="preserve">2012]27 </w:t>
      </w:r>
      <w:r>
        <w:rPr>
          <w:color w:val="000000"/>
          <w:spacing w:val="0"/>
          <w:w w:val="100"/>
          <w:position w:val="0"/>
        </w:rPr>
        <w:t>号）及财政部、国家税务总局、发展改革委、工业和信息化部《关于软件和集成电路产业企业所得税优惠政策有关问题的通 知》（财税</w:t>
      </w:r>
      <w:r>
        <w:rPr>
          <w:rFonts w:ascii="Times New Roman" w:eastAsia="Times New Roman" w:hAnsi="Times New Roman" w:cs="Times New Roman"/>
          <w:color w:val="000000"/>
          <w:spacing w:val="0"/>
          <w:w w:val="100"/>
          <w:position w:val="0"/>
        </w:rPr>
        <w:t>[2016]49</w:t>
      </w:r>
      <w:r>
        <w:rPr>
          <w:color w:val="000000"/>
          <w:spacing w:val="0"/>
          <w:w w:val="100"/>
          <w:position w:val="0"/>
        </w:rPr>
        <w:t>号），我国境内新办的集成电路设计企业和符合条件的软件企业，经认定后，在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 利年度起计算优惠期，第一年至第二年免征企业所得税，第三年至第五年按照</w:t>
      </w:r>
      <w:r>
        <w:rPr>
          <w:rFonts w:ascii="Times New Roman" w:eastAsia="Times New Roman" w:hAnsi="Times New Roman" w:cs="Times New Roman"/>
          <w:color w:val="000000"/>
          <w:spacing w:val="0"/>
          <w:w w:val="100"/>
          <w:position w:val="0"/>
        </w:rPr>
        <w:t>25%</w:t>
      </w:r>
      <w:r>
        <w:rPr>
          <w:color w:val="000000"/>
          <w:spacing w:val="0"/>
          <w:w w:val="100"/>
          <w:position w:val="0"/>
        </w:rPr>
        <w:t>的法定税率减半征收企业所得税，并享受 至期满为止。福州捷科享受两年三减半的政策，</w:t>
      </w:r>
      <w:r>
        <w:rPr>
          <w:rFonts w:ascii="Times New Roman" w:eastAsia="Times New Roman" w:hAnsi="Times New Roman" w:cs="Times New Roman"/>
          <w:color w:val="000000"/>
          <w:spacing w:val="0"/>
          <w:w w:val="100"/>
          <w:position w:val="0"/>
        </w:rPr>
        <w:t>2016</w:t>
      </w:r>
      <w:r>
        <w:rPr>
          <w:color w:val="000000"/>
          <w:spacing w:val="0"/>
          <w:w w:val="100"/>
          <w:position w:val="0"/>
        </w:rPr>
        <w:t>年起为第一个获利年度，</w:t>
      </w:r>
      <w:r>
        <w:rPr>
          <w:rFonts w:ascii="Times New Roman" w:eastAsia="Times New Roman" w:hAnsi="Times New Roman" w:cs="Times New Roman"/>
          <w:color w:val="000000"/>
          <w:spacing w:val="0"/>
          <w:w w:val="100"/>
          <w:position w:val="0"/>
        </w:rPr>
        <w:t>2017</w:t>
      </w:r>
      <w:r>
        <w:rPr>
          <w:color w:val="000000"/>
          <w:spacing w:val="0"/>
          <w:w w:val="100"/>
          <w:position w:val="0"/>
        </w:rPr>
        <w:t>年为第二个获利年度，</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年起开始执行 </w:t>
      </w:r>
      <w:r>
        <w:rPr>
          <w:color w:val="000000"/>
          <w:spacing w:val="0"/>
          <w:w w:val="100"/>
          <w:position w:val="0"/>
        </w:rPr>
        <w:t>第三年法定所得税率减半征收的税收优惠。</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日财政部、国家税务总局下发《关于实施小微企业普惠性税收减免政策的通知》（财税〔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号），进一步支持小微企业发展，自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 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rPr>
        <w:t>2020</w:t>
      </w:r>
      <w:r>
        <w:rPr>
          <w:color w:val="000000"/>
          <w:spacing w:val="0"/>
          <w:w w:val="100"/>
          <w:position w:val="0"/>
        </w:rPr>
        <w:t>年福州捷科应纳税所得额符合《关于实施小微企业普惠性 税收减免政策的通知》规定，企业所得税税率按照《关于实施小微企业普惠性税收减免政策的通知》规定执行。</w:t>
      </w:r>
    </w:p>
    <w:p>
      <w:pPr>
        <w:pStyle w:val="Style26"/>
        <w:keepNext w:val="0"/>
        <w:keepLines w:val="0"/>
        <w:widowControl w:val="0"/>
        <w:numPr>
          <w:ilvl w:val="0"/>
          <w:numId w:val="139"/>
        </w:numPr>
        <w:shd w:val="clear" w:color="auto" w:fill="auto"/>
        <w:tabs>
          <w:tab w:pos="893" w:val="left"/>
        </w:tabs>
        <w:bidi w:val="0"/>
        <w:spacing w:before="0" w:after="0" w:line="312" w:lineRule="exact"/>
        <w:ind w:left="0" w:right="0" w:firstLine="520"/>
        <w:jc w:val="left"/>
      </w:pPr>
      <w:bookmarkStart w:id="1213" w:name="bookmark1213"/>
      <w:bookmarkEnd w:id="1213"/>
      <w:r>
        <w:rPr>
          <w:color w:val="000000"/>
          <w:spacing w:val="0"/>
          <w:w w:val="100"/>
          <w:position w:val="0"/>
        </w:rPr>
        <w:t>联创智融</w:t>
      </w:r>
    </w:p>
    <w:p>
      <w:pPr>
        <w:pStyle w:val="Style26"/>
        <w:keepNext w:val="0"/>
        <w:keepLines w:val="0"/>
        <w:widowControl w:val="0"/>
        <w:shd w:val="clear" w:color="auto" w:fill="auto"/>
        <w:bidi w:val="0"/>
        <w:spacing w:before="0" w:after="0" w:line="312" w:lineRule="exact"/>
        <w:ind w:left="0" w:right="0" w:firstLine="52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[2016]49</w:t>
      </w:r>
      <w:r>
        <w:rPr>
          <w:color w:val="000000"/>
          <w:spacing w:val="0"/>
          <w:w w:val="100"/>
          <w:position w:val="0"/>
        </w:rPr>
        <w:t>号，国家规划布局内重点软件企业的税收优惠资格认定改为备案制，</w:t>
      </w:r>
      <w:r>
        <w:rPr>
          <w:rFonts w:ascii="Times New Roman" w:eastAsia="Times New Roman" w:hAnsi="Times New Roman" w:cs="Times New Roman"/>
          <w:color w:val="000000"/>
          <w:spacing w:val="0"/>
          <w:w w:val="100"/>
          <w:position w:val="0"/>
        </w:rPr>
        <w:t>2020</w:t>
      </w:r>
      <w:r>
        <w:rPr>
          <w:color w:val="000000"/>
          <w:spacing w:val="0"/>
          <w:w w:val="100"/>
          <w:position w:val="0"/>
        </w:rPr>
        <w:t>年度联创智融符合备案条 件，</w:t>
      </w:r>
      <w:r>
        <w:rPr>
          <w:rFonts w:ascii="Times New Roman" w:eastAsia="Times New Roman" w:hAnsi="Times New Roman" w:cs="Times New Roman"/>
          <w:color w:val="000000"/>
          <w:spacing w:val="0"/>
          <w:w w:val="100"/>
          <w:position w:val="0"/>
        </w:rPr>
        <w:t>2020</w:t>
      </w:r>
      <w:r>
        <w:rPr>
          <w:color w:val="000000"/>
          <w:spacing w:val="0"/>
          <w:w w:val="100"/>
          <w:position w:val="0"/>
        </w:rPr>
        <w:t>年度暂按享受重点软件企业减按</w:t>
      </w:r>
      <w:r>
        <w:rPr>
          <w:rFonts w:ascii="Times New Roman" w:eastAsia="Times New Roman" w:hAnsi="Times New Roman" w:cs="Times New Roman"/>
          <w:color w:val="000000"/>
          <w:spacing w:val="0"/>
          <w:w w:val="100"/>
          <w:position w:val="0"/>
        </w:rPr>
        <w:t>10%</w:t>
      </w:r>
      <w:r>
        <w:rPr>
          <w:color w:val="000000"/>
          <w:spacing w:val="0"/>
          <w:w w:val="100"/>
          <w:position w:val="0"/>
        </w:rPr>
        <w:t>税率征收企业所得税的税收优惠政策。</w:t>
      </w:r>
    </w:p>
    <w:p>
      <w:pPr>
        <w:pStyle w:val="Style26"/>
        <w:keepNext w:val="0"/>
        <w:keepLines w:val="0"/>
        <w:widowControl w:val="0"/>
        <w:numPr>
          <w:ilvl w:val="0"/>
          <w:numId w:val="139"/>
        </w:numPr>
        <w:shd w:val="clear" w:color="auto" w:fill="auto"/>
        <w:tabs>
          <w:tab w:pos="893" w:val="left"/>
        </w:tabs>
        <w:bidi w:val="0"/>
        <w:spacing w:before="0" w:after="0" w:line="312" w:lineRule="exact"/>
        <w:ind w:left="0" w:right="0" w:firstLine="520"/>
        <w:jc w:val="left"/>
      </w:pPr>
      <w:bookmarkStart w:id="1214" w:name="bookmark1214"/>
      <w:bookmarkEnd w:id="1214"/>
      <w:r>
        <w:rPr>
          <w:color w:val="000000"/>
          <w:spacing w:val="0"/>
          <w:w w:val="100"/>
          <w:position w:val="0"/>
        </w:rPr>
        <w:t>菲耐得</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。菲耐 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日取得上海市科学技术委员会、上海市财政局、上海市国家税务局、上海市地方税务局批准的《高新技术 企业证书》，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日高新技术企业复审通过。菲耐得</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2021</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 率征收企业所得税的税收优惠政策。</w:t>
      </w:r>
    </w:p>
    <w:p>
      <w:pPr>
        <w:pStyle w:val="Style26"/>
        <w:keepNext w:val="0"/>
        <w:keepLines w:val="0"/>
        <w:widowControl w:val="0"/>
        <w:numPr>
          <w:ilvl w:val="0"/>
          <w:numId w:val="139"/>
        </w:numPr>
        <w:shd w:val="clear" w:color="auto" w:fill="auto"/>
        <w:tabs>
          <w:tab w:pos="893" w:val="left"/>
        </w:tabs>
        <w:bidi w:val="0"/>
        <w:spacing w:before="0" w:after="0" w:line="312" w:lineRule="exact"/>
        <w:ind w:left="0" w:right="0" w:firstLine="520"/>
        <w:jc w:val="left"/>
      </w:pPr>
      <w:bookmarkStart w:id="1215" w:name="bookmark1215"/>
      <w:bookmarkEnd w:id="1215"/>
      <w:r>
        <w:rPr>
          <w:color w:val="000000"/>
          <w:spacing w:val="0"/>
          <w:w w:val="100"/>
          <w:position w:val="0"/>
        </w:rPr>
        <w:t>上海润和</w:t>
      </w:r>
    </w:p>
    <w:p>
      <w:pPr>
        <w:pStyle w:val="Style26"/>
        <w:keepNext w:val="0"/>
        <w:keepLines w:val="0"/>
        <w:widowControl w:val="0"/>
        <w:shd w:val="clear" w:color="auto" w:fill="auto"/>
        <w:bidi w:val="0"/>
        <w:spacing w:before="0" w:after="0" w:line="312" w:lineRule="exact"/>
        <w:ind w:left="0" w:right="0" w:firstLine="520"/>
        <w:jc w:val="left"/>
      </w:pPr>
      <w:r>
        <w:rPr>
          <w:color w:val="000000"/>
          <w:spacing w:val="0"/>
          <w:w w:val="100"/>
          <w:position w:val="0"/>
        </w:rPr>
        <w:t>根据《中华人民共和国企业所得税法》规定</w:t>
      </w:r>
      <w:r>
        <w:rPr>
          <w:rFonts w:ascii="Times New Roman" w:eastAsia="Times New Roman" w:hAnsi="Times New Roman" w:cs="Times New Roman"/>
          <w:color w:val="000000"/>
          <w:spacing w:val="0"/>
          <w:w w:val="100"/>
          <w:position w:val="0"/>
        </w:rPr>
        <w:t>“</w:t>
      </w:r>
      <w:r>
        <w:rPr>
          <w:color w:val="000000"/>
          <w:spacing w:val="0"/>
          <w:w w:val="100"/>
          <w:position w:val="0"/>
        </w:rPr>
        <w:t>对国家需要重点扶持的高新技术企业，减按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 上海润和于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日取得上海市科学技术委员会、上海市财政局、国家税务总局上海市税务局批准的《高新技术企业 证书》。上海润和</w:t>
      </w:r>
      <w:r>
        <w:rPr>
          <w:rFonts w:ascii="Times New Roman" w:eastAsia="Times New Roman" w:hAnsi="Times New Roman" w:cs="Times New Roman"/>
          <w:color w:val="000000"/>
          <w:spacing w:val="0"/>
          <w:w w:val="100"/>
          <w:position w:val="0"/>
        </w:rPr>
        <w:t>2018</w:t>
      </w:r>
      <w:r>
        <w:rPr>
          <w:color w:val="000000"/>
          <w:spacing w:val="0"/>
          <w:w w:val="100"/>
          <w:position w:val="0"/>
        </w:rPr>
        <w:t>年度、</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年度享受高新技术企业减按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税率征收企业所得税的税收优惠政策。</w:t>
      </w:r>
    </w:p>
    <w:p>
      <w:pPr>
        <w:pStyle w:val="Style26"/>
        <w:keepNext w:val="0"/>
        <w:keepLines w:val="0"/>
        <w:widowControl w:val="0"/>
        <w:numPr>
          <w:ilvl w:val="0"/>
          <w:numId w:val="139"/>
        </w:numPr>
        <w:shd w:val="clear" w:color="auto" w:fill="auto"/>
        <w:tabs>
          <w:tab w:pos="893" w:val="left"/>
        </w:tabs>
        <w:bidi w:val="0"/>
        <w:spacing w:before="0" w:after="0" w:line="312" w:lineRule="exact"/>
        <w:ind w:left="0" w:right="0" w:firstLine="520"/>
        <w:jc w:val="left"/>
      </w:pPr>
      <w:bookmarkStart w:id="1216" w:name="bookmark1216"/>
      <w:bookmarkEnd w:id="1216"/>
      <w:r>
        <w:rPr>
          <w:color w:val="000000"/>
          <w:spacing w:val="0"/>
          <w:w w:val="100"/>
          <w:position w:val="0"/>
        </w:rPr>
        <w:t>除上述七家公司外，其他境内公司</w:t>
      </w:r>
      <w:r>
        <w:rPr>
          <w:rFonts w:ascii="Times New Roman" w:eastAsia="Times New Roman" w:hAnsi="Times New Roman" w:cs="Times New Roman"/>
          <w:color w:val="000000"/>
          <w:spacing w:val="0"/>
          <w:w w:val="100"/>
          <w:position w:val="0"/>
        </w:rPr>
        <w:t>2020</w:t>
      </w:r>
      <w:r>
        <w:rPr>
          <w:color w:val="000000"/>
          <w:spacing w:val="0"/>
          <w:w w:val="100"/>
          <w:position w:val="0"/>
        </w:rPr>
        <w:t>年度均执行</w:t>
      </w:r>
      <w:r>
        <w:rPr>
          <w:rFonts w:ascii="Times New Roman" w:eastAsia="Times New Roman" w:hAnsi="Times New Roman" w:cs="Times New Roman"/>
          <w:color w:val="000000"/>
          <w:spacing w:val="0"/>
          <w:w w:val="100"/>
          <w:position w:val="0"/>
        </w:rPr>
        <w:t>25%</w:t>
      </w:r>
      <w:r>
        <w:rPr>
          <w:color w:val="000000"/>
          <w:spacing w:val="0"/>
          <w:w w:val="100"/>
          <w:position w:val="0"/>
        </w:rPr>
        <w:t>的企业所得税税率。</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380" w:line="312" w:lineRule="exact"/>
        <w:ind w:left="0" w:right="0" w:firstLine="520"/>
        <w:jc w:val="left"/>
      </w:pPr>
      <w:r>
        <w:rPr>
          <w:color w:val="000000"/>
          <w:spacing w:val="0"/>
          <w:w w:val="100"/>
          <w:position w:val="0"/>
        </w:rPr>
        <w:t>报告期内，本公司收到增值税退税</w:t>
      </w:r>
      <w:r>
        <w:rPr>
          <w:rFonts w:ascii="Times New Roman" w:eastAsia="Times New Roman" w:hAnsi="Times New Roman" w:cs="Times New Roman"/>
          <w:color w:val="000000"/>
          <w:spacing w:val="0"/>
          <w:w w:val="100"/>
          <w:position w:val="0"/>
        </w:rPr>
        <w:t>3,732,211.64</w:t>
      </w:r>
      <w:r>
        <w:rPr>
          <w:color w:val="000000"/>
          <w:spacing w:val="0"/>
          <w:w w:val="100"/>
          <w:position w:val="0"/>
        </w:rPr>
        <w:t>元，对当期损益影响金额为</w:t>
      </w:r>
      <w:r>
        <w:rPr>
          <w:rFonts w:ascii="Times New Roman" w:eastAsia="Times New Roman" w:hAnsi="Times New Roman" w:cs="Times New Roman"/>
          <w:color w:val="000000"/>
          <w:spacing w:val="0"/>
          <w:w w:val="100"/>
          <w:position w:val="0"/>
        </w:rPr>
        <w:t>3,732,211.64</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color w:val="000000"/>
          <w:spacing w:val="0"/>
          <w:w w:val="100"/>
          <w:position w:val="0"/>
        </w:rPr>
        <w:t>、其他</w:t>
      </w:r>
      <w:bookmarkEnd w:id="1217"/>
      <w:bookmarkEnd w:id="1218"/>
      <w:bookmarkEnd w:id="1220"/>
    </w:p>
    <w:p>
      <w:pPr>
        <w:pStyle w:val="Style26"/>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境外公司主要税种及税率</w:t>
      </w:r>
    </w:p>
    <w:p>
      <w:pPr>
        <w:pStyle w:val="Style26"/>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）东京润和</w:t>
      </w:r>
    </w:p>
    <w:p>
      <w:pPr>
        <w:pStyle w:val="Style36"/>
        <w:keepNext w:val="0"/>
        <w:keepLines w:val="0"/>
        <w:widowControl w:val="0"/>
        <w:shd w:val="clear" w:color="auto" w:fill="auto"/>
        <w:bidi w:val="0"/>
        <w:spacing w:before="0" w:after="0" w:line="240" w:lineRule="auto"/>
        <w:ind w:left="494" w:right="0" w:firstLine="0"/>
        <w:jc w:val="left"/>
      </w:pPr>
      <w:r>
        <w:rPr>
          <w:color w:val="000000"/>
          <w:spacing w:val="0"/>
          <w:w w:val="100"/>
          <w:position w:val="0"/>
        </w:rPr>
        <w:t>东京润和注册于日本东京，其主要税种、税率如下:</w:t>
      </w:r>
    </w:p>
    <w:tbl>
      <w:tblPr>
        <w:tblOverlap w:val="never"/>
        <w:jc w:val="center"/>
        <w:tblLayout w:type="fixed"/>
      </w:tblPr>
      <w:tblGrid>
        <w:gridCol w:w="2280"/>
        <w:gridCol w:w="2266"/>
        <w:gridCol w:w="2270"/>
        <w:gridCol w:w="229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税（费）种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税（费）率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r>
    </w:tbl>
    <w:p>
      <w:pPr>
        <w:pStyle w:val="Style26"/>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：消费税是对商品和劳务的增值额课征的一种税，征收实行单一比例税率，税率为</w:t>
      </w:r>
      <w:r>
        <w:rPr>
          <w:rFonts w:ascii="Times New Roman" w:eastAsia="Times New Roman" w:hAnsi="Times New Roman" w:cs="Times New Roman"/>
          <w:color w:val="000000"/>
          <w:spacing w:val="0"/>
          <w:w w:val="100"/>
          <w:position w:val="0"/>
        </w:rPr>
        <w:t>10%</w:t>
      </w:r>
      <w:r>
        <w:rPr>
          <w:color w:val="000000"/>
          <w:spacing w:val="0"/>
          <w:w w:val="100"/>
          <w:position w:val="0"/>
        </w:rPr>
        <w:t>，以纳税人的总销货额与 总进货额的差额为计税依据，类似于国内的增值税。</w:t>
      </w:r>
    </w:p>
    <w:p>
      <w:pPr>
        <w:pStyle w:val="Style26"/>
        <w:keepNext w:val="0"/>
        <w:keepLines w:val="0"/>
        <w:widowControl w:val="0"/>
        <w:shd w:val="clear" w:color="auto" w:fill="auto"/>
        <w:bidi w:val="0"/>
        <w:spacing w:before="0" w:after="0" w:line="317" w:lineRule="exact"/>
        <w:ind w:left="0" w:right="0" w:firstLine="52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：企业所得税包括法人税、法人居民税、法人事业税、地方法人特别税。</w:t>
      </w:r>
    </w:p>
    <w:p>
      <w:pPr>
        <w:pStyle w:val="Style26"/>
        <w:keepNext w:val="0"/>
        <w:keepLines w:val="0"/>
        <w:widowControl w:val="0"/>
        <w:shd w:val="clear" w:color="auto" w:fill="auto"/>
        <w:tabs>
          <w:tab w:pos="965" w:val="left"/>
        </w:tabs>
        <w:bidi w:val="0"/>
        <w:spacing w:before="0" w:after="0" w:line="317" w:lineRule="exact"/>
        <w:ind w:left="0" w:right="0" w:firstLine="520"/>
        <w:jc w:val="both"/>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w:t>
        <w:tab/>
        <w:t>波士顿润和</w:t>
      </w:r>
    </w:p>
    <w:p>
      <w:pPr>
        <w:pStyle w:val="Style26"/>
        <w:keepNext w:val="0"/>
        <w:keepLines w:val="0"/>
        <w:widowControl w:val="0"/>
        <w:shd w:val="clear" w:color="auto" w:fill="auto"/>
        <w:bidi w:val="0"/>
        <w:spacing w:before="0" w:after="120" w:line="317" w:lineRule="exact"/>
        <w:ind w:left="0" w:right="0" w:firstLine="520"/>
        <w:jc w:val="left"/>
      </w:pPr>
      <w:r>
        <w:rPr>
          <w:color w:val="000000"/>
          <w:spacing w:val="0"/>
          <w:w w:val="100"/>
          <w:position w:val="0"/>
        </w:rPr>
        <w:t>波士顿润和注册于美国特拉华州，适用美国联邦企业累进所得税率。</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其他地方税按照有关规定计算缴纳。</w:t>
      </w:r>
    </w:p>
    <w:p>
      <w:pPr>
        <w:pStyle w:val="Style36"/>
        <w:keepNext w:val="0"/>
        <w:keepLines w:val="0"/>
        <w:widowControl w:val="0"/>
        <w:shd w:val="clear" w:color="auto" w:fill="auto"/>
        <w:tabs>
          <w:tab w:pos="855"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新加坡润和</w:t>
      </w:r>
    </w:p>
    <w:tbl>
      <w:tblPr>
        <w:tblOverlap w:val="never"/>
        <w:jc w:val="center"/>
        <w:tblLayout w:type="fixed"/>
      </w:tblPr>
      <w:tblGrid>
        <w:gridCol w:w="2280"/>
        <w:gridCol w:w="2266"/>
        <w:gridCol w:w="2270"/>
        <w:gridCol w:w="229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税（费）种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税（费）率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增值额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 xml:space="preserve">1 </w:t>
      </w:r>
      <w:r>
        <w:rPr>
          <w:color w:val="000000"/>
          <w:spacing w:val="0"/>
          <w:w w:val="100"/>
          <w:position w:val="0"/>
        </w:rPr>
        <w:t>：消费税</w:t>
      </w:r>
      <w:r>
        <w:rPr>
          <w:rFonts w:ascii="Times New Roman" w:eastAsia="Times New Roman" w:hAnsi="Times New Roman" w:cs="Times New Roman"/>
          <w:color w:val="000000"/>
          <w:spacing w:val="0"/>
          <w:w w:val="100"/>
          <w:position w:val="0"/>
        </w:rPr>
        <w:t>（Goods and Services Tax）</w:t>
      </w:r>
      <w:r>
        <w:rPr>
          <w:color w:val="000000"/>
          <w:spacing w:val="0"/>
          <w:w w:val="100"/>
          <w:position w:val="0"/>
        </w:rPr>
        <w:t>是对进口货物和所有在新加坡提供货物和劳务服务征收的一种税，税负由最终的 消费者负担，从事提供货物和劳务服务且年营业额在</w:t>
      </w:r>
      <w:r>
        <w:rPr>
          <w:rFonts w:ascii="Times New Roman" w:eastAsia="Times New Roman" w:hAnsi="Times New Roman" w:cs="Times New Roman"/>
          <w:color w:val="000000"/>
          <w:spacing w:val="0"/>
          <w:w w:val="100"/>
          <w:position w:val="0"/>
        </w:rPr>
        <w:t>10 0</w:t>
      </w:r>
      <w:r>
        <w:rPr>
          <w:color w:val="000000"/>
          <w:spacing w:val="0"/>
          <w:w w:val="100"/>
          <w:position w:val="0"/>
        </w:rPr>
        <w:t>万新元以上的纳税人，应进行消费税的纳税登记，进行了消费税登 记的纳税人，其消费税应纳税额为销项税额减去购进货物或服务支付的进项税额后的差额，类似于国内的增值税，对于出口</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货物和服务的消费税税率为零，新加坡润和目前所从事的软件外包业务属于出口服务，免征消费税。</w:t>
      </w:r>
    </w:p>
    <w:p>
      <w:pPr>
        <w:pStyle w:val="Style26"/>
        <w:keepNext w:val="0"/>
        <w:keepLines w:val="0"/>
        <w:widowControl w:val="0"/>
        <w:shd w:val="clear" w:color="auto" w:fill="auto"/>
        <w:bidi w:val="0"/>
        <w:spacing w:before="0" w:after="8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)香港润和</w:t>
      </w:r>
    </w:p>
    <w:p>
      <w:pPr>
        <w:pStyle w:val="Style26"/>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香港润和注册于中国香港，利得税税率为</w:t>
      </w:r>
      <w:r>
        <w:rPr>
          <w:rFonts w:ascii="Times New Roman" w:eastAsia="Times New Roman" w:hAnsi="Times New Roman" w:cs="Times New Roman"/>
          <w:color w:val="000000"/>
          <w:spacing w:val="0"/>
          <w:w w:val="100"/>
          <w:position w:val="0"/>
        </w:rPr>
        <w:t>16.50%</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sz w:val="24"/>
          <w:szCs w:val="24"/>
        </w:rPr>
        <w:t>七</w:t>
      </w:r>
      <w:bookmarkEnd w:id="1224"/>
      <w:r>
        <w:rPr>
          <w:color w:val="000000"/>
          <w:spacing w:val="0"/>
          <w:w w:val="100"/>
          <w:position w:val="0"/>
          <w:sz w:val="24"/>
          <w:szCs w:val="24"/>
        </w:rPr>
        <w:t>、合并财务报表项目注释</w:t>
      </w:r>
      <w:bookmarkEnd w:id="1222"/>
      <w:bookmarkEnd w:id="1223"/>
      <w:bookmarkEnd w:id="1225"/>
    </w:p>
    <w:p>
      <w:pPr>
        <w:pStyle w:val="Style30"/>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color w:val="000000"/>
          <w:spacing w:val="0"/>
          <w:w w:val="100"/>
          <w:position w:val="0"/>
        </w:rPr>
        <w:t>、货币资金</w:t>
      </w:r>
      <w:bookmarkEnd w:id="1226"/>
      <w:bookmarkEnd w:id="1227"/>
      <w:bookmarkEnd w:id="12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144,664.47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754,549,149.63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747,884,377.80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9,930,347.86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12,572,507.00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764,531,445.44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760,601,549.27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60,034,258.02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62,262,146.77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15" w:lineRule="exact"/>
        <w:ind w:left="0" w:right="0" w:firstLine="520"/>
        <w:jc w:val="left"/>
      </w:pPr>
      <w:r>
        <w:rPr>
          <w:color w:val="000000"/>
          <w:spacing w:val="0"/>
          <w:w w:val="100"/>
          <w:position w:val="0"/>
        </w:rPr>
        <w:t>本期末其他货币资金中</w:t>
      </w:r>
      <w:r>
        <w:rPr>
          <w:rFonts w:ascii="Times New Roman" w:eastAsia="Times New Roman" w:hAnsi="Times New Roman" w:cs="Times New Roman"/>
          <w:color w:val="000000"/>
          <w:spacing w:val="0"/>
          <w:w w:val="100"/>
          <w:position w:val="0"/>
        </w:rPr>
        <w:t>807,402.76</w:t>
      </w:r>
      <w:r>
        <w:rPr>
          <w:color w:val="000000"/>
          <w:spacing w:val="0"/>
          <w:w w:val="100"/>
          <w:position w:val="0"/>
        </w:rPr>
        <w:t>元系本公司及子公司东京润和在途货币资金、</w:t>
      </w:r>
      <w:r>
        <w:rPr>
          <w:rFonts w:ascii="Times New Roman" w:eastAsia="Times New Roman" w:hAnsi="Times New Roman" w:cs="Times New Roman"/>
          <w:color w:val="000000"/>
          <w:spacing w:val="0"/>
          <w:w w:val="100"/>
          <w:position w:val="0"/>
        </w:rPr>
        <w:t>264,957.94</w:t>
      </w:r>
      <w:r>
        <w:rPr>
          <w:color w:val="000000"/>
          <w:spacing w:val="0"/>
          <w:w w:val="100"/>
          <w:position w:val="0"/>
        </w:rPr>
        <w:t>元系本公司支付宝余额。本 期末银行存款中</w:t>
      </w:r>
      <w:r>
        <w:rPr>
          <w:rFonts w:ascii="Times New Roman" w:eastAsia="Times New Roman" w:hAnsi="Times New Roman" w:cs="Times New Roman"/>
          <w:color w:val="000000"/>
          <w:spacing w:val="0"/>
          <w:w w:val="100"/>
          <w:position w:val="0"/>
        </w:rPr>
        <w:t>1,032,393.16</w:t>
      </w:r>
      <w:r>
        <w:rPr>
          <w:color w:val="000000"/>
          <w:spacing w:val="0"/>
          <w:w w:val="100"/>
          <w:position w:val="0"/>
        </w:rPr>
        <w:t xml:space="preserve">元因子公司香港润和的恒生银行账户在办理注销手续中暂时使用受限，其他货币资金中 </w:t>
      </w:r>
      <w:r>
        <w:rPr>
          <w:rFonts w:ascii="Times New Roman" w:eastAsia="Times New Roman" w:hAnsi="Times New Roman" w:cs="Times New Roman"/>
          <w:color w:val="000000"/>
          <w:spacing w:val="0"/>
          <w:w w:val="100"/>
          <w:position w:val="0"/>
        </w:rPr>
        <w:t>8,857,987.16</w:t>
      </w:r>
      <w:r>
        <w:rPr>
          <w:color w:val="000000"/>
          <w:spacing w:val="0"/>
          <w:w w:val="100"/>
          <w:position w:val="0"/>
        </w:rPr>
        <w:t>元系本公司及子公司捷科智诚为开具保函存入的保证金及保证金利息，除此之外，货币资金中无其他因抵押或 冻结等对使用有限制、有潜在回收风险的款项。</w:t>
      </w:r>
    </w:p>
    <w:p>
      <w:pPr>
        <w:pStyle w:val="Style30"/>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color w:val="000000"/>
          <w:spacing w:val="0"/>
          <w:w w:val="100"/>
          <w:position w:val="0"/>
        </w:rPr>
        <w:t>、交易性金融资产</w:t>
      </w:r>
      <w:bookmarkEnd w:id="1230"/>
      <w:bookmarkEnd w:id="1231"/>
      <w:bookmarkEnd w:id="123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19,929,852.60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19,929,852.60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468,000,000.00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19,929,852.60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468,000,000.00</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6"/>
        <w:keepNext w:val="0"/>
        <w:keepLines w:val="0"/>
        <w:widowControl w:val="0"/>
        <w:numPr>
          <w:ilvl w:val="0"/>
          <w:numId w:val="141"/>
        </w:numPr>
        <w:shd w:val="clear" w:color="auto" w:fill="auto"/>
        <w:bidi w:val="0"/>
        <w:spacing w:before="0" w:after="0" w:line="312" w:lineRule="exact"/>
        <w:ind w:left="0" w:right="0" w:firstLine="0"/>
        <w:jc w:val="left"/>
      </w:pPr>
      <w:bookmarkStart w:id="1234" w:name="bookmark1234"/>
      <w:bookmarkEnd w:id="1234"/>
      <w:r>
        <w:rPr>
          <w:color w:val="000000"/>
          <w:spacing w:val="0"/>
          <w:w w:val="100"/>
          <w:position w:val="0"/>
        </w:rPr>
        <w:t xml:space="preserve"> 期末交易性金融资产为公司转让联营企业苏州博纳讯动软件有限公司部分股权后，公司对苏州博纳讯动软件有限公司 不再具有重大影响，剩余股权投资由</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转为</w:t>
      </w: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核算。</w:t>
      </w:r>
    </w:p>
    <w:p>
      <w:pPr>
        <w:pStyle w:val="Style26"/>
        <w:keepNext w:val="0"/>
        <w:keepLines w:val="0"/>
        <w:widowControl w:val="0"/>
        <w:numPr>
          <w:ilvl w:val="0"/>
          <w:numId w:val="141"/>
        </w:numPr>
        <w:shd w:val="clear" w:color="auto" w:fill="auto"/>
        <w:tabs>
          <w:tab w:pos="445" w:val="left"/>
        </w:tabs>
        <w:bidi w:val="0"/>
        <w:spacing w:before="0" w:after="380" w:line="312" w:lineRule="exact"/>
        <w:ind w:left="0" w:right="0" w:firstLine="0"/>
        <w:jc w:val="left"/>
      </w:pPr>
      <w:bookmarkStart w:id="1235" w:name="bookmark1235"/>
      <w:bookmarkEnd w:id="1235"/>
      <w:r>
        <w:rPr>
          <w:color w:val="000000"/>
          <w:spacing w:val="0"/>
          <w:w w:val="100"/>
          <w:position w:val="0"/>
        </w:rPr>
        <w:t>交易性金融资产期末余额较期初余额减少</w:t>
      </w:r>
      <w:r>
        <w:rPr>
          <w:rFonts w:ascii="Times New Roman" w:eastAsia="Times New Roman" w:hAnsi="Times New Roman" w:cs="Times New Roman"/>
          <w:color w:val="000000"/>
          <w:spacing w:val="0"/>
          <w:w w:val="100"/>
          <w:position w:val="0"/>
        </w:rPr>
        <w:t>95.74%</w:t>
      </w:r>
      <w:r>
        <w:rPr>
          <w:color w:val="000000"/>
          <w:spacing w:val="0"/>
          <w:w w:val="100"/>
          <w:position w:val="0"/>
        </w:rPr>
        <w:t>，主要原因是本期公司赎回闲置募集资金购买的银行理财产品。</w:t>
      </w:r>
    </w:p>
    <w:p>
      <w:pPr>
        <w:pStyle w:val="Style30"/>
        <w:keepNext/>
        <w:keepLines/>
        <w:widowControl w:val="0"/>
        <w:shd w:val="clear" w:color="auto" w:fill="auto"/>
        <w:bidi w:val="0"/>
        <w:spacing w:before="0" w:after="26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color w:val="000000"/>
          <w:spacing w:val="0"/>
          <w:w w:val="100"/>
          <w:position w:val="0"/>
        </w:rPr>
        <w:t>、衍生金融资产</w:t>
      </w:r>
      <w:bookmarkEnd w:id="1236"/>
      <w:bookmarkEnd w:id="1237"/>
      <w:bookmarkEnd w:id="1239"/>
    </w:p>
    <w:p>
      <w:pPr>
        <w:pStyle w:val="Style26"/>
        <w:keepNext w:val="0"/>
        <w:keepLines w:val="0"/>
        <w:widowControl w:val="0"/>
        <w:shd w:val="clear" w:color="auto" w:fill="auto"/>
        <w:bidi w:val="0"/>
        <w:spacing w:before="0" w:after="32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color w:val="000000"/>
          <w:spacing w:val="0"/>
          <w:w w:val="100"/>
          <w:position w:val="0"/>
        </w:rPr>
        <w:t>、应收票据</w:t>
      </w:r>
      <w:bookmarkEnd w:id="1240"/>
      <w:bookmarkEnd w:id="1241"/>
      <w:bookmarkEnd w:id="1243"/>
    </w:p>
    <w:p>
      <w:pPr>
        <w:pStyle w:val="Style30"/>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40"/>
      <w:bookmarkEnd w:id="1241"/>
      <w:bookmarkEnd w:id="124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18,418,420.20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18,610,948.30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18,418,420.20</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18,610,9</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18,418,42</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18,418,42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18,610,9</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18,418,42</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18,418,42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18,610,9</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18,610,94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18,418,42</w:t>
            </w:r>
          </w:p>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18,418,42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18,610,948.30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18,610,948.30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tbl>
      <w:tblPr>
        <w:tblOverlap w:val="never"/>
        <w:jc w:val="center"/>
        <w:tblLayout w:type="fixed"/>
      </w:tblPr>
      <w:tblGrid>
        <w:gridCol w:w="2424"/>
        <w:gridCol w:w="2390"/>
        <w:gridCol w:w="2395"/>
        <w:gridCol w:w="2496"/>
      </w:tblGrid>
      <w:tr>
        <w:trPr>
          <w:trHeight w:val="10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gridSpan w:val="3"/>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143"/>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本期计提、收回或转回的坏账准备情况</w:t>
      </w:r>
      <w:bookmarkEnd w:id="1246"/>
      <w:bookmarkEnd w:id="1247"/>
      <w:bookmarkEnd w:id="124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143"/>
        </w:numPr>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期末公司已质押的应收票据</w:t>
      </w:r>
      <w:bookmarkEnd w:id="1250"/>
      <w:bookmarkEnd w:id="1251"/>
      <w:bookmarkEnd w:id="125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9,325,832.00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9,325,832.00</w:t>
            </w:r>
          </w:p>
        </w:tc>
      </w:tr>
    </w:tbl>
    <w:p>
      <w:pPr>
        <w:widowControl w:val="0"/>
        <w:spacing w:after="319" w:line="1" w:lineRule="exact"/>
      </w:pPr>
    </w:p>
    <w:p>
      <w:pPr>
        <w:pStyle w:val="Style30"/>
        <w:keepNext/>
        <w:keepLines/>
        <w:widowControl w:val="0"/>
        <w:numPr>
          <w:ilvl w:val="0"/>
          <w:numId w:val="143"/>
        </w:numPr>
        <w:shd w:val="clear" w:color="auto" w:fill="auto"/>
        <w:bidi w:val="0"/>
        <w:spacing w:before="0" w:after="380" w:line="240" w:lineRule="auto"/>
        <w:ind w:left="0" w:right="0" w:firstLine="14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期末公司已背书或贴现且在资产负债表日尚未到期的应收票据</w:t>
      </w:r>
      <w:bookmarkEnd w:id="1254"/>
      <w:bookmarkEnd w:id="1255"/>
      <w:bookmarkEnd w:id="125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538,765.00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538,765.00</w:t>
            </w:r>
          </w:p>
        </w:tc>
      </w:tr>
    </w:tbl>
    <w:p>
      <w:pPr>
        <w:widowControl w:val="0"/>
        <w:spacing w:after="319" w:line="1" w:lineRule="exact"/>
      </w:pPr>
    </w:p>
    <w:p>
      <w:pPr>
        <w:pStyle w:val="Style30"/>
        <w:keepNext/>
        <w:keepLines/>
        <w:widowControl w:val="0"/>
        <w:numPr>
          <w:ilvl w:val="0"/>
          <w:numId w:val="143"/>
        </w:numPr>
        <w:shd w:val="clear" w:color="auto" w:fill="auto"/>
        <w:bidi w:val="0"/>
        <w:spacing w:before="0" w:after="380" w:line="240" w:lineRule="auto"/>
        <w:ind w:left="0" w:right="0" w:firstLine="14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期末公司因出票人未履约而将其转应收账款的票据</w:t>
      </w:r>
      <w:bookmarkEnd w:id="1258"/>
      <w:bookmarkEnd w:id="1259"/>
      <w:bookmarkEnd w:id="126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numPr>
          <w:ilvl w:val="0"/>
          <w:numId w:val="143"/>
        </w:numPr>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本期实际核销的应收票据情况</w:t>
      </w:r>
      <w:bookmarkEnd w:id="1262"/>
      <w:bookmarkEnd w:id="1263"/>
      <w:bookmarkEnd w:id="1265"/>
    </w:p>
    <w:p>
      <w:pPr>
        <w:pStyle w:val="Style26"/>
        <w:keepNext w:val="0"/>
        <w:keepLines w:val="0"/>
        <w:widowControl w:val="0"/>
        <w:shd w:val="clear" w:color="auto" w:fill="auto"/>
        <w:bidi w:val="0"/>
        <w:spacing w:before="0" w:after="2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0"/>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5</w:t>
      </w:r>
      <w:bookmarkEnd w:id="1268"/>
      <w:r>
        <w:rPr>
          <w:color w:val="000000"/>
          <w:spacing w:val="0"/>
          <w:w w:val="100"/>
          <w:position w:val="0"/>
        </w:rPr>
        <w:t>、应收账款</w:t>
      </w:r>
      <w:bookmarkEnd w:id="1266"/>
      <w:bookmarkEnd w:id="1267"/>
      <w:bookmarkEnd w:id="1269"/>
    </w:p>
    <w:p>
      <w:pPr>
        <w:pStyle w:val="Style30"/>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66"/>
      <w:bookmarkEnd w:id="1267"/>
      <w:bookmarkEnd w:id="127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123,465,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143,380,9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99.92%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107,967.07</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975.43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08.36</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单项金额重大并单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项计提坏账准备的</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120,170,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657.45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657.45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3,295,31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3,380,317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96.81%</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107,967.07</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1,068,22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952,447,7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1,069,421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114,180,8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955,240,48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08.64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 融资产组客户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30,338,8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122,113,8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314,061,3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61,103,20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252,958,11</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724.43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r>
      <w:tr>
        <w:trPr>
          <w:trHeight w:val="43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915,771,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85,437,2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830,333,8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755,360,0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53,077,63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702,282,37</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48.19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w:t>
            </w:r>
          </w:p>
        </w:tc>
      </w:tr>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1,191,68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239,242,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952,447,7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1,212,802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257,453,8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955,348,45</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9,813.77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105.13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08.64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按单项计提坏账准备：单项金额重大并单项计提坏账准备的应收账款</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53,230,040.10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53,230,040.10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47,427,235.23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47,427,235.23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13,013,382.12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13,013,382.12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120,170,657.45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120,170,657.45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按单项计提坏账准备：单项金额不重大并单项计提坏账准备的应收账款</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3,079,383.83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3,079,383.83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预计收回可能性较小</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月向法院申 请强制执行，但该客户 已无可执行的财产，预 计收回可能性较小</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3,295,317.98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3,295,317.98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 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152,452,724.43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30,338,863.98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152,452,724.43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30,338,863.98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公司参考历史信用损失经验，结合当前状况以及对未来经济状况的预测，确定该组合。</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915,771,113.91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85,437,265.72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915,771,113.91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85,437,265.72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公司参考历史信用损失经验，结合当前状况以及对未来经济状况的预测，确定该组合。</w:t>
      </w: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893,403,761.67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893,403,761.67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96,982,469.99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122,249,288.65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79,054,293.46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57,503,328.54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13,344,663.97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8,206,300.95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1,191,689,813.77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rPr>
        <w:t>12</w:t>
      </w:r>
      <w:r>
        <w:rPr>
          <w:color w:val="000000"/>
          <w:spacing w:val="0"/>
          <w:w w:val="100"/>
          <w:position w:val="0"/>
        </w:rPr>
        <w:t>号——上市公司从事软件与信息技术服务业务》的披露要求</w:t>
      </w:r>
    </w:p>
    <w:p>
      <w:pPr>
        <w:widowControl w:val="0"/>
        <w:spacing w:after="359" w:line="1" w:lineRule="exact"/>
      </w:pPr>
    </w:p>
    <w:p>
      <w:pPr>
        <w:pStyle w:val="Style30"/>
        <w:keepNext/>
        <w:keepLines/>
        <w:widowControl w:val="0"/>
        <w:numPr>
          <w:ilvl w:val="0"/>
          <w:numId w:val="145"/>
        </w:numPr>
        <w:shd w:val="clear" w:color="auto" w:fill="auto"/>
        <w:bidi w:val="0"/>
        <w:spacing w:before="0" w:line="240" w:lineRule="auto"/>
        <w:ind w:left="0" w:right="0" w:firstLine="14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本期计提、收回或转回的坏账准备情况</w:t>
      </w:r>
      <w:bookmarkEnd w:id="1272"/>
      <w:bookmarkEnd w:id="1273"/>
      <w:bookmarkEnd w:id="127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 单项计提坏账准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140,000,657.45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120,170,657.45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并单项计提坏账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3,272,350.91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107,967.07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3,295,317.98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 智融资产组客户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61,103,209.20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-30,764,345.22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30,338,863.98</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 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53,077,633.98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34,228,978.83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1,869,347.09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85,437,265.72</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257,453,851.54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3,572,600.68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15,085,000.00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1,869,347.09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239,242,105.13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江苏生活通信息技术有限公司（客户</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签订债务和解协议收回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哈尔滨银行股份有限公司（客户</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收回单项计提应收账款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15,085,000.00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经公司本期持续催收回款，</w:t>
      </w:r>
      <w:r>
        <w:rPr>
          <w:rFonts w:ascii="Times New Roman" w:eastAsia="Times New Roman" w:hAnsi="Times New Roman" w:cs="Times New Roman"/>
          <w:color w:val="000000"/>
          <w:spacing w:val="0"/>
          <w:w w:val="100"/>
          <w:position w:val="0"/>
        </w:rPr>
        <w:t>2019</w:t>
      </w:r>
      <w:r>
        <w:rPr>
          <w:color w:val="000000"/>
          <w:spacing w:val="0"/>
          <w:w w:val="100"/>
          <w:position w:val="0"/>
        </w:rPr>
        <w:t>年末单项计提客户江苏生活通信息技术有限公司本期回款人民币</w:t>
      </w:r>
      <w:r>
        <w:rPr>
          <w:rFonts w:ascii="Times New Roman" w:eastAsia="Times New Roman" w:hAnsi="Times New Roman" w:cs="Times New Roman"/>
          <w:color w:val="000000"/>
          <w:spacing w:val="0"/>
          <w:w w:val="100"/>
          <w:position w:val="0"/>
        </w:rPr>
        <w:t>1,500.00</w:t>
      </w:r>
      <w:r>
        <w:rPr>
          <w:color w:val="000000"/>
          <w:spacing w:val="0"/>
          <w:w w:val="100"/>
          <w:position w:val="0"/>
        </w:rPr>
        <w:t>万元，哈尔滨银行 股份有限公司本期回款人民币</w:t>
      </w:r>
      <w:r>
        <w:rPr>
          <w:rFonts w:ascii="Times New Roman" w:eastAsia="Times New Roman" w:hAnsi="Times New Roman" w:cs="Times New Roman"/>
          <w:color w:val="000000"/>
          <w:spacing w:val="0"/>
          <w:w w:val="100"/>
          <w:position w:val="0"/>
        </w:rPr>
        <w:t>8.50</w:t>
      </w:r>
      <w:r>
        <w:rPr>
          <w:color w:val="000000"/>
          <w:spacing w:val="0"/>
          <w:w w:val="100"/>
          <w:position w:val="0"/>
        </w:rPr>
        <w:t>万元。</w:t>
      </w:r>
    </w:p>
    <w:p>
      <w:pPr>
        <w:widowControl w:val="0"/>
        <w:spacing w:after="299" w:line="1" w:lineRule="exact"/>
      </w:pPr>
    </w:p>
    <w:p>
      <w:pPr>
        <w:pStyle w:val="Style30"/>
        <w:keepNext/>
        <w:keepLines/>
        <w:widowControl w:val="0"/>
        <w:shd w:val="clear" w:color="auto" w:fill="auto"/>
        <w:bidi w:val="0"/>
        <w:spacing w:before="0" w:after="380" w:line="240" w:lineRule="auto"/>
        <w:ind w:left="0" w:right="0" w:firstLine="14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76"/>
      <w:bookmarkEnd w:id="1277"/>
      <w:bookmarkEnd w:id="127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4,830,000.00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江苏生活通信息技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与客户签订和解协 议，已收到协议约定 的折价货款,对放弃 的债权金额进行核 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4,830,000.00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0"/>
        <w:keepNext/>
        <w:keepLines/>
        <w:widowControl w:val="0"/>
        <w:shd w:val="clear" w:color="auto" w:fill="auto"/>
        <w:bidi w:val="0"/>
        <w:spacing w:before="0" w:after="38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80"/>
      <w:bookmarkEnd w:id="1281"/>
      <w:bookmarkEnd w:id="128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123,100,143.61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6,155,007.18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107,157,275.33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107,157,275.33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79,288,654.68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3,964,432.73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73,884,757.89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3,694,237.89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43,718,356.97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2,185,917.85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427,149,188.48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keepLines/>
        <w:widowControl w:val="0"/>
        <w:numPr>
          <w:ilvl w:val="0"/>
          <w:numId w:val="137"/>
        </w:numPr>
        <w:shd w:val="clear" w:color="auto" w:fill="auto"/>
        <w:tabs>
          <w:tab w:pos="493" w:val="left"/>
        </w:tabs>
        <w:bidi w:val="0"/>
        <w:spacing w:before="0" w:after="28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因金融资产转移而终止确认的应收账款</w:t>
      </w:r>
      <w:bookmarkEnd w:id="1284"/>
      <w:bookmarkEnd w:id="1285"/>
      <w:bookmarkEnd w:id="1287"/>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0"/>
        <w:keepNext/>
        <w:keepLines/>
        <w:widowControl w:val="0"/>
        <w:numPr>
          <w:ilvl w:val="0"/>
          <w:numId w:val="137"/>
        </w:numPr>
        <w:shd w:val="clear" w:color="auto" w:fill="auto"/>
        <w:tabs>
          <w:tab w:pos="493" w:val="left"/>
        </w:tabs>
        <w:bidi w:val="0"/>
        <w:spacing w:before="0" w:after="280" w:line="240" w:lineRule="auto"/>
        <w:ind w:left="0" w:right="0" w:firstLine="0"/>
        <w:jc w:val="left"/>
      </w:pPr>
      <w:bookmarkStart w:id="1288" w:name="bookmark1288"/>
      <w:bookmarkStart w:id="1289" w:name="bookmark1289"/>
      <w:bookmarkStart w:id="1290" w:name="bookmark1290"/>
      <w:bookmarkStart w:id="1291" w:name="bookmark1291"/>
      <w:bookmarkEnd w:id="1290"/>
      <w:r>
        <w:rPr>
          <w:color w:val="000000"/>
          <w:spacing w:val="0"/>
          <w:w w:val="100"/>
          <w:position w:val="0"/>
        </w:rPr>
        <w:t>转移应收账款且继续涉入形成的资产、负债金额</w:t>
      </w:r>
      <w:bookmarkEnd w:id="1288"/>
      <w:bookmarkEnd w:id="1289"/>
      <w:bookmarkEnd w:id="129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：第二名亚联(天津)信息技术有限责任公司应收账款期末余额按照合并口径计算，包括其关联公司芝麻邦科技有限公 司和亚联创新科技有限责任公司的应收账款期末余额，对应应收账款已全额单项计提坏账准备。</w:t>
      </w:r>
    </w:p>
    <w:p>
      <w:pPr>
        <w:pStyle w:val="Style26"/>
        <w:keepNext w:val="0"/>
        <w:keepLines w:val="0"/>
        <w:widowControl w:val="0"/>
        <w:numPr>
          <w:ilvl w:val="0"/>
          <w:numId w:val="147"/>
        </w:numPr>
        <w:shd w:val="clear" w:color="auto" w:fill="auto"/>
        <w:tabs>
          <w:tab w:pos="445" w:val="left"/>
        </w:tabs>
        <w:bidi w:val="0"/>
        <w:spacing w:before="0" w:after="0" w:line="312" w:lineRule="exact"/>
        <w:ind w:left="0" w:right="0" w:firstLine="0"/>
        <w:jc w:val="left"/>
      </w:pPr>
      <w:bookmarkStart w:id="1292" w:name="bookmark1292"/>
      <w:bookmarkEnd w:id="1292"/>
      <w:r>
        <w:rPr>
          <w:color w:val="000000"/>
          <w:spacing w:val="0"/>
          <w:w w:val="100"/>
          <w:position w:val="0"/>
        </w:rPr>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val="0"/>
        <w:keepLines w:val="0"/>
        <w:widowControl w:val="0"/>
        <w:numPr>
          <w:ilvl w:val="0"/>
          <w:numId w:val="147"/>
        </w:numPr>
        <w:shd w:val="clear" w:color="auto" w:fill="auto"/>
        <w:tabs>
          <w:tab w:pos="445" w:val="left"/>
        </w:tabs>
        <w:bidi w:val="0"/>
        <w:spacing w:before="0" w:after="380" w:line="312" w:lineRule="exact"/>
        <w:ind w:left="0" w:right="0" w:firstLine="0"/>
        <w:jc w:val="left"/>
      </w:pPr>
      <w:bookmarkStart w:id="1293" w:name="bookmark1293"/>
      <w:bookmarkEnd w:id="1293"/>
      <w:r>
        <w:rPr>
          <w:color w:val="000000"/>
          <w:spacing w:val="0"/>
          <w:w w:val="100"/>
          <w:position w:val="0"/>
        </w:rPr>
        <w:t>本期计提坏账准备情况之其他变动为处置子公司减少的坏账准备。</w:t>
      </w:r>
    </w:p>
    <w:p>
      <w:pPr>
        <w:pStyle w:val="Style30"/>
        <w:keepNext/>
        <w:keepLines/>
        <w:widowControl w:val="0"/>
        <w:shd w:val="clear" w:color="auto" w:fill="auto"/>
        <w:bidi w:val="0"/>
        <w:spacing w:before="0" w:after="38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6</w:t>
      </w:r>
      <w:bookmarkEnd w:id="1296"/>
      <w:r>
        <w:rPr>
          <w:color w:val="000000"/>
          <w:spacing w:val="0"/>
          <w:w w:val="100"/>
          <w:position w:val="0"/>
        </w:rPr>
        <w:t>、应收款项融资</w:t>
      </w:r>
      <w:bookmarkEnd w:id="1294"/>
      <w:bookmarkEnd w:id="1295"/>
      <w:bookmarkEnd w:id="129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5,369,196.03</w:t>
            </w:r>
          </w:p>
        </w:tc>
      </w:tr>
    </w:tbl>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6"/>
        <w:keepNext w:val="0"/>
        <w:keepLines w:val="0"/>
        <w:widowControl w:val="0"/>
        <w:numPr>
          <w:ilvl w:val="0"/>
          <w:numId w:val="149"/>
        </w:numPr>
        <w:shd w:val="clear" w:color="auto" w:fill="auto"/>
        <w:tabs>
          <w:tab w:pos="445" w:val="left"/>
        </w:tabs>
        <w:bidi w:val="0"/>
        <w:spacing w:before="0" w:after="0" w:line="317" w:lineRule="exact"/>
        <w:ind w:left="0" w:right="0" w:firstLine="0"/>
        <w:jc w:val="left"/>
      </w:pPr>
      <w:bookmarkStart w:id="1298" w:name="bookmark1298"/>
      <w:bookmarkEnd w:id="1298"/>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日，本公司无按单项计提坏账准备的应收票据。</w:t>
      </w:r>
    </w:p>
    <w:p>
      <w:pPr>
        <w:pStyle w:val="Style26"/>
        <w:keepNext w:val="0"/>
        <w:keepLines w:val="0"/>
        <w:widowControl w:val="0"/>
        <w:numPr>
          <w:ilvl w:val="0"/>
          <w:numId w:val="149"/>
        </w:numPr>
        <w:shd w:val="clear" w:color="auto" w:fill="auto"/>
        <w:tabs>
          <w:tab w:pos="445" w:val="left"/>
        </w:tabs>
        <w:bidi w:val="0"/>
        <w:spacing w:before="0" w:after="0" w:line="317" w:lineRule="exact"/>
        <w:ind w:left="0" w:right="0" w:firstLine="0"/>
        <w:jc w:val="left"/>
      </w:pPr>
      <w:bookmarkStart w:id="1299" w:name="bookmark1299"/>
      <w:bookmarkEnd w:id="1299"/>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日，本公司无按商业承兑汇票组合计提坏账准备的应收票据。</w:t>
      </w:r>
    </w:p>
    <w:p>
      <w:pPr>
        <w:pStyle w:val="Style26"/>
        <w:keepNext w:val="0"/>
        <w:keepLines w:val="0"/>
        <w:widowControl w:val="0"/>
        <w:numPr>
          <w:ilvl w:val="0"/>
          <w:numId w:val="149"/>
        </w:numPr>
        <w:shd w:val="clear" w:color="auto" w:fill="auto"/>
        <w:tabs>
          <w:tab w:pos="541" w:val="left"/>
        </w:tabs>
        <w:bidi w:val="0"/>
        <w:spacing w:before="0" w:after="0" w:line="317" w:lineRule="exact"/>
        <w:ind w:left="0" w:right="0" w:firstLine="0"/>
        <w:jc w:val="left"/>
      </w:pPr>
      <w:bookmarkStart w:id="1300" w:name="bookmark1300"/>
      <w:bookmarkEnd w:id="1300"/>
      <w:r>
        <w:rPr>
          <w:color w:val="000000"/>
          <w:spacing w:val="0"/>
          <w:w w:val="100"/>
          <w:position w:val="0"/>
        </w:rPr>
        <w:t>按银行承兑汇票组合计提坏账准备：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日，本公司按照整个存续期预期信用损失计量银行承兑汇票坏账准 备。本公司认为所持有的银行承兑汇票不存在重大的信用风险，不会因银行或其他出票人违约而产生重大损失，故未计提信 用减值准备。按组合计提坏账准备的确认标准及说明见附注五、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val="0"/>
        <w:keepLines w:val="0"/>
        <w:widowControl w:val="0"/>
        <w:numPr>
          <w:ilvl w:val="0"/>
          <w:numId w:val="149"/>
        </w:numPr>
        <w:shd w:val="clear" w:color="auto" w:fill="auto"/>
        <w:tabs>
          <w:tab w:pos="445" w:val="left"/>
        </w:tabs>
        <w:bidi w:val="0"/>
        <w:spacing w:before="0" w:after="380" w:line="317" w:lineRule="exact"/>
        <w:ind w:left="0" w:right="0" w:firstLine="0"/>
        <w:jc w:val="left"/>
      </w:pPr>
      <w:bookmarkStart w:id="1301" w:name="bookmark1301"/>
      <w:bookmarkEnd w:id="1301"/>
      <w:r>
        <w:rPr>
          <w:color w:val="000000"/>
          <w:spacing w:val="0"/>
          <w:w w:val="100"/>
          <w:position w:val="0"/>
        </w:rPr>
        <w:t>应收款融资期末余额较期初余额减少</w:t>
      </w:r>
      <w:r>
        <w:rPr>
          <w:rFonts w:ascii="Times New Roman" w:eastAsia="Times New Roman" w:hAnsi="Times New Roman" w:cs="Times New Roman"/>
          <w:color w:val="000000"/>
          <w:spacing w:val="0"/>
          <w:w w:val="100"/>
          <w:position w:val="0"/>
        </w:rPr>
        <w:t>65.77%</w:t>
      </w:r>
      <w:r>
        <w:rPr>
          <w:color w:val="000000"/>
          <w:spacing w:val="0"/>
          <w:w w:val="100"/>
          <w:position w:val="0"/>
        </w:rPr>
        <w:t>，主要原因是本期公司银行承兑汇票到期承兑所致。</w:t>
      </w:r>
    </w:p>
    <w:p>
      <w:pPr>
        <w:pStyle w:val="Style30"/>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7</w:t>
      </w:r>
      <w:bookmarkEnd w:id="1304"/>
      <w:r>
        <w:rPr>
          <w:color w:val="000000"/>
          <w:spacing w:val="0"/>
          <w:w w:val="100"/>
          <w:position w:val="0"/>
        </w:rPr>
        <w:t>、预付款项</w:t>
      </w:r>
      <w:bookmarkEnd w:id="1302"/>
      <w:bookmarkEnd w:id="1303"/>
      <w:bookmarkEnd w:id="1305"/>
    </w:p>
    <w:p>
      <w:pPr>
        <w:pStyle w:val="Style30"/>
        <w:keepNext/>
        <w:keepLines/>
        <w:widowControl w:val="0"/>
        <w:numPr>
          <w:ilvl w:val="0"/>
          <w:numId w:val="151"/>
        </w:numPr>
        <w:shd w:val="clear" w:color="auto" w:fill="auto"/>
        <w:bidi w:val="0"/>
        <w:spacing w:before="0" w:after="380" w:line="240" w:lineRule="auto"/>
        <w:ind w:left="0" w:right="0" w:firstLine="0"/>
        <w:jc w:val="left"/>
      </w:pPr>
      <w:bookmarkStart w:id="1302" w:name="bookmark1302"/>
      <w:bookmarkStart w:id="1303" w:name="bookmark1303"/>
      <w:bookmarkStart w:id="1306" w:name="bookmark1306"/>
      <w:bookmarkStart w:id="1307" w:name="bookmark1307"/>
      <w:bookmarkEnd w:id="1306"/>
      <w:r>
        <w:rPr>
          <w:color w:val="000000"/>
          <w:spacing w:val="0"/>
          <w:w w:val="100"/>
          <w:position w:val="0"/>
        </w:rPr>
        <w:t>预付款项按账龄列示</w:t>
      </w:r>
      <w:bookmarkEnd w:id="1302"/>
      <w:bookmarkEnd w:id="1303"/>
      <w:bookmarkEnd w:id="130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38,071,113.52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6,092,603.34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38,071,113.52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6,092,603.34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r>
        <w:br w:type="page"/>
      </w:r>
    </w:p>
    <w:p>
      <w:pPr>
        <w:pStyle w:val="Style3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）按预付对象归集的期末余额前五名的预付款情况</w:t>
      </w:r>
    </w:p>
    <w:tbl>
      <w:tblPr>
        <w:tblOverlap w:val="never"/>
        <w:jc w:val="left"/>
        <w:tblLayout w:type="fixed"/>
      </w:tblPr>
      <w:tblGrid>
        <w:gridCol w:w="3768"/>
        <w:gridCol w:w="2688"/>
        <w:gridCol w:w="2429"/>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占预付款项期末余额合计 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阿里云计算有限公司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31,207,448.44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屠同舟（预付办公场所出租方租金）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1,640,866.26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4.31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北京数湖科技有限公司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2.23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上海嘉丹立投资管理有限公司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333,285.27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0.88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中国人民人寿保险股份有限公司北京市 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276,048.69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020" w:right="0" w:firstLine="0"/>
              <w:jc w:val="both"/>
              <w:rPr>
                <w:sz w:val="20"/>
                <w:szCs w:val="20"/>
              </w:rPr>
            </w:pPr>
            <w:r>
              <w:rPr>
                <w:rFonts w:ascii="Times New Roman" w:eastAsia="Times New Roman" w:hAnsi="Times New Roman" w:cs="Times New Roman"/>
                <w:color w:val="000000"/>
                <w:spacing w:val="0"/>
                <w:w w:val="100"/>
                <w:position w:val="0"/>
                <w:sz w:val="20"/>
                <w:szCs w:val="20"/>
              </w:rPr>
              <w:t>0.73</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34,307,648.66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90.12</w:t>
            </w:r>
          </w:p>
        </w:tc>
      </w:tr>
    </w:tbl>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预付款项期末余额较期初余额增长</w:t>
      </w:r>
      <w:r>
        <w:rPr>
          <w:rFonts w:ascii="Times New Roman" w:eastAsia="Times New Roman" w:hAnsi="Times New Roman" w:cs="Times New Roman"/>
          <w:color w:val="000000"/>
          <w:spacing w:val="0"/>
          <w:w w:val="100"/>
          <w:position w:val="0"/>
        </w:rPr>
        <w:t>524.87%</w:t>
      </w:r>
      <w:r>
        <w:rPr>
          <w:color w:val="000000"/>
          <w:spacing w:val="0"/>
          <w:w w:val="100"/>
          <w:position w:val="0"/>
        </w:rPr>
        <w:t>，主要原因是预付阿里云计算有限公司硬件采购款的增加。</w:t>
      </w:r>
    </w:p>
    <w:p>
      <w:pPr>
        <w:widowControl w:val="0"/>
        <w:spacing w:after="379" w:line="1" w:lineRule="exact"/>
      </w:pPr>
    </w:p>
    <w:p>
      <w:pPr>
        <w:pStyle w:val="Style51"/>
        <w:keepNext w:val="0"/>
        <w:keepLines w:val="0"/>
        <w:widowControl w:val="0"/>
        <w:shd w:val="clear" w:color="auto" w:fill="auto"/>
        <w:bidi w:val="0"/>
        <w:spacing w:before="0" w:line="240" w:lineRule="auto"/>
        <w:ind w:left="0" w:right="0" w:firstLine="0"/>
        <w:jc w:val="left"/>
      </w:pPr>
      <w:bookmarkStart w:id="1308" w:name="bookmark1308"/>
      <w:r>
        <w:rPr>
          <w:rFonts w:ascii="Times New Roman" w:eastAsia="Times New Roman" w:hAnsi="Times New Roman" w:cs="Times New Roman"/>
          <w:color w:val="000000"/>
          <w:spacing w:val="0"/>
          <w:w w:val="100"/>
          <w:position w:val="0"/>
        </w:rPr>
        <w:t>8</w:t>
      </w:r>
      <w:bookmarkEnd w:id="1308"/>
      <w:r>
        <w:rPr>
          <w:color w:val="000000"/>
          <w:spacing w:val="0"/>
          <w:w w:val="100"/>
          <w:position w:val="0"/>
        </w:rPr>
        <w:t>、其他应收款</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32,160,320.37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22,312,614.60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32,160,320.37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22,312,614.60</w:t>
            </w:r>
          </w:p>
        </w:tc>
      </w:tr>
    </w:tbl>
    <w:p>
      <w:pPr>
        <w:pStyle w:val="Style3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）应收利息</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color w:val="000000"/>
          <w:spacing w:val="0"/>
          <w:w w:val="100"/>
          <w:position w:val="0"/>
        </w:rPr>
        <w:t>）应收利息分类</w:t>
      </w:r>
      <w:bookmarkEnd w:id="1309"/>
      <w:bookmarkEnd w:id="1310"/>
      <w:bookmarkEnd w:id="131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color w:val="000000"/>
          <w:spacing w:val="0"/>
          <w:w w:val="100"/>
          <w:position w:val="0"/>
        </w:rPr>
        <w:t>）重要逾期利息</w:t>
      </w:r>
      <w:bookmarkEnd w:id="1313"/>
      <w:bookmarkEnd w:id="1314"/>
      <w:bookmarkEnd w:id="131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color w:val="000000"/>
          <w:spacing w:val="0"/>
          <w:w w:val="100"/>
          <w:position w:val="0"/>
        </w:rPr>
        <w:t>）坏账准备计提情况</w:t>
      </w:r>
      <w:bookmarkEnd w:id="1317"/>
      <w:bookmarkEnd w:id="1318"/>
      <w:bookmarkEnd w:id="132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321"/>
      <w:bookmarkEnd w:id="1322"/>
      <w:bookmarkEnd w:id="1324"/>
    </w:p>
    <w:p>
      <w:pPr>
        <w:pStyle w:val="Style30"/>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5" w:name="bookmark1325"/>
      <w:bookmarkStart w:id="1326" w:name="bookmark1326"/>
      <w:r>
        <w:rPr>
          <w:rFonts w:ascii="Times New Roman" w:eastAsia="Times New Roman" w:hAnsi="Times New Roman" w:cs="Times New Roman"/>
          <w:color w:val="000000"/>
          <w:spacing w:val="0"/>
          <w:w w:val="100"/>
          <w:position w:val="0"/>
        </w:rPr>
        <w:t>1</w:t>
      </w:r>
      <w:bookmarkEnd w:id="1325"/>
      <w:r>
        <w:rPr>
          <w:color w:val="000000"/>
          <w:spacing w:val="0"/>
          <w:w w:val="100"/>
          <w:position w:val="0"/>
        </w:rPr>
        <w:t>）应收股利分类</w:t>
      </w:r>
      <w:bookmarkEnd w:id="1321"/>
      <w:bookmarkEnd w:id="1322"/>
      <w:bookmarkEnd w:id="132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327"/>
      <w:bookmarkEnd w:id="1328"/>
      <w:bookmarkEnd w:id="133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color w:val="000000"/>
          <w:spacing w:val="0"/>
          <w:w w:val="100"/>
          <w:position w:val="0"/>
        </w:rPr>
        <w:t>）坏账准备计提情况</w:t>
      </w:r>
      <w:bookmarkEnd w:id="1331"/>
      <w:bookmarkEnd w:id="1332"/>
      <w:bookmarkEnd w:id="133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w:t>
      </w:r>
      <w:bookmarkEnd w:id="133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335"/>
      <w:bookmarkEnd w:id="1336"/>
      <w:bookmarkEnd w:id="1338"/>
    </w:p>
    <w:p>
      <w:pPr>
        <w:pStyle w:val="Style30"/>
        <w:keepNext/>
        <w:keepLines/>
        <w:widowControl w:val="0"/>
        <w:shd w:val="clear" w:color="auto" w:fill="auto"/>
        <w:bidi w:val="0"/>
        <w:spacing w:before="0" w:line="240" w:lineRule="auto"/>
        <w:ind w:left="0" w:right="0" w:firstLine="0"/>
        <w:jc w:val="left"/>
      </w:pPr>
      <w:bookmarkStart w:id="1335" w:name="bookmark1335"/>
      <w:bookmarkStart w:id="1336" w:name="bookmark1336"/>
      <w:bookmarkStart w:id="1339" w:name="bookmark1339"/>
      <w:bookmarkStart w:id="1340" w:name="bookmark1340"/>
      <w:r>
        <w:rPr>
          <w:rFonts w:ascii="Times New Roman" w:eastAsia="Times New Roman" w:hAnsi="Times New Roman" w:cs="Times New Roman"/>
          <w:color w:val="000000"/>
          <w:spacing w:val="0"/>
          <w:w w:val="100"/>
          <w:position w:val="0"/>
        </w:rPr>
        <w:t>1</w:t>
      </w:r>
      <w:bookmarkEnd w:id="1339"/>
      <w:r>
        <w:rPr>
          <w:color w:val="000000"/>
          <w:spacing w:val="0"/>
          <w:w w:val="100"/>
          <w:position w:val="0"/>
        </w:rPr>
        <w:t>）其他应收款按款项性质分类情况</w:t>
      </w:r>
      <w:bookmarkEnd w:id="1335"/>
      <w:bookmarkEnd w:id="1336"/>
      <w:bookmarkEnd w:id="134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16,246,310.32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12,535,458.35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13,890,949.73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2,024,708.14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5,357,771.22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5,526,112.93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6,003,795.69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37,532,589.74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25,252,516.64</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color w:val="000000"/>
          <w:spacing w:val="0"/>
          <w:w w:val="100"/>
          <w:position w:val="0"/>
        </w:rPr>
        <w:t>）坏账准备计提情况</w:t>
      </w:r>
      <w:bookmarkEnd w:id="1341"/>
      <w:bookmarkEnd w:id="1342"/>
      <w:bookmarkEnd w:id="13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2,939,902.04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2,939,902.04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2,478,090.00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2,478,090.00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5,372,269.37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5,372,269.37</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30,455,213.19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30,455,213.19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1,794,845.43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3,225,013.90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2,057,517.22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1,754,712.45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108,689.32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194,115.45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37,532,589.74</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color w:val="000000"/>
          <w:spacing w:val="0"/>
          <w:w w:val="100"/>
          <w:position w:val="0"/>
        </w:rPr>
        <w:t>）本期计提、收回或转回的坏账准备情况</w:t>
      </w:r>
      <w:bookmarkEnd w:id="1345"/>
      <w:bookmarkEnd w:id="1346"/>
      <w:bookmarkEnd w:id="1348"/>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：应收其他 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2,939,902.04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2,478,090.00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45,722.67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5,372,269.37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2,939,902.04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2,478,090.00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45,722.67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5,372,269.37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4</w:t>
      </w:r>
      <w:bookmarkEnd w:id="1351"/>
      <w:r>
        <w:rPr>
          <w:color w:val="000000"/>
          <w:spacing w:val="0"/>
          <w:w w:val="100"/>
          <w:position w:val="0"/>
        </w:rPr>
        <w:t>）本期实际核销的其他应收款情况</w:t>
      </w:r>
      <w:bookmarkEnd w:id="1349"/>
      <w:bookmarkEnd w:id="1350"/>
      <w:bookmarkEnd w:id="135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其中重要的其他应收款核销情况：</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p>
          <w:p>
            <w:pPr>
              <w:pStyle w:val="Style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16,246,310.32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812,315.52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上海嘉丹立投资管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1,148,941.42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777,393.07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云南南天电子信息 产业股份有限公司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475,380.00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西安环普科技产业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897,387.00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448,693.50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20,485,638.74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2,573,782.09</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6</w:t>
      </w:r>
      <w:bookmarkEnd w:id="1355"/>
      <w:r>
        <w:rPr>
          <w:color w:val="000000"/>
          <w:spacing w:val="0"/>
          <w:w w:val="100"/>
          <w:position w:val="0"/>
        </w:rPr>
        <w:t>）涉及政府补助的应收款项</w:t>
      </w:r>
      <w:bookmarkEnd w:id="1353"/>
      <w:bookmarkEnd w:id="1354"/>
      <w:bookmarkEnd w:id="13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0"/>
        <w:keepNext/>
        <w:keepLines/>
        <w:widowControl w:val="0"/>
        <w:shd w:val="clear" w:color="auto" w:fill="auto"/>
        <w:tabs>
          <w:tab w:pos="392" w:val="left"/>
        </w:tabs>
        <w:bidi w:val="0"/>
        <w:spacing w:before="0" w:after="380" w:line="240" w:lineRule="auto"/>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7</w:t>
      </w:r>
      <w:bookmarkEnd w:id="1359"/>
      <w:r>
        <w:rPr>
          <w:color w:val="000000"/>
          <w:spacing w:val="0"/>
          <w:w w:val="100"/>
          <w:position w:val="0"/>
        </w:rPr>
        <w:t>）</w:t>
        <w:tab/>
        <w:t>因金融资产转移而终止确认的其他应收款</w:t>
      </w:r>
      <w:bookmarkEnd w:id="1357"/>
      <w:bookmarkEnd w:id="1358"/>
      <w:bookmarkEnd w:id="136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97" w:val="left"/>
        </w:tabs>
        <w:bidi w:val="0"/>
        <w:spacing w:before="0" w:after="380" w:line="240" w:lineRule="auto"/>
        <w:ind w:left="0" w:right="0" w:firstLine="0"/>
        <w:jc w:val="left"/>
      </w:pPr>
      <w:bookmarkStart w:id="1361" w:name="bookmark1361"/>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8</w:t>
      </w:r>
      <w:bookmarkEnd w:id="1363"/>
      <w:r>
        <w:rPr>
          <w:color w:val="000000"/>
          <w:spacing w:val="0"/>
          <w:w w:val="100"/>
          <w:position w:val="0"/>
        </w:rPr>
        <w:t>）</w:t>
        <w:tab/>
        <w:t>转移其他应收款且继续涉入形成的资产、负债金额</w:t>
      </w:r>
      <w:bookmarkEnd w:id="1361"/>
      <w:bookmarkEnd w:id="1362"/>
      <w:bookmarkEnd w:id="1364"/>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tabs>
          <w:tab w:pos="445" w:val="left"/>
        </w:tabs>
        <w:bidi w:val="0"/>
        <w:spacing w:before="0" w:after="80" w:line="240" w:lineRule="auto"/>
        <w:ind w:left="0" w:right="0" w:firstLine="0"/>
        <w:jc w:val="left"/>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rPr>
        <w:t>1</w:t>
      </w:r>
      <w:r>
        <w:rPr>
          <w:color w:val="000000"/>
          <w:spacing w:val="0"/>
          <w:w w:val="100"/>
          <w:position w:val="0"/>
        </w:rPr>
        <w:t>）</w:t>
        <w:tab/>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val="0"/>
        <w:keepLines w:val="0"/>
        <w:widowControl w:val="0"/>
        <w:shd w:val="clear" w:color="auto" w:fill="auto"/>
        <w:tabs>
          <w:tab w:pos="445" w:val="left"/>
        </w:tabs>
        <w:bidi w:val="0"/>
        <w:spacing w:before="0" w:after="80" w:line="240" w:lineRule="auto"/>
        <w:ind w:left="0" w:right="0" w:firstLine="0"/>
        <w:jc w:val="left"/>
      </w:pPr>
      <w:bookmarkStart w:id="1366" w:name="bookmark1366"/>
      <w:r>
        <w:rPr>
          <w:color w:val="000000"/>
          <w:spacing w:val="0"/>
          <w:w w:val="100"/>
          <w:position w:val="0"/>
        </w:rPr>
        <w:t>（</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w:t>
        <w:tab/>
        <w:t>本期计提坏账准备情况之其他变动为处置子公司减少的坏账准备。</w:t>
      </w:r>
    </w:p>
    <w:p>
      <w:pPr>
        <w:pStyle w:val="Style26"/>
        <w:keepNext w:val="0"/>
        <w:keepLines w:val="0"/>
        <w:widowControl w:val="0"/>
        <w:shd w:val="clear" w:color="auto" w:fill="auto"/>
        <w:bidi w:val="0"/>
        <w:spacing w:before="0" w:after="360" w:line="240" w:lineRule="auto"/>
        <w:ind w:left="0" w:right="0" w:firstLine="0"/>
        <w:jc w:val="left"/>
      </w:pPr>
      <w:bookmarkStart w:id="1367" w:name="bookmark1367"/>
      <w:r>
        <w:rPr>
          <w:color w:val="000000"/>
          <w:spacing w:val="0"/>
          <w:w w:val="100"/>
          <w:position w:val="0"/>
        </w:rPr>
        <w:t>（</w:t>
      </w:r>
      <w:bookmarkEnd w:id="1367"/>
      <w:r>
        <w:rPr>
          <w:rFonts w:ascii="Times New Roman" w:eastAsia="Times New Roman" w:hAnsi="Times New Roman" w:cs="Times New Roman"/>
          <w:color w:val="000000"/>
          <w:spacing w:val="0"/>
          <w:w w:val="100"/>
          <w:position w:val="0"/>
        </w:rPr>
        <w:t>3</w:t>
      </w:r>
      <w:r>
        <w:rPr>
          <w:color w:val="000000"/>
          <w:spacing w:val="0"/>
          <w:w w:val="100"/>
          <w:position w:val="0"/>
        </w:rPr>
        <w:t>） 其他应收款期末余额较期初余额增长</w:t>
      </w:r>
      <w:r>
        <w:rPr>
          <w:rFonts w:ascii="Times New Roman" w:eastAsia="Times New Roman" w:hAnsi="Times New Roman" w:cs="Times New Roman"/>
          <w:color w:val="000000"/>
          <w:spacing w:val="0"/>
          <w:w w:val="100"/>
          <w:position w:val="0"/>
        </w:rPr>
        <w:t>48.63%</w:t>
      </w:r>
      <w:r>
        <w:rPr>
          <w:color w:val="000000"/>
          <w:spacing w:val="0"/>
          <w:w w:val="100"/>
          <w:position w:val="0"/>
        </w:rPr>
        <w:t>，主要原因是期末资金往来余额的增加。</w:t>
      </w:r>
      <w:r>
        <w:br w:type="page"/>
      </w:r>
    </w:p>
    <w:p>
      <w:pPr>
        <w:pStyle w:val="Style30"/>
        <w:keepNext/>
        <w:keepLines/>
        <w:widowControl w:val="0"/>
        <w:shd w:val="clear" w:color="auto" w:fill="auto"/>
        <w:bidi w:val="0"/>
        <w:spacing w:before="0" w:line="240" w:lineRule="auto"/>
        <w:ind w:left="0" w:right="0" w:firstLine="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9</w:t>
      </w:r>
      <w:bookmarkEnd w:id="1370"/>
      <w:r>
        <w:rPr>
          <w:color w:val="000000"/>
          <w:spacing w:val="0"/>
          <w:w w:val="100"/>
          <w:position w:val="0"/>
        </w:rPr>
        <w:t>、存货</w:t>
      </w:r>
      <w:bookmarkEnd w:id="1368"/>
      <w:bookmarkEnd w:id="1369"/>
      <w:bookmarkEnd w:id="1371"/>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both"/>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72"/>
      <w:bookmarkEnd w:id="1373"/>
      <w:bookmarkEnd w:id="137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40,474,548.52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40,474,548.52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226,482,857.90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8,124,396.65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218,358,461.25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227,750,516.59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5,234,147.16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222,516,369.43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4,311,095.57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4,311,095.57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271,268,501.99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8,124,396.65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263,144,105.34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227,750,516.59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5,234,147.16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222,516,369.43</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76"/>
      <w:bookmarkEnd w:id="1377"/>
      <w:bookmarkEnd w:id="137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5,234,147.16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8,124,396.65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5,234,147.16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8,124,396.65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5,234,147.16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8,124,396.65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5,234,147.16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8,124,396.65</w:t>
            </w: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确定可变现净值的具体依据：根据项目的合同额扣除预计完工将要发生的成本。</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本期转回合同履约成本减值准备的原因：期初已计提合同履约成本减值准备对应的项目本期均已完工，相应的减值准备予以 转回。</w:t>
      </w:r>
    </w:p>
    <w:p>
      <w:pPr>
        <w:widowControl w:val="0"/>
        <w:spacing w:after="59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380"/>
      <w:bookmarkEnd w:id="1381"/>
      <w:bookmarkEnd w:id="1383"/>
    </w:p>
    <w:p>
      <w:pPr>
        <w:pStyle w:val="Style30"/>
        <w:keepNext/>
        <w:keepLines/>
        <w:widowControl w:val="0"/>
        <w:shd w:val="clear" w:color="auto" w:fill="auto"/>
        <w:tabs>
          <w:tab w:pos="493" w:val="left"/>
        </w:tabs>
        <w:bidi w:val="0"/>
        <w:spacing w:before="0" w:line="240" w:lineRule="auto"/>
        <w:ind w:left="0" w:right="0" w:firstLine="0"/>
        <w:jc w:val="left"/>
      </w:pPr>
      <w:bookmarkStart w:id="1380" w:name="bookmark1380"/>
      <w:bookmarkStart w:id="1381" w:name="bookmark1381"/>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380"/>
      <w:bookmarkEnd w:id="1381"/>
      <w:bookmarkEnd w:id="1385"/>
    </w:p>
    <w:p>
      <w:pPr>
        <w:pStyle w:val="Style30"/>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6" w:name="bookmark1386"/>
      <w:bookmarkStart w:id="1387" w:name="bookmark1387"/>
      <w:r>
        <w:rPr>
          <w:rFonts w:ascii="Times New Roman" w:eastAsia="Times New Roman" w:hAnsi="Times New Roman" w:cs="Times New Roman"/>
          <w:color w:val="000000"/>
          <w:spacing w:val="0"/>
          <w:w w:val="100"/>
          <w:position w:val="0"/>
        </w:rPr>
        <w:t>1</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80"/>
      <w:bookmarkEnd w:id="1381"/>
      <w:bookmarkEnd w:id="138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未达到无条件收款的货款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8,289,584.99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1,101,678.97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7,187,906.02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11,839,862.18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1,701,100.21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10,138,761.97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8,289,584.99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1,101,678.97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7,187,906.02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11,839,862.18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1,701,100.21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10,138,761.97</w:t>
            </w:r>
          </w:p>
        </w:tc>
      </w:tr>
    </w:tbl>
    <w:p>
      <w:pPr>
        <w:spacing w:lineRule="exact" w:line="1"/>
        <w:rPr>
          <w:sz w:val="2"/>
          <w:szCs w:val="2"/>
        </w:rPr>
      </w:pP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合同资产的账面价值在本期内发生的重大变动金额和原因：</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未达到无条件收款的货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本期减值准备计提金额 的确认标准及说明见附 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-599,421.24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日执行新收入准则，将未达到无条件收款的货款重分类至合同资产。</w:t>
      </w:r>
    </w:p>
    <w:p>
      <w:pPr>
        <w:pStyle w:val="Style30"/>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1</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88"/>
      <w:bookmarkEnd w:id="1389"/>
      <w:bookmarkEnd w:id="139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1</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92"/>
      <w:bookmarkEnd w:id="1393"/>
      <w:bookmarkEnd w:id="139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1</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96"/>
      <w:bookmarkEnd w:id="1397"/>
      <w:bookmarkEnd w:id="139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1,806,703.19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3,290,549.32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1,229,589.21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6,796,039.85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450,864.68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7,299,535.50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624,651.63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1,166,060.95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4,111,808.71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18,552,185.62</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其他流动资产期末余额较期初余额减少</w:t>
      </w:r>
      <w:r>
        <w:rPr>
          <w:rFonts w:ascii="Times New Roman" w:eastAsia="Times New Roman" w:hAnsi="Times New Roman" w:cs="Times New Roman"/>
          <w:color w:val="000000"/>
          <w:spacing w:val="0"/>
          <w:w w:val="100"/>
          <w:position w:val="0"/>
        </w:rPr>
        <w:t>77.84%</w:t>
      </w:r>
      <w:r>
        <w:rPr>
          <w:color w:val="000000"/>
          <w:spacing w:val="0"/>
          <w:w w:val="100"/>
          <w:position w:val="0"/>
        </w:rPr>
        <w:t>，主要原因是期末待认证进项税及预缴企业所得税减少。</w:t>
      </w:r>
    </w:p>
    <w:p>
      <w:pPr>
        <w:pStyle w:val="Style30"/>
        <w:keepNext/>
        <w:keepLines/>
        <w:widowControl w:val="0"/>
        <w:shd w:val="clear" w:color="auto" w:fill="auto"/>
        <w:bidi w:val="0"/>
        <w:spacing w:before="0" w:after="380" w:line="240" w:lineRule="auto"/>
        <w:ind w:left="0" w:right="0" w:firstLine="0"/>
        <w:jc w:val="both"/>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1</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400"/>
      <w:bookmarkEnd w:id="1401"/>
      <w:bookmarkEnd w:id="14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404"/>
      <w:bookmarkEnd w:id="1405"/>
      <w:bookmarkEnd w:id="1407"/>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1</w:t>
      </w:r>
      <w:bookmarkEnd w:id="141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408"/>
      <w:bookmarkEnd w:id="1409"/>
      <w:bookmarkEnd w:id="1411"/>
    </w:p>
    <w:p>
      <w:pPr>
        <w:pStyle w:val="Style30"/>
        <w:keepNext/>
        <w:keepLines/>
        <w:widowControl w:val="0"/>
        <w:shd w:val="clear" w:color="auto" w:fill="auto"/>
        <w:bidi w:val="0"/>
        <w:spacing w:before="0" w:after="380" w:line="240" w:lineRule="auto"/>
        <w:ind w:left="0" w:right="0" w:firstLine="0"/>
        <w:jc w:val="both"/>
      </w:pPr>
      <w:bookmarkStart w:id="1408" w:name="bookmark1408"/>
      <w:bookmarkStart w:id="1409" w:name="bookmark1409"/>
      <w:bookmarkStart w:id="1412" w:name="bookmark1412"/>
      <w:bookmarkStart w:id="1413" w:name="bookmark1413"/>
      <w:r>
        <w:rPr>
          <w:color w:val="000000"/>
          <w:spacing w:val="0"/>
          <w:w w:val="100"/>
          <w:position w:val="0"/>
        </w:rPr>
        <w:t>（</w:t>
      </w:r>
      <w:bookmarkEnd w:id="141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408"/>
      <w:bookmarkEnd w:id="1409"/>
      <w:bookmarkEnd w:id="14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414"/>
      <w:bookmarkEnd w:id="1415"/>
      <w:bookmarkEnd w:id="1417"/>
    </w:p>
    <w:p>
      <w:pPr>
        <w:pStyle w:val="Style30"/>
        <w:keepNext/>
        <w:keepLines/>
        <w:widowControl w:val="0"/>
        <w:shd w:val="clear" w:color="auto" w:fill="auto"/>
        <w:tabs>
          <w:tab w:pos="493" w:val="left"/>
        </w:tabs>
        <w:bidi w:val="0"/>
        <w:spacing w:before="0" w:after="380" w:line="240" w:lineRule="auto"/>
        <w:ind w:left="0" w:right="0" w:firstLine="0"/>
        <w:jc w:val="left"/>
      </w:pPr>
      <w:bookmarkStart w:id="1414" w:name="bookmark1414"/>
      <w:bookmarkStart w:id="1415" w:name="bookmark1415"/>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414"/>
      <w:bookmarkEnd w:id="1415"/>
      <w:bookmarkEnd w:id="141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420"/>
      <w:bookmarkEnd w:id="1421"/>
      <w:bookmarkEnd w:id="142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新维数联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28,200,92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1,667,840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29,868,76</w:t>
            </w:r>
          </w:p>
        </w:tc>
        <w:tc>
          <w:tcPr>
            <w:tcBorders>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w:t>
            </w: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奥特酷智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22,336,58</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 易家信息 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7,587,572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67,880.34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7,655,452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南京润辰 科技有限 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5,381,184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润芯微科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技（江苏）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-42,811.3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3,757,188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 智融科技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334,867.5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2,334,867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left w:val="single" w:sz="4"/>
              <w:right w:val="single" w:sz="4"/>
            </w:tcBorders>
            <w:shd w:val="clear" w:color="auto" w:fill="FFFFFF"/>
            <w:vAlign w:val="top"/>
          </w:tcPr>
          <w:p>
            <w:pPr>
              <w:widowControl w:val="0"/>
              <w:rPr>
                <w:sz w:val="10"/>
                <w:szCs w:val="10"/>
              </w:rPr>
            </w:pP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苏州博纳 讯动软件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89,474,57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868,673.7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71,334,04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89,474,57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868,673.7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71,334,04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39.85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tabs>
          <w:tab w:pos="394" w:val="left"/>
        </w:tabs>
        <w:bidi w:val="0"/>
        <w:spacing w:before="0" w:after="0" w:line="315" w:lineRule="exact"/>
        <w:ind w:left="0" w:right="0" w:firstLine="0"/>
        <w:jc w:val="left"/>
      </w:pPr>
      <w:bookmarkStart w:id="1424" w:name="bookmark1424"/>
      <w:r>
        <w:rPr>
          <w:color w:val="000000"/>
          <w:spacing w:val="0"/>
          <w:w w:val="100"/>
          <w:position w:val="0"/>
        </w:rPr>
        <w:t>（</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w:t>
        <w:tab/>
        <w:t>奥特酷智能科技（南京）有限公司其他权益变动系该公司本期增资扩股，本公司相应确认其他权益变动</w:t>
      </w:r>
      <w:r>
        <w:rPr>
          <w:rFonts w:ascii="Times New Roman" w:eastAsia="Times New Roman" w:hAnsi="Times New Roman" w:cs="Times New Roman"/>
          <w:color w:val="000000"/>
          <w:spacing w:val="0"/>
          <w:w w:val="100"/>
          <w:position w:val="0"/>
        </w:rPr>
        <w:t>4,286,395.93</w:t>
      </w:r>
      <w:r>
        <w:rPr>
          <w:color w:val="000000"/>
          <w:spacing w:val="0"/>
          <w:w w:val="100"/>
          <w:position w:val="0"/>
        </w:rPr>
        <w:t>元。</w:t>
      </w:r>
    </w:p>
    <w:p>
      <w:pPr>
        <w:pStyle w:val="Style26"/>
        <w:keepNext w:val="0"/>
        <w:keepLines w:val="0"/>
        <w:widowControl w:val="0"/>
        <w:shd w:val="clear" w:color="auto" w:fill="auto"/>
        <w:tabs>
          <w:tab w:pos="481" w:val="left"/>
        </w:tabs>
        <w:bidi w:val="0"/>
        <w:spacing w:before="0" w:after="0" w:line="315" w:lineRule="exact"/>
        <w:ind w:left="0" w:right="0" w:firstLine="0"/>
        <w:jc w:val="left"/>
      </w:pPr>
      <w:bookmarkStart w:id="1425" w:name="bookmark1425"/>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w:t>
        <w:tab/>
        <w:t>苏州博纳讯动软件有限公司（以下简称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博纳讯动</w:t>
      </w:r>
      <w:r>
        <w:rPr>
          <w:rFonts w:ascii="Times New Roman" w:eastAsia="Times New Roman" w:hAnsi="Times New Roman" w:cs="Times New Roman"/>
          <w:color w:val="000000"/>
          <w:spacing w:val="0"/>
          <w:w w:val="100"/>
          <w:position w:val="0"/>
        </w:rPr>
        <w:t>”</w:t>
      </w:r>
      <w:r>
        <w:rPr>
          <w:color w:val="000000"/>
          <w:spacing w:val="0"/>
          <w:w w:val="100"/>
          <w:position w:val="0"/>
        </w:rPr>
        <w:t>）其他权益变动系该公司本期增资扩股，本公司相应确认其他权益 变动</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721,712.09</w:t>
      </w:r>
      <w:r>
        <w:rPr>
          <w:color w:val="000000"/>
          <w:spacing w:val="0"/>
          <w:w w:val="100"/>
          <w:position w:val="0"/>
        </w:rPr>
        <w:t>元。</w:t>
      </w:r>
    </w:p>
    <w:p>
      <w:pPr>
        <w:pStyle w:val="Style26"/>
        <w:keepNext w:val="0"/>
        <w:keepLines w:val="0"/>
        <w:widowControl w:val="0"/>
        <w:shd w:val="clear" w:color="auto" w:fill="auto"/>
        <w:bidi w:val="0"/>
        <w:spacing w:before="0" w:after="0" w:line="315" w:lineRule="exact"/>
        <w:ind w:left="0" w:right="0" w:firstLine="0"/>
        <w:jc w:val="left"/>
      </w:pPr>
      <w:bookmarkStart w:id="1426" w:name="bookmark1426"/>
      <w:r>
        <w:rPr>
          <w:color w:val="000000"/>
          <w:spacing w:val="0"/>
          <w:w w:val="100"/>
          <w:position w:val="0"/>
        </w:rPr>
        <w:t>（</w:t>
      </w:r>
      <w:bookmarkEnd w:id="1426"/>
      <w:r>
        <w:rPr>
          <w:rFonts w:ascii="Times New Roman" w:eastAsia="Times New Roman" w:hAnsi="Times New Roman" w:cs="Times New Roman"/>
          <w:color w:val="000000"/>
          <w:spacing w:val="0"/>
          <w:w w:val="100"/>
          <w:position w:val="0"/>
        </w:rPr>
        <w:t>3</w:t>
      </w:r>
      <w:r>
        <w:rPr>
          <w:color w:val="000000"/>
          <w:spacing w:val="0"/>
          <w:w w:val="100"/>
          <w:position w:val="0"/>
        </w:rPr>
        <w:t>） 根据公司第五届董事会第五十一次会议审议通过的《关于转让参股公司部分股权的议案》，公司于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日分别 与</w:t>
      </w:r>
      <w:r>
        <w:rPr>
          <w:rFonts w:ascii="Times New Roman" w:eastAsia="Times New Roman" w:hAnsi="Times New Roman" w:cs="Times New Roman"/>
          <w:color w:val="000000"/>
          <w:spacing w:val="0"/>
          <w:w w:val="100"/>
          <w:position w:val="0"/>
        </w:rPr>
        <w:t>Platinum Decade Limited</w:t>
      </w:r>
      <w:r>
        <w:rPr>
          <w:color w:val="000000"/>
          <w:spacing w:val="0"/>
          <w:w w:val="100"/>
          <w:position w:val="0"/>
        </w:rPr>
        <w:t>、宿迁信石创业投资管理有限公司签署了有关博纳讯动之《股权转让协议》。公司将持有的博纳 讯动的</w:t>
      </w:r>
      <w:r>
        <w:rPr>
          <w:rFonts w:ascii="Times New Roman" w:eastAsia="Times New Roman" w:hAnsi="Times New Roman" w:cs="Times New Roman"/>
          <w:color w:val="000000"/>
          <w:spacing w:val="0"/>
          <w:w w:val="100"/>
          <w:position w:val="0"/>
        </w:rPr>
        <w:t>1.4643%</w:t>
      </w:r>
      <w:r>
        <w:rPr>
          <w:color w:val="000000"/>
          <w:spacing w:val="0"/>
          <w:w w:val="100"/>
          <w:position w:val="0"/>
        </w:rPr>
        <w:t>股权转让给</w:t>
      </w:r>
      <w:r>
        <w:rPr>
          <w:rFonts w:ascii="Times New Roman" w:eastAsia="Times New Roman" w:hAnsi="Times New Roman" w:cs="Times New Roman"/>
          <w:color w:val="000000"/>
          <w:spacing w:val="0"/>
          <w:w w:val="100"/>
          <w:position w:val="0"/>
        </w:rPr>
        <w:t>Platinum Decade</w:t>
      </w:r>
      <w:r>
        <w:rPr>
          <w:color w:val="000000"/>
          <w:spacing w:val="0"/>
          <w:w w:val="100"/>
          <w:position w:val="0"/>
        </w:rPr>
        <w:t>，</w:t>
      </w:r>
      <w:r>
        <w:rPr>
          <w:color w:val="000000"/>
          <w:spacing w:val="0"/>
          <w:w w:val="100"/>
          <w:position w:val="0"/>
        </w:rPr>
        <w:t>将持有的博纳讯动的</w:t>
      </w:r>
      <w:r>
        <w:rPr>
          <w:rFonts w:ascii="Times New Roman" w:eastAsia="Times New Roman" w:hAnsi="Times New Roman" w:cs="Times New Roman"/>
          <w:color w:val="000000"/>
          <w:spacing w:val="0"/>
          <w:w w:val="100"/>
          <w:position w:val="0"/>
        </w:rPr>
        <w:t>0.2416%</w:t>
      </w:r>
      <w:r>
        <w:rPr>
          <w:color w:val="000000"/>
          <w:spacing w:val="0"/>
          <w:w w:val="100"/>
          <w:position w:val="0"/>
        </w:rPr>
        <w:t>股权转让给宿迁信石，本次交易完成后，公司持有 博纳讯动</w:t>
      </w:r>
      <w:r>
        <w:rPr>
          <w:rFonts w:ascii="Times New Roman" w:eastAsia="Times New Roman" w:hAnsi="Times New Roman" w:cs="Times New Roman"/>
          <w:color w:val="000000"/>
          <w:spacing w:val="0"/>
          <w:w w:val="100"/>
          <w:position w:val="0"/>
        </w:rPr>
        <w:t>7.9036%</w:t>
      </w:r>
      <w:r>
        <w:rPr>
          <w:color w:val="000000"/>
          <w:spacing w:val="0"/>
          <w:w w:val="100"/>
          <w:position w:val="0"/>
        </w:rPr>
        <w:t>的股权；根据公司第六届董事会第三次会议审议通过的《关于转让参股公司部分股权的议案》，公司于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日与自然人王学军签署了有关博纳讯动之《股权转让协议》，公司将持有的博纳讯动的</w:t>
      </w:r>
      <w:r>
        <w:rPr>
          <w:rFonts w:ascii="Times New Roman" w:eastAsia="Times New Roman" w:hAnsi="Times New Roman" w:cs="Times New Roman"/>
          <w:color w:val="000000"/>
          <w:spacing w:val="0"/>
          <w:w w:val="100"/>
          <w:position w:val="0"/>
        </w:rPr>
        <w:t>2.93%</w:t>
      </w:r>
      <w:r>
        <w:rPr>
          <w:color w:val="000000"/>
          <w:spacing w:val="0"/>
          <w:w w:val="100"/>
          <w:position w:val="0"/>
        </w:rPr>
        <w:t>股权转让给自然人王 学军，本次交易完成后，公司持有博纳讯动</w:t>
      </w:r>
      <w:r>
        <w:rPr>
          <w:rFonts w:ascii="Times New Roman" w:eastAsia="Times New Roman" w:hAnsi="Times New Roman" w:cs="Times New Roman"/>
          <w:color w:val="000000"/>
          <w:spacing w:val="0"/>
          <w:w w:val="100"/>
          <w:position w:val="0"/>
        </w:rPr>
        <w:t>4.5430%</w:t>
      </w:r>
      <w:r>
        <w:rPr>
          <w:color w:val="000000"/>
          <w:spacing w:val="0"/>
          <w:w w:val="100"/>
          <w:position w:val="0"/>
        </w:rPr>
        <w:t>的股权，博纳讯动仍为公司的参股公司。上述股权转让后公司对博纳讯 动不再具有重大影响，剩余股权投资由</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转为</w:t>
      </w:r>
      <w:r>
        <w:rPr>
          <w:rFonts w:ascii="Times New Roman" w:eastAsia="Times New Roman" w:hAnsi="Times New Roman" w:cs="Times New Roman"/>
          <w:color w:val="000000"/>
          <w:spacing w:val="0"/>
          <w:w w:val="100"/>
          <w:position w:val="0"/>
        </w:rPr>
        <w:t>“</w:t>
      </w:r>
      <w:r>
        <w:rPr>
          <w:color w:val="000000"/>
          <w:spacing w:val="0"/>
          <w:w w:val="100"/>
          <w:position w:val="0"/>
        </w:rPr>
        <w:t>交易性金融资产</w:t>
      </w:r>
      <w:r>
        <w:rPr>
          <w:rFonts w:ascii="Times New Roman" w:eastAsia="Times New Roman" w:hAnsi="Times New Roman" w:cs="Times New Roman"/>
          <w:color w:val="000000"/>
          <w:spacing w:val="0"/>
          <w:w w:val="100"/>
          <w:position w:val="0"/>
        </w:rPr>
        <w:t>”</w:t>
      </w:r>
      <w:r>
        <w:rPr>
          <w:color w:val="000000"/>
          <w:spacing w:val="0"/>
          <w:w w:val="100"/>
          <w:position w:val="0"/>
        </w:rPr>
        <w:t>核算。</w:t>
      </w:r>
    </w:p>
    <w:p>
      <w:pPr>
        <w:pStyle w:val="Style26"/>
        <w:keepNext w:val="0"/>
        <w:keepLines w:val="0"/>
        <w:widowControl w:val="0"/>
        <w:shd w:val="clear" w:color="auto" w:fill="auto"/>
        <w:bidi w:val="0"/>
        <w:spacing w:before="0" w:after="0" w:line="315" w:lineRule="exact"/>
        <w:ind w:left="0" w:right="0" w:firstLine="0"/>
        <w:jc w:val="left"/>
      </w:pPr>
      <w:bookmarkStart w:id="1427" w:name="bookmark1427"/>
      <w:r>
        <w:rPr>
          <w:color w:val="000000"/>
          <w:spacing w:val="0"/>
          <w:w w:val="100"/>
          <w:position w:val="0"/>
        </w:rPr>
        <w:t>（</w:t>
      </w:r>
      <w:bookmarkEnd w:id="1427"/>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日，本公司参股投资设立润芯微科技（江苏）有限公司（以下简称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润芯微</w:t>
      </w:r>
      <w:r>
        <w:rPr>
          <w:rFonts w:ascii="Times New Roman" w:eastAsia="Times New Roman" w:hAnsi="Times New Roman" w:cs="Times New Roman"/>
          <w:color w:val="000000"/>
          <w:spacing w:val="0"/>
          <w:w w:val="100"/>
          <w:position w:val="0"/>
        </w:rPr>
        <w:t>”</w:t>
      </w:r>
      <w:r>
        <w:rPr>
          <w:color w:val="000000"/>
          <w:spacing w:val="0"/>
          <w:w w:val="100"/>
          <w:position w:val="0"/>
        </w:rPr>
        <w:t>），该公司注册资本</w:t>
      </w:r>
      <w:r>
        <w:rPr>
          <w:rFonts w:ascii="Times New Roman" w:eastAsia="Times New Roman" w:hAnsi="Times New Roman" w:cs="Times New Roman"/>
          <w:color w:val="000000"/>
          <w:spacing w:val="0"/>
          <w:w w:val="100"/>
          <w:position w:val="0"/>
        </w:rPr>
        <w:t>2,000.00</w:t>
      </w:r>
      <w:r>
        <w:br w:type="page"/>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万元，本公司认缴</w:t>
      </w:r>
      <w:r>
        <w:rPr>
          <w:rFonts w:ascii="Times New Roman" w:eastAsia="Times New Roman" w:hAnsi="Times New Roman" w:cs="Times New Roman"/>
          <w:color w:val="000000"/>
          <w:spacing w:val="0"/>
          <w:w w:val="100"/>
          <w:position w:val="0"/>
        </w:rPr>
        <w:t>380.00</w:t>
      </w:r>
      <w:r>
        <w:rPr>
          <w:color w:val="000000"/>
          <w:spacing w:val="0"/>
          <w:w w:val="100"/>
          <w:position w:val="0"/>
        </w:rPr>
        <w:t>万元</w:t>
      </w:r>
      <w:r>
        <w:rPr>
          <w:color w:val="000000"/>
          <w:spacing w:val="0"/>
          <w:w w:val="100"/>
          <w:position w:val="0"/>
        </w:rPr>
        <w:t>，</w:t>
      </w:r>
      <w:r>
        <w:rPr>
          <w:color w:val="000000"/>
          <w:spacing w:val="0"/>
          <w:w w:val="100"/>
          <w:position w:val="0"/>
        </w:rPr>
        <w:t>持股比例为</w:t>
      </w:r>
      <w:r>
        <w:rPr>
          <w:rFonts w:ascii="Times New Roman" w:eastAsia="Times New Roman" w:hAnsi="Times New Roman" w:cs="Times New Roman"/>
          <w:color w:val="000000"/>
          <w:spacing w:val="0"/>
          <w:w w:val="100"/>
          <w:position w:val="0"/>
        </w:rPr>
        <w:t>19.00%</w:t>
      </w:r>
      <w:r>
        <w:rPr>
          <w:color w:val="000000"/>
          <w:spacing w:val="0"/>
          <w:w w:val="100"/>
          <w:position w:val="0"/>
        </w:rPr>
        <w:t>，根据润芯微公司章程规定，本公司委派桑传刚先生担任监事，公司对润 芯微生产经营具有重大影响，故将此投资作为</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核算。</w:t>
      </w:r>
    </w:p>
    <w:p>
      <w:pPr>
        <w:pStyle w:val="Style26"/>
        <w:keepNext w:val="0"/>
        <w:keepLines w:val="0"/>
        <w:widowControl w:val="0"/>
        <w:numPr>
          <w:ilvl w:val="0"/>
          <w:numId w:val="153"/>
        </w:numPr>
        <w:shd w:val="clear" w:color="auto" w:fill="auto"/>
        <w:bidi w:val="0"/>
        <w:spacing w:before="0" w:after="380" w:line="314" w:lineRule="exact"/>
        <w:ind w:left="0" w:right="0" w:firstLine="0"/>
        <w:jc w:val="both"/>
      </w:pPr>
      <w:bookmarkStart w:id="1428" w:name="bookmark1428"/>
      <w:bookmarkEnd w:id="1428"/>
      <w:r>
        <w:rPr>
          <w:color w:val="000000"/>
          <w:spacing w:val="0"/>
          <w:w w:val="100"/>
          <w:position w:val="0"/>
        </w:rPr>
        <w:t xml:space="preserve">根据公司第五届董事会第五十五次会议审议通过的《关于转让控股子公司部分股权的议案》，公司将持有的润和智融 </w:t>
      </w:r>
      <w:r>
        <w:rPr>
          <w:rFonts w:ascii="Times New Roman" w:eastAsia="Times New Roman" w:hAnsi="Times New Roman" w:cs="Times New Roman"/>
          <w:color w:val="000000"/>
          <w:spacing w:val="0"/>
          <w:w w:val="100"/>
          <w:position w:val="0"/>
        </w:rPr>
        <w:t>2,000.00</w:t>
      </w:r>
      <w:r>
        <w:rPr>
          <w:color w:val="000000"/>
          <w:spacing w:val="0"/>
          <w:w w:val="100"/>
          <w:position w:val="0"/>
        </w:rPr>
        <w:t>万元出资额所对应的</w:t>
      </w:r>
      <w:r>
        <w:rPr>
          <w:rFonts w:ascii="Times New Roman" w:eastAsia="Times New Roman" w:hAnsi="Times New Roman" w:cs="Times New Roman"/>
          <w:color w:val="000000"/>
          <w:spacing w:val="0"/>
          <w:w w:val="100"/>
          <w:position w:val="0"/>
        </w:rPr>
        <w:t>40%</w:t>
      </w:r>
      <w:r>
        <w:rPr>
          <w:color w:val="000000"/>
          <w:spacing w:val="0"/>
          <w:w w:val="100"/>
          <w:position w:val="0"/>
        </w:rPr>
        <w:t>股权转让给南京瑞思创科技有限公司，转让对价为</w:t>
      </w:r>
      <w:r>
        <w:rPr>
          <w:rFonts w:ascii="Times New Roman" w:eastAsia="Times New Roman" w:hAnsi="Times New Roman" w:cs="Times New Roman"/>
          <w:color w:val="000000"/>
          <w:spacing w:val="0"/>
          <w:w w:val="100"/>
          <w:position w:val="0"/>
        </w:rPr>
        <w:t>400.00</w:t>
      </w:r>
      <w:r>
        <w:rPr>
          <w:color w:val="000000"/>
          <w:spacing w:val="0"/>
          <w:w w:val="100"/>
          <w:position w:val="0"/>
        </w:rPr>
        <w:t>万元人民币，且公司已认缴的但 截至目前尚未向润和智融缴纳的出资额</w:t>
      </w:r>
      <w:r>
        <w:rPr>
          <w:rFonts w:ascii="Times New Roman" w:eastAsia="Times New Roman" w:hAnsi="Times New Roman" w:cs="Times New Roman"/>
          <w:color w:val="000000"/>
          <w:spacing w:val="0"/>
          <w:w w:val="100"/>
          <w:position w:val="0"/>
        </w:rPr>
        <w:t>1,600.00</w:t>
      </w:r>
      <w:r>
        <w:rPr>
          <w:color w:val="000000"/>
          <w:spacing w:val="0"/>
          <w:w w:val="100"/>
          <w:position w:val="0"/>
        </w:rPr>
        <w:t xml:space="preserve">万元的出资义务亦随本次股权转让而转由南京瑞思创科技有限公司承接。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月，本次交易完成，公司持有润和智融</w:t>
      </w:r>
      <w:r>
        <w:rPr>
          <w:rFonts w:ascii="Times New Roman" w:eastAsia="Times New Roman" w:hAnsi="Times New Roman" w:cs="Times New Roman"/>
          <w:color w:val="000000"/>
          <w:spacing w:val="0"/>
          <w:w w:val="100"/>
          <w:position w:val="0"/>
        </w:rPr>
        <w:t>20%</w:t>
      </w:r>
      <w:r>
        <w:rPr>
          <w:color w:val="000000"/>
          <w:spacing w:val="0"/>
          <w:w w:val="100"/>
          <w:position w:val="0"/>
        </w:rPr>
        <w:t>的股权，润和智融成为公司参股公司，不再纳入公司合并报表范围。</w:t>
      </w:r>
    </w:p>
    <w:p>
      <w:pPr>
        <w:pStyle w:val="Style30"/>
        <w:keepNext/>
        <w:keepLines/>
        <w:widowControl w:val="0"/>
        <w:shd w:val="clear" w:color="auto" w:fill="auto"/>
        <w:bidi w:val="0"/>
        <w:spacing w:before="0" w:after="38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429"/>
      <w:bookmarkEnd w:id="1430"/>
      <w:bookmarkEnd w:id="1432"/>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江苏民营投资控股有限公司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6,508,355.32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6,508,355.32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NEVADA NANOTECH SYSTEMS INC. </w:t>
            </w: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6,667,971.48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7,129,167.14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233,176,326.80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233,637,522.46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江苏民营投资控 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管理层基于股权 投资业务模式和 未来现金流量特 征指定</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江苏开拓信息与 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管理层基于股权 投资业务模式和 未来现金流量特 征指定</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NEVADA</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NANOTECH</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SYSTEMS INC.</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管理层基于股权 投资业务模式和 未来现金流量特 征指定</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47"/>
        <w:keepNext w:val="0"/>
        <w:keepLines w:val="0"/>
        <w:widowControl w:val="0"/>
        <w:shd w:val="clear" w:color="auto" w:fill="auto"/>
        <w:bidi w:val="0"/>
        <w:spacing w:before="0" w:after="380" w:line="240" w:lineRule="auto"/>
        <w:ind w:left="0" w:right="0" w:firstLine="0"/>
        <w:jc w:val="left"/>
      </w:pPr>
      <w:r>
        <w:rPr>
          <w:rFonts w:ascii="SimSun" w:eastAsia="SimSun" w:hAnsi="SimSun" w:cs="SimSun"/>
          <w:color w:val="000000"/>
          <w:spacing w:val="0"/>
          <w:w w:val="100"/>
          <w:position w:val="0"/>
        </w:rPr>
        <w:t>注：</w:t>
      </w:r>
      <w:r>
        <w:rPr>
          <w:color w:val="000000"/>
          <w:spacing w:val="0"/>
          <w:w w:val="100"/>
          <w:position w:val="0"/>
        </w:rPr>
        <w:t>NEVADA NANOTECH SYSTEMS INC.</w:t>
      </w:r>
      <w:r>
        <w:rPr>
          <w:rFonts w:ascii="SimSun" w:eastAsia="SimSun" w:hAnsi="SimSun" w:cs="SimSun"/>
          <w:color w:val="000000"/>
          <w:spacing w:val="0"/>
          <w:w w:val="100"/>
          <w:position w:val="0"/>
        </w:rPr>
        <w:t>期末余额变动系汇率变动影响。</w:t>
      </w:r>
    </w:p>
    <w:p>
      <w:pPr>
        <w:pStyle w:val="Style30"/>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bookmarkEnd w:id="143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433"/>
      <w:bookmarkEnd w:id="1434"/>
      <w:bookmarkEnd w:id="1436"/>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bookmarkEnd w:id="1439"/>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437"/>
      <w:bookmarkEnd w:id="1438"/>
      <w:bookmarkEnd w:id="1440"/>
    </w:p>
    <w:p>
      <w:pPr>
        <w:pStyle w:val="Style30"/>
        <w:keepNext/>
        <w:keepLines/>
        <w:widowControl w:val="0"/>
        <w:shd w:val="clear" w:color="auto" w:fill="auto"/>
        <w:tabs>
          <w:tab w:pos="493" w:val="left"/>
        </w:tabs>
        <w:bidi w:val="0"/>
        <w:spacing w:before="0" w:after="380" w:line="240" w:lineRule="auto"/>
        <w:ind w:left="0" w:right="0" w:firstLine="0"/>
        <w:jc w:val="left"/>
      </w:pPr>
      <w:bookmarkStart w:id="1437" w:name="bookmark1437"/>
      <w:bookmarkStart w:id="1438" w:name="bookmark1438"/>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437"/>
      <w:bookmarkEnd w:id="1438"/>
      <w:bookmarkEnd w:id="144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443"/>
      <w:bookmarkEnd w:id="1444"/>
      <w:bookmarkEnd w:id="144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447"/>
      <w:bookmarkEnd w:id="1448"/>
      <w:bookmarkEnd w:id="14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bookmarkEnd w:id="1453"/>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451"/>
      <w:bookmarkEnd w:id="1452"/>
      <w:bookmarkEnd w:id="145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677,994,305.43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613,875,908.21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677,994,305.43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613,875,908.21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24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1</w:t>
      </w:r>
      <w:bookmarkEnd w:id="1457"/>
      <w:r>
        <w:rPr>
          <w:color w:val="000000"/>
          <w:spacing w:val="0"/>
          <w:w w:val="100"/>
          <w:position w:val="0"/>
        </w:rPr>
        <w:t>）固定资产情况</w:t>
      </w:r>
      <w:bookmarkEnd w:id="1455"/>
      <w:bookmarkEnd w:id="1456"/>
      <w:bookmarkEnd w:id="14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662,841,421.70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8,644,165.29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65,375,348.09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736,860,935.08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32,448,855.00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64,068,980.91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96,772,603.62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64,068,980.91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64,323,748.62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32,448,855.00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32,448,855.00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1,193,026.66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4,324,904.85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5,517,931.51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775,352.82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3,897,534.63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4,672,887.45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417,673.84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367,110.15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784,783.99</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）外币报表折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60,260.07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60,260.07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695,290,276.70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7,705,906.34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125,119,424.15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828,115,607.19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76,958,249.27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5,711,678.40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40,315,099.20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122,985,026.87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17,010,105.98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668,033.19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13,746,765.76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31,424,904.93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17,010,105.98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668,033.19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13,746,765.76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31,424,904.93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605,684.34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3,682,945.70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4,288,630.04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506,486.79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3,604,807.11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4,111,293.90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99,197.55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23,727.65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122,925.20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）外币报表折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54,410.94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93,968,355.25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5,774,027.25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50,378,919.26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150,121,301.76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601,321,921.45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1,931,879.09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74,740,504.89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677,994,305.43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585,883,172.43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2,932,486.89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25,060,248.89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613,875,908.21</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459"/>
      <w:bookmarkEnd w:id="1460"/>
      <w:bookmarkEnd w:id="146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463"/>
      <w:bookmarkEnd w:id="1464"/>
      <w:bookmarkEnd w:id="146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p>
      <w:pPr>
        <w:pStyle w:val="Style30"/>
        <w:keepNext/>
        <w:keepLines/>
        <w:widowControl w:val="0"/>
        <w:numPr>
          <w:ilvl w:val="0"/>
          <w:numId w:val="155"/>
        </w:numPr>
        <w:shd w:val="clear" w:color="auto" w:fill="auto"/>
        <w:bidi w:val="0"/>
        <w:spacing w:before="0" w:line="240" w:lineRule="auto"/>
        <w:ind w:left="0" w:right="0" w:firstLine="14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通过经营租赁租出的固定资产</w:t>
      </w:r>
      <w:bookmarkEnd w:id="1467"/>
      <w:bookmarkEnd w:id="1468"/>
      <w:bookmarkEnd w:id="14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325,694,636.05</w:t>
            </w:r>
          </w:p>
        </w:tc>
      </w:tr>
    </w:tbl>
    <w:p>
      <w:pPr>
        <w:widowControl w:val="0"/>
        <w:spacing w:after="359" w:line="1" w:lineRule="exact"/>
      </w:pPr>
    </w:p>
    <w:p>
      <w:pPr>
        <w:pStyle w:val="Style30"/>
        <w:keepNext/>
        <w:keepLines/>
        <w:widowControl w:val="0"/>
        <w:numPr>
          <w:ilvl w:val="0"/>
          <w:numId w:val="155"/>
        </w:numPr>
        <w:shd w:val="clear" w:color="auto" w:fill="auto"/>
        <w:bidi w:val="0"/>
        <w:spacing w:before="0" w:line="240" w:lineRule="auto"/>
        <w:ind w:left="0" w:right="0" w:firstLine="14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未办妥产权证书的固定资产情况</w:t>
      </w:r>
      <w:bookmarkEnd w:id="1471"/>
      <w:bookmarkEnd w:id="1472"/>
      <w:bookmarkEnd w:id="147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numPr>
          <w:ilvl w:val="0"/>
          <w:numId w:val="155"/>
        </w:numPr>
        <w:shd w:val="clear" w:color="auto" w:fill="auto"/>
        <w:bidi w:val="0"/>
        <w:spacing w:before="0" w:line="240" w:lineRule="auto"/>
        <w:ind w:left="0" w:right="0" w:firstLine="0"/>
        <w:jc w:val="both"/>
      </w:pPr>
      <w:bookmarkStart w:id="1475" w:name="bookmark1475"/>
      <w:bookmarkStart w:id="1476" w:name="bookmark1476"/>
      <w:bookmarkStart w:id="1477" w:name="bookmark1477"/>
      <w:bookmarkStart w:id="1478" w:name="bookmark1478"/>
      <w:bookmarkEnd w:id="1477"/>
      <w:r>
        <w:rPr>
          <w:color w:val="000000"/>
          <w:spacing w:val="0"/>
          <w:w w:val="100"/>
          <w:position w:val="0"/>
        </w:rPr>
        <w:t>固定资产清理</w:t>
      </w:r>
      <w:bookmarkEnd w:id="1475"/>
      <w:bookmarkEnd w:id="1476"/>
      <w:bookmarkEnd w:id="147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numPr>
          <w:ilvl w:val="0"/>
          <w:numId w:val="157"/>
        </w:numPr>
        <w:shd w:val="clear" w:color="auto" w:fill="auto"/>
        <w:tabs>
          <w:tab w:pos="373" w:val="left"/>
        </w:tabs>
        <w:bidi w:val="0"/>
        <w:spacing w:before="0" w:after="80" w:line="240" w:lineRule="auto"/>
        <w:ind w:left="0" w:right="0" w:firstLine="0"/>
        <w:jc w:val="both"/>
      </w:pPr>
      <w:bookmarkStart w:id="1479" w:name="bookmark1479"/>
      <w:bookmarkEnd w:id="1479"/>
      <w:r>
        <w:rPr>
          <w:color w:val="000000"/>
          <w:spacing w:val="0"/>
          <w:w w:val="100"/>
          <w:position w:val="0"/>
        </w:rPr>
        <w:t>本公司子公司外包园公司固定资产</w:t>
      </w:r>
      <w:r>
        <w:rPr>
          <w:rFonts w:ascii="Times New Roman" w:eastAsia="Times New Roman" w:hAnsi="Times New Roman" w:cs="Times New Roman"/>
          <w:color w:val="000000"/>
          <w:spacing w:val="0"/>
          <w:w w:val="100"/>
          <w:position w:val="0"/>
        </w:rPr>
        <w:t>2020</w:t>
      </w:r>
      <w:r>
        <w:rPr>
          <w:color w:val="000000"/>
          <w:spacing w:val="0"/>
          <w:w w:val="100"/>
          <w:position w:val="0"/>
        </w:rPr>
        <w:t>年末账面价值为</w:t>
      </w:r>
      <w:r>
        <w:rPr>
          <w:rFonts w:ascii="Times New Roman" w:eastAsia="Times New Roman" w:hAnsi="Times New Roman" w:cs="Times New Roman"/>
          <w:color w:val="000000"/>
          <w:spacing w:val="0"/>
          <w:w w:val="100"/>
          <w:position w:val="0"/>
        </w:rPr>
        <w:t>587,137,048.37</w:t>
      </w:r>
      <w:r>
        <w:rPr>
          <w:color w:val="000000"/>
          <w:spacing w:val="0"/>
          <w:w w:val="100"/>
          <w:position w:val="0"/>
        </w:rPr>
        <w:t>元的房屋建筑物已用作银行借款的抵押物。</w:t>
      </w:r>
    </w:p>
    <w:p>
      <w:pPr>
        <w:pStyle w:val="Style26"/>
        <w:keepNext w:val="0"/>
        <w:keepLines w:val="0"/>
        <w:widowControl w:val="0"/>
        <w:numPr>
          <w:ilvl w:val="0"/>
          <w:numId w:val="157"/>
        </w:numPr>
        <w:shd w:val="clear" w:color="auto" w:fill="auto"/>
        <w:tabs>
          <w:tab w:pos="373" w:val="left"/>
        </w:tabs>
        <w:bidi w:val="0"/>
        <w:spacing w:before="0" w:after="360" w:line="240" w:lineRule="auto"/>
        <w:ind w:left="0" w:right="0" w:firstLine="0"/>
        <w:jc w:val="both"/>
      </w:pPr>
      <w:bookmarkStart w:id="1480" w:name="bookmark1480"/>
      <w:bookmarkEnd w:id="1480"/>
      <w:r>
        <w:rPr>
          <w:color w:val="000000"/>
          <w:spacing w:val="0"/>
          <w:w w:val="100"/>
          <w:position w:val="0"/>
        </w:rPr>
        <w:t>期末固定资产未发生减值的情形，故未计提固定资产减值准备。</w:t>
      </w:r>
    </w:p>
    <w:p>
      <w:pPr>
        <w:pStyle w:val="Style30"/>
        <w:keepNext/>
        <w:keepLines/>
        <w:widowControl w:val="0"/>
        <w:shd w:val="clear" w:color="auto" w:fill="auto"/>
        <w:bidi w:val="0"/>
        <w:spacing w:before="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81"/>
      <w:bookmarkEnd w:id="1482"/>
      <w:bookmarkEnd w:id="148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r>
    </w:tbl>
    <w:p>
      <w:pPr>
        <w:widowControl w:val="0"/>
        <w:spacing w:after="359" w:line="1" w:lineRule="exact"/>
      </w:pPr>
    </w:p>
    <w:p>
      <w:pPr>
        <w:pStyle w:val="Style30"/>
        <w:keepNext/>
        <w:keepLines/>
        <w:widowControl w:val="0"/>
        <w:numPr>
          <w:ilvl w:val="0"/>
          <w:numId w:val="159"/>
        </w:numPr>
        <w:shd w:val="clear" w:color="auto" w:fill="auto"/>
        <w:bidi w:val="0"/>
        <w:spacing w:before="0" w:line="240" w:lineRule="auto"/>
        <w:ind w:left="0" w:right="0" w:firstLine="140"/>
        <w:jc w:val="left"/>
      </w:pPr>
      <w:bookmarkStart w:id="1485" w:name="bookmark1485"/>
      <w:bookmarkStart w:id="1486" w:name="bookmark1486"/>
      <w:bookmarkStart w:id="1487" w:name="bookmark1487"/>
      <w:bookmarkStart w:id="1488" w:name="bookmark1488"/>
      <w:bookmarkEnd w:id="1487"/>
      <w:r>
        <w:rPr>
          <w:color w:val="000000"/>
          <w:spacing w:val="0"/>
          <w:w w:val="100"/>
          <w:position w:val="0"/>
        </w:rPr>
        <w:t>在建工程情况</w:t>
      </w:r>
      <w:bookmarkEnd w:id="1485"/>
      <w:bookmarkEnd w:id="1486"/>
      <w:bookmarkEnd w:id="148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装修、绿化工程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55,045.87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55,045.87</w:t>
            </w:r>
          </w:p>
        </w:tc>
      </w:tr>
    </w:tbl>
    <w:p>
      <w:pPr>
        <w:widowControl w:val="0"/>
        <w:spacing w:after="359" w:line="1" w:lineRule="exact"/>
      </w:pPr>
    </w:p>
    <w:p>
      <w:pPr>
        <w:pStyle w:val="Style30"/>
        <w:keepNext/>
        <w:keepLines/>
        <w:widowControl w:val="0"/>
        <w:numPr>
          <w:ilvl w:val="0"/>
          <w:numId w:val="159"/>
        </w:numPr>
        <w:shd w:val="clear" w:color="auto" w:fill="auto"/>
        <w:bidi w:val="0"/>
        <w:spacing w:before="0" w:line="240" w:lineRule="auto"/>
        <w:ind w:left="0" w:right="0" w:firstLine="140"/>
        <w:jc w:val="left"/>
      </w:pPr>
      <w:bookmarkStart w:id="1489" w:name="bookmark1489"/>
      <w:bookmarkStart w:id="1490" w:name="bookmark1490"/>
      <w:bookmarkStart w:id="1491" w:name="bookmark1491"/>
      <w:bookmarkStart w:id="1492" w:name="bookmark1492"/>
      <w:bookmarkEnd w:id="1491"/>
      <w:r>
        <w:rPr>
          <w:color w:val="000000"/>
          <w:spacing w:val="0"/>
          <w:w w:val="100"/>
          <w:position w:val="0"/>
        </w:rPr>
        <w:t>重要在建工程项目本期变动情况</w:t>
      </w:r>
      <w:bookmarkEnd w:id="1489"/>
      <w:bookmarkEnd w:id="1490"/>
      <w:bookmarkEnd w:id="14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工程累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计投入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资产金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占预算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资本化 金额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装修、绿 化工程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55,045.8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35,644,1</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32,448,8</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3,250,29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55,045.8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35,644,1</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32,448,8</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3,250,29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0"/>
        <w:keepNext/>
        <w:keepLines/>
        <w:widowControl w:val="0"/>
        <w:numPr>
          <w:ilvl w:val="0"/>
          <w:numId w:val="159"/>
        </w:numPr>
        <w:shd w:val="clear" w:color="auto" w:fill="auto"/>
        <w:bidi w:val="0"/>
        <w:spacing w:before="0" w:after="380" w:line="240" w:lineRule="auto"/>
        <w:ind w:left="0" w:right="0" w:firstLine="140"/>
        <w:jc w:val="left"/>
      </w:pPr>
      <w:bookmarkStart w:id="1493" w:name="bookmark1493"/>
      <w:bookmarkStart w:id="1494" w:name="bookmark1494"/>
      <w:bookmarkStart w:id="1495" w:name="bookmark1495"/>
      <w:bookmarkStart w:id="1496" w:name="bookmark1496"/>
      <w:bookmarkEnd w:id="1495"/>
      <w:r>
        <w:rPr>
          <w:color w:val="000000"/>
          <w:spacing w:val="0"/>
          <w:w w:val="100"/>
          <w:position w:val="0"/>
        </w:rPr>
        <w:t>本期计提在建工程减值准备情况</w:t>
      </w:r>
      <w:bookmarkEnd w:id="1493"/>
      <w:bookmarkEnd w:id="1494"/>
      <w:bookmarkEnd w:id="149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本期其他减少金额系在建工程完工后转入长期待摊费用予以摊销。</w:t>
      </w:r>
    </w:p>
    <w:p>
      <w:pPr>
        <w:pStyle w:val="Style30"/>
        <w:keepNext/>
        <w:keepLines/>
        <w:widowControl w:val="0"/>
        <w:numPr>
          <w:ilvl w:val="0"/>
          <w:numId w:val="159"/>
        </w:numPr>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bookmarkEnd w:id="1499"/>
      <w:r>
        <w:rPr>
          <w:color w:val="000000"/>
          <w:spacing w:val="0"/>
          <w:w w:val="100"/>
          <w:position w:val="0"/>
        </w:rPr>
        <w:t>工程物资</w:t>
      </w:r>
      <w:bookmarkEnd w:id="1497"/>
      <w:bookmarkEnd w:id="1498"/>
      <w:bookmarkEnd w:id="150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501"/>
      <w:bookmarkEnd w:id="1502"/>
      <w:bookmarkEnd w:id="1504"/>
    </w:p>
    <w:p>
      <w:pPr>
        <w:pStyle w:val="Style30"/>
        <w:keepNext/>
        <w:keepLines/>
        <w:widowControl w:val="0"/>
        <w:numPr>
          <w:ilvl w:val="0"/>
          <w:numId w:val="161"/>
        </w:numPr>
        <w:shd w:val="clear" w:color="auto" w:fill="auto"/>
        <w:tabs>
          <w:tab w:pos="493" w:val="left"/>
        </w:tabs>
        <w:bidi w:val="0"/>
        <w:spacing w:before="0" w:after="380" w:line="240" w:lineRule="auto"/>
        <w:ind w:left="0" w:right="0" w:firstLine="0"/>
        <w:jc w:val="left"/>
      </w:pPr>
      <w:bookmarkStart w:id="1501" w:name="bookmark1501"/>
      <w:bookmarkStart w:id="1502" w:name="bookmark1502"/>
      <w:bookmarkStart w:id="1505" w:name="bookmark1505"/>
      <w:bookmarkStart w:id="1506" w:name="bookmark1506"/>
      <w:bookmarkEnd w:id="1505"/>
      <w:r>
        <w:rPr>
          <w:color w:val="000000"/>
          <w:spacing w:val="0"/>
          <w:w w:val="100"/>
          <w:position w:val="0"/>
        </w:rPr>
        <w:t>采用成本计量模式的生产性生物资产</w:t>
      </w:r>
      <w:bookmarkEnd w:id="1501"/>
      <w:bookmarkEnd w:id="1502"/>
      <w:bookmarkEnd w:id="150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numPr>
          <w:ilvl w:val="0"/>
          <w:numId w:val="161"/>
        </w:numPr>
        <w:shd w:val="clear" w:color="auto" w:fill="auto"/>
        <w:tabs>
          <w:tab w:pos="493"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采用公允价值计量模式的生产性生物资产</w:t>
      </w:r>
      <w:bookmarkEnd w:id="1507"/>
      <w:bookmarkEnd w:id="1508"/>
      <w:bookmarkEnd w:id="151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bookmarkEnd w:id="151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511"/>
      <w:bookmarkEnd w:id="1512"/>
      <w:bookmarkEnd w:id="1514"/>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bookmarkEnd w:id="151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515"/>
      <w:bookmarkEnd w:id="1516"/>
      <w:bookmarkEnd w:id="151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bookmarkEnd w:id="152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519"/>
      <w:bookmarkEnd w:id="1520"/>
      <w:bookmarkEnd w:id="1522"/>
    </w:p>
    <w:p>
      <w:pPr>
        <w:pStyle w:val="Style30"/>
        <w:keepNext/>
        <w:keepLines/>
        <w:widowControl w:val="0"/>
        <w:shd w:val="clear" w:color="auto" w:fill="auto"/>
        <w:bidi w:val="0"/>
        <w:spacing w:before="0" w:after="380" w:line="240" w:lineRule="auto"/>
        <w:ind w:left="0" w:right="0" w:firstLine="0"/>
        <w:jc w:val="left"/>
      </w:pPr>
      <w:bookmarkStart w:id="1519" w:name="bookmark1519"/>
      <w:bookmarkStart w:id="1520" w:name="bookmark1520"/>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519"/>
      <w:bookmarkEnd w:id="1520"/>
      <w:bookmarkEnd w:id="152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46,082,310.66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239,392,252.16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285,474,562.82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58,211,546.56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58,211,546.56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254,717.85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57,956,828.71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57,956,828.71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46,082,310.66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297,603,586.22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343,685,896.88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8,999,491.56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144,051,926.82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153,051,418.38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991,430.76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52,559,728.64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53,551,159.40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991,430.76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52,559,728.64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53,551,159.40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9,990,922.32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196,611,442.96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206,602,365.28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36,091,388.34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100,992,143.26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137,083,531.60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37,082,819.10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95,340,325.34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132,423,144.44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66.74%</w:t>
      </w:r>
      <w:r>
        <w:rPr>
          <w:color w:val="000000"/>
          <w:spacing w:val="0"/>
          <w:w w:val="100"/>
          <w:position w:val="0"/>
        </w:rPr>
        <w:t>。</w:t>
      </w:r>
    </w:p>
    <w:p>
      <w:pPr>
        <w:widowControl w:val="0"/>
        <w:spacing w:after="379" w:line="1" w:lineRule="exact"/>
      </w:pPr>
    </w:p>
    <w:p>
      <w:pPr>
        <w:pStyle w:val="Style30"/>
        <w:keepNext/>
        <w:keepLines/>
        <w:widowControl w:val="0"/>
        <w:numPr>
          <w:ilvl w:val="0"/>
          <w:numId w:val="163"/>
        </w:numPr>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未办妥产权证书的土地使用权情况</w:t>
      </w:r>
      <w:bookmarkEnd w:id="1525"/>
      <w:bookmarkEnd w:id="1526"/>
      <w:bookmarkEnd w:id="1528"/>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本公司子公司外包园公司无形资产</w:t>
      </w:r>
      <w:r>
        <w:rPr>
          <w:rFonts w:ascii="Times New Roman" w:eastAsia="Times New Roman" w:hAnsi="Times New Roman" w:cs="Times New Roman"/>
          <w:color w:val="000000"/>
          <w:spacing w:val="0"/>
          <w:w w:val="100"/>
          <w:position w:val="0"/>
        </w:rPr>
        <w:t>2020</w:t>
      </w:r>
      <w:r>
        <w:rPr>
          <w:color w:val="000000"/>
          <w:spacing w:val="0"/>
          <w:w w:val="100"/>
          <w:position w:val="0"/>
        </w:rPr>
        <w:t>年末账面价值为</w:t>
      </w:r>
      <w:r>
        <w:rPr>
          <w:rFonts w:ascii="Times New Roman" w:eastAsia="Times New Roman" w:hAnsi="Times New Roman" w:cs="Times New Roman"/>
          <w:color w:val="000000"/>
          <w:spacing w:val="0"/>
          <w:w w:val="100"/>
          <w:position w:val="0"/>
        </w:rPr>
        <w:t>36,091,388.34</w:t>
      </w:r>
      <w:r>
        <w:rPr>
          <w:color w:val="000000"/>
          <w:spacing w:val="0"/>
          <w:w w:val="100"/>
          <w:position w:val="0"/>
        </w:rPr>
        <w:t>元的土地使用权已用作银行借款的抵押物。</w:t>
      </w:r>
    </w:p>
    <w:p>
      <w:pPr>
        <w:pStyle w:val="Style30"/>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bookmarkEnd w:id="153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529"/>
      <w:bookmarkEnd w:id="1530"/>
      <w:bookmarkEnd w:id="1532"/>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HiHope</w:t>
            </w:r>
            <w:r>
              <w:rPr>
                <w:color w:val="000000"/>
                <w:spacing w:val="0"/>
                <w:w w:val="100"/>
                <w:position w:val="0"/>
              </w:rPr>
              <w:t>人工 智能开放服 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10,297,156.6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10,297,156.6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HopeEdgeOS</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(操作系统)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9,651,815.66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9,651,815.66</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特征变量管 理平台</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FMP </w:t>
            </w:r>
            <w:r>
              <w:rPr>
                <w:color w:val="000000"/>
                <w:spacing w:val="0"/>
                <w:w w:val="100"/>
                <w:position w:val="0"/>
              </w:rPr>
              <w:t>)</w:t>
            </w:r>
            <w:r>
              <w:rPr>
                <w:rFonts w:ascii="Times New Roman" w:eastAsia="Times New Roman" w:hAnsi="Times New Roman" w:cs="Times New Roman"/>
                <w:color w:val="000000"/>
                <w:spacing w:val="0"/>
                <w:w w:val="100"/>
                <w:position w:val="0"/>
              </w:rPr>
              <w:t>2020</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6,711,491.25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6,711,491.25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 发平台项目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5,882,454.06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5,882,454.06</w:t>
            </w: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能源信息化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22,046,257.3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35,910,571.3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57,956,828.7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22,046,257.3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68,453,489.0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57,956,828.7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32,542,917.6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26"/>
        <w:keepNext w:val="0"/>
        <w:keepLines w:val="0"/>
        <w:widowControl w:val="0"/>
        <w:numPr>
          <w:ilvl w:val="0"/>
          <w:numId w:val="165"/>
        </w:numPr>
        <w:shd w:val="clear" w:color="auto" w:fill="auto"/>
        <w:tabs>
          <w:tab w:pos="522" w:val="left"/>
        </w:tabs>
        <w:bidi w:val="0"/>
        <w:spacing w:before="0" w:after="0" w:line="313" w:lineRule="exact"/>
        <w:ind w:left="0" w:right="0" w:firstLine="0"/>
        <w:jc w:val="left"/>
      </w:pPr>
      <w:bookmarkStart w:id="1533" w:name="bookmark1533"/>
      <w:bookmarkEnd w:id="1533"/>
      <w:r>
        <w:rPr>
          <w:color w:val="000000"/>
          <w:spacing w:val="0"/>
          <w:w w:val="100"/>
          <w:position w:val="0"/>
        </w:rPr>
        <w:t>根据公司研发资本化适用的会计政策规定(详见附注三、重要会计政策及会计估计之</w:t>
      </w:r>
      <w:r>
        <w:rPr>
          <w:rFonts w:ascii="Times New Roman" w:eastAsia="Times New Roman" w:hAnsi="Times New Roman" w:cs="Times New Roman"/>
          <w:color w:val="000000"/>
          <w:spacing w:val="0"/>
          <w:w w:val="100"/>
          <w:position w:val="0"/>
        </w:rPr>
        <w:t>21.</w:t>
      </w:r>
      <w:r>
        <w:rPr>
          <w:color w:val="000000"/>
          <w:spacing w:val="0"/>
          <w:w w:val="100"/>
          <w:position w:val="0"/>
        </w:rPr>
        <w:t>无形资产)，在《可行性研究 报告》评审通过后至项目完成验收期间发生的研发费用计入开发支出。</w:t>
      </w:r>
      <w:r>
        <w:rPr>
          <w:rFonts w:ascii="Times New Roman" w:eastAsia="Times New Roman" w:hAnsi="Times New Roman" w:cs="Times New Roman"/>
          <w:color w:val="000000"/>
          <w:spacing w:val="0"/>
          <w:w w:val="100"/>
          <w:position w:val="0"/>
        </w:rPr>
        <w:t>“</w:t>
      </w:r>
      <w:r>
        <w:rPr>
          <w:color w:val="000000"/>
          <w:spacing w:val="0"/>
          <w:w w:val="100"/>
          <w:position w:val="0"/>
        </w:rPr>
        <w:t>能源信息化平台项目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月通过评审，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月已完成研发。</w:t>
      </w:r>
      <w:r>
        <w:rPr>
          <w:rFonts w:ascii="Times New Roman" w:eastAsia="Times New Roman" w:hAnsi="Times New Roman" w:cs="Times New Roman"/>
          <w:color w:val="000000"/>
          <w:spacing w:val="0"/>
          <w:w w:val="100"/>
          <w:position w:val="0"/>
        </w:rPr>
        <w:t>“HiHope</w:t>
      </w:r>
      <w:r>
        <w:rPr>
          <w:color w:val="000000"/>
          <w:spacing w:val="0"/>
          <w:w w:val="100"/>
          <w:position w:val="0"/>
        </w:rPr>
        <w:t>人工智能开放服务平台项目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22"/>
          <w:szCs w:val="22"/>
        </w:rPr>
        <w:t>0，</w:t>
      </w:r>
      <w:r>
        <w:rPr>
          <w:color w:val="000000"/>
          <w:spacing w:val="0"/>
          <w:w w:val="100"/>
          <w:position w:val="0"/>
        </w:rPr>
        <w:t>已发生成本</w:t>
      </w:r>
      <w:r>
        <w:rPr>
          <w:rFonts w:ascii="Times New Roman" w:eastAsia="Times New Roman" w:hAnsi="Times New Roman" w:cs="Times New Roman"/>
          <w:color w:val="000000"/>
          <w:spacing w:val="0"/>
          <w:w w:val="100"/>
          <w:position w:val="0"/>
        </w:rPr>
        <w:t>10,297,156.69</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 xml:space="preserve">“HopeEdgeOS </w:t>
      </w:r>
      <w:r>
        <w:rPr>
          <w:color w:val="000000"/>
          <w:spacing w:val="0"/>
          <w:w w:val="100"/>
          <w:position w:val="0"/>
        </w:rPr>
        <w:t>(操作系统)项目</w:t>
      </w:r>
      <w:r>
        <w:rPr>
          <w:rFonts w:ascii="Times New Roman" w:eastAsia="Times New Roman" w:hAnsi="Times New Roman" w:cs="Times New Roman"/>
          <w:color w:val="000000"/>
          <w:spacing w:val="0"/>
          <w:w w:val="100"/>
          <w:position w:val="0"/>
        </w:rPr>
        <w:t>”</w:t>
      </w:r>
      <w:r>
        <w:rPr>
          <w:color w:val="000000"/>
          <w:spacing w:val="0"/>
          <w:w w:val="100"/>
          <w:position w:val="0"/>
        </w:rPr>
        <w:t>《可行性研究 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日，已发生成本</w:t>
      </w:r>
      <w:r>
        <w:rPr>
          <w:rFonts w:ascii="Times New Roman" w:eastAsia="Times New Roman" w:hAnsi="Times New Roman" w:cs="Times New Roman"/>
          <w:color w:val="000000"/>
          <w:spacing w:val="0"/>
          <w:w w:val="100"/>
          <w:position w:val="0"/>
        </w:rPr>
        <w:t>9,651,815.66</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45%</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特征变量管理平 台</w:t>
      </w:r>
      <w:r>
        <w:rPr>
          <w:color w:val="000000"/>
          <w:spacing w:val="0"/>
          <w:w w:val="100"/>
          <w:position w:val="0"/>
        </w:rPr>
        <w:t>(</w:t>
      </w:r>
      <w:r>
        <w:rPr>
          <w:rFonts w:ascii="Times New Roman" w:eastAsia="Times New Roman" w:hAnsi="Times New Roman" w:cs="Times New Roman"/>
          <w:color w:val="000000"/>
          <w:spacing w:val="0"/>
          <w:w w:val="100"/>
          <w:position w:val="0"/>
        </w:rPr>
        <w:t>FMP</w:t>
      </w:r>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研发项目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日，已发生成本</w:t>
      </w:r>
      <w:r>
        <w:rPr>
          <w:rFonts w:ascii="Times New Roman" w:eastAsia="Times New Roman" w:hAnsi="Times New Roman" w:cs="Times New Roman"/>
          <w:color w:val="000000"/>
          <w:spacing w:val="0"/>
          <w:w w:val="100"/>
          <w:position w:val="0"/>
        </w:rPr>
        <w:t>6,711,491.25</w:t>
      </w:r>
      <w:r>
        <w:rPr>
          <w:color w:val="000000"/>
          <w:spacing w:val="0"/>
          <w:w w:val="100"/>
          <w:position w:val="0"/>
        </w:rPr>
        <w:t>元， 项目研发进度约为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工业级</w:t>
      </w:r>
      <w:r>
        <w:rPr>
          <w:rFonts w:ascii="Times New Roman" w:eastAsia="Times New Roman" w:hAnsi="Times New Roman" w:cs="Times New Roman"/>
          <w:color w:val="000000"/>
          <w:spacing w:val="0"/>
          <w:w w:val="100"/>
          <w:position w:val="0"/>
        </w:rPr>
        <w:t>AI</w:t>
      </w:r>
      <w:r>
        <w:rPr>
          <w:color w:val="000000"/>
          <w:spacing w:val="0"/>
          <w:w w:val="100"/>
          <w:position w:val="0"/>
        </w:rPr>
        <w:t>开发平台项目</w:t>
      </w:r>
      <w:r>
        <w:rPr>
          <w:rFonts w:ascii="Times New Roman" w:eastAsia="Times New Roman" w:hAnsi="Times New Roman" w:cs="Times New Roman"/>
          <w:color w:val="000000"/>
          <w:spacing w:val="0"/>
          <w:w w:val="100"/>
          <w:position w:val="0"/>
        </w:rPr>
        <w:t>”</w:t>
      </w:r>
      <w:r>
        <w:rPr>
          <w:color w:val="000000"/>
          <w:spacing w:val="0"/>
          <w:w w:val="100"/>
          <w:position w:val="0"/>
        </w:rPr>
        <w:t>《可行性研究报告》于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月通过评审，截至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日，已发 生成本</w:t>
      </w:r>
      <w:r>
        <w:rPr>
          <w:rFonts w:ascii="Times New Roman" w:eastAsia="Times New Roman" w:hAnsi="Times New Roman" w:cs="Times New Roman"/>
          <w:color w:val="000000"/>
          <w:spacing w:val="0"/>
          <w:w w:val="100"/>
          <w:position w:val="0"/>
        </w:rPr>
        <w:t>5,882,454.06</w:t>
      </w:r>
      <w:r>
        <w:rPr>
          <w:color w:val="000000"/>
          <w:spacing w:val="0"/>
          <w:w w:val="100"/>
          <w:position w:val="0"/>
        </w:rPr>
        <w:t>元，项目研发进度约为</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6"/>
        <w:keepNext w:val="0"/>
        <w:keepLines w:val="0"/>
        <w:widowControl w:val="0"/>
        <w:numPr>
          <w:ilvl w:val="0"/>
          <w:numId w:val="165"/>
        </w:numPr>
        <w:shd w:val="clear" w:color="auto" w:fill="auto"/>
        <w:tabs>
          <w:tab w:pos="512" w:val="left"/>
        </w:tabs>
        <w:bidi w:val="0"/>
        <w:spacing w:before="0" w:after="380" w:line="313" w:lineRule="exact"/>
        <w:ind w:left="0" w:right="0" w:firstLine="0"/>
        <w:jc w:val="left"/>
      </w:pPr>
      <w:bookmarkStart w:id="1534" w:name="bookmark1534"/>
      <w:bookmarkEnd w:id="1534"/>
      <w:r>
        <w:rPr>
          <w:color w:val="000000"/>
          <w:spacing w:val="0"/>
          <w:w w:val="100"/>
          <w:position w:val="0"/>
        </w:rPr>
        <w:t>开发支出期末余额较期初余额增长</w:t>
      </w:r>
      <w:r>
        <w:rPr>
          <w:rFonts w:ascii="Times New Roman" w:eastAsia="Times New Roman" w:hAnsi="Times New Roman" w:cs="Times New Roman"/>
          <w:color w:val="000000"/>
          <w:spacing w:val="0"/>
          <w:w w:val="100"/>
          <w:position w:val="0"/>
        </w:rPr>
        <w:t>47.61%</w:t>
      </w:r>
      <w:r>
        <w:rPr>
          <w:color w:val="000000"/>
          <w:spacing w:val="0"/>
          <w:w w:val="100"/>
          <w:position w:val="0"/>
        </w:rPr>
        <w:t>，主要原因是本期公司资本化研发项目增加，且期末均未结项，相应研发资 本化期末余额增加。</w:t>
      </w:r>
    </w:p>
    <w:p>
      <w:pPr>
        <w:pStyle w:val="Style30"/>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bookmarkEnd w:id="1537"/>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535"/>
      <w:bookmarkEnd w:id="1536"/>
      <w:bookmarkEnd w:id="1538"/>
    </w:p>
    <w:p>
      <w:pPr>
        <w:pStyle w:val="Style30"/>
        <w:keepNext/>
        <w:keepLines/>
        <w:widowControl w:val="0"/>
        <w:numPr>
          <w:ilvl w:val="0"/>
          <w:numId w:val="167"/>
        </w:numPr>
        <w:shd w:val="clear" w:color="auto" w:fill="auto"/>
        <w:bidi w:val="0"/>
        <w:spacing w:before="0" w:after="380" w:line="240" w:lineRule="auto"/>
        <w:ind w:left="0" w:right="0" w:firstLine="0"/>
        <w:jc w:val="both"/>
      </w:pPr>
      <w:bookmarkStart w:id="1535" w:name="bookmark1535"/>
      <w:bookmarkStart w:id="1536" w:name="bookmark1536"/>
      <w:bookmarkStart w:id="1539" w:name="bookmark1539"/>
      <w:bookmarkStart w:id="1540" w:name="bookmark1540"/>
      <w:bookmarkEnd w:id="1539"/>
      <w:r>
        <w:rPr>
          <w:color w:val="000000"/>
          <w:spacing w:val="0"/>
          <w:w w:val="100"/>
          <w:position w:val="0"/>
        </w:rPr>
        <w:t>商誉账面原值</w:t>
      </w:r>
      <w:bookmarkEnd w:id="1535"/>
      <w:bookmarkEnd w:id="1536"/>
      <w:bookmarkEnd w:id="154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600"/>
              <w:jc w:val="both"/>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联创智融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1,893,909,895.75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1,893,909,895.75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捷科智诚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655,923,170.20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655,923,170.20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菲耐得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66,014,888.55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66,014,888.55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东京润和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295,996.75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2,616,143,951.25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2,616,143,951.25</w:t>
            </w:r>
          </w:p>
        </w:tc>
      </w:tr>
    </w:tbl>
    <w:p>
      <w:pPr>
        <w:widowControl w:val="0"/>
        <w:spacing w:after="319" w:line="1" w:lineRule="exact"/>
      </w:pPr>
    </w:p>
    <w:p>
      <w:pPr>
        <w:pStyle w:val="Style30"/>
        <w:keepNext/>
        <w:keepLines/>
        <w:widowControl w:val="0"/>
        <w:numPr>
          <w:ilvl w:val="0"/>
          <w:numId w:val="167"/>
        </w:numPr>
        <w:shd w:val="clear" w:color="auto" w:fill="auto"/>
        <w:bidi w:val="0"/>
        <w:spacing w:before="0" w:after="380" w:line="240" w:lineRule="auto"/>
        <w:ind w:left="0" w:right="0" w:firstLine="140"/>
        <w:jc w:val="both"/>
      </w:pPr>
      <w:bookmarkStart w:id="1541" w:name="bookmark1541"/>
      <w:bookmarkStart w:id="1542" w:name="bookmark1542"/>
      <w:bookmarkStart w:id="1543" w:name="bookmark1543"/>
      <w:bookmarkStart w:id="1544" w:name="bookmark1544"/>
      <w:bookmarkEnd w:id="1543"/>
      <w:r>
        <w:rPr>
          <w:color w:val="000000"/>
          <w:spacing w:val="0"/>
          <w:w w:val="100"/>
          <w:position w:val="0"/>
        </w:rPr>
        <w:t>商誉减值准备</w:t>
      </w:r>
      <w:bookmarkEnd w:id="1541"/>
      <w:bookmarkEnd w:id="1542"/>
      <w:bookmarkEnd w:id="154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联创智融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1,572,500,835.21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1,572,500,835.21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捷科智诚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菲耐得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57,166,105.11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57,166,105.11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东京润和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295,996.75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295,996.75</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1,629,962,937.07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1,629,962,937.07</w:t>
            </w:r>
          </w:p>
        </w:tc>
      </w:tr>
    </w:tbl>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商誉所在资产组或资产组组合的相关信息</w:t>
      </w:r>
    </w:p>
    <w:p>
      <w:pPr>
        <w:pStyle w:val="Style26"/>
        <w:keepNext w:val="0"/>
        <w:keepLines w:val="0"/>
        <w:widowControl w:val="0"/>
        <w:numPr>
          <w:ilvl w:val="0"/>
          <w:numId w:val="169"/>
        </w:numPr>
        <w:shd w:val="clear" w:color="auto" w:fill="auto"/>
        <w:tabs>
          <w:tab w:pos="318" w:val="left"/>
        </w:tabs>
        <w:bidi w:val="0"/>
        <w:spacing w:before="0" w:after="0" w:line="316" w:lineRule="exact"/>
        <w:ind w:left="0" w:right="0" w:firstLine="0"/>
        <w:jc w:val="left"/>
      </w:pPr>
      <w:bookmarkStart w:id="1545" w:name="bookmark1545"/>
      <w:bookmarkEnd w:id="1545"/>
      <w:r>
        <w:rPr>
          <w:color w:val="000000"/>
          <w:spacing w:val="0"/>
          <w:w w:val="100"/>
          <w:position w:val="0"/>
        </w:rPr>
        <w:t>联创智融：公司于</w:t>
      </w:r>
      <w:r>
        <w:rPr>
          <w:rFonts w:ascii="Times New Roman" w:eastAsia="Times New Roman" w:hAnsi="Times New Roman" w:cs="Times New Roman"/>
          <w:color w:val="000000"/>
          <w:spacing w:val="0"/>
          <w:w w:val="100"/>
          <w:position w:val="0"/>
        </w:rPr>
        <w:t>2015</w:t>
      </w:r>
      <w:r>
        <w:rPr>
          <w:color w:val="000000"/>
          <w:spacing w:val="0"/>
          <w:w w:val="100"/>
          <w:position w:val="0"/>
        </w:rPr>
        <w:t>年收购联创智融</w:t>
      </w:r>
      <w:r>
        <w:rPr>
          <w:rFonts w:ascii="Times New Roman" w:eastAsia="Times New Roman" w:hAnsi="Times New Roman" w:cs="Times New Roman"/>
          <w:color w:val="000000"/>
          <w:spacing w:val="0"/>
          <w:w w:val="100"/>
          <w:position w:val="0"/>
        </w:rPr>
        <w:t>100%</w:t>
      </w:r>
      <w:r>
        <w:rPr>
          <w:color w:val="000000"/>
          <w:spacing w:val="0"/>
          <w:w w:val="100"/>
          <w:position w:val="0"/>
        </w:rPr>
        <w:t>股权，形成商誉人民币</w:t>
      </w:r>
      <w:r>
        <w:rPr>
          <w:rFonts w:ascii="Times New Roman" w:eastAsia="Times New Roman" w:hAnsi="Times New Roman" w:cs="Times New Roman"/>
          <w:color w:val="000000"/>
          <w:spacing w:val="0"/>
          <w:w w:val="100"/>
          <w:position w:val="0"/>
        </w:rPr>
        <w:t>1,893,909,895.75</w:t>
      </w:r>
      <w:r>
        <w:rPr>
          <w:color w:val="000000"/>
          <w:spacing w:val="0"/>
          <w:w w:val="100"/>
          <w:position w:val="0"/>
        </w:rPr>
        <w:t>元，并购后联创智融业务、技术及人 员仍然相对独立，且独立产生现金流入，因此公司将该商誉分配至联创智融资产组，联创智融资产组与购买日、以前年度商 誉减值测试时所确定的资产组一致；</w:t>
      </w:r>
    </w:p>
    <w:p>
      <w:pPr>
        <w:pStyle w:val="Style26"/>
        <w:keepNext w:val="0"/>
        <w:keepLines w:val="0"/>
        <w:widowControl w:val="0"/>
        <w:numPr>
          <w:ilvl w:val="0"/>
          <w:numId w:val="169"/>
        </w:numPr>
        <w:shd w:val="clear" w:color="auto" w:fill="auto"/>
        <w:tabs>
          <w:tab w:pos="318" w:val="left"/>
        </w:tabs>
        <w:bidi w:val="0"/>
        <w:spacing w:before="0" w:after="0" w:line="316" w:lineRule="exact"/>
        <w:ind w:left="0" w:right="0" w:firstLine="0"/>
        <w:jc w:val="left"/>
      </w:pPr>
      <w:bookmarkStart w:id="1546" w:name="bookmark1546"/>
      <w:bookmarkEnd w:id="1546"/>
      <w:r>
        <w:rPr>
          <w:color w:val="000000"/>
          <w:spacing w:val="0"/>
          <w:w w:val="100"/>
          <w:position w:val="0"/>
        </w:rPr>
        <w:t>捷科智诚：公司于</w:t>
      </w:r>
      <w:r>
        <w:rPr>
          <w:rFonts w:ascii="Times New Roman" w:eastAsia="Times New Roman" w:hAnsi="Times New Roman" w:cs="Times New Roman"/>
          <w:color w:val="000000"/>
          <w:spacing w:val="0"/>
          <w:w w:val="100"/>
          <w:position w:val="0"/>
        </w:rPr>
        <w:t>2014</w:t>
      </w:r>
      <w:r>
        <w:rPr>
          <w:color w:val="000000"/>
          <w:spacing w:val="0"/>
          <w:w w:val="100"/>
          <w:position w:val="0"/>
        </w:rPr>
        <w:t>年收购捷科智诚</w:t>
      </w:r>
      <w:r>
        <w:rPr>
          <w:rFonts w:ascii="Times New Roman" w:eastAsia="Times New Roman" w:hAnsi="Times New Roman" w:cs="Times New Roman"/>
          <w:color w:val="000000"/>
          <w:spacing w:val="0"/>
          <w:w w:val="100"/>
          <w:position w:val="0"/>
        </w:rPr>
        <w:t>100%</w:t>
      </w:r>
      <w:r>
        <w:rPr>
          <w:color w:val="000000"/>
          <w:spacing w:val="0"/>
          <w:w w:val="100"/>
          <w:position w:val="0"/>
        </w:rPr>
        <w:t>股权，形成商誉人民币</w:t>
      </w:r>
      <w:r>
        <w:rPr>
          <w:rFonts w:ascii="Times New Roman" w:eastAsia="Times New Roman" w:hAnsi="Times New Roman" w:cs="Times New Roman"/>
          <w:color w:val="000000"/>
          <w:spacing w:val="0"/>
          <w:w w:val="100"/>
          <w:position w:val="0"/>
        </w:rPr>
        <w:t>655,923,170.20</w:t>
      </w:r>
      <w:r>
        <w:rPr>
          <w:color w:val="000000"/>
          <w:spacing w:val="0"/>
          <w:w w:val="100"/>
          <w:position w:val="0"/>
        </w:rPr>
        <w:t>元，并购后捷科智诚业务、技术及人员 仍然相对独立，且独立产生现金流入，因此公司将该商誉分配至捷科智诚资产组，捷科智诚资产组与购买日、以前年度商誉 减值测试时所确定的资产组一致；</w:t>
      </w:r>
    </w:p>
    <w:p>
      <w:pPr>
        <w:pStyle w:val="Style26"/>
        <w:keepNext w:val="0"/>
        <w:keepLines w:val="0"/>
        <w:widowControl w:val="0"/>
        <w:numPr>
          <w:ilvl w:val="0"/>
          <w:numId w:val="169"/>
        </w:numPr>
        <w:shd w:val="clear" w:color="auto" w:fill="auto"/>
        <w:tabs>
          <w:tab w:pos="318" w:val="left"/>
        </w:tabs>
        <w:bidi w:val="0"/>
        <w:spacing w:before="0" w:after="0" w:line="316" w:lineRule="exact"/>
        <w:ind w:left="0" w:right="0" w:firstLine="0"/>
        <w:jc w:val="left"/>
      </w:pPr>
      <w:bookmarkStart w:id="1547" w:name="bookmark1547"/>
      <w:bookmarkEnd w:id="1547"/>
      <w:r>
        <w:rPr>
          <w:color w:val="000000"/>
          <w:spacing w:val="0"/>
          <w:w w:val="100"/>
          <w:position w:val="0"/>
        </w:rPr>
        <w:t>菲耐得：公司于</w:t>
      </w:r>
      <w:r>
        <w:rPr>
          <w:rFonts w:ascii="Times New Roman" w:eastAsia="Times New Roman" w:hAnsi="Times New Roman" w:cs="Times New Roman"/>
          <w:color w:val="000000"/>
          <w:spacing w:val="0"/>
          <w:w w:val="100"/>
          <w:position w:val="0"/>
        </w:rPr>
        <w:t>2015</w:t>
      </w:r>
      <w:r>
        <w:rPr>
          <w:color w:val="000000"/>
          <w:spacing w:val="0"/>
          <w:w w:val="100"/>
          <w:position w:val="0"/>
        </w:rPr>
        <w:t>年收购菲耐得</w:t>
      </w:r>
      <w:r>
        <w:rPr>
          <w:rFonts w:ascii="Times New Roman" w:eastAsia="Times New Roman" w:hAnsi="Times New Roman" w:cs="Times New Roman"/>
          <w:color w:val="000000"/>
          <w:spacing w:val="0"/>
          <w:w w:val="100"/>
          <w:position w:val="0"/>
        </w:rPr>
        <w:t>100%</w:t>
      </w:r>
      <w:r>
        <w:rPr>
          <w:color w:val="000000"/>
          <w:spacing w:val="0"/>
          <w:w w:val="100"/>
          <w:position w:val="0"/>
        </w:rPr>
        <w:t>股权产生商誉</w:t>
      </w:r>
      <w:r>
        <w:rPr>
          <w:rFonts w:ascii="Times New Roman" w:eastAsia="Times New Roman" w:hAnsi="Times New Roman" w:cs="Times New Roman"/>
          <w:color w:val="000000"/>
          <w:spacing w:val="0"/>
          <w:w w:val="100"/>
          <w:position w:val="0"/>
        </w:rPr>
        <w:t>66,014,888.55</w:t>
      </w:r>
      <w:r>
        <w:rPr>
          <w:color w:val="000000"/>
          <w:spacing w:val="0"/>
          <w:w w:val="100"/>
          <w:position w:val="0"/>
        </w:rPr>
        <w:t>元，并购后菲耐得业务、技术及人员仍然相对独立， 且独立产生现金流入，因此公司将该商誉分配至菲耐得资产组，菲耐得资产组与购买日、以前年度商誉减值测试时所确定的 资产组一致；</w:t>
      </w:r>
    </w:p>
    <w:p>
      <w:pPr>
        <w:pStyle w:val="Style26"/>
        <w:keepNext w:val="0"/>
        <w:keepLines w:val="0"/>
        <w:widowControl w:val="0"/>
        <w:numPr>
          <w:ilvl w:val="0"/>
          <w:numId w:val="169"/>
        </w:numPr>
        <w:shd w:val="clear" w:color="auto" w:fill="auto"/>
        <w:tabs>
          <w:tab w:pos="318" w:val="left"/>
        </w:tabs>
        <w:bidi w:val="0"/>
        <w:spacing w:before="0" w:after="0" w:line="316" w:lineRule="exact"/>
        <w:ind w:left="0" w:right="0" w:firstLine="0"/>
        <w:jc w:val="left"/>
      </w:pPr>
      <w:bookmarkStart w:id="1548" w:name="bookmark1548"/>
      <w:bookmarkEnd w:id="1548"/>
      <w:r>
        <w:rPr>
          <w:color w:val="000000"/>
          <w:spacing w:val="0"/>
          <w:w w:val="100"/>
          <w:position w:val="0"/>
        </w:rPr>
        <w:t>东京润和：公司于</w:t>
      </w:r>
      <w:r>
        <w:rPr>
          <w:rFonts w:ascii="Times New Roman" w:eastAsia="Times New Roman" w:hAnsi="Times New Roman" w:cs="Times New Roman"/>
          <w:color w:val="000000"/>
          <w:spacing w:val="0"/>
          <w:w w:val="100"/>
          <w:position w:val="0"/>
        </w:rPr>
        <w:t>2008</w:t>
      </w:r>
      <w:r>
        <w:rPr>
          <w:color w:val="000000"/>
          <w:spacing w:val="0"/>
          <w:w w:val="100"/>
          <w:position w:val="0"/>
        </w:rPr>
        <w:t>年收购东京润和</w:t>
      </w:r>
      <w:r>
        <w:rPr>
          <w:rFonts w:ascii="Times New Roman" w:eastAsia="Times New Roman" w:hAnsi="Times New Roman" w:cs="Times New Roman"/>
          <w:color w:val="000000"/>
          <w:spacing w:val="0"/>
          <w:w w:val="100"/>
          <w:position w:val="0"/>
        </w:rPr>
        <w:t>91.67%</w:t>
      </w:r>
      <w:r>
        <w:rPr>
          <w:color w:val="000000"/>
          <w:spacing w:val="0"/>
          <w:w w:val="100"/>
          <w:position w:val="0"/>
        </w:rPr>
        <w:t>股权产生商誉</w:t>
      </w:r>
      <w:r>
        <w:rPr>
          <w:rFonts w:ascii="Times New Roman" w:eastAsia="Times New Roman" w:hAnsi="Times New Roman" w:cs="Times New Roman"/>
          <w:color w:val="000000"/>
          <w:spacing w:val="0"/>
          <w:w w:val="100"/>
          <w:position w:val="0"/>
        </w:rPr>
        <w:t>295,996.75</w:t>
      </w:r>
      <w:r>
        <w:rPr>
          <w:color w:val="000000"/>
          <w:spacing w:val="0"/>
          <w:w w:val="100"/>
          <w:position w:val="0"/>
        </w:rPr>
        <w:t>元，并购后东京润和业务、技术及人员仍然相对独 立，且独立产出现金流入，因此公司将该商誉分配至东京润和资产组，东京润和资产组与购买日、以前年度商誉减值测试时 所确定的资产组一致。</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①联创智融商誉减值测试过程</w:t>
      </w:r>
    </w:p>
    <w:tbl>
      <w:tblPr>
        <w:tblOverlap w:val="never"/>
        <w:jc w:val="center"/>
        <w:tblLayout w:type="fixed"/>
      </w:tblPr>
      <w:tblGrid>
        <w:gridCol w:w="715"/>
        <w:gridCol w:w="840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商誉减值过程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商誉的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形成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年收购联创智融</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股权，形成商誉人民币</w:t>
            </w:r>
            <w:r>
              <w:rPr>
                <w:rFonts w:ascii="Times New Roman" w:eastAsia="Times New Roman" w:hAnsi="Times New Roman" w:cs="Times New Roman"/>
                <w:color w:val="000000"/>
                <w:spacing w:val="0"/>
                <w:w w:val="100"/>
                <w:position w:val="0"/>
                <w:sz w:val="20"/>
                <w:szCs w:val="20"/>
              </w:rPr>
              <w:t>1,893,909,895.75</w:t>
            </w:r>
            <w:r>
              <w:rPr>
                <w:color w:val="000000"/>
                <w:spacing w:val="0"/>
                <w:w w:val="100"/>
                <w:position w:val="0"/>
                <w:sz w:val="20"/>
                <w:szCs w:val="20"/>
              </w:rPr>
              <w:t>元。</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资产组 的认定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并购后联创智融业务、技术及人员仍然相对独立，且独立产生现金流入，因此公司将该商誉 分配至联创智融资产组。</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资产组 的可收 回金额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本公司对该资产组可收回金额是根据资产组的预计未来现金流量的现值来确定。预计未来现 金流量来源为管理层批准的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年期财务预算中的现金流量预测数据，未来五年营业收入的年 化增长率为</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16.50%</w:t>
            </w:r>
            <w:r>
              <w:rPr>
                <w:color w:val="000000"/>
                <w:spacing w:val="0"/>
                <w:w w:val="100"/>
                <w:position w:val="0"/>
                <w:sz w:val="20"/>
                <w:szCs w:val="20"/>
              </w:rPr>
              <w:t>不等。五年以后的永续现金流量按照详细预测期最后一年的水平， 并结合行业发展趋势等因素后确定。计算现值的折现率为</w:t>
            </w:r>
            <w:r>
              <w:rPr>
                <w:rFonts w:ascii="Times New Roman" w:eastAsia="Times New Roman" w:hAnsi="Times New Roman" w:cs="Times New Roman"/>
                <w:color w:val="000000"/>
                <w:spacing w:val="0"/>
                <w:w w:val="100"/>
                <w:position w:val="0"/>
                <w:sz w:val="20"/>
                <w:szCs w:val="20"/>
              </w:rPr>
              <w:t>14.87%</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14.89%</w:t>
            </w:r>
            <w:r>
              <w:rPr>
                <w:color w:val="000000"/>
                <w:spacing w:val="0"/>
                <w:w w:val="100"/>
                <w:position w:val="0"/>
                <w:sz w:val="20"/>
                <w:szCs w:val="20"/>
              </w:rPr>
              <w:t>,为反映相关资产 组特定风险的税前折现率。</w:t>
            </w:r>
          </w:p>
        </w:tc>
      </w:tr>
      <w:tr>
        <w:trPr>
          <w:trHeight w:val="130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商誉减 值测试 结果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日为商誉减值测试基准日，在上述假设条件成立的前提下，本公司所持有的 联创智融与商誉相关的资产组可收回金额为人民币</w:t>
            </w:r>
            <w:r>
              <w:rPr>
                <w:rFonts w:ascii="Times New Roman" w:eastAsia="Times New Roman" w:hAnsi="Times New Roman" w:cs="Times New Roman"/>
                <w:color w:val="000000"/>
                <w:spacing w:val="0"/>
                <w:w w:val="100"/>
                <w:position w:val="0"/>
                <w:sz w:val="20"/>
                <w:szCs w:val="20"/>
              </w:rPr>
              <w:t>48,710.00</w:t>
            </w:r>
            <w:r>
              <w:rPr>
                <w:color w:val="000000"/>
                <w:spacing w:val="0"/>
                <w:w w:val="100"/>
                <w:position w:val="0"/>
                <w:sz w:val="20"/>
                <w:szCs w:val="20"/>
              </w:rPr>
              <w:t>万元</w:t>
            </w:r>
            <w:r>
              <w:rPr>
                <w:color w:val="000000"/>
                <w:spacing w:val="0"/>
                <w:w w:val="100"/>
                <w:position w:val="0"/>
                <w:sz w:val="20"/>
                <w:szCs w:val="20"/>
              </w:rPr>
              <w:t>，</w:t>
            </w:r>
            <w:r>
              <w:rPr>
                <w:color w:val="000000"/>
                <w:spacing w:val="0"/>
                <w:w w:val="100"/>
                <w:position w:val="0"/>
                <w:sz w:val="20"/>
                <w:szCs w:val="20"/>
              </w:rPr>
              <w:t>本公司所持有的联创智融 与商誉相关的资产组账面价值为人民币</w:t>
            </w:r>
            <w:r>
              <w:rPr>
                <w:rFonts w:ascii="Times New Roman" w:eastAsia="Times New Roman" w:hAnsi="Times New Roman" w:cs="Times New Roman"/>
                <w:color w:val="000000"/>
                <w:spacing w:val="0"/>
                <w:w w:val="100"/>
                <w:position w:val="0"/>
                <w:sz w:val="20"/>
                <w:szCs w:val="20"/>
              </w:rPr>
              <w:t>13,727.21</w:t>
            </w:r>
            <w:r>
              <w:rPr>
                <w:color w:val="000000"/>
                <w:spacing w:val="0"/>
                <w:w w:val="100"/>
                <w:position w:val="0"/>
                <w:sz w:val="20"/>
                <w:szCs w:val="20"/>
              </w:rPr>
              <w:t xml:space="preserve">万元，全部商誉的账面价值为人民币 </w:t>
            </w:r>
            <w:r>
              <w:rPr>
                <w:rFonts w:ascii="Times New Roman" w:eastAsia="Times New Roman" w:hAnsi="Times New Roman" w:cs="Times New Roman"/>
                <w:color w:val="000000"/>
                <w:spacing w:val="0"/>
                <w:w w:val="100"/>
                <w:position w:val="0"/>
                <w:sz w:val="20"/>
                <w:szCs w:val="20"/>
              </w:rPr>
              <w:t>32,140.91</w:t>
            </w:r>
            <w:r>
              <w:rPr>
                <w:color w:val="000000"/>
                <w:spacing w:val="0"/>
                <w:w w:val="100"/>
                <w:position w:val="0"/>
                <w:sz w:val="20"/>
                <w:szCs w:val="20"/>
              </w:rPr>
              <w:t>万元，无需计提商誉减值。</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②捷科智诚商誉减值测试过程</w:t>
      </w:r>
    </w:p>
    <w:tbl>
      <w:tblPr>
        <w:tblOverlap w:val="never"/>
        <w:jc w:val="center"/>
        <w:tblLayout w:type="fixed"/>
      </w:tblPr>
      <w:tblGrid>
        <w:gridCol w:w="730"/>
        <w:gridCol w:w="860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商誉减值过程</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商誉的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形成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年收购捷科智诚</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股权，形成商誉人民币</w:t>
            </w:r>
            <w:r>
              <w:rPr>
                <w:rFonts w:ascii="Times New Roman" w:eastAsia="Times New Roman" w:hAnsi="Times New Roman" w:cs="Times New Roman"/>
                <w:color w:val="000000"/>
                <w:spacing w:val="0"/>
                <w:w w:val="100"/>
                <w:position w:val="0"/>
                <w:sz w:val="20"/>
                <w:szCs w:val="20"/>
              </w:rPr>
              <w:t>655,923,170.20</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资产组 的认定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并购后捷科智诚业务、技术及人员仍然相对独立，且独立产生现金流入，因此公司将该商誉分 配至捷科智诚资产组。</w:t>
            </w:r>
          </w:p>
        </w:tc>
      </w:tr>
      <w:tr>
        <w:trPr>
          <w:trHeight w:val="16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资产组 的可收 回金额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本公司对该资产组可收回金额是根据资产组的预计未来现金流量的现值来确定。预计未来现金 流量来源为管理层批准的</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年期财务预算中的现金流量预测数据，未来五年营业收入的年化增 长率为</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不等。五年以后的永续现金流量按照详细预测期最后一年的水平，并结合行业 发展趋势等因素后确定。计算现值的折现率为</w:t>
            </w:r>
            <w:r>
              <w:rPr>
                <w:rFonts w:ascii="Times New Roman" w:eastAsia="Times New Roman" w:hAnsi="Times New Roman" w:cs="Times New Roman"/>
                <w:color w:val="000000"/>
                <w:spacing w:val="0"/>
                <w:w w:val="100"/>
                <w:position w:val="0"/>
                <w:sz w:val="20"/>
                <w:szCs w:val="20"/>
              </w:rPr>
              <w:t>13.03%</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13.05%</w:t>
            </w:r>
            <w:r>
              <w:rPr>
                <w:color w:val="000000"/>
                <w:spacing w:val="0"/>
                <w:w w:val="100"/>
                <w:position w:val="0"/>
                <w:sz w:val="20"/>
                <w:szCs w:val="20"/>
              </w:rPr>
              <w:t>,为反映相关资产组特定风险的 税前折现率。</w:t>
            </w:r>
          </w:p>
        </w:tc>
      </w:tr>
    </w:tbl>
    <w:p>
      <w:pPr>
        <w:spacing w:lineRule="exact" w:line="1"/>
        <w:rPr>
          <w:sz w:val="2"/>
          <w:szCs w:val="2"/>
        </w:rPr>
      </w:pPr>
      <w:r>
        <w:br w:type="page"/>
      </w:r>
    </w:p>
    <w:tbl>
      <w:tblPr>
        <w:tblOverlap w:val="never"/>
        <w:jc w:val="center"/>
        <w:tblLayout w:type="fixed"/>
      </w:tblPr>
      <w:tblGrid>
        <w:gridCol w:w="715"/>
        <w:gridCol w:w="8616"/>
      </w:tblGrid>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商誉减 值测试 结果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日为商誉减值测试基准日，在上述假设条件成立的前提下，本公司所持有的捷 科智诚与商誉相关的资产组可收回金额为人民币</w:t>
            </w:r>
            <w:r>
              <w:rPr>
                <w:rFonts w:ascii="Times New Roman" w:eastAsia="Times New Roman" w:hAnsi="Times New Roman" w:cs="Times New Roman"/>
                <w:color w:val="000000"/>
                <w:spacing w:val="0"/>
                <w:w w:val="100"/>
                <w:position w:val="0"/>
                <w:sz w:val="20"/>
                <w:szCs w:val="20"/>
              </w:rPr>
              <w:t>108,890.00</w:t>
            </w:r>
            <w:r>
              <w:rPr>
                <w:color w:val="000000"/>
                <w:spacing w:val="0"/>
                <w:w w:val="100"/>
                <w:position w:val="0"/>
                <w:sz w:val="20"/>
                <w:szCs w:val="20"/>
              </w:rPr>
              <w:t>万元，本公司所持有的捷科智诚与 商誉相关的资产组账面价值为人民币</w:t>
            </w:r>
            <w:r>
              <w:rPr>
                <w:rFonts w:ascii="Times New Roman" w:eastAsia="Times New Roman" w:hAnsi="Times New Roman" w:cs="Times New Roman"/>
                <w:color w:val="000000"/>
                <w:spacing w:val="0"/>
                <w:w w:val="100"/>
                <w:position w:val="0"/>
                <w:sz w:val="20"/>
                <w:szCs w:val="20"/>
              </w:rPr>
              <w:t>34,676.52</w:t>
            </w:r>
            <w:r>
              <w:rPr>
                <w:color w:val="000000"/>
                <w:spacing w:val="0"/>
                <w:w w:val="100"/>
                <w:position w:val="0"/>
                <w:sz w:val="20"/>
                <w:szCs w:val="20"/>
              </w:rPr>
              <w:t>万元，全部商誉的账面价值为人民币</w:t>
            </w:r>
            <w:r>
              <w:rPr>
                <w:rFonts w:ascii="Times New Roman" w:eastAsia="Times New Roman" w:hAnsi="Times New Roman" w:cs="Times New Roman"/>
                <w:color w:val="000000"/>
                <w:spacing w:val="0"/>
                <w:w w:val="100"/>
                <w:position w:val="0"/>
                <w:sz w:val="20"/>
                <w:szCs w:val="20"/>
              </w:rPr>
              <w:t xml:space="preserve">65,592.32 </w:t>
            </w:r>
            <w:r>
              <w:rPr>
                <w:color w:val="000000"/>
                <w:spacing w:val="0"/>
                <w:w w:val="100"/>
                <w:position w:val="0"/>
                <w:sz w:val="20"/>
                <w:szCs w:val="20"/>
              </w:rPr>
              <w:t>万元，由于与商誉相关的资产组可收回金额大于捷科智诚资产组账面价值和全部商誉账面价值 之和，本期无需计提商誉减值准备。</w:t>
            </w:r>
          </w:p>
        </w:tc>
      </w:tr>
      <w:tr>
        <w:trPr>
          <w:trHeight w:val="331"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③菲耐得商誉减值测试过程</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商誉减值过程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商誉的</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形成</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年收购菲耐得</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股权产生商誉</w:t>
            </w:r>
            <w:r>
              <w:rPr>
                <w:rFonts w:ascii="Times New Roman" w:eastAsia="Times New Roman" w:hAnsi="Times New Roman" w:cs="Times New Roman"/>
                <w:color w:val="000000"/>
                <w:spacing w:val="0"/>
                <w:w w:val="100"/>
                <w:position w:val="0"/>
                <w:sz w:val="20"/>
                <w:szCs w:val="20"/>
              </w:rPr>
              <w:t>66,014,888.55</w:t>
            </w:r>
            <w:r>
              <w:rPr>
                <w:color w:val="000000"/>
                <w:spacing w:val="0"/>
                <w:w w:val="100"/>
                <w:position w:val="0"/>
                <w:sz w:val="20"/>
                <w:szCs w:val="20"/>
              </w:rPr>
              <w:t>元。</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资产组 的认定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并购后菲耐得业务、技术及人员仍然相对独立，且独立产生现金流入，因此公司将该商誉分 配至菲耐得资产组。</w:t>
            </w:r>
          </w:p>
        </w:tc>
      </w:tr>
      <w:tr>
        <w:trPr>
          <w:trHeight w:val="25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资产组 的可收 回金额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根据公司与北京太极华保科技股份有限公司（以下简称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太极华保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月签订的《北 京太极华保科技股份有限公司与上海菲耐得信息科技有限公司股东江苏润和软件股份有限 公司之发行股份及支付现金购买资产协议》，公司拟将持有的菲耐得</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股权转让给北京 太极华保科技股份有限公司，转让对价为人民币</w:t>
            </w:r>
            <w:r>
              <w:rPr>
                <w:rFonts w:ascii="Times New Roman" w:eastAsia="Times New Roman" w:hAnsi="Times New Roman" w:cs="Times New Roman"/>
                <w:color w:val="000000"/>
                <w:spacing w:val="0"/>
                <w:w w:val="100"/>
                <w:position w:val="0"/>
                <w:sz w:val="20"/>
                <w:szCs w:val="20"/>
              </w:rPr>
              <w:t>7,000.00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日全国股转公司 审核通过了太极华保收购菲耐得的相关信息披露内容，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日上海市徐汇区市场监督 管理局出具《准予变更（备案）登记通知书》和《内资公司备案通知书》，决定准予菲耐得 变更登记，股东名录由</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润和软件</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变更为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太极华保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color w:val="000000"/>
                <w:spacing w:val="0"/>
                <w:w w:val="100"/>
                <w:position w:val="0"/>
                <w:sz w:val="20"/>
                <w:szCs w:val="20"/>
              </w:rPr>
              <w:t>因此上述转让以此价格作为计算菲耐 得资产组可收回金额的公允价值。</w:t>
            </w:r>
          </w:p>
        </w:tc>
      </w:tr>
      <w:tr>
        <w:trPr>
          <w:trHeight w:val="161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商誉减 值测试 结果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20"/>
                <w:szCs w:val="20"/>
              </w:rPr>
            </w:pPr>
            <w:r>
              <w:rPr>
                <w:color w:val="000000"/>
                <w:spacing w:val="0"/>
                <w:w w:val="100"/>
                <w:position w:val="0"/>
                <w:sz w:val="20"/>
                <w:szCs w:val="20"/>
              </w:rPr>
              <w:t>本公司所持有的菲耐得与商誉相关的资产组可收回金额为人民币</w:t>
            </w:r>
            <w:r>
              <w:rPr>
                <w:rFonts w:ascii="Times New Roman" w:eastAsia="Times New Roman" w:hAnsi="Times New Roman" w:cs="Times New Roman"/>
                <w:color w:val="000000"/>
                <w:spacing w:val="0"/>
                <w:w w:val="100"/>
                <w:position w:val="0"/>
                <w:sz w:val="20"/>
                <w:szCs w:val="20"/>
              </w:rPr>
              <w:t>6,926.5</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 xml:space="preserve">万元（公允价值 </w:t>
            </w:r>
            <w:r>
              <w:rPr>
                <w:rFonts w:ascii="Times New Roman" w:eastAsia="Times New Roman" w:hAnsi="Times New Roman" w:cs="Times New Roman"/>
                <w:color w:val="000000"/>
                <w:spacing w:val="0"/>
                <w:w w:val="100"/>
                <w:position w:val="0"/>
                <w:sz w:val="20"/>
                <w:szCs w:val="20"/>
              </w:rPr>
              <w:t>7,000.00</w:t>
            </w:r>
            <w:r>
              <w:rPr>
                <w:color w:val="000000"/>
                <w:spacing w:val="0"/>
                <w:w w:val="100"/>
                <w:position w:val="0"/>
                <w:sz w:val="20"/>
                <w:szCs w:val="20"/>
              </w:rPr>
              <w:t>万元减去处置费用</w:t>
            </w:r>
            <w:r>
              <w:rPr>
                <w:rFonts w:ascii="Times New Roman" w:eastAsia="Times New Roman" w:hAnsi="Times New Roman" w:cs="Times New Roman"/>
                <w:color w:val="000000"/>
                <w:spacing w:val="0"/>
                <w:w w:val="100"/>
                <w:position w:val="0"/>
                <w:sz w:val="20"/>
                <w:szCs w:val="20"/>
              </w:rPr>
              <w:t>73.50</w:t>
            </w:r>
            <w:r>
              <w:rPr>
                <w:color w:val="000000"/>
                <w:spacing w:val="0"/>
                <w:w w:val="100"/>
                <w:position w:val="0"/>
                <w:sz w:val="20"/>
                <w:szCs w:val="20"/>
              </w:rPr>
              <w:t>万元），本公司所持有的菲耐得与商誉相关的资产组账面价 值为人民币</w:t>
            </w:r>
            <w:r>
              <w:rPr>
                <w:rFonts w:ascii="Times New Roman" w:eastAsia="Times New Roman" w:hAnsi="Times New Roman" w:cs="Times New Roman"/>
                <w:color w:val="000000"/>
                <w:spacing w:val="0"/>
                <w:w w:val="100"/>
                <w:position w:val="0"/>
                <w:sz w:val="20"/>
                <w:szCs w:val="20"/>
              </w:rPr>
              <w:t>4,298.29</w:t>
            </w:r>
            <w:r>
              <w:rPr>
                <w:color w:val="000000"/>
                <w:spacing w:val="0"/>
                <w:w w:val="100"/>
                <w:position w:val="0"/>
                <w:sz w:val="20"/>
                <w:szCs w:val="20"/>
              </w:rPr>
              <w:t>万元，全部商誉的账面价值为人民币</w:t>
            </w:r>
            <w:r>
              <w:rPr>
                <w:rFonts w:ascii="Times New Roman" w:eastAsia="Times New Roman" w:hAnsi="Times New Roman" w:cs="Times New Roman"/>
                <w:color w:val="000000"/>
                <w:spacing w:val="0"/>
                <w:w w:val="100"/>
                <w:position w:val="0"/>
                <w:sz w:val="20"/>
                <w:szCs w:val="20"/>
              </w:rPr>
              <w:t>884.88</w:t>
            </w:r>
            <w:r>
              <w:rPr>
                <w:color w:val="000000"/>
                <w:spacing w:val="0"/>
                <w:w w:val="100"/>
                <w:position w:val="0"/>
                <w:sz w:val="20"/>
                <w:szCs w:val="20"/>
              </w:rPr>
              <w:t>万元，由于与商誉相关的资 产组可收回金额大于菲耐得资产组账面价值和全部商誉账面价值之和，本期无需计提商誉减 值准备。</w:t>
            </w:r>
          </w:p>
        </w:tc>
      </w:tr>
    </w:tbl>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549"/>
      <w:bookmarkEnd w:id="1550"/>
      <w:bookmarkEnd w:id="15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12,568,597.78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3,250,299.42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5,870,241.86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9,948,655.34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511,695.14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1,103,773.59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1,615,468.73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13,080,292.92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4,354,073.01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7,485,710.59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9,948,655.34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53"/>
      <w:bookmarkEnd w:id="1554"/>
      <w:bookmarkEnd w:id="1556"/>
    </w:p>
    <w:p>
      <w:pPr>
        <w:pStyle w:val="Style30"/>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53"/>
      <w:bookmarkEnd w:id="1554"/>
      <w:bookmarkEnd w:id="1558"/>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134,411,473.63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17,173,182.54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128,128,273.33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15,534,302.37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172,901.41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1,740,851.80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261,127.77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277,594,499.92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41,024,664.93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324,839,729.54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46,396,400.01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无形资产摊销会计与税 法差异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92,473,067.18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13,795,660.02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59,706,020.01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8,867,346.40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1,938,106.91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1,938,106.91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290,716.04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514,890,049.05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73,585,158.74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524,852,981.59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72,624,892.59</w:t>
            </w:r>
          </w:p>
        </w:tc>
      </w:tr>
    </w:tbl>
    <w:p>
      <w:pPr>
        <w:widowControl w:val="0"/>
        <w:spacing w:after="319" w:line="1" w:lineRule="exact"/>
      </w:pPr>
    </w:p>
    <w:p>
      <w:pPr>
        <w:pStyle w:val="Style30"/>
        <w:keepNext/>
        <w:keepLines/>
        <w:widowControl w:val="0"/>
        <w:numPr>
          <w:ilvl w:val="0"/>
          <w:numId w:val="171"/>
        </w:numPr>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未经抵销的递延所得税负债</w:t>
      </w:r>
      <w:bookmarkEnd w:id="1559"/>
      <w:bookmarkEnd w:id="1560"/>
      <w:bookmarkEnd w:id="15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金融资产转换损益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11,679,797.76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11,679,797.76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3,908.14</w:t>
            </w:r>
          </w:p>
        </w:tc>
      </w:tr>
    </w:tbl>
    <w:p>
      <w:pPr>
        <w:widowControl w:val="0"/>
        <w:spacing w:after="319" w:line="1" w:lineRule="exact"/>
      </w:pPr>
    </w:p>
    <w:p>
      <w:pPr>
        <w:pStyle w:val="Style30"/>
        <w:keepNext/>
        <w:keepLines/>
        <w:widowControl w:val="0"/>
        <w:numPr>
          <w:ilvl w:val="0"/>
          <w:numId w:val="171"/>
        </w:numPr>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以抵销后净额列示的递延所得税资产或负债</w:t>
      </w:r>
      <w:bookmarkEnd w:id="1563"/>
      <w:bookmarkEnd w:id="1564"/>
      <w:bookmarkEnd w:id="156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36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r>
        <w:trPr>
          <w:trHeight w:val="350"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期末互抵金额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或负债期末余额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期初互抵金额</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73,585,158.74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72,624,892.59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1,751,969.66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3,908.14</w:t>
            </w:r>
          </w:p>
        </w:tc>
      </w:tr>
    </w:tbl>
    <w:p>
      <w:pPr>
        <w:widowControl w:val="0"/>
        <w:spacing w:after="319" w:line="1" w:lineRule="exact"/>
      </w:pPr>
    </w:p>
    <w:p>
      <w:pPr>
        <w:pStyle w:val="Style30"/>
        <w:keepNext/>
        <w:keepLines/>
        <w:widowControl w:val="0"/>
        <w:numPr>
          <w:ilvl w:val="0"/>
          <w:numId w:val="171"/>
        </w:numPr>
        <w:shd w:val="clear" w:color="auto" w:fill="auto"/>
        <w:bidi w:val="0"/>
        <w:spacing w:before="0" w:after="38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未确认递延所得税资产明细</w:t>
      </w:r>
      <w:bookmarkEnd w:id="1567"/>
      <w:bookmarkEnd w:id="1568"/>
      <w:bookmarkEnd w:id="157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119,428,976.49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139,200,727.62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297,235,124.51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215,141,186.96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416,664,101.00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354,341,914.58</w:t>
            </w:r>
          </w:p>
        </w:tc>
      </w:tr>
    </w:tbl>
    <w:p>
      <w:pPr>
        <w:spacing w:lineRule="exact" w:line="1"/>
        <w:rPr>
          <w:sz w:val="2"/>
          <w:szCs w:val="2"/>
        </w:rPr>
      </w:pPr>
      <w:r>
        <w:br w:type="page"/>
      </w:r>
    </w:p>
    <w:p>
      <w:pPr>
        <w:pStyle w:val="Style30"/>
        <w:keepNext/>
        <w:keepLines/>
        <w:widowControl w:val="0"/>
        <w:numPr>
          <w:ilvl w:val="0"/>
          <w:numId w:val="171"/>
        </w:numPr>
        <w:shd w:val="clear" w:color="auto" w:fill="auto"/>
        <w:bidi w:val="0"/>
        <w:spacing w:before="0" w:line="240" w:lineRule="auto"/>
        <w:ind w:left="0" w:right="0" w:firstLine="14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未确认递延所得税资产的可抵扣亏损将于以下年度到期</w:t>
      </w:r>
      <w:bookmarkEnd w:id="1571"/>
      <w:bookmarkEnd w:id="1572"/>
      <w:bookmarkEnd w:id="157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2,554,314.36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3,579,143.90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3,595,236.26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2,888,081.61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3,434,744.92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10,563,864.19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14,634,166.16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10,656,707.22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32,395,083.08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20,386,472.81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4,391,794.87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48,374,249.31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49,834,070.41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140,687,344.74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108,693,571.77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55,707,465.86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297,235,124.51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215,141,186.96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numPr>
          <w:ilvl w:val="0"/>
          <w:numId w:val="173"/>
        </w:numPr>
        <w:shd w:val="clear" w:color="auto" w:fill="auto"/>
        <w:bidi w:val="0"/>
        <w:spacing w:before="0" w:after="0" w:line="314" w:lineRule="exact"/>
        <w:ind w:left="0" w:right="0" w:firstLine="520"/>
        <w:jc w:val="both"/>
      </w:pPr>
      <w:bookmarkStart w:id="1575" w:name="bookmark1575"/>
      <w:bookmarkEnd w:id="1575"/>
      <w:r>
        <w:rPr>
          <w:color w:val="000000"/>
          <w:spacing w:val="0"/>
          <w:w w:val="100"/>
          <w:position w:val="0"/>
        </w:rPr>
        <w:t xml:space="preserve"> 根据财税〔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76</w:t>
      </w:r>
      <w:r>
        <w:rPr>
          <w:color w:val="000000"/>
          <w:spacing w:val="0"/>
          <w:w w:val="100"/>
          <w:position w:val="0"/>
        </w:rPr>
        <w:t>号《关于延长高新技术企业和科技型中小企业亏损结转年限的通知》，自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 当年具备高新技术企业或科技型中小企业资格(以下统称资格)的企业，其具备资格年度之前</w:t>
      </w:r>
      <w:r>
        <w:rPr>
          <w:rFonts w:ascii="Times New Roman" w:eastAsia="Times New Roman" w:hAnsi="Times New Roman" w:cs="Times New Roman"/>
          <w:color w:val="000000"/>
          <w:spacing w:val="0"/>
          <w:w w:val="100"/>
          <w:position w:val="0"/>
        </w:rPr>
        <w:t>5</w:t>
      </w:r>
      <w:r>
        <w:rPr>
          <w:color w:val="000000"/>
          <w:spacing w:val="0"/>
          <w:w w:val="100"/>
          <w:position w:val="0"/>
        </w:rPr>
        <w:t>个年度发生的尚未弥补完的 亏损，准予结转以后年度弥补，最长结转年限由</w:t>
      </w:r>
      <w:r>
        <w:rPr>
          <w:rFonts w:ascii="Times New Roman" w:eastAsia="Times New Roman" w:hAnsi="Times New Roman" w:cs="Times New Roman"/>
          <w:color w:val="000000"/>
          <w:spacing w:val="0"/>
          <w:w w:val="100"/>
          <w:position w:val="0"/>
        </w:rPr>
        <w:t>5</w:t>
      </w:r>
      <w:r>
        <w:rPr>
          <w:color w:val="000000"/>
          <w:spacing w:val="0"/>
          <w:w w:val="100"/>
          <w:position w:val="0"/>
        </w:rPr>
        <w:t>年延长至</w:t>
      </w:r>
      <w:r>
        <w:rPr>
          <w:rFonts w:ascii="Times New Roman" w:eastAsia="Times New Roman" w:hAnsi="Times New Roman" w:cs="Times New Roman"/>
          <w:color w:val="000000"/>
          <w:spacing w:val="0"/>
          <w:w w:val="100"/>
          <w:position w:val="0"/>
        </w:rPr>
        <w:t>10</w:t>
      </w:r>
      <w:r>
        <w:rPr>
          <w:color w:val="000000"/>
          <w:spacing w:val="0"/>
          <w:w w:val="100"/>
          <w:position w:val="0"/>
        </w:rPr>
        <w:t>年。本公司及子公司西安润和、广州润和、润和润云、上海润 和符合上述规定，对应可弥补亏损结转年限由</w:t>
      </w:r>
      <w:r>
        <w:rPr>
          <w:rFonts w:ascii="Times New Roman" w:eastAsia="Times New Roman" w:hAnsi="Times New Roman" w:cs="Times New Roman"/>
          <w:color w:val="000000"/>
          <w:spacing w:val="0"/>
          <w:w w:val="100"/>
          <w:position w:val="0"/>
        </w:rPr>
        <w:t>5</w:t>
      </w:r>
      <w:r>
        <w:rPr>
          <w:color w:val="000000"/>
          <w:spacing w:val="0"/>
          <w:w w:val="100"/>
          <w:position w:val="0"/>
        </w:rPr>
        <w:t>年延长至</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26"/>
        <w:keepNext w:val="0"/>
        <w:keepLines w:val="0"/>
        <w:widowControl w:val="0"/>
        <w:numPr>
          <w:ilvl w:val="0"/>
          <w:numId w:val="173"/>
        </w:numPr>
        <w:shd w:val="clear" w:color="auto" w:fill="auto"/>
        <w:tabs>
          <w:tab w:pos="965" w:val="left"/>
        </w:tabs>
        <w:bidi w:val="0"/>
        <w:spacing w:before="0" w:after="0" w:line="314" w:lineRule="exact"/>
        <w:ind w:left="0" w:right="0" w:firstLine="520"/>
        <w:jc w:val="both"/>
      </w:pPr>
      <w:bookmarkStart w:id="1576" w:name="bookmark1576"/>
      <w:bookmarkEnd w:id="1576"/>
      <w:r>
        <w:rPr>
          <w:color w:val="000000"/>
          <w:spacing w:val="0"/>
          <w:w w:val="100"/>
          <w:position w:val="0"/>
        </w:rPr>
        <w:t>本期润和智融不纳入合并报表范围减少递延所得税资产</w:t>
      </w:r>
      <w:r>
        <w:rPr>
          <w:rFonts w:ascii="Times New Roman" w:eastAsia="Times New Roman" w:hAnsi="Times New Roman" w:cs="Times New Roman"/>
          <w:color w:val="000000"/>
          <w:spacing w:val="0"/>
          <w:w w:val="100"/>
          <w:position w:val="0"/>
        </w:rPr>
        <w:t>474,123.59</w:t>
      </w:r>
      <w:r>
        <w:rPr>
          <w:color w:val="000000"/>
          <w:spacing w:val="0"/>
          <w:w w:val="100"/>
          <w:position w:val="0"/>
        </w:rPr>
        <w:t>元。</w:t>
      </w:r>
    </w:p>
    <w:p>
      <w:pPr>
        <w:pStyle w:val="Style26"/>
        <w:keepNext w:val="0"/>
        <w:keepLines w:val="0"/>
        <w:widowControl w:val="0"/>
        <w:numPr>
          <w:ilvl w:val="0"/>
          <w:numId w:val="173"/>
        </w:numPr>
        <w:shd w:val="clear" w:color="auto" w:fill="auto"/>
        <w:tabs>
          <w:tab w:pos="1045" w:val="left"/>
        </w:tabs>
        <w:bidi w:val="0"/>
        <w:spacing w:before="0" w:after="360" w:line="314" w:lineRule="exact"/>
        <w:ind w:left="0" w:right="0" w:firstLine="520"/>
        <w:jc w:val="both"/>
      </w:pPr>
      <w:bookmarkStart w:id="1577" w:name="bookmark1577"/>
      <w:bookmarkEnd w:id="1577"/>
      <w:r>
        <w:rPr>
          <w:color w:val="000000"/>
          <w:spacing w:val="0"/>
          <w:w w:val="100"/>
          <w:position w:val="0"/>
        </w:rPr>
        <w:t>递延所得税负债期末余额较期初余额大幅增长，主要原因是本期公司转让博纳讯动部分股权后，将持有的博纳 讯动剩余股权按照股权出售日公允价值重新计量与账面价值产生的差异，按照公司适用的所得税税率确认递延所得税负债。</w:t>
      </w:r>
    </w:p>
    <w:p>
      <w:pPr>
        <w:pStyle w:val="Style30"/>
        <w:keepNext/>
        <w:keepLines/>
        <w:widowControl w:val="0"/>
        <w:shd w:val="clear" w:color="auto" w:fill="auto"/>
        <w:bidi w:val="0"/>
        <w:spacing w:before="0" w:after="260" w:line="240" w:lineRule="auto"/>
        <w:ind w:left="0" w:right="0" w:firstLine="0"/>
        <w:jc w:val="both"/>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78"/>
      <w:bookmarkEnd w:id="1579"/>
      <w:bookmarkEnd w:id="1581"/>
    </w:p>
    <w:p>
      <w:pPr>
        <w:pStyle w:val="Style26"/>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3</w:t>
      </w:r>
      <w:bookmarkEnd w:id="1584"/>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82"/>
      <w:bookmarkEnd w:id="1583"/>
      <w:bookmarkEnd w:id="1585"/>
    </w:p>
    <w:p>
      <w:pPr>
        <w:pStyle w:val="Style30"/>
        <w:keepNext/>
        <w:keepLines/>
        <w:widowControl w:val="0"/>
        <w:numPr>
          <w:ilvl w:val="0"/>
          <w:numId w:val="175"/>
        </w:numPr>
        <w:shd w:val="clear" w:color="auto" w:fill="auto"/>
        <w:bidi w:val="0"/>
        <w:spacing w:before="0" w:line="240" w:lineRule="auto"/>
        <w:ind w:left="0" w:right="0" w:firstLine="140"/>
        <w:jc w:val="both"/>
      </w:pPr>
      <w:bookmarkStart w:id="1582" w:name="bookmark1582"/>
      <w:bookmarkStart w:id="1583" w:name="bookmark1583"/>
      <w:bookmarkStart w:id="1586" w:name="bookmark1586"/>
      <w:bookmarkStart w:id="1587" w:name="bookmark1587"/>
      <w:bookmarkEnd w:id="1586"/>
      <w:r>
        <w:rPr>
          <w:color w:val="000000"/>
          <w:spacing w:val="0"/>
          <w:w w:val="100"/>
          <w:position w:val="0"/>
        </w:rPr>
        <w:t>短期借款分类</w:t>
      </w:r>
      <w:bookmarkEnd w:id="1582"/>
      <w:bookmarkEnd w:id="1583"/>
      <w:bookmarkEnd w:id="158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629,000,000.00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531,078.54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1,413,393.43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360,531,078.54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825,413,393.43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①保证借款期末余额的担保情况如下</w:t>
      </w:r>
    </w:p>
    <w:tbl>
      <w:tblPr>
        <w:tblOverlap w:val="never"/>
        <w:jc w:val="center"/>
        <w:tblLayout w:type="fixed"/>
      </w:tblPr>
      <w:tblGrid>
        <w:gridCol w:w="1147"/>
        <w:gridCol w:w="3259"/>
        <w:gridCol w:w="2832"/>
        <w:gridCol w:w="187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借款金额</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江苏润和科技投资集团有限公司、</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周红卫、姚宁、</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北京捷科智诚科技有限公司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中国农业银行股份有限公司南 京四平路支行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50,000,000.00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江苏润和科技投资集团有限公司、 周红卫、束岚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江苏银行股份有限公司南京城 西支行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20,000,000.00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北京捷科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江苏润和软件股份有限公司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北京银行股份有限公司中关村 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90,000,000.00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西安润和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江苏润和软件股份有限公司、周红 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北京银行股份有限公司西安分 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170,000,000.00</w:t>
            </w:r>
          </w:p>
        </w:tc>
      </w:tr>
    </w:tbl>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②抵押借款</w:t>
      </w:r>
      <w:r>
        <w:rPr>
          <w:rFonts w:ascii="Times New Roman" w:eastAsia="Times New Roman" w:hAnsi="Times New Roman" w:cs="Times New Roman"/>
          <w:color w:val="000000"/>
          <w:spacing w:val="0"/>
          <w:w w:val="100"/>
          <w:position w:val="0"/>
        </w:rPr>
        <w:t>90,000,000.00</w:t>
      </w:r>
      <w:r>
        <w:rPr>
          <w:color w:val="000000"/>
          <w:spacing w:val="0"/>
          <w:w w:val="100"/>
          <w:position w:val="0"/>
        </w:rPr>
        <w:t>元系本公司向中国工商银行股份有限公司南京玄武支行取得的借款，由周红卫、束岚进行担保，江 苏润和南京软件外包园投资有限公司以房产和土地设定抵押。截止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日，该抵押合同未到期。</w:t>
      </w:r>
    </w:p>
    <w:p>
      <w:pPr>
        <w:widowControl w:val="0"/>
        <w:spacing w:after="379" w:line="1" w:lineRule="exact"/>
      </w:pPr>
    </w:p>
    <w:p>
      <w:pPr>
        <w:pStyle w:val="Style30"/>
        <w:keepNext/>
        <w:keepLines/>
        <w:widowControl w:val="0"/>
        <w:shd w:val="clear" w:color="auto" w:fill="auto"/>
        <w:bidi w:val="0"/>
        <w:spacing w:before="0" w:after="2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88"/>
      <w:bookmarkEnd w:id="1589"/>
      <w:bookmarkEnd w:id="1591"/>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80" w:line="317" w:lineRule="exact"/>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numPr>
          <w:ilvl w:val="0"/>
          <w:numId w:val="177"/>
        </w:numPr>
        <w:shd w:val="clear" w:color="auto" w:fill="auto"/>
        <w:tabs>
          <w:tab w:pos="373" w:val="left"/>
        </w:tabs>
        <w:bidi w:val="0"/>
        <w:spacing w:before="0" w:after="80" w:line="240" w:lineRule="auto"/>
        <w:ind w:left="0" w:right="0" w:firstLine="0"/>
        <w:jc w:val="left"/>
      </w:pPr>
      <w:bookmarkStart w:id="1592" w:name="bookmark1592"/>
      <w:bookmarkEnd w:id="1592"/>
      <w:r>
        <w:rPr>
          <w:color w:val="000000"/>
          <w:spacing w:val="0"/>
          <w:w w:val="100"/>
          <w:position w:val="0"/>
        </w:rPr>
        <w:t>短期借款期末余额中无已逾期未偿还的情况。</w:t>
      </w:r>
    </w:p>
    <w:p>
      <w:pPr>
        <w:pStyle w:val="Style26"/>
        <w:keepNext w:val="0"/>
        <w:keepLines w:val="0"/>
        <w:widowControl w:val="0"/>
        <w:numPr>
          <w:ilvl w:val="0"/>
          <w:numId w:val="177"/>
        </w:numPr>
        <w:shd w:val="clear" w:color="auto" w:fill="auto"/>
        <w:tabs>
          <w:tab w:pos="373" w:val="left"/>
        </w:tabs>
        <w:bidi w:val="0"/>
        <w:spacing w:before="0" w:after="380" w:line="240" w:lineRule="auto"/>
        <w:ind w:left="0" w:right="0" w:firstLine="0"/>
        <w:jc w:val="left"/>
      </w:pPr>
      <w:bookmarkStart w:id="1593" w:name="bookmark1593"/>
      <w:bookmarkEnd w:id="1593"/>
      <w:r>
        <w:rPr>
          <w:color w:val="000000"/>
          <w:spacing w:val="0"/>
          <w:w w:val="100"/>
          <w:position w:val="0"/>
        </w:rPr>
        <w:t>短期借款期末余额较期初余额减少</w:t>
      </w:r>
      <w:r>
        <w:rPr>
          <w:rFonts w:ascii="Times New Roman" w:eastAsia="Times New Roman" w:hAnsi="Times New Roman" w:cs="Times New Roman"/>
          <w:color w:val="000000"/>
          <w:spacing w:val="0"/>
          <w:w w:val="100"/>
          <w:position w:val="0"/>
        </w:rPr>
        <w:t>56.32%</w:t>
      </w:r>
      <w:r>
        <w:rPr>
          <w:color w:val="000000"/>
          <w:spacing w:val="0"/>
          <w:w w:val="100"/>
          <w:position w:val="0"/>
        </w:rPr>
        <w:t>，主要原因是本期公司归还短期借款。</w:t>
      </w:r>
    </w:p>
    <w:p>
      <w:pPr>
        <w:pStyle w:val="Style30"/>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94"/>
      <w:bookmarkEnd w:id="1595"/>
      <w:bookmarkEnd w:id="159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98"/>
      <w:bookmarkEnd w:id="1599"/>
      <w:bookmarkEnd w:id="16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602"/>
      <w:bookmarkEnd w:id="1603"/>
      <w:bookmarkEnd w:id="160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7,074,880.09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7,074,880.09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606"/>
      <w:bookmarkEnd w:id="1607"/>
      <w:bookmarkEnd w:id="1609"/>
    </w:p>
    <w:p>
      <w:pPr>
        <w:pStyle w:val="Style30"/>
        <w:keepNext/>
        <w:keepLines/>
        <w:widowControl w:val="0"/>
        <w:numPr>
          <w:ilvl w:val="0"/>
          <w:numId w:val="179"/>
        </w:numPr>
        <w:shd w:val="clear" w:color="auto" w:fill="auto"/>
        <w:bidi w:val="0"/>
        <w:spacing w:before="0" w:line="240" w:lineRule="auto"/>
        <w:ind w:left="0" w:right="0" w:firstLine="140"/>
        <w:jc w:val="left"/>
      </w:pPr>
      <w:bookmarkStart w:id="1606" w:name="bookmark1606"/>
      <w:bookmarkStart w:id="1607" w:name="bookmark1607"/>
      <w:bookmarkStart w:id="1610" w:name="bookmark1610"/>
      <w:bookmarkStart w:id="1611" w:name="bookmark1611"/>
      <w:bookmarkEnd w:id="1610"/>
      <w:r>
        <w:rPr>
          <w:color w:val="000000"/>
          <w:spacing w:val="0"/>
          <w:w w:val="100"/>
          <w:position w:val="0"/>
        </w:rPr>
        <w:t>应付账款列示</w:t>
      </w:r>
      <w:bookmarkEnd w:id="1606"/>
      <w:bookmarkEnd w:id="1607"/>
      <w:bookmarkEnd w:id="16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64,858,674.94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89,343,244.55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772,952.17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1,187,487.15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65,631,627.11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90,530,731.70</w:t>
            </w:r>
          </w:p>
        </w:tc>
      </w:tr>
    </w:tbl>
    <w:p>
      <w:pPr>
        <w:widowControl w:val="0"/>
        <w:spacing w:after="359" w:line="1" w:lineRule="exact"/>
      </w:pPr>
    </w:p>
    <w:p>
      <w:pPr>
        <w:pStyle w:val="Style30"/>
        <w:keepNext/>
        <w:keepLines/>
        <w:widowControl w:val="0"/>
        <w:numPr>
          <w:ilvl w:val="0"/>
          <w:numId w:val="179"/>
        </w:numPr>
        <w:shd w:val="clear" w:color="auto" w:fill="auto"/>
        <w:bidi w:val="0"/>
        <w:spacing w:before="0" w:line="240" w:lineRule="auto"/>
        <w:ind w:left="0" w:right="0" w:firstLine="14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12"/>
      <w:bookmarkEnd w:id="1613"/>
      <w:bookmarkEnd w:id="16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应付账款期末余额中无账龄超过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年的大额应付款项。</w:t>
      </w:r>
    </w:p>
    <w:p>
      <w:pPr>
        <w:pStyle w:val="Style30"/>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3</w:t>
      </w:r>
      <w:bookmarkEnd w:id="161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616"/>
      <w:bookmarkEnd w:id="1617"/>
      <w:bookmarkEnd w:id="1619"/>
    </w:p>
    <w:p>
      <w:pPr>
        <w:pStyle w:val="Style30"/>
        <w:keepNext/>
        <w:keepLines/>
        <w:widowControl w:val="0"/>
        <w:numPr>
          <w:ilvl w:val="0"/>
          <w:numId w:val="181"/>
        </w:numPr>
        <w:shd w:val="clear" w:color="auto" w:fill="auto"/>
        <w:bidi w:val="0"/>
        <w:spacing w:before="0" w:line="240" w:lineRule="auto"/>
        <w:ind w:left="0" w:right="0" w:firstLine="0"/>
        <w:jc w:val="left"/>
      </w:pPr>
      <w:bookmarkStart w:id="1616" w:name="bookmark1616"/>
      <w:bookmarkStart w:id="1617" w:name="bookmark1617"/>
      <w:bookmarkStart w:id="1620" w:name="bookmark1620"/>
      <w:bookmarkStart w:id="1621" w:name="bookmark1621"/>
      <w:bookmarkEnd w:id="1620"/>
      <w:r>
        <w:rPr>
          <w:color w:val="000000"/>
          <w:spacing w:val="0"/>
          <w:w w:val="100"/>
          <w:position w:val="0"/>
        </w:rPr>
        <w:t>预收款项列示</w:t>
      </w:r>
      <w:bookmarkEnd w:id="1616"/>
      <w:bookmarkEnd w:id="1617"/>
      <w:bookmarkEnd w:id="162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5,749,663.38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5,800,210.52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5,749,663.38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5,800,210.52</w:t>
            </w:r>
          </w:p>
        </w:tc>
      </w:tr>
    </w:tbl>
    <w:p>
      <w:pPr>
        <w:spacing w:lineRule="exact" w:line="1"/>
        <w:rPr>
          <w:sz w:val="2"/>
          <w:szCs w:val="2"/>
        </w:rPr>
      </w:pPr>
      <w:r>
        <w:br w:type="page"/>
      </w:r>
    </w:p>
    <w:p>
      <w:pPr>
        <w:pStyle w:val="Style30"/>
        <w:keepNext/>
        <w:keepLines/>
        <w:widowControl w:val="0"/>
        <w:numPr>
          <w:ilvl w:val="0"/>
          <w:numId w:val="181"/>
        </w:numPr>
        <w:shd w:val="clear" w:color="auto" w:fill="auto"/>
        <w:bidi w:val="0"/>
        <w:spacing w:before="0" w:after="380" w:line="240" w:lineRule="auto"/>
        <w:ind w:left="0" w:right="0" w:firstLine="14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22"/>
      <w:bookmarkEnd w:id="1623"/>
      <w:bookmarkEnd w:id="162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626"/>
      <w:bookmarkEnd w:id="1627"/>
      <w:bookmarkEnd w:id="162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已结算未完工款项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115,602,393.13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133,963,959.73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115,602,393.13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133,963,959.73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630"/>
      <w:bookmarkEnd w:id="1631"/>
      <w:bookmarkEnd w:id="1633"/>
    </w:p>
    <w:p>
      <w:pPr>
        <w:pStyle w:val="Style30"/>
        <w:keepNext/>
        <w:keepLines/>
        <w:widowControl w:val="0"/>
        <w:numPr>
          <w:ilvl w:val="0"/>
          <w:numId w:val="183"/>
        </w:numPr>
        <w:shd w:val="clear" w:color="auto" w:fill="auto"/>
        <w:bidi w:val="0"/>
        <w:spacing w:before="0" w:after="380" w:line="240" w:lineRule="auto"/>
        <w:ind w:left="0" w:right="0" w:firstLine="0"/>
        <w:jc w:val="left"/>
      </w:pPr>
      <w:bookmarkStart w:id="1630" w:name="bookmark1630"/>
      <w:bookmarkStart w:id="1631" w:name="bookmark1631"/>
      <w:bookmarkStart w:id="1634" w:name="bookmark1634"/>
      <w:bookmarkStart w:id="1635" w:name="bookmark1635"/>
      <w:bookmarkEnd w:id="1634"/>
      <w:r>
        <w:rPr>
          <w:color w:val="000000"/>
          <w:spacing w:val="0"/>
          <w:w w:val="100"/>
          <w:position w:val="0"/>
        </w:rPr>
        <w:t>应付职工薪酬列示</w:t>
      </w:r>
      <w:bookmarkEnd w:id="1630"/>
      <w:bookmarkEnd w:id="1631"/>
      <w:bookmarkEnd w:id="163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170,460,326.68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1,815,936,841.39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1,780,146,593.55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206,250,574.52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3,309,304.57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34,799,532.14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36,358,095.66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1,750,741.05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2,176,388.51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2,117,856.51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173,789,631.25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1,852,912,762.04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1,818,622,545.72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208,079,847.57</w:t>
            </w:r>
          </w:p>
        </w:tc>
      </w:tr>
    </w:tbl>
    <w:p>
      <w:pPr>
        <w:widowControl w:val="0"/>
        <w:spacing w:after="319" w:line="1" w:lineRule="exact"/>
      </w:pPr>
    </w:p>
    <w:p>
      <w:pPr>
        <w:pStyle w:val="Style30"/>
        <w:keepNext/>
        <w:keepLines/>
        <w:widowControl w:val="0"/>
        <w:numPr>
          <w:ilvl w:val="0"/>
          <w:numId w:val="183"/>
        </w:numPr>
        <w:shd w:val="clear" w:color="auto" w:fill="auto"/>
        <w:bidi w:val="0"/>
        <w:spacing w:before="0" w:after="380" w:line="240" w:lineRule="auto"/>
        <w:ind w:left="0" w:right="0" w:firstLine="140"/>
        <w:jc w:val="both"/>
      </w:pPr>
      <w:bookmarkStart w:id="1636" w:name="bookmark1636"/>
      <w:bookmarkStart w:id="1637" w:name="bookmark1637"/>
      <w:bookmarkStart w:id="1638" w:name="bookmark1638"/>
      <w:bookmarkStart w:id="1639" w:name="bookmark1639"/>
      <w:bookmarkEnd w:id="1638"/>
      <w:r>
        <w:rPr>
          <w:color w:val="000000"/>
          <w:spacing w:val="0"/>
          <w:w w:val="100"/>
          <w:position w:val="0"/>
        </w:rPr>
        <w:t>短期薪酬列示</w:t>
      </w:r>
      <w:bookmarkEnd w:id="1636"/>
      <w:bookmarkEnd w:id="1637"/>
      <w:bookmarkEnd w:id="16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164,613,183.61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1,690,776,327.89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1,653,784,869.53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201,604,641.97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20,290,694.06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20,290,694.06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2,635,534.51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49,668,352.34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50,369,753.64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1,934,133.21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2,318,054.09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45,869,993.57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46,331,672.29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1,856,375.37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572,213.84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35,888.88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252,313.97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3,226,144.93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3,436,589.94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41,868.96</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757,433.00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47,053,364.67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47,326,253.73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484,543.94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2,454,175.56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8,148,102.43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8,375,022.59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2,227,255.40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170,460,326.68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1,815,936,841.39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1,780,146,593.55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206,250,574.52</w:t>
            </w:r>
          </w:p>
        </w:tc>
      </w:tr>
    </w:tbl>
    <w:p>
      <w:pPr>
        <w:widowControl w:val="0"/>
        <w:spacing w:after="319" w:line="1" w:lineRule="exact"/>
      </w:pPr>
    </w:p>
    <w:p>
      <w:pPr>
        <w:pStyle w:val="Style30"/>
        <w:keepNext/>
        <w:keepLines/>
        <w:widowControl w:val="0"/>
        <w:numPr>
          <w:ilvl w:val="0"/>
          <w:numId w:val="183"/>
        </w:numPr>
        <w:shd w:val="clear" w:color="auto" w:fill="auto"/>
        <w:bidi w:val="0"/>
        <w:spacing w:before="0" w:after="380" w:line="240" w:lineRule="auto"/>
        <w:ind w:left="0" w:right="0" w:firstLine="140"/>
        <w:jc w:val="left"/>
      </w:pPr>
      <w:bookmarkStart w:id="1640" w:name="bookmark1640"/>
      <w:bookmarkStart w:id="1641" w:name="bookmark1641"/>
      <w:bookmarkStart w:id="1642" w:name="bookmark1642"/>
      <w:bookmarkStart w:id="1643" w:name="bookmark1643"/>
      <w:bookmarkEnd w:id="1642"/>
      <w:r>
        <w:rPr>
          <w:color w:val="000000"/>
          <w:spacing w:val="0"/>
          <w:w w:val="100"/>
          <w:position w:val="0"/>
        </w:rPr>
        <w:t>设定提存计划列示</w:t>
      </w:r>
      <w:bookmarkEnd w:id="1640"/>
      <w:bookmarkEnd w:id="1641"/>
      <w:bookmarkEnd w:id="164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3,181,708.04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33,459,174.91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34,962,443.35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1,678,439.60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127,596.53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1,340,357.23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1,395,652.31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72,301.45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3,309,304.57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34,799,532.14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36,358,095.66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1,750,741.05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4</w:t>
      </w:r>
      <w:bookmarkEnd w:id="164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644"/>
      <w:bookmarkEnd w:id="1645"/>
      <w:bookmarkEnd w:id="16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17,295,594.18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19,926,581.86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296,758.57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309,838.13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9,096,820.88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7,241,120.93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2,325,486.64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2,500,432.60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1,398,508.41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1,548,739.61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1,349,683.37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1,373,220.02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242,484.80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97,390.70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32,005,336.85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32,997,323.85</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东京润和消费税类似国内增值税，列示时并入增值税。</w:t>
      </w:r>
    </w:p>
    <w:p>
      <w:pPr>
        <w:pStyle w:val="Style30"/>
        <w:keepNext/>
        <w:keepLines/>
        <w:widowControl w:val="0"/>
        <w:shd w:val="clear" w:color="auto" w:fill="auto"/>
        <w:bidi w:val="0"/>
        <w:spacing w:before="0" w:after="380" w:line="240" w:lineRule="auto"/>
        <w:ind w:left="0" w:right="0" w:firstLine="0"/>
        <w:jc w:val="both"/>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4</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648"/>
      <w:bookmarkEnd w:id="1649"/>
      <w:bookmarkEnd w:id="16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35,591,014.65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22,335,464.56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35,591,014.65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22,335,464.56</w:t>
            </w:r>
          </w:p>
        </w:tc>
      </w:tr>
    </w:tbl>
    <w:p>
      <w:pPr>
        <w:spacing w:lineRule="exact" w:line="1"/>
        <w:rPr>
          <w:sz w:val="2"/>
          <w:szCs w:val="2"/>
        </w:rPr>
      </w:pPr>
      <w:r>
        <w:br w:type="page"/>
      </w:r>
    </w:p>
    <w:p>
      <w:pPr>
        <w:pStyle w:val="Style30"/>
        <w:keepNext/>
        <w:keepLines/>
        <w:widowControl w:val="0"/>
        <w:numPr>
          <w:ilvl w:val="0"/>
          <w:numId w:val="185"/>
        </w:numPr>
        <w:shd w:val="clear" w:color="auto" w:fill="auto"/>
        <w:bidi w:val="0"/>
        <w:spacing w:before="0" w:line="240" w:lineRule="auto"/>
        <w:ind w:left="0" w:right="0" w:firstLine="140"/>
        <w:jc w:val="both"/>
      </w:pPr>
      <w:bookmarkStart w:id="1652" w:name="bookmark1652"/>
      <w:bookmarkStart w:id="1653" w:name="bookmark1653"/>
      <w:bookmarkStart w:id="1654" w:name="bookmark1654"/>
      <w:bookmarkStart w:id="1655" w:name="bookmark1655"/>
      <w:bookmarkEnd w:id="1654"/>
      <w:r>
        <w:rPr>
          <w:color w:val="000000"/>
          <w:spacing w:val="0"/>
          <w:w w:val="100"/>
          <w:position w:val="0"/>
        </w:rPr>
        <w:t>应付利息</w:t>
      </w:r>
      <w:bookmarkEnd w:id="1652"/>
      <w:bookmarkEnd w:id="1653"/>
      <w:bookmarkEnd w:id="16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numPr>
          <w:ilvl w:val="0"/>
          <w:numId w:val="185"/>
        </w:numPr>
        <w:shd w:val="clear" w:color="auto" w:fill="auto"/>
        <w:bidi w:val="0"/>
        <w:spacing w:before="0" w:after="400" w:line="240" w:lineRule="auto"/>
        <w:ind w:left="0" w:right="0" w:firstLine="0"/>
        <w:jc w:val="both"/>
      </w:pPr>
      <w:bookmarkStart w:id="1656" w:name="bookmark1656"/>
      <w:bookmarkStart w:id="1657" w:name="bookmark1657"/>
      <w:bookmarkStart w:id="1658" w:name="bookmark1658"/>
      <w:bookmarkStart w:id="1659" w:name="bookmark1659"/>
      <w:bookmarkEnd w:id="1658"/>
      <w:r>
        <w:rPr>
          <w:color w:val="000000"/>
          <w:spacing w:val="0"/>
          <w:w w:val="100"/>
          <w:position w:val="0"/>
        </w:rPr>
        <w:t>应付股利</w:t>
      </w:r>
      <w:bookmarkEnd w:id="1656"/>
      <w:bookmarkEnd w:id="1657"/>
      <w:bookmarkEnd w:id="165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30"/>
        <w:keepNext/>
        <w:keepLines/>
        <w:widowControl w:val="0"/>
        <w:numPr>
          <w:ilvl w:val="0"/>
          <w:numId w:val="185"/>
        </w:numPr>
        <w:shd w:val="clear" w:color="auto" w:fill="auto"/>
        <w:bidi w:val="0"/>
        <w:spacing w:before="0" w:after="400" w:line="240" w:lineRule="auto"/>
        <w:ind w:left="0" w:right="0" w:firstLine="0"/>
        <w:jc w:val="both"/>
      </w:pPr>
      <w:bookmarkStart w:id="1660" w:name="bookmark1660"/>
      <w:bookmarkStart w:id="1661" w:name="bookmark1661"/>
      <w:bookmarkStart w:id="1662" w:name="bookmark1662"/>
      <w:bookmarkStart w:id="1663" w:name="bookmark1663"/>
      <w:bookmarkEnd w:id="1662"/>
      <w:r>
        <w:rPr>
          <w:color w:val="000000"/>
          <w:spacing w:val="0"/>
          <w:w w:val="100"/>
          <w:position w:val="0"/>
        </w:rPr>
        <w:t>其他应付款</w:t>
      </w:r>
      <w:bookmarkEnd w:id="1660"/>
      <w:bookmarkEnd w:id="1661"/>
      <w:bookmarkEnd w:id="1663"/>
    </w:p>
    <w:p>
      <w:pPr>
        <w:pStyle w:val="Style30"/>
        <w:keepNext/>
        <w:keepLines/>
        <w:widowControl w:val="0"/>
        <w:numPr>
          <w:ilvl w:val="0"/>
          <w:numId w:val="187"/>
        </w:numPr>
        <w:shd w:val="clear" w:color="auto" w:fill="auto"/>
        <w:bidi w:val="0"/>
        <w:spacing w:before="0" w:line="240" w:lineRule="auto"/>
        <w:ind w:left="0" w:right="0" w:firstLine="0"/>
        <w:jc w:val="both"/>
      </w:pPr>
      <w:bookmarkStart w:id="1660" w:name="bookmark1660"/>
      <w:bookmarkStart w:id="1661" w:name="bookmark1661"/>
      <w:bookmarkStart w:id="1664" w:name="bookmark1664"/>
      <w:bookmarkStart w:id="1665" w:name="bookmark1665"/>
      <w:bookmarkEnd w:id="1664"/>
      <w:r>
        <w:rPr>
          <w:color w:val="000000"/>
          <w:spacing w:val="0"/>
          <w:w w:val="100"/>
          <w:position w:val="0"/>
        </w:rPr>
        <w:t>按款项性质列示其他应付款</w:t>
      </w:r>
      <w:bookmarkEnd w:id="1660"/>
      <w:bookmarkEnd w:id="1661"/>
      <w:bookmarkEnd w:id="166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21,559,024.82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6,292,614.05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3,754,650.30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6,270,456.11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10,277,339.53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9,772,394.40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35,591,014.65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22,335,464.56</w:t>
            </w:r>
          </w:p>
        </w:tc>
      </w:tr>
    </w:tbl>
    <w:p>
      <w:pPr>
        <w:widowControl w:val="0"/>
        <w:spacing w:after="359" w:line="1" w:lineRule="exact"/>
      </w:pPr>
    </w:p>
    <w:p>
      <w:pPr>
        <w:pStyle w:val="Style30"/>
        <w:keepNext/>
        <w:keepLines/>
        <w:widowControl w:val="0"/>
        <w:numPr>
          <w:ilvl w:val="0"/>
          <w:numId w:val="187"/>
        </w:numPr>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66"/>
      <w:bookmarkEnd w:id="1667"/>
      <w:bookmarkEnd w:id="166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6"/>
        <w:keepNext w:val="0"/>
        <w:keepLines w:val="0"/>
        <w:widowControl w:val="0"/>
        <w:shd w:val="clear" w:color="auto" w:fill="auto"/>
        <w:bidi w:val="0"/>
        <w:spacing w:before="0" w:after="80" w:line="322" w:lineRule="exact"/>
        <w:ind w:left="0" w:right="0" w:firstLine="0"/>
        <w:jc w:val="both"/>
      </w:pPr>
      <w:r>
        <w:rPr>
          <w:color w:val="000000"/>
          <w:spacing w:val="0"/>
          <w:w w:val="100"/>
          <w:position w:val="0"/>
        </w:rPr>
        <w:t>其他说明</w:t>
      </w:r>
    </w:p>
    <w:p>
      <w:pPr>
        <w:pStyle w:val="Style26"/>
        <w:keepNext w:val="0"/>
        <w:keepLines w:val="0"/>
        <w:widowControl w:val="0"/>
        <w:numPr>
          <w:ilvl w:val="0"/>
          <w:numId w:val="189"/>
        </w:numPr>
        <w:shd w:val="clear" w:color="auto" w:fill="auto"/>
        <w:tabs>
          <w:tab w:pos="373" w:val="left"/>
        </w:tabs>
        <w:bidi w:val="0"/>
        <w:spacing w:before="0" w:after="0" w:line="322" w:lineRule="exact"/>
        <w:ind w:left="0" w:right="0" w:firstLine="0"/>
        <w:jc w:val="both"/>
      </w:pPr>
      <w:bookmarkStart w:id="1670" w:name="bookmark1670"/>
      <w:bookmarkEnd w:id="1670"/>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26"/>
        <w:keepNext w:val="0"/>
        <w:keepLines w:val="0"/>
        <w:widowControl w:val="0"/>
        <w:numPr>
          <w:ilvl w:val="0"/>
          <w:numId w:val="189"/>
        </w:numPr>
        <w:shd w:val="clear" w:color="auto" w:fill="auto"/>
        <w:tabs>
          <w:tab w:pos="373" w:val="left"/>
        </w:tabs>
        <w:bidi w:val="0"/>
        <w:spacing w:before="0" w:after="360" w:line="322" w:lineRule="exact"/>
        <w:ind w:left="0" w:right="0" w:firstLine="0"/>
        <w:jc w:val="both"/>
      </w:pPr>
      <w:bookmarkStart w:id="1671" w:name="bookmark1671"/>
      <w:bookmarkEnd w:id="1671"/>
      <w:r>
        <w:rPr>
          <w:color w:val="000000"/>
          <w:spacing w:val="0"/>
          <w:w w:val="100"/>
          <w:position w:val="0"/>
        </w:rPr>
        <w:t>期末应付款期末余额较期初余额增长</w:t>
      </w:r>
      <w:r>
        <w:rPr>
          <w:rFonts w:ascii="Times New Roman" w:eastAsia="Times New Roman" w:hAnsi="Times New Roman" w:cs="Times New Roman"/>
          <w:color w:val="000000"/>
          <w:spacing w:val="0"/>
          <w:w w:val="100"/>
          <w:position w:val="0"/>
        </w:rPr>
        <w:t>59.35%</w:t>
      </w:r>
      <w:r>
        <w:rPr>
          <w:color w:val="000000"/>
          <w:spacing w:val="0"/>
          <w:w w:val="100"/>
          <w:position w:val="0"/>
        </w:rPr>
        <w:t>,主要原因是本期公司及子公司联创智融收到宁波宏创股权投资合伙企业(有 限合伙)支付的业绩承诺补偿保证金所致。</w:t>
      </w:r>
    </w:p>
    <w:p>
      <w:pPr>
        <w:pStyle w:val="Style30"/>
        <w:keepNext/>
        <w:keepLines/>
        <w:widowControl w:val="0"/>
        <w:shd w:val="clear" w:color="auto" w:fill="auto"/>
        <w:bidi w:val="0"/>
        <w:spacing w:before="0" w:line="240" w:lineRule="auto"/>
        <w:ind w:left="0" w:right="0" w:firstLine="0"/>
        <w:jc w:val="both"/>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72"/>
      <w:bookmarkEnd w:id="1673"/>
      <w:bookmarkEnd w:id="16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4</w:t>
      </w:r>
      <w:bookmarkEnd w:id="1678"/>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76"/>
      <w:bookmarkEnd w:id="1677"/>
      <w:bookmarkEnd w:id="1679"/>
    </w:p>
    <w:p>
      <w:pPr>
        <w:pStyle w:val="Style2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43,679,418.88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121,813,265.89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70,302.52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163,587.74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43,749,721.40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121,976,853.63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numPr>
          <w:ilvl w:val="0"/>
          <w:numId w:val="191"/>
        </w:numPr>
        <w:shd w:val="clear" w:color="auto" w:fill="auto"/>
        <w:tabs>
          <w:tab w:pos="541" w:val="left"/>
        </w:tabs>
        <w:bidi w:val="0"/>
        <w:spacing w:before="0" w:after="0" w:line="314" w:lineRule="exact"/>
        <w:ind w:left="0" w:right="0" w:firstLine="0"/>
        <w:jc w:val="both"/>
      </w:pPr>
      <w:bookmarkStart w:id="1680" w:name="bookmark1680"/>
      <w:bookmarkEnd w:id="1680"/>
      <w:r>
        <w:rPr>
          <w:color w:val="000000"/>
          <w:spacing w:val="0"/>
          <w:w w:val="100"/>
          <w:position w:val="0"/>
        </w:rPr>
        <w:t>本公司子公司外包园公司质押借款余额</w:t>
      </w:r>
      <w:r>
        <w:rPr>
          <w:rFonts w:ascii="Times New Roman" w:eastAsia="Times New Roman" w:hAnsi="Times New Roman" w:cs="Times New Roman"/>
          <w:color w:val="000000"/>
          <w:spacing w:val="0"/>
          <w:w w:val="100"/>
          <w:position w:val="0"/>
        </w:rPr>
        <w:t>522,280,491.29</w:t>
      </w:r>
      <w:r>
        <w:rPr>
          <w:color w:val="000000"/>
          <w:spacing w:val="0"/>
          <w:w w:val="100"/>
          <w:position w:val="0"/>
        </w:rPr>
        <w:t>元，系向中国工商银行南京玄武支行取得的固定资产支持融资借 款，周红卫、束岚夫妇以及姚宁、朱彤夫妇为该笔借款提供个人担保，外包园公司以位于软件大道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号的房屋及建筑物为 该笔借款提供抵押担保、以位于软件大道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号的特定资产的经营收入权利为该笔借款提供质押担保；截至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止，该长期借款期末余额</w:t>
      </w:r>
      <w:r>
        <w:rPr>
          <w:rFonts w:ascii="Times New Roman" w:eastAsia="Times New Roman" w:hAnsi="Times New Roman" w:cs="Times New Roman"/>
          <w:color w:val="000000"/>
          <w:spacing w:val="0"/>
          <w:w w:val="100"/>
          <w:position w:val="0"/>
        </w:rPr>
        <w:t>18,679,418.88</w:t>
      </w:r>
      <w:r>
        <w:rPr>
          <w:color w:val="000000"/>
          <w:spacing w:val="0"/>
          <w:w w:val="100"/>
          <w:position w:val="0"/>
        </w:rPr>
        <w:t>元将于一年内到期，重分类至一年内到期的非流动负债。</w:t>
      </w:r>
    </w:p>
    <w:p>
      <w:pPr>
        <w:pStyle w:val="Style26"/>
        <w:keepNext w:val="0"/>
        <w:keepLines w:val="0"/>
        <w:widowControl w:val="0"/>
        <w:numPr>
          <w:ilvl w:val="0"/>
          <w:numId w:val="191"/>
        </w:numPr>
        <w:shd w:val="clear" w:color="auto" w:fill="auto"/>
        <w:tabs>
          <w:tab w:pos="541" w:val="left"/>
        </w:tabs>
        <w:bidi w:val="0"/>
        <w:spacing w:before="0" w:after="0" w:line="314" w:lineRule="exact"/>
        <w:ind w:left="0" w:right="0" w:firstLine="0"/>
        <w:jc w:val="both"/>
      </w:pPr>
      <w:bookmarkStart w:id="1681" w:name="bookmark1681"/>
      <w:bookmarkEnd w:id="1681"/>
      <w:r>
        <w:rPr>
          <w:color w:val="000000"/>
          <w:spacing w:val="0"/>
          <w:w w:val="100"/>
          <w:position w:val="0"/>
        </w:rPr>
        <w:t>本公司质押借款余额</w:t>
      </w:r>
      <w:r>
        <w:rPr>
          <w:rFonts w:ascii="Times New Roman" w:eastAsia="Times New Roman" w:hAnsi="Times New Roman" w:cs="Times New Roman"/>
          <w:color w:val="000000"/>
          <w:spacing w:val="0"/>
          <w:w w:val="100"/>
          <w:position w:val="0"/>
        </w:rPr>
        <w:t>25,000,000.00</w:t>
      </w:r>
      <w:r>
        <w:rPr>
          <w:color w:val="000000"/>
          <w:spacing w:val="0"/>
          <w:w w:val="100"/>
          <w:position w:val="0"/>
        </w:rPr>
        <w:t>元，系向中国银行南京江宁支行取得的</w:t>
      </w:r>
      <w:r>
        <w:rPr>
          <w:rFonts w:ascii="Times New Roman" w:eastAsia="Times New Roman" w:hAnsi="Times New Roman" w:cs="Times New Roman"/>
          <w:color w:val="000000"/>
          <w:spacing w:val="0"/>
          <w:w w:val="100"/>
          <w:position w:val="0"/>
        </w:rPr>
        <w:t>40,000,000.00</w:t>
      </w:r>
      <w:r>
        <w:rPr>
          <w:color w:val="000000"/>
          <w:spacing w:val="0"/>
          <w:w w:val="100"/>
          <w:position w:val="0"/>
        </w:rPr>
        <w:t>元流动资金借款，江苏润和科技 投资集团有限公司、周红卫为该笔借款提供保证担保，北京捷科智诚科技有限公司以合同编号为</w:t>
      </w:r>
      <w:r>
        <w:rPr>
          <w:rFonts w:ascii="Times New Roman" w:eastAsia="Times New Roman" w:hAnsi="Times New Roman" w:cs="Times New Roman"/>
          <w:color w:val="000000"/>
          <w:spacing w:val="0"/>
          <w:w w:val="100"/>
          <w:position w:val="0"/>
        </w:rPr>
        <w:t>JKYW182016</w:t>
      </w:r>
      <w:r>
        <w:rPr>
          <w:color w:val="000000"/>
          <w:spacing w:val="0"/>
          <w:w w:val="100"/>
          <w:position w:val="0"/>
        </w:rPr>
        <w:t>的两年合同应 收权利为该笔借款提供质押担保，合同对应客户为中国银行股份有限公司，截至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日止，对应合同应收账款余额 为</w:t>
      </w:r>
      <w:r>
        <w:rPr>
          <w:rFonts w:ascii="Times New Roman" w:eastAsia="Times New Roman" w:hAnsi="Times New Roman" w:cs="Times New Roman"/>
          <w:color w:val="000000"/>
          <w:spacing w:val="0"/>
          <w:w w:val="100"/>
          <w:position w:val="0"/>
        </w:rPr>
        <w:t>43,718,356.97</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日止，该长期借款期末余额</w:t>
      </w:r>
      <w:r>
        <w:rPr>
          <w:rFonts w:ascii="Times New Roman" w:eastAsia="Times New Roman" w:hAnsi="Times New Roman" w:cs="Times New Roman"/>
          <w:color w:val="000000"/>
          <w:spacing w:val="0"/>
          <w:w w:val="100"/>
          <w:position w:val="0"/>
        </w:rPr>
        <w:t>25,000,000.00</w:t>
      </w:r>
      <w:r>
        <w:rPr>
          <w:color w:val="000000"/>
          <w:spacing w:val="0"/>
          <w:w w:val="100"/>
          <w:position w:val="0"/>
        </w:rPr>
        <w:t>元将于一年内到期，重分类至一年内到期的 非流动负债</w:t>
      </w:r>
    </w:p>
    <w:p>
      <w:pPr>
        <w:pStyle w:val="Style26"/>
        <w:keepNext w:val="0"/>
        <w:keepLines w:val="0"/>
        <w:widowControl w:val="0"/>
        <w:numPr>
          <w:ilvl w:val="0"/>
          <w:numId w:val="191"/>
        </w:numPr>
        <w:shd w:val="clear" w:color="auto" w:fill="auto"/>
        <w:tabs>
          <w:tab w:pos="445" w:val="left"/>
        </w:tabs>
        <w:bidi w:val="0"/>
        <w:spacing w:before="0" w:after="380" w:line="314" w:lineRule="exact"/>
        <w:ind w:left="0" w:right="0" w:firstLine="0"/>
        <w:jc w:val="both"/>
      </w:pPr>
      <w:bookmarkStart w:id="1682" w:name="bookmark1682"/>
      <w:bookmarkEnd w:id="1682"/>
      <w:r>
        <w:rPr>
          <w:color w:val="000000"/>
          <w:spacing w:val="0"/>
          <w:w w:val="100"/>
          <w:position w:val="0"/>
        </w:rPr>
        <w:t>一年内到期的非流动负债期末余额较期初余额减少</w:t>
      </w:r>
      <w:r>
        <w:rPr>
          <w:rFonts w:ascii="Times New Roman" w:eastAsia="Times New Roman" w:hAnsi="Times New Roman" w:cs="Times New Roman"/>
          <w:color w:val="000000"/>
          <w:spacing w:val="0"/>
          <w:w w:val="100"/>
          <w:position w:val="0"/>
        </w:rPr>
        <w:t>64.13%</w:t>
      </w:r>
      <w:r>
        <w:rPr>
          <w:color w:val="000000"/>
          <w:spacing w:val="0"/>
          <w:w w:val="100"/>
          <w:position w:val="0"/>
        </w:rPr>
        <w:t>，主要原因是公司一年内到期的长期借款减少。</w:t>
      </w:r>
    </w:p>
    <w:p>
      <w:pPr>
        <w:pStyle w:val="Style30"/>
        <w:keepNext/>
        <w:keepLines/>
        <w:widowControl w:val="0"/>
        <w:shd w:val="clear" w:color="auto" w:fill="auto"/>
        <w:bidi w:val="0"/>
        <w:spacing w:before="0" w:after="380" w:line="240" w:lineRule="auto"/>
        <w:ind w:left="0" w:right="0" w:firstLine="0"/>
        <w:jc w:val="both"/>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83"/>
      <w:bookmarkEnd w:id="1684"/>
      <w:bookmarkEnd w:id="1686"/>
    </w:p>
    <w:p>
      <w:pPr>
        <w:pStyle w:val="Style2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待转销项税额贷方余额重分 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57,437,597.92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58,538,986.22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538,765.00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57,976,362.92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58,538,986.22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87"/>
      <w:bookmarkEnd w:id="1688"/>
      <w:bookmarkEnd w:id="1690"/>
    </w:p>
    <w:p>
      <w:pPr>
        <w:pStyle w:val="Style30"/>
        <w:keepNext/>
        <w:keepLines/>
        <w:widowControl w:val="0"/>
        <w:numPr>
          <w:ilvl w:val="0"/>
          <w:numId w:val="193"/>
        </w:numPr>
        <w:shd w:val="clear" w:color="auto" w:fill="auto"/>
        <w:bidi w:val="0"/>
        <w:spacing w:before="0" w:after="380" w:line="240" w:lineRule="auto"/>
        <w:ind w:left="0" w:right="0" w:firstLine="0"/>
        <w:jc w:val="both"/>
      </w:pPr>
      <w:bookmarkStart w:id="1687" w:name="bookmark1687"/>
      <w:bookmarkStart w:id="1688" w:name="bookmark1688"/>
      <w:bookmarkStart w:id="1691" w:name="bookmark1691"/>
      <w:bookmarkStart w:id="1692" w:name="bookmark1692"/>
      <w:bookmarkEnd w:id="1691"/>
      <w:r>
        <w:rPr>
          <w:color w:val="000000"/>
          <w:spacing w:val="0"/>
          <w:w w:val="100"/>
          <w:position w:val="0"/>
        </w:rPr>
        <w:t>长期借款分类</w:t>
      </w:r>
      <w:bookmarkEnd w:id="1687"/>
      <w:bookmarkEnd w:id="1688"/>
      <w:bookmarkEnd w:id="1692"/>
    </w:p>
    <w:p>
      <w:pPr>
        <w:pStyle w:val="Style26"/>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503,601,072.41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447,637,636.43</w:t>
            </w:r>
          </w:p>
        </w:tc>
      </w:tr>
    </w:tbl>
    <w:p>
      <w:pPr>
        <w:sectPr>
          <w:footnotePr>
            <w:pos w:val="pageBottom"/>
            <w:numFmt w:val="decimal"/>
            <w:numRestart w:val="continuous"/>
          </w:footnotePr>
          <w:pgSz w:w="11900" w:h="16840"/>
          <w:pgMar w:top="1156" w:right="1060" w:bottom="1385" w:left="1066" w:header="0" w:footer="3" w:gutter="0"/>
          <w:cols w:space="720"/>
          <w:noEndnote/>
          <w:rtlGutter w:val="0"/>
          <w:docGrid w:linePitch="360"/>
        </w:sectPr>
      </w:pPr>
    </w:p>
    <w:p>
      <w:pPr>
        <w:widowControl w:val="0"/>
        <w:spacing w:after="359"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667,841.76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504,284,832.41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448,305,478.19</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460" w:line="312" w:lineRule="exact"/>
        <w:ind w:left="0" w:right="0" w:firstLine="0"/>
        <w:jc w:val="left"/>
      </w:pPr>
      <w:r>
        <w:rPr>
          <w:color w:val="000000"/>
          <w:spacing w:val="0"/>
          <w:w w:val="100"/>
          <w:position w:val="0"/>
        </w:rPr>
        <w:t>本公司子公司外包园公司质押借款余额</w:t>
      </w:r>
      <w:r>
        <w:rPr>
          <w:rFonts w:ascii="Times New Roman" w:eastAsia="Times New Roman" w:hAnsi="Times New Roman" w:cs="Times New Roman"/>
          <w:color w:val="000000"/>
          <w:spacing w:val="0"/>
          <w:w w:val="100"/>
          <w:position w:val="0"/>
        </w:rPr>
        <w:t>522,280,491.29</w:t>
      </w:r>
      <w:r>
        <w:rPr>
          <w:color w:val="000000"/>
          <w:spacing w:val="0"/>
          <w:w w:val="100"/>
          <w:position w:val="0"/>
        </w:rPr>
        <w:t>元，系向中国工商银行南京玄武支行取得的固定资产支持融资借款， 周红卫、束岚夫妇以及姚宁、朱彤夫妇为该笔借款提供个人担保，外包园公司以位于软件大道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号的房屋及建筑物为该笔 借款提供抵押担保、以位于软件大道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号的特定资产的经营收入权利为该笔借款提供质押担保，截至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 该长期借款期末余额</w:t>
      </w:r>
      <w:r>
        <w:rPr>
          <w:rFonts w:ascii="Times New Roman" w:eastAsia="Times New Roman" w:hAnsi="Times New Roman" w:cs="Times New Roman"/>
          <w:color w:val="000000"/>
          <w:spacing w:val="0"/>
          <w:w w:val="100"/>
          <w:position w:val="0"/>
        </w:rPr>
        <w:t>18,679,418.88</w:t>
      </w:r>
      <w:r>
        <w:rPr>
          <w:color w:val="000000"/>
          <w:spacing w:val="0"/>
          <w:w w:val="100"/>
          <w:position w:val="0"/>
        </w:rPr>
        <w:t>元将于一年内到期，重分类至一年内到期的非流动负债。</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其他说明，包括利率区间：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长期借款利率区间为浮动利率。</w:t>
      </w:r>
    </w:p>
    <w:p>
      <w:pPr>
        <w:pStyle w:val="Style30"/>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4</w:t>
      </w:r>
      <w:bookmarkEnd w:id="169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93"/>
      <w:bookmarkEnd w:id="1694"/>
      <w:bookmarkEnd w:id="1696"/>
    </w:p>
    <w:p>
      <w:pPr>
        <w:pStyle w:val="Style30"/>
        <w:keepNext/>
        <w:keepLines/>
        <w:widowControl w:val="0"/>
        <w:numPr>
          <w:ilvl w:val="0"/>
          <w:numId w:val="195"/>
        </w:numPr>
        <w:shd w:val="clear" w:color="auto" w:fill="auto"/>
        <w:bidi w:val="0"/>
        <w:spacing w:before="0" w:after="380" w:line="240" w:lineRule="auto"/>
        <w:ind w:left="0" w:right="0" w:firstLine="0"/>
        <w:jc w:val="left"/>
      </w:pPr>
      <w:bookmarkStart w:id="1693" w:name="bookmark1693"/>
      <w:bookmarkStart w:id="1694" w:name="bookmark1694"/>
      <w:bookmarkStart w:id="1697" w:name="bookmark1697"/>
      <w:bookmarkStart w:id="1698" w:name="bookmark1698"/>
      <w:bookmarkEnd w:id="1697"/>
      <w:r>
        <w:rPr>
          <w:color w:val="000000"/>
          <w:spacing w:val="0"/>
          <w:w w:val="100"/>
          <w:position w:val="0"/>
        </w:rPr>
        <w:t>应付债券</w:t>
      </w:r>
      <w:bookmarkEnd w:id="1693"/>
      <w:bookmarkEnd w:id="1694"/>
      <w:bookmarkEnd w:id="169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0"/>
        <w:keepNext/>
        <w:keepLines/>
        <w:widowControl w:val="0"/>
        <w:numPr>
          <w:ilvl w:val="0"/>
          <w:numId w:val="195"/>
        </w:numPr>
        <w:shd w:val="clear" w:color="auto" w:fill="auto"/>
        <w:bidi w:val="0"/>
        <w:spacing w:before="0" w:after="380" w:line="240" w:lineRule="auto"/>
        <w:ind w:left="0" w:right="0" w:firstLine="140"/>
        <w:jc w:val="left"/>
      </w:pPr>
      <w:bookmarkStart w:id="1699" w:name="bookmark1699"/>
      <w:bookmarkStart w:id="1700" w:name="bookmark1700"/>
      <w:bookmarkStart w:id="1701" w:name="bookmark1701"/>
      <w:bookmarkStart w:id="1702" w:name="bookmark1702"/>
      <w:bookmarkEnd w:id="1701"/>
      <w:r>
        <w:rPr>
          <w:color w:val="000000"/>
          <w:spacing w:val="0"/>
          <w:w w:val="100"/>
          <w:position w:val="0"/>
        </w:rPr>
        <w:t>应付债券的增减变动(不包括划分为金融负债的优先股、永续债等其他金融工具)</w:t>
      </w:r>
      <w:bookmarkEnd w:id="1699"/>
      <w:bookmarkEnd w:id="1700"/>
      <w:bookmarkEnd w:id="170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195"/>
        </w:numPr>
        <w:shd w:val="clear" w:color="auto" w:fill="auto"/>
        <w:bidi w:val="0"/>
        <w:spacing w:before="0" w:after="380" w:line="240" w:lineRule="auto"/>
        <w:ind w:left="0" w:right="0" w:firstLine="140"/>
        <w:jc w:val="left"/>
      </w:pPr>
      <w:bookmarkStart w:id="1703" w:name="bookmark1703"/>
      <w:bookmarkStart w:id="1704" w:name="bookmark1704"/>
      <w:bookmarkStart w:id="1705" w:name="bookmark1705"/>
      <w:bookmarkStart w:id="1706" w:name="bookmark1706"/>
      <w:bookmarkEnd w:id="1705"/>
      <w:r>
        <w:rPr>
          <w:color w:val="000000"/>
          <w:spacing w:val="0"/>
          <w:w w:val="100"/>
          <w:position w:val="0"/>
        </w:rPr>
        <w:t>可转换公司债券的转股条件、转股时间说明</w:t>
      </w:r>
      <w:bookmarkEnd w:id="1703"/>
      <w:bookmarkEnd w:id="1704"/>
      <w:bookmarkEnd w:id="1706"/>
    </w:p>
    <w:p>
      <w:pPr>
        <w:pStyle w:val="Style30"/>
        <w:keepNext/>
        <w:keepLines/>
        <w:widowControl w:val="0"/>
        <w:numPr>
          <w:ilvl w:val="0"/>
          <w:numId w:val="195"/>
        </w:numPr>
        <w:shd w:val="clear" w:color="auto" w:fill="auto"/>
        <w:bidi w:val="0"/>
        <w:spacing w:before="0" w:after="380" w:line="240" w:lineRule="auto"/>
        <w:ind w:left="0" w:right="0" w:firstLine="140"/>
        <w:jc w:val="left"/>
      </w:pPr>
      <w:bookmarkStart w:id="1703" w:name="bookmark1703"/>
      <w:bookmarkStart w:id="1704" w:name="bookmark1704"/>
      <w:bookmarkStart w:id="1707" w:name="bookmark1707"/>
      <w:bookmarkStart w:id="1708" w:name="bookmark1708"/>
      <w:bookmarkEnd w:id="1707"/>
      <w:r>
        <w:rPr>
          <w:color w:val="000000"/>
          <w:spacing w:val="0"/>
          <w:w w:val="100"/>
          <w:position w:val="0"/>
        </w:rPr>
        <w:t>划分为金融负债的其他金融工具说明</w:t>
      </w:r>
      <w:bookmarkEnd w:id="1703"/>
      <w:bookmarkEnd w:id="1704"/>
      <w:bookmarkEnd w:id="1708"/>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20" w:line="240" w:lineRule="auto"/>
        <w:ind w:left="0" w:right="0" w:firstLine="0"/>
        <w:jc w:val="both"/>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4</w:t>
      </w:r>
      <w:bookmarkEnd w:id="171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709"/>
      <w:bookmarkEnd w:id="1710"/>
      <w:bookmarkEnd w:id="1712"/>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713"/>
      <w:bookmarkEnd w:id="1714"/>
      <w:bookmarkEnd w:id="171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numPr>
          <w:ilvl w:val="0"/>
          <w:numId w:val="197"/>
        </w:numPr>
        <w:shd w:val="clear" w:color="auto" w:fill="auto"/>
        <w:bidi w:val="0"/>
        <w:spacing w:before="0" w:line="240" w:lineRule="auto"/>
        <w:ind w:left="0" w:right="0" w:firstLine="14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按款项性质列示长期应付款</w:t>
      </w:r>
      <w:bookmarkEnd w:id="1717"/>
      <w:bookmarkEnd w:id="1718"/>
      <w:bookmarkEnd w:id="172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numPr>
          <w:ilvl w:val="0"/>
          <w:numId w:val="197"/>
        </w:numPr>
        <w:shd w:val="clear" w:color="auto" w:fill="auto"/>
        <w:bidi w:val="0"/>
        <w:spacing w:before="0" w:line="240" w:lineRule="auto"/>
        <w:ind w:left="0" w:right="0" w:firstLine="0"/>
        <w:jc w:val="left"/>
      </w:pPr>
      <w:bookmarkStart w:id="1721" w:name="bookmark1721"/>
      <w:bookmarkStart w:id="1722" w:name="bookmark1722"/>
      <w:bookmarkStart w:id="1723" w:name="bookmark1723"/>
      <w:bookmarkStart w:id="1724" w:name="bookmark1724"/>
      <w:bookmarkEnd w:id="1723"/>
      <w:r>
        <w:rPr>
          <w:color w:val="000000"/>
          <w:spacing w:val="0"/>
          <w:w w:val="100"/>
          <w:position w:val="0"/>
        </w:rPr>
        <w:t>专项应付款</w:t>
      </w:r>
      <w:bookmarkEnd w:id="1721"/>
      <w:bookmarkEnd w:id="1722"/>
      <w:bookmarkEnd w:id="172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725"/>
      <w:bookmarkEnd w:id="1726"/>
      <w:bookmarkEnd w:id="1728"/>
    </w:p>
    <w:p>
      <w:pPr>
        <w:pStyle w:val="Style30"/>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9" w:name="bookmark17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725"/>
      <w:bookmarkEnd w:id="1726"/>
      <w:bookmarkEnd w:id="172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numPr>
          <w:ilvl w:val="0"/>
          <w:numId w:val="193"/>
        </w:numPr>
        <w:shd w:val="clear" w:color="auto" w:fill="auto"/>
        <w:bidi w:val="0"/>
        <w:spacing w:before="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设定受益计划变动情况</w:t>
      </w:r>
      <w:bookmarkEnd w:id="1730"/>
      <w:bookmarkEnd w:id="1731"/>
      <w:bookmarkEnd w:id="173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设定受益计划重大精算假设及敏感性分析结果说明：</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5</w:t>
      </w:r>
      <w:bookmarkEnd w:id="173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734"/>
      <w:bookmarkEnd w:id="1735"/>
      <w:bookmarkEnd w:id="173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0"/>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5</w:t>
      </w:r>
      <w:bookmarkEnd w:id="174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738"/>
      <w:bookmarkEnd w:id="1739"/>
      <w:bookmarkEnd w:id="174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16,932,500.00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16,492,500.00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16,932,500.00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16,492,500.00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润和国际软 件外包研发 总部基地项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雨花润和软 件外包园项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能源信息化 平台建设项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基于互联网 及大数据技 术的金融云 平台研发及 产业化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JITRI</w:t>
            </w:r>
            <w:r>
              <w:rPr>
                <w:rFonts w:ascii="Times New Roman" w:eastAsia="Times New Roman" w:hAnsi="Times New Roman" w:cs="Times New Roman"/>
                <w:color w:val="000000"/>
                <w:spacing w:val="0"/>
                <w:w w:val="100"/>
                <w:position w:val="0"/>
              </w:rPr>
              <w:t>-</w:t>
            </w:r>
            <w:r>
              <w:rPr>
                <w:color w:val="000000"/>
                <w:spacing w:val="0"/>
                <w:w w:val="100"/>
                <w:position w:val="0"/>
              </w:rPr>
              <w:t>润和 软件联合创 新中心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智能微流控 芯片系统的 合作研发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71" w:right="1070" w:bottom="1453" w:left="1052" w:header="0" w:footer="3" w:gutter="0"/>
          <w:cols w:space="720"/>
          <w:noEndnote/>
          <w:titlePg/>
          <w:rtlGutter w:val="0"/>
          <w:docGrid w:linePitch="360"/>
        </w:sectPr>
      </w:pPr>
    </w:p>
    <w:tbl>
      <w:tblPr>
        <w:tblOverlap w:val="never"/>
        <w:jc w:val="center"/>
        <w:tblLayout w:type="fixed"/>
      </w:tblPr>
      <w:tblGrid>
        <w:gridCol w:w="1022"/>
        <w:gridCol w:w="1248"/>
        <w:gridCol w:w="1008"/>
        <w:gridCol w:w="1013"/>
        <w:gridCol w:w="1008"/>
        <w:gridCol w:w="1008"/>
        <w:gridCol w:w="1013"/>
        <w:gridCol w:w="1248"/>
        <w:gridCol w:w="1018"/>
      </w:tblGrid>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南京市</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年度科创载 体培育高成 长性企业奖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南京市</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年度科创载 体绩效评价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新一代分布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式金融核心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16,932,500.00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tabs>
          <w:tab w:pos="391" w:val="left"/>
        </w:tabs>
        <w:bidi w:val="0"/>
        <w:spacing w:before="0" w:after="0" w:line="313" w:lineRule="exact"/>
        <w:ind w:left="0" w:right="0" w:firstLine="0"/>
        <w:jc w:val="both"/>
      </w:pPr>
      <w:bookmarkStart w:id="1742" w:name="bookmark1742"/>
      <w:r>
        <w:rPr>
          <w:color w:val="000000"/>
          <w:spacing w:val="0"/>
          <w:w w:val="100"/>
          <w:position w:val="0"/>
        </w:rPr>
        <w:t>（</w:t>
      </w:r>
      <w:bookmarkEnd w:id="1742"/>
      <w:r>
        <w:rPr>
          <w:rFonts w:ascii="Times New Roman" w:eastAsia="Times New Roman" w:hAnsi="Times New Roman" w:cs="Times New Roman"/>
          <w:color w:val="000000"/>
          <w:spacing w:val="0"/>
          <w:w w:val="100"/>
          <w:position w:val="0"/>
        </w:rPr>
        <w:t>1</w:t>
      </w:r>
      <w:r>
        <w:rPr>
          <w:color w:val="000000"/>
          <w:spacing w:val="0"/>
          <w:w w:val="100"/>
          <w:position w:val="0"/>
        </w:rPr>
        <w:t>）</w:t>
        <w:tab/>
        <w:t>与资产有关的政府补助</w:t>
      </w:r>
    </w:p>
    <w:p>
      <w:pPr>
        <w:pStyle w:val="Style26"/>
        <w:keepNext w:val="0"/>
        <w:keepLines w:val="0"/>
        <w:widowControl w:val="0"/>
        <w:numPr>
          <w:ilvl w:val="0"/>
          <w:numId w:val="199"/>
        </w:numPr>
        <w:shd w:val="clear" w:color="auto" w:fill="auto"/>
        <w:tabs>
          <w:tab w:pos="323" w:val="left"/>
        </w:tabs>
        <w:bidi w:val="0"/>
        <w:spacing w:before="0" w:after="0" w:line="313" w:lineRule="exact"/>
        <w:ind w:left="0" w:right="0" w:firstLine="0"/>
        <w:jc w:val="both"/>
      </w:pPr>
      <w:bookmarkStart w:id="1743" w:name="bookmark1743"/>
      <w:bookmarkEnd w:id="1743"/>
      <w:r>
        <w:rPr>
          <w:rFonts w:ascii="Times New Roman" w:eastAsia="Times New Roman" w:hAnsi="Times New Roman" w:cs="Times New Roman"/>
          <w:color w:val="000000"/>
          <w:spacing w:val="0"/>
          <w:w w:val="100"/>
          <w:position w:val="0"/>
        </w:rPr>
        <w:t>2017</w:t>
      </w:r>
      <w:r>
        <w:rPr>
          <w:color w:val="000000"/>
          <w:spacing w:val="0"/>
          <w:w w:val="100"/>
          <w:position w:val="0"/>
        </w:rPr>
        <w:t>年润和国际软件外包研发总部基地项目完工，递延收益随资产折旧的计提而分摊计入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 xml:space="preserve">项目金额为 </w:t>
      </w:r>
      <w:r>
        <w:rPr>
          <w:rFonts w:ascii="Times New Roman" w:eastAsia="Times New Roman" w:hAnsi="Times New Roman" w:cs="Times New Roman"/>
          <w:color w:val="000000"/>
          <w:spacing w:val="0"/>
          <w:w w:val="100"/>
          <w:position w:val="0"/>
        </w:rPr>
        <w:t xml:space="preserve">210,000.00 </w:t>
      </w:r>
      <w:r>
        <w:rPr>
          <w:color w:val="000000"/>
          <w:spacing w:val="0"/>
          <w:w w:val="100"/>
          <w:position w:val="0"/>
        </w:rPr>
        <w:t>元，期末余额为</w:t>
      </w:r>
      <w:r>
        <w:rPr>
          <w:rFonts w:ascii="Times New Roman" w:eastAsia="Times New Roman" w:hAnsi="Times New Roman" w:cs="Times New Roman"/>
          <w:color w:val="000000"/>
          <w:spacing w:val="0"/>
          <w:w w:val="100"/>
          <w:position w:val="0"/>
        </w:rPr>
        <w:t>7,315,000.00</w:t>
      </w:r>
      <w:r>
        <w:rPr>
          <w:color w:val="000000"/>
          <w:spacing w:val="0"/>
          <w:w w:val="100"/>
          <w:position w:val="0"/>
        </w:rPr>
        <w:t>元。</w:t>
      </w:r>
    </w:p>
    <w:p>
      <w:pPr>
        <w:pStyle w:val="Style26"/>
        <w:keepNext w:val="0"/>
        <w:keepLines w:val="0"/>
        <w:widowControl w:val="0"/>
        <w:numPr>
          <w:ilvl w:val="0"/>
          <w:numId w:val="199"/>
        </w:numPr>
        <w:shd w:val="clear" w:color="auto" w:fill="auto"/>
        <w:tabs>
          <w:tab w:pos="319" w:val="left"/>
        </w:tabs>
        <w:bidi w:val="0"/>
        <w:spacing w:before="0" w:after="0" w:line="313" w:lineRule="exact"/>
        <w:ind w:left="0" w:right="0" w:firstLine="0"/>
        <w:jc w:val="both"/>
      </w:pPr>
      <w:bookmarkStart w:id="1744" w:name="bookmark1744"/>
      <w:bookmarkEnd w:id="1744"/>
      <w:r>
        <w:rPr>
          <w:color w:val="000000"/>
          <w:spacing w:val="0"/>
          <w:w w:val="100"/>
          <w:position w:val="0"/>
        </w:rPr>
        <w:t>根据南京市发展和改革委员会、南京市财政局苏发改服务字</w:t>
      </w:r>
      <w:r>
        <w:rPr>
          <w:rFonts w:ascii="Times New Roman" w:eastAsia="Times New Roman" w:hAnsi="Times New Roman" w:cs="Times New Roman"/>
          <w:color w:val="000000"/>
          <w:spacing w:val="0"/>
          <w:w w:val="100"/>
          <w:position w:val="0"/>
        </w:rPr>
        <w:t>[2008]600</w:t>
      </w:r>
      <w:r>
        <w:rPr>
          <w:color w:val="000000"/>
          <w:spacing w:val="0"/>
          <w:w w:val="100"/>
          <w:position w:val="0"/>
        </w:rPr>
        <w:t>号《关于下达</w:t>
      </w:r>
      <w:r>
        <w:rPr>
          <w:rFonts w:ascii="Times New Roman" w:eastAsia="Times New Roman" w:hAnsi="Times New Roman" w:cs="Times New Roman"/>
          <w:color w:val="000000"/>
          <w:spacing w:val="0"/>
          <w:w w:val="100"/>
          <w:position w:val="0"/>
        </w:rPr>
        <w:t>2007</w:t>
      </w:r>
      <w:r>
        <w:rPr>
          <w:color w:val="000000"/>
          <w:spacing w:val="0"/>
          <w:w w:val="100"/>
          <w:position w:val="0"/>
        </w:rPr>
        <w:t>年度省级服务业发展引导资金投 资计划的通知》，本公司子公司外包园公司于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月收到南京市雨花台区财政局拨付的雨花润和软件外包园项目资金 </w:t>
      </w:r>
      <w:r>
        <w:rPr>
          <w:rFonts w:ascii="Times New Roman" w:eastAsia="Times New Roman" w:hAnsi="Times New Roman" w:cs="Times New Roman"/>
          <w:color w:val="000000"/>
          <w:spacing w:val="0"/>
          <w:w w:val="100"/>
          <w:position w:val="0"/>
        </w:rPr>
        <w:t>1,200,000.00</w:t>
      </w:r>
      <w:r>
        <w:rPr>
          <w:color w:val="000000"/>
          <w:spacing w:val="0"/>
          <w:w w:val="100"/>
          <w:position w:val="0"/>
        </w:rPr>
        <w:t>元，本公司确定为与资产相关的政府补助，随资产折旧的计提而分摊。</w:t>
      </w:r>
      <w:r>
        <w:rPr>
          <w:rFonts w:ascii="Times New Roman" w:eastAsia="Times New Roman" w:hAnsi="Times New Roman" w:cs="Times New Roman"/>
          <w:color w:val="000000"/>
          <w:spacing w:val="0"/>
          <w:w w:val="100"/>
          <w:position w:val="0"/>
        </w:rPr>
        <w:t>2020</w:t>
      </w:r>
      <w:r>
        <w:rPr>
          <w:color w:val="000000"/>
          <w:spacing w:val="0"/>
          <w:w w:val="100"/>
          <w:position w:val="0"/>
        </w:rPr>
        <w:t>年度随折旧的计提转入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项目金额为</w:t>
      </w:r>
      <w:r>
        <w:rPr>
          <w:rFonts w:ascii="Times New Roman" w:eastAsia="Times New Roman" w:hAnsi="Times New Roman" w:cs="Times New Roman"/>
          <w:color w:val="000000"/>
          <w:spacing w:val="0"/>
          <w:w w:val="100"/>
          <w:position w:val="0"/>
        </w:rPr>
        <w:t>30,000.00</w:t>
      </w:r>
      <w:r>
        <w:rPr>
          <w:color w:val="000000"/>
          <w:spacing w:val="0"/>
          <w:w w:val="100"/>
          <w:position w:val="0"/>
        </w:rPr>
        <w:t>元，累计转入损益金额为</w:t>
      </w:r>
      <w:r>
        <w:rPr>
          <w:rFonts w:ascii="Times New Roman" w:eastAsia="Times New Roman" w:hAnsi="Times New Roman" w:cs="Times New Roman"/>
          <w:color w:val="000000"/>
          <w:spacing w:val="0"/>
          <w:w w:val="100"/>
          <w:position w:val="0"/>
        </w:rPr>
        <w:t>322,500.00</w:t>
      </w:r>
      <w:r>
        <w:rPr>
          <w:color w:val="000000"/>
          <w:spacing w:val="0"/>
          <w:w w:val="100"/>
          <w:position w:val="0"/>
        </w:rPr>
        <w:t>元，期末余额为</w:t>
      </w:r>
      <w:r>
        <w:rPr>
          <w:rFonts w:ascii="Times New Roman" w:eastAsia="Times New Roman" w:hAnsi="Times New Roman" w:cs="Times New Roman"/>
          <w:color w:val="000000"/>
          <w:spacing w:val="0"/>
          <w:w w:val="100"/>
          <w:position w:val="0"/>
        </w:rPr>
        <w:t>877,500.00</w:t>
      </w:r>
      <w:r>
        <w:rPr>
          <w:color w:val="000000"/>
          <w:spacing w:val="0"/>
          <w:w w:val="100"/>
          <w:position w:val="0"/>
        </w:rPr>
        <w:t>元。</w:t>
      </w:r>
    </w:p>
    <w:p>
      <w:pPr>
        <w:pStyle w:val="Style26"/>
        <w:keepNext w:val="0"/>
        <w:keepLines w:val="0"/>
        <w:widowControl w:val="0"/>
        <w:shd w:val="clear" w:color="auto" w:fill="auto"/>
        <w:tabs>
          <w:tab w:pos="391" w:val="left"/>
        </w:tabs>
        <w:bidi w:val="0"/>
        <w:spacing w:before="0" w:after="0" w:line="313" w:lineRule="exact"/>
        <w:ind w:left="0" w:right="0" w:firstLine="0"/>
        <w:jc w:val="both"/>
      </w:pPr>
      <w:bookmarkStart w:id="1745" w:name="bookmark1745"/>
      <w:r>
        <w:rPr>
          <w:color w:val="000000"/>
          <w:spacing w:val="0"/>
          <w:w w:val="100"/>
          <w:position w:val="0"/>
        </w:rPr>
        <w:t>（</w:t>
      </w:r>
      <w:bookmarkEnd w:id="1745"/>
      <w:r>
        <w:rPr>
          <w:rFonts w:ascii="Times New Roman" w:eastAsia="Times New Roman" w:hAnsi="Times New Roman" w:cs="Times New Roman"/>
          <w:color w:val="000000"/>
          <w:spacing w:val="0"/>
          <w:w w:val="100"/>
          <w:position w:val="0"/>
        </w:rPr>
        <w:t>2</w:t>
      </w:r>
      <w:r>
        <w:rPr>
          <w:color w:val="000000"/>
          <w:spacing w:val="0"/>
          <w:w w:val="100"/>
          <w:position w:val="0"/>
        </w:rPr>
        <w:t>）</w:t>
        <w:tab/>
        <w:t>与收益有关的政府补助</w:t>
      </w:r>
    </w:p>
    <w:p>
      <w:pPr>
        <w:pStyle w:val="Style26"/>
        <w:keepNext w:val="0"/>
        <w:keepLines w:val="0"/>
        <w:widowControl w:val="0"/>
        <w:numPr>
          <w:ilvl w:val="0"/>
          <w:numId w:val="201"/>
        </w:numPr>
        <w:shd w:val="clear" w:color="auto" w:fill="auto"/>
        <w:tabs>
          <w:tab w:pos="319" w:val="left"/>
        </w:tabs>
        <w:bidi w:val="0"/>
        <w:spacing w:before="0" w:after="0" w:line="313" w:lineRule="exact"/>
        <w:ind w:left="0" w:right="0" w:firstLine="0"/>
        <w:jc w:val="both"/>
      </w:pPr>
      <w:bookmarkStart w:id="1746" w:name="bookmark1746"/>
      <w:bookmarkEnd w:id="1746"/>
      <w:r>
        <w:rPr>
          <w:color w:val="000000"/>
          <w:spacing w:val="0"/>
          <w:w w:val="100"/>
          <w:position w:val="0"/>
        </w:rPr>
        <w:t>根据江苏省发展和改革委员会、江苏省财政厅苏发改高技发</w:t>
      </w:r>
      <w:r>
        <w:rPr>
          <w:rFonts w:ascii="Times New Roman" w:eastAsia="Times New Roman" w:hAnsi="Times New Roman" w:cs="Times New Roman"/>
          <w:color w:val="000000"/>
          <w:spacing w:val="0"/>
          <w:w w:val="100"/>
          <w:position w:val="0"/>
        </w:rPr>
        <w:t>[2017]1594</w:t>
      </w:r>
      <w:r>
        <w:rPr>
          <w:color w:val="000000"/>
          <w:spacing w:val="0"/>
          <w:w w:val="100"/>
          <w:position w:val="0"/>
        </w:rPr>
        <w:t>号、苏财建</w:t>
      </w:r>
      <w:r>
        <w:rPr>
          <w:rFonts w:ascii="Times New Roman" w:eastAsia="Times New Roman" w:hAnsi="Times New Roman" w:cs="Times New Roman"/>
          <w:color w:val="000000"/>
          <w:spacing w:val="0"/>
          <w:w w:val="100"/>
          <w:position w:val="0"/>
        </w:rPr>
        <w:t>[2017]295</w:t>
      </w:r>
      <w:r>
        <w:rPr>
          <w:color w:val="000000"/>
          <w:spacing w:val="0"/>
          <w:w w:val="100"/>
          <w:position w:val="0"/>
        </w:rPr>
        <w:t>号《关于下达</w:t>
      </w:r>
      <w:r>
        <w:rPr>
          <w:rFonts w:ascii="Times New Roman" w:eastAsia="Times New Roman" w:hAnsi="Times New Roman" w:cs="Times New Roman"/>
          <w:color w:val="000000"/>
          <w:spacing w:val="0"/>
          <w:w w:val="100"/>
          <w:position w:val="0"/>
        </w:rPr>
        <w:t>2017</w:t>
      </w:r>
      <w:r>
        <w:rPr>
          <w:color w:val="000000"/>
          <w:spacing w:val="0"/>
          <w:w w:val="100"/>
          <w:position w:val="0"/>
        </w:rPr>
        <w:t>年度省级战 略性新兴产业发展专项资金及项目投资计划的通知》，本公司于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月收到中国（南京）软件谷管理委员会拨付的能源 信息化平台建设项目资金</w:t>
      </w:r>
      <w:r>
        <w:rPr>
          <w:rFonts w:ascii="Times New Roman" w:eastAsia="Times New Roman" w:hAnsi="Times New Roman" w:cs="Times New Roman"/>
          <w:color w:val="000000"/>
          <w:spacing w:val="0"/>
          <w:w w:val="100"/>
          <w:position w:val="0"/>
        </w:rPr>
        <w:t>6,300,000.00</w:t>
      </w:r>
      <w:r>
        <w:rPr>
          <w:color w:val="000000"/>
          <w:spacing w:val="0"/>
          <w:w w:val="100"/>
          <w:position w:val="0"/>
        </w:rPr>
        <w:t>元。</w:t>
      </w:r>
    </w:p>
    <w:p>
      <w:pPr>
        <w:pStyle w:val="Style26"/>
        <w:keepNext w:val="0"/>
        <w:keepLines w:val="0"/>
        <w:widowControl w:val="0"/>
        <w:numPr>
          <w:ilvl w:val="0"/>
          <w:numId w:val="201"/>
        </w:numPr>
        <w:shd w:val="clear" w:color="auto" w:fill="auto"/>
        <w:tabs>
          <w:tab w:pos="319" w:val="left"/>
        </w:tabs>
        <w:bidi w:val="0"/>
        <w:spacing w:before="0" w:after="0" w:line="313" w:lineRule="exact"/>
        <w:ind w:left="0" w:right="0" w:firstLine="0"/>
        <w:jc w:val="both"/>
      </w:pPr>
      <w:bookmarkStart w:id="1747" w:name="bookmark1747"/>
      <w:bookmarkEnd w:id="1747"/>
      <w:r>
        <w:rPr>
          <w:color w:val="000000"/>
          <w:spacing w:val="0"/>
          <w:w w:val="100"/>
          <w:position w:val="0"/>
        </w:rPr>
        <w:t>根据南京市科学技术委员会、南京市财政局宁科</w:t>
      </w:r>
      <w:r>
        <w:rPr>
          <w:rFonts w:ascii="Times New Roman" w:eastAsia="Times New Roman" w:hAnsi="Times New Roman" w:cs="Times New Roman"/>
          <w:color w:val="000000"/>
          <w:spacing w:val="0"/>
          <w:w w:val="100"/>
          <w:position w:val="0"/>
        </w:rPr>
        <w:t>[2018]307</w:t>
      </w:r>
      <w:r>
        <w:rPr>
          <w:color w:val="000000"/>
          <w:spacing w:val="0"/>
          <w:w w:val="100"/>
          <w:position w:val="0"/>
        </w:rPr>
        <w:t>号、宁财教</w:t>
      </w:r>
      <w:r>
        <w:rPr>
          <w:rFonts w:ascii="Times New Roman" w:eastAsia="Times New Roman" w:hAnsi="Times New Roman" w:cs="Times New Roman"/>
          <w:color w:val="000000"/>
          <w:spacing w:val="0"/>
          <w:w w:val="100"/>
          <w:position w:val="0"/>
        </w:rPr>
        <w:t>[2018]743</w:t>
      </w:r>
      <w:r>
        <w:rPr>
          <w:color w:val="000000"/>
          <w:spacing w:val="0"/>
          <w:w w:val="100"/>
          <w:position w:val="0"/>
        </w:rPr>
        <w:t>号《关于下达南京市</w:t>
      </w:r>
      <w:r>
        <w:rPr>
          <w:rFonts w:ascii="Times New Roman" w:eastAsia="Times New Roman" w:hAnsi="Times New Roman" w:cs="Times New Roman"/>
          <w:color w:val="000000"/>
          <w:spacing w:val="0"/>
          <w:w w:val="100"/>
          <w:position w:val="0"/>
        </w:rPr>
        <w:t>2018</w:t>
      </w:r>
      <w:r>
        <w:rPr>
          <w:color w:val="000000"/>
          <w:spacing w:val="0"/>
          <w:w w:val="100"/>
          <w:position w:val="0"/>
        </w:rPr>
        <w:t>年度科技发展计 划及科技经费指标的通知（第十四批）》，本公司于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月收到中国（南京）软件谷管理委员会拨付的基于互联网及大 数据技术的金融云平台研发及产业化项目资金</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月，该项目已通过南京市科学技术局验收，本期转 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项目金额为</w:t>
      </w:r>
      <w:r>
        <w:rPr>
          <w:rFonts w:ascii="Times New Roman" w:eastAsia="Times New Roman" w:hAnsi="Times New Roman" w:cs="Times New Roman"/>
          <w:color w:val="000000"/>
          <w:spacing w:val="0"/>
          <w:w w:val="100"/>
          <w:position w:val="0"/>
        </w:rPr>
        <w:t>1,200,000.00</w:t>
      </w:r>
      <w:r>
        <w:rPr>
          <w:color w:val="000000"/>
          <w:spacing w:val="0"/>
          <w:w w:val="100"/>
          <w:position w:val="0"/>
        </w:rPr>
        <w:t>元。</w:t>
      </w:r>
    </w:p>
    <w:p>
      <w:pPr>
        <w:pStyle w:val="Style26"/>
        <w:keepNext w:val="0"/>
        <w:keepLines w:val="0"/>
        <w:widowControl w:val="0"/>
        <w:numPr>
          <w:ilvl w:val="0"/>
          <w:numId w:val="201"/>
        </w:numPr>
        <w:shd w:val="clear" w:color="auto" w:fill="auto"/>
        <w:tabs>
          <w:tab w:pos="319" w:val="left"/>
        </w:tabs>
        <w:bidi w:val="0"/>
        <w:spacing w:before="0" w:after="0" w:line="313" w:lineRule="exact"/>
        <w:ind w:left="0" w:right="0" w:firstLine="0"/>
        <w:jc w:val="both"/>
      </w:pPr>
      <w:bookmarkStart w:id="1748" w:name="bookmark1748"/>
      <w:bookmarkEnd w:id="1748"/>
      <w:r>
        <w:rPr>
          <w:color w:val="000000"/>
          <w:spacing w:val="0"/>
          <w:w w:val="100"/>
          <w:position w:val="0"/>
        </w:rPr>
        <w:t>根据公司与江苏省产业技术研究院签署的《共建</w:t>
      </w:r>
      <w:r>
        <w:rPr>
          <w:rFonts w:ascii="Times New Roman" w:eastAsia="Times New Roman" w:hAnsi="Times New Roman" w:cs="Times New Roman"/>
          <w:color w:val="000000"/>
          <w:spacing w:val="0"/>
          <w:w w:val="100"/>
          <w:position w:val="0"/>
        </w:rPr>
        <w:t>JITRI-</w:t>
      </w:r>
      <w:r>
        <w:rPr>
          <w:color w:val="000000"/>
          <w:spacing w:val="0"/>
          <w:w w:val="100"/>
          <w:position w:val="0"/>
        </w:rPr>
        <w:t>润和软件联合创新中心合作协议》，本公司于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月收到江苏 省产业技术研究院拨付的</w:t>
      </w:r>
      <w:r>
        <w:rPr>
          <w:rFonts w:ascii="Times New Roman" w:eastAsia="Times New Roman" w:hAnsi="Times New Roman" w:cs="Times New Roman"/>
          <w:color w:val="000000"/>
          <w:spacing w:val="0"/>
          <w:w w:val="100"/>
          <w:position w:val="0"/>
        </w:rPr>
        <w:t>JITRI-</w:t>
      </w:r>
      <w:r>
        <w:rPr>
          <w:color w:val="000000"/>
          <w:spacing w:val="0"/>
          <w:w w:val="100"/>
          <w:position w:val="0"/>
        </w:rPr>
        <w:t>润和软件联合创新中心建设运营经费</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000,000.00</w:t>
      </w:r>
      <w:r>
        <w:rPr>
          <w:color w:val="000000"/>
          <w:spacing w:val="0"/>
          <w:w w:val="100"/>
          <w:position w:val="0"/>
        </w:rPr>
        <w:t>元。</w:t>
      </w:r>
    </w:p>
    <w:p>
      <w:pPr>
        <w:pStyle w:val="Style26"/>
        <w:keepNext w:val="0"/>
        <w:keepLines w:val="0"/>
        <w:widowControl w:val="0"/>
        <w:numPr>
          <w:ilvl w:val="0"/>
          <w:numId w:val="201"/>
        </w:numPr>
        <w:shd w:val="clear" w:color="auto" w:fill="auto"/>
        <w:tabs>
          <w:tab w:pos="319" w:val="left"/>
        </w:tabs>
        <w:bidi w:val="0"/>
        <w:spacing w:before="0" w:after="0" w:line="313" w:lineRule="exact"/>
        <w:ind w:left="0" w:right="0" w:firstLine="0"/>
        <w:jc w:val="both"/>
      </w:pPr>
      <w:bookmarkStart w:id="1749" w:name="bookmark1749"/>
      <w:bookmarkEnd w:id="1749"/>
      <w:r>
        <w:rPr>
          <w:color w:val="000000"/>
          <w:spacing w:val="0"/>
          <w:w w:val="100"/>
          <w:position w:val="0"/>
        </w:rPr>
        <w:t>根据南京市科学技术局宁科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020]210</w:t>
      </w:r>
      <w:r>
        <w:rPr>
          <w:color w:val="000000"/>
          <w:spacing w:val="0"/>
          <w:w w:val="100"/>
          <w:position w:val="0"/>
        </w:rPr>
        <w:t>号、南京市财政局宁财教</w:t>
      </w:r>
      <w:r>
        <w:rPr>
          <w:rFonts w:ascii="Times New Roman" w:eastAsia="Times New Roman" w:hAnsi="Times New Roman" w:cs="Times New Roman"/>
          <w:color w:val="000000"/>
          <w:spacing w:val="0"/>
          <w:w w:val="100"/>
          <w:position w:val="0"/>
        </w:rPr>
        <w:t>[2020]429</w:t>
      </w:r>
      <w:r>
        <w:rPr>
          <w:color w:val="000000"/>
          <w:spacing w:val="0"/>
          <w:w w:val="100"/>
          <w:position w:val="0"/>
        </w:rPr>
        <w:t>号《关于转下省</w:t>
      </w:r>
      <w:r>
        <w:rPr>
          <w:rFonts w:ascii="Times New Roman" w:eastAsia="Times New Roman" w:hAnsi="Times New Roman" w:cs="Times New Roman"/>
          <w:color w:val="000000"/>
          <w:spacing w:val="0"/>
          <w:w w:val="100"/>
          <w:position w:val="0"/>
        </w:rPr>
        <w:t>2020</w:t>
      </w:r>
      <w:r>
        <w:rPr>
          <w:color w:val="000000"/>
          <w:spacing w:val="0"/>
          <w:w w:val="100"/>
          <w:position w:val="0"/>
        </w:rPr>
        <w:t>年度科技发展计划和科技经 费指标的通知（第十一批）》，公司于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月收到南京市财政局拨付的智能微流控芯片系统的合作研发经费</w:t>
      </w:r>
      <w:r>
        <w:rPr>
          <w:rFonts w:ascii="Times New Roman" w:eastAsia="Times New Roman" w:hAnsi="Times New Roman" w:cs="Times New Roman"/>
          <w:color w:val="000000"/>
          <w:spacing w:val="0"/>
          <w:w w:val="100"/>
          <w:position w:val="0"/>
        </w:rPr>
        <w:t xml:space="preserve">700,000.00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26"/>
        <w:keepNext w:val="0"/>
        <w:keepLines w:val="0"/>
        <w:widowControl w:val="0"/>
        <w:numPr>
          <w:ilvl w:val="0"/>
          <w:numId w:val="201"/>
        </w:numPr>
        <w:shd w:val="clear" w:color="auto" w:fill="auto"/>
        <w:tabs>
          <w:tab w:pos="319" w:val="left"/>
        </w:tabs>
        <w:bidi w:val="0"/>
        <w:spacing w:before="0" w:after="0" w:line="313" w:lineRule="exact"/>
        <w:ind w:left="0" w:right="0" w:firstLine="0"/>
        <w:jc w:val="both"/>
      </w:pPr>
      <w:bookmarkStart w:id="1750" w:name="bookmark1750"/>
      <w:bookmarkEnd w:id="175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月，本公司子公司外包园公司收到南京市财政局拨付的科技创新创业载体培育高成长性企业奖励</w:t>
      </w:r>
      <w:r>
        <w:rPr>
          <w:rFonts w:ascii="Times New Roman" w:eastAsia="Times New Roman" w:hAnsi="Times New Roman" w:cs="Times New Roman"/>
          <w:color w:val="000000"/>
          <w:spacing w:val="0"/>
          <w:w w:val="100"/>
          <w:position w:val="0"/>
        </w:rPr>
        <w:t>200,000.00</w:t>
      </w:r>
      <w:r>
        <w:rPr>
          <w:color w:val="000000"/>
          <w:spacing w:val="0"/>
          <w:w w:val="100"/>
          <w:position w:val="0"/>
        </w:rPr>
        <w:t>元、科 技创新创业载体绩效评价奖励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00,000.00</w:t>
      </w:r>
      <w:r>
        <w:rPr>
          <w:color w:val="000000"/>
          <w:spacing w:val="0"/>
          <w:w w:val="100"/>
          <w:position w:val="0"/>
        </w:rPr>
        <w:t>元。</w:t>
      </w:r>
    </w:p>
    <w:p>
      <w:pPr>
        <w:pStyle w:val="Style26"/>
        <w:keepNext w:val="0"/>
        <w:keepLines w:val="0"/>
        <w:widowControl w:val="0"/>
        <w:numPr>
          <w:ilvl w:val="0"/>
          <w:numId w:val="201"/>
        </w:numPr>
        <w:shd w:val="clear" w:color="auto" w:fill="auto"/>
        <w:tabs>
          <w:tab w:pos="323" w:val="left"/>
        </w:tabs>
        <w:bidi w:val="0"/>
        <w:spacing w:before="0" w:after="380" w:line="313" w:lineRule="exact"/>
        <w:ind w:left="0" w:right="0" w:firstLine="0"/>
        <w:jc w:val="both"/>
      </w:pPr>
      <w:bookmarkStart w:id="1751" w:name="bookmark1751"/>
      <w:bookmarkEnd w:id="1751"/>
      <w:r>
        <w:rPr>
          <w:color w:val="000000"/>
          <w:spacing w:val="0"/>
          <w:w w:val="100"/>
          <w:position w:val="0"/>
        </w:rPr>
        <w:t>根据《省工业和信息化厅省财政厅关于组织</w:t>
      </w:r>
      <w:r>
        <w:rPr>
          <w:rFonts w:ascii="Times New Roman" w:eastAsia="Times New Roman" w:hAnsi="Times New Roman" w:cs="Times New Roman"/>
          <w:color w:val="000000"/>
          <w:spacing w:val="0"/>
          <w:w w:val="100"/>
          <w:position w:val="0"/>
        </w:rPr>
        <w:t>2019</w:t>
      </w:r>
      <w:r>
        <w:rPr>
          <w:color w:val="000000"/>
          <w:spacing w:val="0"/>
          <w:w w:val="100"/>
          <w:position w:val="0"/>
        </w:rPr>
        <w:t>年度省级工业和信息产业转型升级专项资金项目申报的通知》（苏工信综 合〔</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426</w:t>
      </w:r>
      <w:r>
        <w:rPr>
          <w:color w:val="000000"/>
          <w:spacing w:val="0"/>
          <w:w w:val="100"/>
          <w:position w:val="0"/>
        </w:rPr>
        <w:t>号），本公司于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月收到中国（南京）软件谷管理委员会拨付的新一代分布式金融核心系统项目资金 </w:t>
      </w:r>
      <w:r>
        <w:rPr>
          <w:rFonts w:ascii="Times New Roman" w:eastAsia="Times New Roman" w:hAnsi="Times New Roman" w:cs="Times New Roman"/>
          <w:color w:val="000000"/>
          <w:spacing w:val="0"/>
          <w:w w:val="100"/>
          <w:position w:val="0"/>
        </w:rPr>
        <w:t>2,000,000.00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月，该项目已通过江苏省工信厅验收，本期转入</w:t>
      </w:r>
      <w:r>
        <w:rPr>
          <w:rFonts w:ascii="Times New Roman" w:eastAsia="Times New Roman" w:hAnsi="Times New Roman" w:cs="Times New Roman"/>
          <w:color w:val="000000"/>
          <w:spacing w:val="0"/>
          <w:w w:val="100"/>
          <w:position w:val="0"/>
        </w:rPr>
        <w:t>“</w:t>
      </w:r>
      <w:r>
        <w:rPr>
          <w:color w:val="000000"/>
          <w:spacing w:val="0"/>
          <w:w w:val="100"/>
          <w:position w:val="0"/>
        </w:rPr>
        <w:t>其他收益</w:t>
      </w:r>
      <w:r>
        <w:rPr>
          <w:rFonts w:ascii="Times New Roman" w:eastAsia="Times New Roman" w:hAnsi="Times New Roman" w:cs="Times New Roman"/>
          <w:color w:val="000000"/>
          <w:spacing w:val="0"/>
          <w:w w:val="100"/>
          <w:position w:val="0"/>
        </w:rPr>
        <w:t>”</w:t>
      </w:r>
      <w:r>
        <w:rPr>
          <w:color w:val="000000"/>
          <w:spacing w:val="0"/>
          <w:w w:val="100"/>
          <w:position w:val="0"/>
        </w:rPr>
        <w:t>项目金额为</w:t>
      </w:r>
      <w:r>
        <w:rPr>
          <w:rFonts w:ascii="Times New Roman" w:eastAsia="Times New Roman" w:hAnsi="Times New Roman" w:cs="Times New Roman"/>
          <w:color w:val="000000"/>
          <w:spacing w:val="0"/>
          <w:w w:val="100"/>
          <w:position w:val="0"/>
        </w:rPr>
        <w:t>2,000,000.00</w:t>
      </w:r>
      <w:r>
        <w:rPr>
          <w:color w:val="000000"/>
          <w:spacing w:val="0"/>
          <w:w w:val="100"/>
          <w:position w:val="0"/>
        </w:rPr>
        <w:t>元。</w:t>
      </w:r>
    </w:p>
    <w:p>
      <w:pPr>
        <w:pStyle w:val="Style30"/>
        <w:keepNext/>
        <w:keepLines/>
        <w:widowControl w:val="0"/>
        <w:shd w:val="clear" w:color="auto" w:fill="auto"/>
        <w:bidi w:val="0"/>
        <w:spacing w:before="0" w:after="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5</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752"/>
      <w:bookmarkEnd w:id="1753"/>
      <w:bookmarkEnd w:id="1755"/>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5</w:t>
      </w:r>
      <w:bookmarkEnd w:id="175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756"/>
      <w:bookmarkEnd w:id="1757"/>
      <w:bookmarkEnd w:id="175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796,410,841.00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796,410,841.00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760"/>
      <w:bookmarkEnd w:id="1761"/>
      <w:bookmarkEnd w:id="1763"/>
    </w:p>
    <w:p>
      <w:pPr>
        <w:pStyle w:val="Style30"/>
        <w:keepNext/>
        <w:keepLines/>
        <w:widowControl w:val="0"/>
        <w:shd w:val="clear" w:color="auto" w:fill="auto"/>
        <w:tabs>
          <w:tab w:pos="493" w:val="left"/>
        </w:tabs>
        <w:bidi w:val="0"/>
        <w:spacing w:before="0" w:after="380" w:line="240" w:lineRule="auto"/>
        <w:ind w:left="0" w:right="0" w:firstLine="0"/>
        <w:jc w:val="left"/>
      </w:pPr>
      <w:bookmarkStart w:id="1760" w:name="bookmark1760"/>
      <w:bookmarkStart w:id="1761" w:name="bookmark1761"/>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60"/>
      <w:bookmarkEnd w:id="1761"/>
      <w:bookmarkEnd w:id="1765"/>
    </w:p>
    <w:p>
      <w:pPr>
        <w:pStyle w:val="Style30"/>
        <w:keepNext/>
        <w:keepLines/>
        <w:widowControl w:val="0"/>
        <w:shd w:val="clear" w:color="auto" w:fill="auto"/>
        <w:tabs>
          <w:tab w:pos="493" w:val="left"/>
        </w:tabs>
        <w:bidi w:val="0"/>
        <w:spacing w:before="0" w:after="380" w:line="240" w:lineRule="auto"/>
        <w:ind w:left="0" w:right="0" w:firstLine="0"/>
        <w:jc w:val="left"/>
      </w:pPr>
      <w:bookmarkStart w:id="1760" w:name="bookmark1760"/>
      <w:bookmarkStart w:id="1761" w:name="bookmark1761"/>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60"/>
      <w:bookmarkEnd w:id="1761"/>
      <w:bookmarkEnd w:id="176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5</w:t>
      </w:r>
      <w:bookmarkEnd w:id="177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68"/>
      <w:bookmarkEnd w:id="1769"/>
      <w:bookmarkEnd w:id="177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2,865,125,527.46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2,865,125,527.46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14,768,385.09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4,286,395.93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15,115,656.55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3,939,124.47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2,879,893,912.55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4,286,395.93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15,115,656.55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2,869,064,651.93</w:t>
            </w:r>
          </w:p>
        </w:tc>
      </w:tr>
    </w:tbl>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tabs>
          <w:tab w:pos="541" w:val="left"/>
        </w:tabs>
        <w:bidi w:val="0"/>
        <w:spacing w:before="0" w:after="0" w:line="316" w:lineRule="exact"/>
        <w:ind w:left="0" w:right="0" w:firstLine="0"/>
        <w:jc w:val="left"/>
      </w:pPr>
      <w:bookmarkStart w:id="1772" w:name="bookmark1772"/>
      <w:r>
        <w:rPr>
          <w:color w:val="000000"/>
          <w:spacing w:val="0"/>
          <w:w w:val="100"/>
          <w:position w:val="0"/>
        </w:rPr>
        <w:t>（</w:t>
      </w:r>
      <w:bookmarkEnd w:id="1772"/>
      <w:r>
        <w:rPr>
          <w:rFonts w:ascii="Times New Roman" w:eastAsia="Times New Roman" w:hAnsi="Times New Roman" w:cs="Times New Roman"/>
          <w:color w:val="000000"/>
          <w:spacing w:val="0"/>
          <w:w w:val="100"/>
          <w:position w:val="0"/>
        </w:rPr>
        <w:t>1</w:t>
      </w:r>
      <w:r>
        <w:rPr>
          <w:color w:val="000000"/>
          <w:spacing w:val="0"/>
          <w:w w:val="100"/>
          <w:position w:val="0"/>
        </w:rPr>
        <w:t>）</w:t>
        <w:tab/>
        <w:t>本期因公司参股公司奥特酷增资扩股本公司所持股权被动稀释，对应调整长期股权投资</w:t>
      </w:r>
      <w:r>
        <w:rPr>
          <w:rFonts w:ascii="Times New Roman" w:eastAsia="Times New Roman" w:hAnsi="Times New Roman" w:cs="Times New Roman"/>
          <w:color w:val="000000"/>
          <w:spacing w:val="0"/>
          <w:w w:val="100"/>
          <w:position w:val="0"/>
        </w:rPr>
        <w:t>-</w:t>
      </w:r>
      <w:r>
        <w:rPr>
          <w:color w:val="000000"/>
          <w:spacing w:val="0"/>
          <w:w w:val="100"/>
          <w:position w:val="0"/>
        </w:rPr>
        <w:t>其他权益变动</w:t>
      </w:r>
      <w:r>
        <w:rPr>
          <w:rFonts w:ascii="Times New Roman" w:eastAsia="Times New Roman" w:hAnsi="Times New Roman" w:cs="Times New Roman"/>
          <w:color w:val="000000"/>
          <w:spacing w:val="0"/>
          <w:w w:val="100"/>
          <w:position w:val="0"/>
        </w:rPr>
        <w:t>4,286,395.93</w:t>
      </w:r>
      <w:r>
        <w:rPr>
          <w:color w:val="000000"/>
          <w:spacing w:val="0"/>
          <w:w w:val="100"/>
          <w:position w:val="0"/>
        </w:rPr>
        <w:t>元, 其他资本公积相应增加</w:t>
      </w:r>
      <w:r>
        <w:rPr>
          <w:rFonts w:ascii="Times New Roman" w:eastAsia="Times New Roman" w:hAnsi="Times New Roman" w:cs="Times New Roman"/>
          <w:color w:val="000000"/>
          <w:spacing w:val="0"/>
          <w:w w:val="100"/>
          <w:position w:val="0"/>
        </w:rPr>
        <w:t>4,286,395.93</w:t>
      </w:r>
      <w:r>
        <w:rPr>
          <w:color w:val="000000"/>
          <w:spacing w:val="0"/>
          <w:w w:val="100"/>
          <w:position w:val="0"/>
        </w:rPr>
        <w:t>元；</w:t>
      </w:r>
    </w:p>
    <w:p>
      <w:pPr>
        <w:pStyle w:val="Style26"/>
        <w:keepNext w:val="0"/>
        <w:keepLines w:val="0"/>
        <w:widowControl w:val="0"/>
        <w:shd w:val="clear" w:color="auto" w:fill="auto"/>
        <w:tabs>
          <w:tab w:pos="541" w:val="left"/>
        </w:tabs>
        <w:bidi w:val="0"/>
        <w:spacing w:before="0" w:after="0" w:line="316" w:lineRule="exact"/>
        <w:ind w:left="0" w:right="0" w:firstLine="0"/>
        <w:jc w:val="left"/>
      </w:pPr>
      <w:bookmarkStart w:id="1773" w:name="bookmark1773"/>
      <w:r>
        <w:rPr>
          <w:color w:val="000000"/>
          <w:spacing w:val="0"/>
          <w:w w:val="100"/>
          <w:position w:val="0"/>
        </w:rPr>
        <w:t>（</w:t>
      </w:r>
      <w:bookmarkEnd w:id="1773"/>
      <w:r>
        <w:rPr>
          <w:rFonts w:ascii="Times New Roman" w:eastAsia="Times New Roman" w:hAnsi="Times New Roman" w:cs="Times New Roman"/>
          <w:color w:val="000000"/>
          <w:spacing w:val="0"/>
          <w:w w:val="100"/>
          <w:position w:val="0"/>
        </w:rPr>
        <w:t>2</w:t>
      </w:r>
      <w:r>
        <w:rPr>
          <w:color w:val="000000"/>
          <w:spacing w:val="0"/>
          <w:w w:val="100"/>
          <w:position w:val="0"/>
        </w:rPr>
        <w:t>）</w:t>
        <w:tab/>
        <w:t>本期因公司参股公司博纳讯动增资扩股本公司所持股权被动稀释，对应调整长期股权投资</w:t>
      </w:r>
      <w:r>
        <w:rPr>
          <w:rFonts w:ascii="Times New Roman" w:eastAsia="Times New Roman" w:hAnsi="Times New Roman" w:cs="Times New Roman"/>
          <w:color w:val="000000"/>
          <w:spacing w:val="0"/>
          <w:w w:val="100"/>
          <w:position w:val="0"/>
        </w:rPr>
        <w:t>-</w:t>
      </w:r>
      <w:r>
        <w:rPr>
          <w:color w:val="000000"/>
          <w:spacing w:val="0"/>
          <w:w w:val="100"/>
          <w:position w:val="0"/>
        </w:rPr>
        <w:t>其他权益变动</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721,712.09</w:t>
      </w:r>
      <w:r>
        <w:rPr>
          <w:color w:val="000000"/>
          <w:spacing w:val="0"/>
          <w:w w:val="100"/>
          <w:position w:val="0"/>
        </w:rPr>
        <w:t>元, 其他资本公积相应减少</w:t>
      </w:r>
      <w:r>
        <w:rPr>
          <w:rFonts w:ascii="Times New Roman" w:eastAsia="Times New Roman" w:hAnsi="Times New Roman" w:cs="Times New Roman"/>
          <w:color w:val="000000"/>
          <w:spacing w:val="0"/>
          <w:w w:val="100"/>
          <w:position w:val="0"/>
        </w:rPr>
        <w:t>721,712.09</w:t>
      </w:r>
      <w:r>
        <w:rPr>
          <w:color w:val="000000"/>
          <w:spacing w:val="0"/>
          <w:w w:val="100"/>
          <w:position w:val="0"/>
        </w:rPr>
        <w:t>元；</w:t>
      </w:r>
    </w:p>
    <w:p>
      <w:pPr>
        <w:pStyle w:val="Style26"/>
        <w:keepNext w:val="0"/>
        <w:keepLines w:val="0"/>
        <w:widowControl w:val="0"/>
        <w:shd w:val="clear" w:color="auto" w:fill="auto"/>
        <w:tabs>
          <w:tab w:pos="536" w:val="left"/>
        </w:tabs>
        <w:bidi w:val="0"/>
        <w:spacing w:before="0" w:after="0" w:line="316" w:lineRule="exact"/>
        <w:ind w:left="0" w:right="0" w:firstLine="0"/>
        <w:jc w:val="left"/>
      </w:pPr>
      <w:bookmarkStart w:id="1774" w:name="bookmark1774"/>
      <w:r>
        <w:rPr>
          <w:color w:val="000000"/>
          <w:spacing w:val="0"/>
          <w:w w:val="100"/>
          <w:position w:val="0"/>
        </w:rPr>
        <w:t>（</w:t>
      </w:r>
      <w:bookmarkEnd w:id="1774"/>
      <w:r>
        <w:rPr>
          <w:rFonts w:ascii="Times New Roman" w:eastAsia="Times New Roman" w:hAnsi="Times New Roman" w:cs="Times New Roman"/>
          <w:color w:val="000000"/>
          <w:spacing w:val="0"/>
          <w:w w:val="100"/>
          <w:position w:val="0"/>
        </w:rPr>
        <w:t>3</w:t>
      </w:r>
      <w:r>
        <w:rPr>
          <w:color w:val="000000"/>
          <w:spacing w:val="0"/>
          <w:w w:val="100"/>
          <w:position w:val="0"/>
        </w:rPr>
        <w:t>）</w:t>
        <w:tab/>
        <w:t>本期因转让博纳讯动部分股权，公司对博纳讯动不再具有重大影响，剩余股权投资由</w:t>
      </w:r>
      <w:r>
        <w:rPr>
          <w:rFonts w:ascii="Times New Roman" w:eastAsia="Times New Roman" w:hAnsi="Times New Roman" w:cs="Times New Roman"/>
          <w:color w:val="000000"/>
          <w:spacing w:val="0"/>
          <w:w w:val="100"/>
          <w:position w:val="0"/>
        </w:rPr>
        <w:t>“</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转为</w:t>
      </w:r>
      <w:r>
        <w:rPr>
          <w:rFonts w:ascii="Times New Roman" w:eastAsia="Times New Roman" w:hAnsi="Times New Roman" w:cs="Times New Roman"/>
          <w:color w:val="000000"/>
          <w:spacing w:val="0"/>
          <w:w w:val="100"/>
          <w:position w:val="0"/>
        </w:rPr>
        <w:t>“</w:t>
      </w:r>
      <w:r>
        <w:rPr>
          <w:color w:val="000000"/>
          <w:spacing w:val="0"/>
          <w:w w:val="100"/>
          <w:position w:val="0"/>
        </w:rPr>
        <w:t>交易性金 融资产</w:t>
      </w:r>
      <w:r>
        <w:rPr>
          <w:rFonts w:ascii="Times New Roman" w:eastAsia="Times New Roman" w:hAnsi="Times New Roman" w:cs="Times New Roman"/>
          <w:color w:val="000000"/>
          <w:spacing w:val="0"/>
          <w:w w:val="100"/>
          <w:position w:val="0"/>
        </w:rPr>
        <w:t>”</w:t>
      </w:r>
      <w:r>
        <w:rPr>
          <w:color w:val="000000"/>
          <w:spacing w:val="0"/>
          <w:w w:val="100"/>
          <w:position w:val="0"/>
        </w:rPr>
        <w:t>核算，对应转出权益法核算期间博纳讯动增资扩股本公司所确认的其他资本公积</w:t>
      </w:r>
      <w:r>
        <w:rPr>
          <w:rFonts w:ascii="Times New Roman" w:eastAsia="Times New Roman" w:hAnsi="Times New Roman" w:cs="Times New Roman"/>
          <w:color w:val="000000"/>
          <w:spacing w:val="0"/>
          <w:w w:val="100"/>
          <w:position w:val="0"/>
        </w:rPr>
        <w:t>13,492,182.27</w:t>
      </w:r>
      <w:r>
        <w:rPr>
          <w:color w:val="000000"/>
          <w:spacing w:val="0"/>
          <w:w w:val="100"/>
          <w:position w:val="0"/>
        </w:rPr>
        <w:t>元；</w:t>
      </w:r>
    </w:p>
    <w:p>
      <w:pPr>
        <w:pStyle w:val="Style26"/>
        <w:keepNext w:val="0"/>
        <w:keepLines w:val="0"/>
        <w:widowControl w:val="0"/>
        <w:shd w:val="clear" w:color="auto" w:fill="auto"/>
        <w:tabs>
          <w:tab w:pos="541" w:val="left"/>
        </w:tabs>
        <w:bidi w:val="0"/>
        <w:spacing w:before="0" w:after="380" w:line="316" w:lineRule="exact"/>
        <w:ind w:left="0" w:right="0" w:firstLine="0"/>
        <w:jc w:val="left"/>
      </w:pPr>
      <w:bookmarkStart w:id="1775" w:name="bookmark1775"/>
      <w:r>
        <w:rPr>
          <w:color w:val="000000"/>
          <w:spacing w:val="0"/>
          <w:w w:val="100"/>
          <w:position w:val="0"/>
        </w:rPr>
        <w:t>（</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w:t>
        <w:tab/>
        <w:t>本期因转让润和智融部分股权，对润和智融不再具有控制权，剩余股权投资由长期股权投资成本法转为权益法核算， 其他资本公积减少</w:t>
      </w:r>
      <w:r>
        <w:rPr>
          <w:rFonts w:ascii="Times New Roman" w:eastAsia="Times New Roman" w:hAnsi="Times New Roman" w:cs="Times New Roman"/>
          <w:color w:val="000000"/>
          <w:spacing w:val="0"/>
          <w:w w:val="100"/>
          <w:position w:val="0"/>
        </w:rPr>
        <w:t>901,762.19</w:t>
      </w:r>
      <w:r>
        <w:rPr>
          <w:color w:val="000000"/>
          <w:spacing w:val="0"/>
          <w:w w:val="100"/>
          <w:position w:val="0"/>
        </w:rPr>
        <w:t>元。</w:t>
      </w:r>
      <w:r>
        <w:br w:type="page"/>
      </w:r>
    </w:p>
    <w:p>
      <w:pPr>
        <w:pStyle w:val="Style30"/>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5</w:t>
      </w:r>
      <w:bookmarkEnd w:id="177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76"/>
      <w:bookmarkEnd w:id="1777"/>
      <w:bookmarkEnd w:id="177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162,988,941.20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5</w:t>
      </w:r>
      <w:bookmarkEnd w:id="178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80"/>
      <w:bookmarkEnd w:id="1781"/>
      <w:bookmarkEnd w:id="178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-605,657.19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-3,704,254</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-3,681,238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-605,657.19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-3,704,254</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-3,681,238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-605,657.19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-3,704,254</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-3,681,238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-23,016.87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-4,286,8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95.25</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其他综合收益期末余额较期初余额减少</w:t>
      </w:r>
      <w:r>
        <w:rPr>
          <w:rFonts w:ascii="Times New Roman" w:eastAsia="Times New Roman" w:hAnsi="Times New Roman" w:cs="Times New Roman"/>
          <w:color w:val="000000"/>
          <w:spacing w:val="0"/>
          <w:w w:val="100"/>
          <w:position w:val="0"/>
        </w:rPr>
        <w:t>607.81%</w:t>
      </w:r>
      <w:r>
        <w:rPr>
          <w:color w:val="000000"/>
          <w:spacing w:val="0"/>
          <w:w w:val="100"/>
          <w:position w:val="0"/>
        </w:rPr>
        <w:t>，主要原因是期末汇率变动对境外子公司财务报表折算差额的影响。</w:t>
      </w:r>
    </w:p>
    <w:p>
      <w:pPr>
        <w:pStyle w:val="Style30"/>
        <w:keepNext/>
        <w:keepLines/>
        <w:widowControl w:val="0"/>
        <w:shd w:val="clear" w:color="auto" w:fill="auto"/>
        <w:bidi w:val="0"/>
        <w:spacing w:before="0" w:after="380" w:line="240" w:lineRule="auto"/>
        <w:ind w:left="0" w:right="0" w:firstLine="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5</w:t>
      </w:r>
      <w:bookmarkEnd w:id="178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84"/>
      <w:bookmarkEnd w:id="1785"/>
      <w:bookmarkEnd w:id="178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0"/>
        <w:keepNext/>
        <w:keepLines/>
        <w:widowControl w:val="0"/>
        <w:shd w:val="clear" w:color="auto" w:fill="auto"/>
        <w:bidi w:val="0"/>
        <w:spacing w:before="0" w:after="38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88"/>
      <w:bookmarkEnd w:id="1789"/>
      <w:bookmarkEnd w:id="179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79,632,498.72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79,632,498.72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79,632,498.72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30"/>
        <w:keepNext/>
        <w:keepLines/>
        <w:widowControl w:val="0"/>
        <w:shd w:val="clear" w:color="auto" w:fill="auto"/>
        <w:bidi w:val="0"/>
        <w:spacing w:before="0" w:after="38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92"/>
      <w:bookmarkEnd w:id="1793"/>
      <w:bookmarkEnd w:id="1795"/>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-771,624,550.68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1,022,608,372.38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-97,894,031.69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-869,518,582.37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1,022,608,372.38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167,066,328.21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-1,794,232,923.06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-702,452,254.16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-771,624,550.68</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796" w:name="bookmark1796"/>
      <w:r>
        <w:rPr>
          <w:rFonts w:ascii="Times New Roman" w:eastAsia="Times New Roman" w:hAnsi="Times New Roman" w:cs="Times New Roman"/>
          <w:color w:val="000000"/>
          <w:spacing w:val="0"/>
          <w:w w:val="100"/>
          <w:position w:val="0"/>
        </w:rPr>
        <w:t>1</w:t>
      </w:r>
      <w:bookmarkEnd w:id="179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797" w:name="bookmark1797"/>
      <w:r>
        <w:rPr>
          <w:rFonts w:ascii="Times New Roman" w:eastAsia="Times New Roman" w:hAnsi="Times New Roman" w:cs="Times New Roman"/>
          <w:color w:val="000000"/>
          <w:spacing w:val="0"/>
          <w:w w:val="100"/>
          <w:position w:val="0"/>
        </w:rPr>
        <w:t>2</w:t>
      </w:r>
      <w:bookmarkEnd w:id="179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-97,894,031.69</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798" w:name="bookmark1798"/>
      <w:r>
        <w:rPr>
          <w:rFonts w:ascii="Times New Roman" w:eastAsia="Times New Roman" w:hAnsi="Times New Roman" w:cs="Times New Roman"/>
          <w:color w:val="000000"/>
          <w:spacing w:val="0"/>
          <w:w w:val="100"/>
          <w:position w:val="0"/>
        </w:rPr>
        <w:t>3</w:t>
      </w:r>
      <w:bookmarkEnd w:id="179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799" w:name="bookmark1799"/>
      <w:r>
        <w:rPr>
          <w:rFonts w:ascii="Times New Roman" w:eastAsia="Times New Roman" w:hAnsi="Times New Roman" w:cs="Times New Roman"/>
          <w:color w:val="000000"/>
          <w:spacing w:val="0"/>
          <w:w w:val="100"/>
          <w:position w:val="0"/>
        </w:rPr>
        <w:t>4</w:t>
      </w:r>
      <w:bookmarkEnd w:id="179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800" w:name="bookmark1800"/>
      <w:r>
        <w:rPr>
          <w:rFonts w:ascii="Times New Roman" w:eastAsia="Times New Roman" w:hAnsi="Times New Roman" w:cs="Times New Roman"/>
          <w:color w:val="000000"/>
          <w:spacing w:val="0"/>
          <w:w w:val="100"/>
          <w:position w:val="0"/>
        </w:rPr>
        <w:t>5</w:t>
      </w:r>
      <w:bookmarkEnd w:id="180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0"/>
        <w:keepNext/>
        <w:keepLines/>
        <w:widowControl w:val="0"/>
        <w:shd w:val="clear" w:color="auto" w:fill="auto"/>
        <w:bidi w:val="0"/>
        <w:spacing w:before="0" w:after="38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6</w:t>
      </w:r>
      <w:bookmarkEnd w:id="180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801"/>
      <w:bookmarkEnd w:id="1802"/>
      <w:bookmarkEnd w:id="18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2,438,833,087.35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1,718,914,498.08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2,076,395,255.70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1,523,698,448.23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41,559,596.41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32,483,549.35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44,778,464.96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31,241,834.81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2,480,392,683.76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1,751,398,047.43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2,121,173,720.66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1,554,940,283.04</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本公司业务主要结算类型可分为完工进度型、人力结算型、产品销售型，根据不同业务结算类型履约义务相关信息具体如下：</w:t>
      </w:r>
    </w:p>
    <w:p>
      <w:pPr>
        <w:pStyle w:val="Style26"/>
        <w:keepNext w:val="0"/>
        <w:keepLines w:val="0"/>
        <w:widowControl w:val="0"/>
        <w:numPr>
          <w:ilvl w:val="0"/>
          <w:numId w:val="203"/>
        </w:numPr>
        <w:shd w:val="clear" w:color="auto" w:fill="auto"/>
        <w:bidi w:val="0"/>
        <w:spacing w:before="0" w:after="0" w:line="313" w:lineRule="exact"/>
        <w:ind w:left="0" w:right="0" w:firstLine="0"/>
        <w:jc w:val="left"/>
      </w:pPr>
      <w:bookmarkStart w:id="1805" w:name="bookmark1805"/>
      <w:bookmarkEnd w:id="1805"/>
      <w:r>
        <w:rPr>
          <w:color w:val="000000"/>
          <w:spacing w:val="0"/>
          <w:w w:val="100"/>
          <w:position w:val="0"/>
        </w:rPr>
        <w:t xml:space="preserve"> 完工进度型是根据合同约定，达到约定的里程碑进行验收按合同总额比例收款，根据产出法或投入法在履行履约义务 时段内确认收入或在履行履约义务的时点确认收入。</w:t>
      </w:r>
    </w:p>
    <w:p>
      <w:pPr>
        <w:pStyle w:val="Style26"/>
        <w:keepNext w:val="0"/>
        <w:keepLines w:val="0"/>
        <w:widowControl w:val="0"/>
        <w:numPr>
          <w:ilvl w:val="0"/>
          <w:numId w:val="203"/>
        </w:numPr>
        <w:shd w:val="clear" w:color="auto" w:fill="auto"/>
        <w:tabs>
          <w:tab w:pos="541" w:val="left"/>
        </w:tabs>
        <w:bidi w:val="0"/>
        <w:spacing w:before="0" w:after="0" w:line="313" w:lineRule="exact"/>
        <w:ind w:left="0" w:right="0" w:firstLine="0"/>
        <w:jc w:val="left"/>
      </w:pPr>
      <w:bookmarkStart w:id="1806" w:name="bookmark1806"/>
      <w:bookmarkEnd w:id="1806"/>
      <w:r>
        <w:rPr>
          <w:color w:val="000000"/>
          <w:spacing w:val="0"/>
          <w:w w:val="100"/>
          <w:position w:val="0"/>
        </w:rPr>
        <w:t>人力结算型是根据合同约定，按客户要求委派符合条件的开发人员并根据客户条件确认的不同级别的开发人员根据实 际工作量进行结算，不同客户结算周期不同，一般按月</w:t>
      </w:r>
      <w:r>
        <w:rPr>
          <w:rFonts w:ascii="Times New Roman" w:eastAsia="Times New Roman" w:hAnsi="Times New Roman" w:cs="Times New Roman"/>
          <w:color w:val="000000"/>
          <w:spacing w:val="0"/>
          <w:w w:val="100"/>
          <w:position w:val="0"/>
        </w:rPr>
        <w:t>/</w:t>
      </w:r>
      <w:r>
        <w:rPr>
          <w:color w:val="000000"/>
          <w:spacing w:val="0"/>
          <w:w w:val="100"/>
          <w:position w:val="0"/>
        </w:rPr>
        <w:t>季</w:t>
      </w:r>
      <w:r>
        <w:rPr>
          <w:rFonts w:ascii="Times New Roman" w:eastAsia="Times New Roman" w:hAnsi="Times New Roman" w:cs="Times New Roman"/>
          <w:color w:val="000000"/>
          <w:spacing w:val="0"/>
          <w:w w:val="100"/>
          <w:position w:val="0"/>
        </w:rPr>
        <w:t>/</w:t>
      </w:r>
      <w:r>
        <w:rPr>
          <w:color w:val="000000"/>
          <w:spacing w:val="0"/>
          <w:w w:val="100"/>
          <w:position w:val="0"/>
        </w:rPr>
        <w:t>半年结算一次，根据实际结算的工作量在履行履约义务时段内确 认收入。</w:t>
      </w:r>
    </w:p>
    <w:p>
      <w:pPr>
        <w:pStyle w:val="Style26"/>
        <w:keepNext w:val="0"/>
        <w:keepLines w:val="0"/>
        <w:widowControl w:val="0"/>
        <w:numPr>
          <w:ilvl w:val="0"/>
          <w:numId w:val="203"/>
        </w:numPr>
        <w:shd w:val="clear" w:color="auto" w:fill="auto"/>
        <w:tabs>
          <w:tab w:pos="541" w:val="left"/>
        </w:tabs>
        <w:bidi w:val="0"/>
        <w:spacing w:before="0" w:after="0" w:line="313" w:lineRule="exact"/>
        <w:ind w:left="0" w:right="0" w:firstLine="0"/>
        <w:jc w:val="left"/>
      </w:pPr>
      <w:bookmarkStart w:id="1807" w:name="bookmark1807"/>
      <w:bookmarkEnd w:id="1807"/>
      <w:r>
        <w:rPr>
          <w:color w:val="000000"/>
          <w:spacing w:val="0"/>
          <w:w w:val="100"/>
          <w:position w:val="0"/>
        </w:rPr>
        <w:t xml:space="preserve">产品销售型是指销售软硬件或自主产品在控制权转移的某一时点确认收入，一般合同签署后，客户支付合同总金额的 </w:t>
      </w:r>
      <w:r>
        <w:rPr>
          <w:rFonts w:ascii="Times New Roman" w:eastAsia="Times New Roman" w:hAnsi="Times New Roman" w:cs="Times New Roman"/>
          <w:color w:val="000000"/>
          <w:spacing w:val="0"/>
          <w:w w:val="100"/>
          <w:position w:val="0"/>
        </w:rPr>
        <w:t>30%</w:t>
      </w:r>
      <w:r>
        <w:rPr>
          <w:color w:val="000000"/>
          <w:spacing w:val="0"/>
          <w:w w:val="100"/>
          <w:position w:val="0"/>
        </w:rPr>
        <w:t>作为预付款，产品交付给客户并验收通过，客户支付合同总额的</w:t>
      </w:r>
      <w:r>
        <w:rPr>
          <w:rFonts w:ascii="Times New Roman" w:eastAsia="Times New Roman" w:hAnsi="Times New Roman" w:cs="Times New Roman"/>
          <w:color w:val="000000"/>
          <w:spacing w:val="0"/>
          <w:w w:val="100"/>
          <w:position w:val="0"/>
        </w:rPr>
        <w:t>60%</w:t>
      </w:r>
      <w:r>
        <w:rPr>
          <w:color w:val="000000"/>
          <w:spacing w:val="0"/>
          <w:w w:val="100"/>
          <w:position w:val="0"/>
        </w:rPr>
        <w:t>，剩余合同总额的</w:t>
      </w:r>
      <w:r>
        <w:rPr>
          <w:rFonts w:ascii="Times New Roman" w:eastAsia="Times New Roman" w:hAnsi="Times New Roman" w:cs="Times New Roman"/>
          <w:color w:val="000000"/>
          <w:spacing w:val="0"/>
          <w:w w:val="100"/>
          <w:position w:val="0"/>
        </w:rPr>
        <w:t>10%</w:t>
      </w:r>
      <w:r>
        <w:rPr>
          <w:color w:val="000000"/>
          <w:spacing w:val="0"/>
          <w:w w:val="100"/>
          <w:position w:val="0"/>
        </w:rPr>
        <w:t>作为质保金。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本公司交付的产品是根据客户要求采购或是自主产品，在交付产品前，本公司控制该产品且承担存货风险，为主要责任人。 除此之外，本公司的质量保证的类型包括保证型质量保证和服务型质量保证，对于保证型质量保证责任按照或有事项相关规 定处理，对于服务型质量保证责任作为单项履约义务，根据合同约定预计实际投入的工作量，合理分摊合同金额，一般为合 同总额的</w:t>
      </w:r>
      <w:r>
        <w:rPr>
          <w:rFonts w:ascii="Times New Roman" w:eastAsia="Times New Roman" w:hAnsi="Times New Roman" w:cs="Times New Roman"/>
          <w:color w:val="000000"/>
          <w:spacing w:val="0"/>
          <w:w w:val="100"/>
          <w:position w:val="0"/>
        </w:rPr>
        <w:t>5%-10%</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p>
    <w:p>
      <w:pPr>
        <w:pStyle w:val="Style26"/>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6</w:t>
      </w:r>
      <w:bookmarkEnd w:id="181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808"/>
      <w:bookmarkEnd w:id="1809"/>
      <w:bookmarkEnd w:id="181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6,491,783.69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6,656,878.04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4,667,691.87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4,765,327.96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7,665,166.47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7,593,012.84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236,588.08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1,243,925.38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1,408,905.45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50,334.94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4,442,886.66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20,352,590.43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25,103,599.03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6</w:t>
      </w:r>
      <w:bookmarkEnd w:id="181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812"/>
      <w:bookmarkEnd w:id="1813"/>
      <w:bookmarkEnd w:id="181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63,238,325.22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59,080,240.71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17,406,414.93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12,322,692.46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2,263,564.97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2,339,324.03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2,845,606.67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3,163,581.57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520,673.59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1,632,575.76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4,255,228.97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2,430,567.76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90,529,814.35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80,968,982.29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816"/>
      <w:bookmarkEnd w:id="1817"/>
      <w:bookmarkEnd w:id="181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80,575,144.43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66,430,940.50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62,543,517.82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64,959,916.23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22,413,926.23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21,279,798.43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16,712,399.70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7,461,377.02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6,152,291.71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3,305,247.48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1,059,292.93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2,891,970.88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5,538,222.51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4,004,322.91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11,273,420.67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6,484,574.27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206,268,216.00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176,818,147.72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6</w:t>
      </w:r>
      <w:bookmarkEnd w:id="1822"/>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820"/>
      <w:bookmarkEnd w:id="1821"/>
      <w:bookmarkEnd w:id="182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工资、福利、社保费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245,968,494.37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218,097,538.44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4,972,990.00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8,386,615.57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516,349.22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251,584,235.72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227,000,503.23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6</w:t>
      </w:r>
      <w:bookmarkEnd w:id="1826"/>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824"/>
      <w:bookmarkEnd w:id="1825"/>
      <w:bookmarkEnd w:id="182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67,390,495.47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83,653,895.61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3,134,614.48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4,314,018.06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64,255,880.99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79,339,877.55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2,103,050.19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2,166,913.22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2,438,202.43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2,671,640.11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-335,152.24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-504,726.89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382,665.92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338,415.68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64,303,394.67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79,173,566.34</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both"/>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6</w:t>
      </w:r>
      <w:bookmarkEnd w:id="1830"/>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828"/>
      <w:bookmarkEnd w:id="1829"/>
      <w:bookmarkEnd w:id="183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19,135,986.89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17,683,954.41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其中：与递延收益相关的政府补助（与 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与递延收益相关的政府补助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940"/>
              <w:jc w:val="left"/>
            </w:pPr>
            <w:r>
              <w:rPr>
                <w:color w:val="000000"/>
                <w:spacing w:val="0"/>
                <w:w w:val="100"/>
                <w:position w:val="0"/>
              </w:rPr>
              <w:t>直接计入当期损益的政府补 助（与收益相关）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15,695,986.89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17,443,954.41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二、其他与日常活动相关其计入其他收 益的项目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1,161,856.64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1,333,502.37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1,161,856.64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1,333,502.37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20,297,843.53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19,017,456.78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6</w:t>
      </w:r>
      <w:bookmarkEnd w:id="183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832"/>
      <w:bookmarkEnd w:id="1833"/>
      <w:bookmarkEnd w:id="183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-2,985,247.70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14,027,003.80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7,573,138.73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丧失重大影响后，剩余股权按公允价值重新 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12,573,686.82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8,293,725.01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14,951,296.36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应收款项融资贴现利息支出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35,763,089.40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19,407,074.72</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200" w:line="317" w:lineRule="exact"/>
        <w:ind w:left="0" w:right="0" w:firstLine="0"/>
        <w:jc w:val="left"/>
      </w:pPr>
      <w:r>
        <w:rPr>
          <w:color w:val="000000"/>
          <w:spacing w:val="0"/>
          <w:w w:val="100"/>
          <w:position w:val="0"/>
        </w:rPr>
        <w:t>投资收益本期发生额较上期发生额增长</w:t>
      </w:r>
      <w:r>
        <w:rPr>
          <w:rFonts w:ascii="Times New Roman" w:eastAsia="Times New Roman" w:hAnsi="Times New Roman" w:cs="Times New Roman"/>
          <w:color w:val="000000"/>
          <w:spacing w:val="0"/>
          <w:w w:val="100"/>
          <w:position w:val="0"/>
        </w:rPr>
        <w:t>84.28%</w:t>
      </w:r>
      <w:r>
        <w:rPr>
          <w:color w:val="000000"/>
          <w:spacing w:val="0"/>
          <w:w w:val="100"/>
          <w:position w:val="0"/>
        </w:rPr>
        <w:t>，主要原因是本期处置联营企业博纳讯动部分股权产生的处置收益，以及丧 失重大影响后剩余股权按公允价值重新计量产生的利得较上年同期大幅增加。</w:t>
      </w:r>
    </w:p>
    <w:p>
      <w:pPr>
        <w:pStyle w:val="Style30"/>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6</w:t>
      </w:r>
      <w:bookmarkEnd w:id="1838"/>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836"/>
      <w:bookmarkEnd w:id="1837"/>
      <w:bookmarkEnd w:id="18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7</w:t>
      </w:r>
      <w:bookmarkEnd w:id="1842"/>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840"/>
      <w:bookmarkEnd w:id="1841"/>
      <w:bookmarkEnd w:id="184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7</w:t>
      </w:r>
      <w:bookmarkEnd w:id="1846"/>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844"/>
      <w:bookmarkEnd w:id="1845"/>
      <w:bookmarkEnd w:id="184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-2,478,090.00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-146,890.99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11,512,399.32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-197,107,209.53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9,034,309.32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-197,254,100.52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信用减值损失本期发生额较上期发生额减少</w:t>
      </w:r>
      <w:r>
        <w:rPr>
          <w:rFonts w:ascii="Times New Roman" w:eastAsia="Times New Roman" w:hAnsi="Times New Roman" w:cs="Times New Roman"/>
          <w:color w:val="000000"/>
          <w:spacing w:val="0"/>
          <w:w w:val="100"/>
          <w:position w:val="0"/>
        </w:rPr>
        <w:t>104.58%</w:t>
      </w:r>
      <w:r>
        <w:rPr>
          <w:color w:val="000000"/>
          <w:spacing w:val="0"/>
          <w:w w:val="100"/>
          <w:position w:val="0"/>
        </w:rPr>
        <w:t>，主要原因是上期单项计提应收账款坏账损失金额较大。</w:t>
      </w:r>
    </w:p>
    <w:p>
      <w:pPr>
        <w:pStyle w:val="Style30"/>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7</w:t>
      </w:r>
      <w:bookmarkEnd w:id="1850"/>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848"/>
      <w:bookmarkEnd w:id="1849"/>
      <w:bookmarkEnd w:id="185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-2,890,249.49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-1,629,666,940.32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599,421.24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-2,290,828.25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-1,629,666,940.32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资产减值损失本期发生额较上期发生额减少</w:t>
      </w:r>
      <w:r>
        <w:rPr>
          <w:rFonts w:ascii="Times New Roman" w:eastAsia="Times New Roman" w:hAnsi="Times New Roman" w:cs="Times New Roman"/>
          <w:color w:val="000000"/>
          <w:spacing w:val="0"/>
          <w:w w:val="100"/>
          <w:position w:val="0"/>
        </w:rPr>
        <w:t>99.86%</w:t>
      </w:r>
      <w:r>
        <w:rPr>
          <w:color w:val="000000"/>
          <w:spacing w:val="0"/>
          <w:w w:val="100"/>
          <w:position w:val="0"/>
        </w:rPr>
        <w:t>，主要原因是上期计提了大额商誉减值准备。</w:t>
      </w:r>
    </w:p>
    <w:p>
      <w:pPr>
        <w:pStyle w:val="Style30"/>
        <w:keepNext/>
        <w:keepLines/>
        <w:widowControl w:val="0"/>
        <w:shd w:val="clear" w:color="auto" w:fill="auto"/>
        <w:bidi w:val="0"/>
        <w:spacing w:before="0" w:after="38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7</w:t>
      </w:r>
      <w:bookmarkEnd w:id="1854"/>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852"/>
      <w:bookmarkEnd w:id="1853"/>
      <w:bookmarkEnd w:id="185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处置未划分为持有待售的固定资产、在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-238,724.50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677"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建工程、生产性生物资产及无形资产的 处置利得或损失：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-238,724.50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-238,724.50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7</w:t>
      </w:r>
      <w:bookmarkEnd w:id="1858"/>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856"/>
      <w:bookmarkEnd w:id="1857"/>
      <w:bookmarkEnd w:id="185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14,921,491.24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11,188,992.65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14,921,491.24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3,028,194.00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377,160.96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871,929.21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377,160.96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18,326,846.20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12,978,921.86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18,326,846.20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6,349,266.51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软件及服务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外包产业发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4,283,532.00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科技经费补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现代服务业 发展专项引 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职业技能培 训补贴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950,292.00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高新技术企 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就业支持计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314,178.83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年度特 色园区奖励 专项奖金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省级技术转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一次性就业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服务贸易创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新发展专项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知识产权专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312,550.90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14,921,491.2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11,188,992.6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322" w:lineRule="exact"/>
        <w:ind w:left="0" w:right="0" w:firstLine="0"/>
        <w:jc w:val="both"/>
      </w:pPr>
      <w:r>
        <w:rPr>
          <w:color w:val="000000"/>
          <w:spacing w:val="0"/>
          <w:w w:val="100"/>
          <w:position w:val="0"/>
        </w:rPr>
        <w:t>营业外收入本期发生额较上期发生额增长</w:t>
      </w:r>
      <w:r>
        <w:rPr>
          <w:rFonts w:ascii="Times New Roman" w:eastAsia="Times New Roman" w:hAnsi="Times New Roman" w:cs="Times New Roman"/>
          <w:color w:val="000000"/>
          <w:spacing w:val="0"/>
          <w:w w:val="100"/>
          <w:position w:val="0"/>
        </w:rPr>
        <w:t>41.20%</w:t>
      </w:r>
      <w:r>
        <w:rPr>
          <w:color w:val="000000"/>
          <w:spacing w:val="0"/>
          <w:w w:val="100"/>
          <w:position w:val="0"/>
        </w:rPr>
        <w:t>，主要原因是本期确认对宁波宏创的违约金收入以及收到的与企业日常经 营活动无关的政府补助增加。</w:t>
      </w:r>
    </w:p>
    <w:p>
      <w:pPr>
        <w:pStyle w:val="Style30"/>
        <w:keepNext/>
        <w:keepLines/>
        <w:widowControl w:val="0"/>
        <w:shd w:val="clear" w:color="auto" w:fill="auto"/>
        <w:bidi w:val="0"/>
        <w:spacing w:before="0" w:line="240" w:lineRule="auto"/>
        <w:ind w:left="0" w:right="0" w:firstLine="0"/>
        <w:jc w:val="both"/>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7</w:t>
      </w:r>
      <w:bookmarkEnd w:id="1862"/>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860"/>
      <w:bookmarkEnd w:id="1861"/>
      <w:bookmarkEnd w:id="186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4,136,703.02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4,136,703.02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20,897.11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365,874.97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599,612.61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365,874.97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4,523,475.10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1,371,503.25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4,523,475.10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营业外支出本期发生额较上期发生额增长</w:t>
      </w:r>
      <w:r>
        <w:rPr>
          <w:rFonts w:ascii="Times New Roman" w:eastAsia="Times New Roman" w:hAnsi="Times New Roman" w:cs="Times New Roman"/>
          <w:color w:val="000000"/>
          <w:spacing w:val="0"/>
          <w:w w:val="100"/>
          <w:position w:val="0"/>
        </w:rPr>
        <w:t>229.82%</w:t>
      </w:r>
      <w:r>
        <w:rPr>
          <w:color w:val="000000"/>
          <w:spacing w:val="0"/>
          <w:w w:val="100"/>
          <w:position w:val="0"/>
        </w:rPr>
        <w:t>,主要原因是本期疫情期间发生的对外捐赠支出增加。</w:t>
      </w:r>
    </w:p>
    <w:p>
      <w:pPr>
        <w:pStyle w:val="Style30"/>
        <w:keepNext/>
        <w:keepLines/>
        <w:widowControl w:val="0"/>
        <w:shd w:val="clear" w:color="auto" w:fill="auto"/>
        <w:bidi w:val="0"/>
        <w:spacing w:before="0" w:line="240" w:lineRule="auto"/>
        <w:ind w:left="0" w:right="0" w:firstLine="0"/>
        <w:jc w:val="both"/>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7</w:t>
      </w:r>
      <w:bookmarkEnd w:id="1866"/>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64"/>
      <w:bookmarkEnd w:id="1865"/>
      <w:bookmarkEnd w:id="1867"/>
    </w:p>
    <w:p>
      <w:pPr>
        <w:pStyle w:val="Style30"/>
        <w:keepNext/>
        <w:keepLines/>
        <w:widowControl w:val="0"/>
        <w:shd w:val="clear" w:color="auto" w:fill="auto"/>
        <w:bidi w:val="0"/>
        <w:spacing w:before="0" w:line="240" w:lineRule="auto"/>
        <w:ind w:left="0" w:right="0" w:firstLine="0"/>
        <w:jc w:val="both"/>
      </w:pPr>
      <w:bookmarkStart w:id="1864" w:name="bookmark1864"/>
      <w:bookmarkStart w:id="1865" w:name="bookmark1865"/>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64"/>
      <w:bookmarkEnd w:id="1865"/>
      <w:bookmarkEnd w:id="186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4,273,301.65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7,452,870.20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313,671.78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-5,753,873.61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4,586,973.43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1,698,996.59</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69"/>
      <w:bookmarkEnd w:id="1870"/>
      <w:bookmarkEnd w:id="1871"/>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172,637,598.50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25,895,639.78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-7,109,335.27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520,767.88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-176,775.90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2,085,931.32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-55,574.91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11,278,102.01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-27,851,781.49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4,586,973.43</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所得税费用本期发生额较上期发生额增长</w:t>
      </w:r>
      <w:r>
        <w:rPr>
          <w:rFonts w:ascii="Times New Roman" w:eastAsia="Times New Roman" w:hAnsi="Times New Roman" w:cs="Times New Roman"/>
          <w:color w:val="000000"/>
          <w:spacing w:val="0"/>
          <w:w w:val="100"/>
          <w:position w:val="0"/>
        </w:rPr>
        <w:t>169.98%</w:t>
      </w:r>
      <w:r>
        <w:rPr>
          <w:color w:val="000000"/>
          <w:spacing w:val="0"/>
          <w:w w:val="100"/>
          <w:position w:val="0"/>
        </w:rPr>
        <w:t>,主要原因是本期子公司联创智融以前年度应收账款回款较多，期末应收 账款坏账准备余额减少，相应递延所得税费用大幅增加，导致所得税费用本期发生额较上期发生额增加。</w:t>
      </w:r>
    </w:p>
    <w:p>
      <w:pPr>
        <w:pStyle w:val="Style30"/>
        <w:keepNext/>
        <w:keepLines/>
        <w:widowControl w:val="0"/>
        <w:shd w:val="clear" w:color="auto" w:fill="auto"/>
        <w:tabs>
          <w:tab w:pos="478" w:val="left"/>
        </w:tabs>
        <w:bidi w:val="0"/>
        <w:spacing w:before="0" w:after="2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7</w:t>
      </w:r>
      <w:bookmarkEnd w:id="187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72"/>
      <w:bookmarkEnd w:id="1873"/>
      <w:bookmarkEnd w:id="1875"/>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57</w:t>
      </w:r>
      <w:r>
        <w:rPr>
          <w:color w:val="000000"/>
          <w:spacing w:val="0"/>
          <w:w w:val="100"/>
          <w:position w:val="0"/>
        </w:rPr>
        <w:t>、其他综合收益。</w:t>
      </w:r>
    </w:p>
    <w:p>
      <w:pPr>
        <w:pStyle w:val="Style30"/>
        <w:keepNext/>
        <w:keepLines/>
        <w:widowControl w:val="0"/>
        <w:shd w:val="clear" w:color="auto" w:fill="auto"/>
        <w:tabs>
          <w:tab w:pos="478" w:val="left"/>
        </w:tabs>
        <w:bidi w:val="0"/>
        <w:spacing w:before="0" w:after="380" w:line="240" w:lineRule="auto"/>
        <w:ind w:left="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7</w:t>
      </w:r>
      <w:bookmarkEnd w:id="187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76"/>
      <w:bookmarkEnd w:id="1877"/>
      <w:bookmarkEnd w:id="1879"/>
    </w:p>
    <w:p>
      <w:pPr>
        <w:pStyle w:val="Style30"/>
        <w:keepNext/>
        <w:keepLines/>
        <w:widowControl w:val="0"/>
        <w:shd w:val="clear" w:color="auto" w:fill="auto"/>
        <w:bidi w:val="0"/>
        <w:spacing w:before="0" w:after="380" w:line="240" w:lineRule="auto"/>
        <w:ind w:left="0" w:right="0" w:firstLine="0"/>
        <w:jc w:val="left"/>
      </w:pPr>
      <w:bookmarkStart w:id="1876" w:name="bookmark1876"/>
      <w:bookmarkStart w:id="1877" w:name="bookmark1877"/>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76"/>
      <w:bookmarkEnd w:id="1877"/>
      <w:bookmarkEnd w:id="188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22,764,084.90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15,980,785.91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汇算清缴退税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6,112,036.74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2,119,691.82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2,149,699.61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763,873.40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3,333,063.08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1,118,304.16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2,025,052.85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5,745,118.50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37,566,049.14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24,609,469.63</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0"/>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81"/>
      <w:bookmarkEnd w:id="1882"/>
      <w:bookmarkEnd w:id="1883"/>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26,930,930.16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21,279,798.43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17,406,414.93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12,322,692.46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16,712,399.70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7,461,377.02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8,997,898.38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6,468,829.05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5,538,222.51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4,004,322.91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3,322,857.90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5,231,294.91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520,673.59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1,632,575.76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1,624,199.89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20,840,167.01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17,343,634.15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100,269,564.18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77,368,724.58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0"/>
        <w:keepNext/>
        <w:keepLines/>
        <w:widowControl w:val="0"/>
        <w:shd w:val="clear" w:color="auto" w:fill="auto"/>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84"/>
      <w:bookmarkEnd w:id="1885"/>
      <w:bookmarkEnd w:id="1887"/>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4,705,129.17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股权转让款罚息收入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7,650,129.17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0"/>
        <w:keepNext/>
        <w:keepLines/>
        <w:widowControl w:val="0"/>
        <w:shd w:val="clear" w:color="auto" w:fill="auto"/>
        <w:bidi w:val="0"/>
        <w:spacing w:before="0" w:after="380" w:line="240" w:lineRule="auto"/>
        <w:ind w:left="0" w:right="0" w:firstLine="0"/>
        <w:jc w:val="left"/>
      </w:pPr>
      <w:bookmarkStart w:id="1888" w:name="bookmark1888"/>
      <w:bookmarkStart w:id="1889" w:name="bookmark1889"/>
      <w:bookmarkStart w:id="1890" w:name="bookmark1890"/>
      <w:bookmarkStart w:id="1891" w:name="bookmark1891"/>
      <w:r>
        <w:rPr>
          <w:color w:val="000000"/>
          <w:spacing w:val="0"/>
          <w:w w:val="100"/>
          <w:position w:val="0"/>
        </w:rPr>
        <w:t>（</w:t>
      </w:r>
      <w:bookmarkEnd w:id="189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88"/>
      <w:bookmarkEnd w:id="1889"/>
      <w:bookmarkEnd w:id="189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69,230,000.00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处置子公司收到的现金净额负数重分类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2,093,281.65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律师及诉讼费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1,311,187.00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97,234,468.65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30"/>
        <w:keepNext/>
        <w:keepLines/>
        <w:widowControl w:val="0"/>
        <w:numPr>
          <w:ilvl w:val="0"/>
          <w:numId w:val="205"/>
        </w:numPr>
        <w:shd w:val="clear" w:color="auto" w:fill="auto"/>
        <w:bidi w:val="0"/>
        <w:spacing w:before="0" w:after="380" w:line="240" w:lineRule="auto"/>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收到的其他与筹资活动有关的现金</w:t>
      </w:r>
      <w:bookmarkEnd w:id="1892"/>
      <w:bookmarkEnd w:id="1893"/>
      <w:bookmarkEnd w:id="189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为借款质押的银行存单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0"/>
        <w:keepNext/>
        <w:keepLines/>
        <w:widowControl w:val="0"/>
        <w:numPr>
          <w:ilvl w:val="0"/>
          <w:numId w:val="205"/>
        </w:numPr>
        <w:shd w:val="clear" w:color="auto" w:fill="auto"/>
        <w:bidi w:val="0"/>
        <w:spacing w:before="0" w:after="380" w:line="240" w:lineRule="auto"/>
        <w:ind w:left="0" w:right="0" w:firstLine="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支付的其他与筹资活动有关的现金</w:t>
      </w:r>
      <w:bookmarkEnd w:id="1896"/>
      <w:bookmarkEnd w:id="1897"/>
      <w:bookmarkEnd w:id="189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融资顾问费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21,750,000.00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14,012,777.75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购买少数股东股权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4,818,214.45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36,142,777.75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7</w:t>
      </w:r>
      <w:bookmarkEnd w:id="190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900"/>
      <w:bookmarkEnd w:id="1901"/>
      <w:bookmarkEnd w:id="1903"/>
    </w:p>
    <w:p>
      <w:pPr>
        <w:pStyle w:val="Style30"/>
        <w:keepNext/>
        <w:keepLines/>
        <w:widowControl w:val="0"/>
        <w:shd w:val="clear" w:color="auto" w:fill="auto"/>
        <w:bidi w:val="0"/>
        <w:spacing w:before="0" w:after="380" w:line="240" w:lineRule="auto"/>
        <w:ind w:left="0" w:right="0" w:firstLine="0"/>
        <w:jc w:val="left"/>
      </w:pPr>
      <w:bookmarkStart w:id="1900" w:name="bookmark1900"/>
      <w:bookmarkStart w:id="1901" w:name="bookmark1901"/>
      <w:bookmarkStart w:id="1904" w:name="bookmark190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900"/>
      <w:bookmarkEnd w:id="1901"/>
      <w:bookmarkEnd w:id="190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168,050,625.07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-1,801,658,172.81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-6,743,481.07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1,826,921,040.84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31,424,904.93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24,724,535.73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53,551,159.40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56,315,929.69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5,870,241.86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5,681,315.20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-73,428.24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238,724.50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17,196.14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67,055,343.23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78,835,150.66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-35,763,089.40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-19,468,108.32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-1,434,389.74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-4,536,919.59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1,748,061.52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-1,216,954.02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-43,517,985.40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-9,902,671.62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-182,272,273.80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-3,294,107.37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126,274,288.85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-53,820,732.73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173,171,347.55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109,855,753.07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754,641,065.12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756,946,083.09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756,946,083.09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1,246,576,668.69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-2,305,017.97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-489,630,585.60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905"/>
      <w:bookmarkEnd w:id="1906"/>
      <w:bookmarkEnd w:id="190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numPr>
          <w:ilvl w:val="0"/>
          <w:numId w:val="207"/>
        </w:numPr>
        <w:shd w:val="clear" w:color="auto" w:fill="auto"/>
        <w:bidi w:val="0"/>
        <w:spacing w:before="0" w:after="380" w:line="240" w:lineRule="auto"/>
        <w:ind w:left="0" w:right="0" w:firstLine="14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本期收到的处置子公司的现金净额</w:t>
      </w:r>
      <w:bookmarkEnd w:id="1908"/>
      <w:bookmarkEnd w:id="1909"/>
      <w:bookmarkEnd w:id="19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润和智融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6,093,281.65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润和智融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5,481,159.68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612,119.63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合肥汇聚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-2,093,281.65</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处置子公司收到的现金净额为负数，重分类至</w:t>
      </w:r>
      <w:r>
        <w:rPr>
          <w:rFonts w:ascii="Times New Roman" w:eastAsia="Times New Roman" w:hAnsi="Times New Roman" w:cs="Times New Roman"/>
          <w:color w:val="000000"/>
          <w:spacing w:val="0"/>
          <w:w w:val="100"/>
          <w:position w:val="0"/>
        </w:rPr>
        <w:t>“</w:t>
      </w:r>
      <w:r>
        <w:rPr>
          <w:color w:val="000000"/>
          <w:spacing w:val="0"/>
          <w:w w:val="100"/>
          <w:position w:val="0"/>
        </w:rPr>
        <w:t>支付其他与投资活动有关的现金</w:t>
      </w:r>
      <w:r>
        <w:rPr>
          <w:rFonts w:ascii="Times New Roman" w:eastAsia="Times New Roman" w:hAnsi="Times New Roman" w:cs="Times New Roman"/>
          <w:color w:val="000000"/>
          <w:spacing w:val="0"/>
          <w:w w:val="100"/>
          <w:position w:val="0"/>
        </w:rPr>
        <w:t>”</w:t>
      </w:r>
      <w:r>
        <w:rPr>
          <w:color w:val="000000"/>
          <w:spacing w:val="0"/>
          <w:w w:val="100"/>
          <w:position w:val="0"/>
        </w:rPr>
        <w:t>项目中列式。</w:t>
      </w:r>
    </w:p>
    <w:p>
      <w:pPr>
        <w:pStyle w:val="Style30"/>
        <w:keepNext/>
        <w:keepLines/>
        <w:widowControl w:val="0"/>
        <w:numPr>
          <w:ilvl w:val="0"/>
          <w:numId w:val="207"/>
        </w:numPr>
        <w:shd w:val="clear" w:color="auto" w:fill="auto"/>
        <w:bidi w:val="0"/>
        <w:spacing w:before="0" w:after="380" w:line="240" w:lineRule="auto"/>
        <w:ind w:left="0" w:right="0" w:firstLine="14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现金和现金等价物的构成</w:t>
      </w:r>
      <w:bookmarkEnd w:id="1912"/>
      <w:bookmarkEnd w:id="1913"/>
      <w:bookmarkEnd w:id="19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754,641,065.12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756,946,083.09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144,664.47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753,414,991.39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747,884,377.80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1,174,125.78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8,917,040.82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754,641,065.12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756,946,083.09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8</w:t>
      </w:r>
      <w:bookmarkEnd w:id="1918"/>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916"/>
      <w:bookmarkEnd w:id="1917"/>
      <w:bookmarkEnd w:id="191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920" w:name="bookmark1920"/>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8</w:t>
      </w:r>
      <w:bookmarkEnd w:id="192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920"/>
      <w:bookmarkEnd w:id="1921"/>
      <w:bookmarkEnd w:id="192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9,890,380.32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保函保证金、办理注销过程中的银行账 户资金</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9,325,832.00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票据池质押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587,137,048.37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36,091,388.34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银行借款抵押物</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本公司所持联创智融</w:t>
            </w:r>
            <w:r>
              <w:rPr>
                <w:rFonts w:ascii="Times New Roman" w:eastAsia="Times New Roman" w:hAnsi="Times New Roman" w:cs="Times New Roman"/>
                <w:color w:val="000000"/>
                <w:spacing w:val="0"/>
                <w:w w:val="100"/>
                <w:position w:val="0"/>
              </w:rPr>
              <w:t>100%</w:t>
            </w:r>
            <w:r>
              <w:rPr>
                <w:color w:val="000000"/>
                <w:spacing w:val="0"/>
                <w:w w:val="100"/>
                <w:position w:val="0"/>
              </w:rPr>
              <w:t>股权注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银行借款质押物</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特定资产的经营收入权注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捷科智诚对应合同</w:t>
            </w:r>
            <w:r>
              <w:rPr>
                <w:rFonts w:ascii="Times New Roman" w:eastAsia="Times New Roman" w:hAnsi="Times New Roman" w:cs="Times New Roman"/>
                <w:color w:val="000000"/>
                <w:spacing w:val="0"/>
                <w:w w:val="100"/>
                <w:position w:val="0"/>
              </w:rPr>
              <w:t>JKYW182016</w:t>
            </w:r>
            <w:r>
              <w:rPr>
                <w:color w:val="000000"/>
                <w:spacing w:val="0"/>
                <w:w w:val="100"/>
                <w:position w:val="0"/>
              </w:rPr>
              <w:t>的两年应 收权注</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642,444,649.03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：本公司以子公司联创智融</w:t>
      </w:r>
      <w:r>
        <w:rPr>
          <w:rFonts w:ascii="Times New Roman" w:eastAsia="Times New Roman" w:hAnsi="Times New Roman" w:cs="Times New Roman"/>
          <w:color w:val="000000"/>
          <w:spacing w:val="0"/>
          <w:w w:val="100"/>
          <w:position w:val="0"/>
        </w:rPr>
        <w:t>100%</w:t>
      </w:r>
      <w:r>
        <w:rPr>
          <w:color w:val="000000"/>
          <w:spacing w:val="0"/>
          <w:w w:val="100"/>
          <w:position w:val="0"/>
        </w:rPr>
        <w:t xml:space="preserve">股权作为质押物向中国工商银行南京玄武支行取得并购资金借款，借款总额 </w:t>
      </w:r>
      <w:r>
        <w:rPr>
          <w:rFonts w:ascii="Times New Roman" w:eastAsia="Times New Roman" w:hAnsi="Times New Roman" w:cs="Times New Roman"/>
          <w:color w:val="000000"/>
          <w:spacing w:val="0"/>
          <w:w w:val="100"/>
          <w:position w:val="0"/>
        </w:rPr>
        <w:t>400,000,000.00</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日止，上述借款已全部归还。</w:t>
      </w:r>
    </w:p>
    <w:p>
      <w:pPr>
        <w:pStyle w:val="Style26"/>
        <w:keepNext w:val="0"/>
        <w:keepLines w:val="0"/>
        <w:widowControl w:val="0"/>
        <w:shd w:val="clear" w:color="auto" w:fill="auto"/>
        <w:bidi w:val="0"/>
        <w:spacing w:before="0" w:after="0" w:line="31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：本公司子公司外包园公司以位于软件大道</w:t>
      </w:r>
      <w:r>
        <w:rPr>
          <w:rFonts w:ascii="Times New Roman" w:eastAsia="Times New Roman" w:hAnsi="Times New Roman" w:cs="Times New Roman"/>
          <w:color w:val="000000"/>
          <w:spacing w:val="0"/>
          <w:w w:val="100"/>
          <w:position w:val="0"/>
        </w:rPr>
        <w:t>168</w:t>
      </w:r>
      <w:r>
        <w:rPr>
          <w:color w:val="000000"/>
          <w:spacing w:val="0"/>
          <w:w w:val="100"/>
          <w:position w:val="0"/>
        </w:rPr>
        <w:t>号的特定资产的经营收入权利作为质押物向中国工商银行南京玄武 支行取得的固定资产支持融资借款，截至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日止，质押借款余额</w:t>
      </w:r>
      <w:r>
        <w:rPr>
          <w:rFonts w:ascii="Times New Roman" w:eastAsia="Times New Roman" w:hAnsi="Times New Roman" w:cs="Times New Roman"/>
          <w:color w:val="000000"/>
          <w:spacing w:val="0"/>
          <w:w w:val="100"/>
          <w:position w:val="0"/>
        </w:rPr>
        <w:t>522,280,491.29</w:t>
      </w:r>
      <w:r>
        <w:rPr>
          <w:color w:val="000000"/>
          <w:spacing w:val="0"/>
          <w:w w:val="100"/>
          <w:position w:val="0"/>
        </w:rPr>
        <w:t xml:space="preserve">元，该长期借款期末余额中 </w:t>
      </w:r>
      <w:r>
        <w:rPr>
          <w:rFonts w:ascii="Times New Roman" w:eastAsia="Times New Roman" w:hAnsi="Times New Roman" w:cs="Times New Roman"/>
          <w:color w:val="000000"/>
          <w:spacing w:val="0"/>
          <w:w w:val="100"/>
          <w:position w:val="0"/>
        </w:rPr>
        <w:t>18,679,418.88</w:t>
      </w:r>
      <w:r>
        <w:rPr>
          <w:color w:val="000000"/>
          <w:spacing w:val="0"/>
          <w:w w:val="100"/>
          <w:position w:val="0"/>
        </w:rPr>
        <w:t>元将于一年内到期，重分类至一年内到期的非流动负债。</w:t>
      </w:r>
    </w:p>
    <w:p>
      <w:pPr>
        <w:pStyle w:val="Style26"/>
        <w:keepNext w:val="0"/>
        <w:keepLines w:val="0"/>
        <w:widowControl w:val="0"/>
        <w:shd w:val="clear" w:color="auto" w:fill="auto"/>
        <w:bidi w:val="0"/>
        <w:spacing w:before="0" w:after="380" w:line="31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：本公司质押借款余额</w:t>
      </w:r>
      <w:r>
        <w:rPr>
          <w:rFonts w:ascii="Times New Roman" w:eastAsia="Times New Roman" w:hAnsi="Times New Roman" w:cs="Times New Roman"/>
          <w:color w:val="000000"/>
          <w:spacing w:val="0"/>
          <w:w w:val="100"/>
          <w:position w:val="0"/>
        </w:rPr>
        <w:t>25,000,000.00</w:t>
      </w:r>
      <w:r>
        <w:rPr>
          <w:color w:val="000000"/>
          <w:spacing w:val="0"/>
          <w:w w:val="100"/>
          <w:position w:val="0"/>
        </w:rPr>
        <w:t>元，系向中国银行南京江宁支行取得的</w:t>
      </w:r>
      <w:r>
        <w:rPr>
          <w:rFonts w:ascii="Times New Roman" w:eastAsia="Times New Roman" w:hAnsi="Times New Roman" w:cs="Times New Roman"/>
          <w:color w:val="000000"/>
          <w:spacing w:val="0"/>
          <w:w w:val="100"/>
          <w:position w:val="0"/>
        </w:rPr>
        <w:t>40,000,000.00</w:t>
      </w:r>
      <w:r>
        <w:rPr>
          <w:color w:val="000000"/>
          <w:spacing w:val="0"/>
          <w:w w:val="100"/>
          <w:position w:val="0"/>
        </w:rPr>
        <w:t>元流动资金借款，江苏润 和科技投资集团有限公司、周红卫为该笔借款提供保证担保，北京捷科智诚科技有限公司以合同编号为</w:t>
      </w:r>
      <w:r>
        <w:rPr>
          <w:rFonts w:ascii="Times New Roman" w:eastAsia="Times New Roman" w:hAnsi="Times New Roman" w:cs="Times New Roman"/>
          <w:color w:val="000000"/>
          <w:spacing w:val="0"/>
          <w:w w:val="100"/>
          <w:position w:val="0"/>
        </w:rPr>
        <w:t>JKYW182016</w:t>
      </w:r>
      <w:r>
        <w:rPr>
          <w:color w:val="000000"/>
          <w:spacing w:val="0"/>
          <w:w w:val="100"/>
          <w:position w:val="0"/>
        </w:rPr>
        <w:t>的两年 合同应收权利为该笔借款提供质押担保，合同对应客户为中国银行股份有限公司，截至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日止，对应合同应收账 款余额为</w:t>
      </w:r>
      <w:r>
        <w:rPr>
          <w:rFonts w:ascii="Times New Roman" w:eastAsia="Times New Roman" w:hAnsi="Times New Roman" w:cs="Times New Roman"/>
          <w:color w:val="000000"/>
          <w:spacing w:val="0"/>
          <w:w w:val="100"/>
          <w:position w:val="0"/>
        </w:rPr>
        <w:t>43,718,356.97</w:t>
      </w:r>
      <w:r>
        <w:rPr>
          <w:color w:val="000000"/>
          <w:spacing w:val="0"/>
          <w:w w:val="100"/>
          <w:position w:val="0"/>
        </w:rPr>
        <w:t>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日止，该长期借款期末余额</w:t>
      </w:r>
      <w:r>
        <w:rPr>
          <w:rFonts w:ascii="Times New Roman" w:eastAsia="Times New Roman" w:hAnsi="Times New Roman" w:cs="Times New Roman"/>
          <w:color w:val="000000"/>
          <w:spacing w:val="0"/>
          <w:w w:val="100"/>
          <w:position w:val="0"/>
        </w:rPr>
        <w:t>25,000,000.00</w:t>
      </w:r>
      <w:r>
        <w:rPr>
          <w:color w:val="000000"/>
          <w:spacing w:val="0"/>
          <w:w w:val="100"/>
          <w:position w:val="0"/>
        </w:rPr>
        <w:t>元将于一年内到期，重分类至一年内 到期的非流动负债。</w:t>
      </w:r>
    </w:p>
    <w:p>
      <w:pPr>
        <w:pStyle w:val="Style30"/>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8</w:t>
      </w:r>
      <w:bookmarkEnd w:id="192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924"/>
      <w:bookmarkEnd w:id="1925"/>
      <w:bookmarkEnd w:id="1927"/>
    </w:p>
    <w:p>
      <w:pPr>
        <w:pStyle w:val="Style30"/>
        <w:keepNext/>
        <w:keepLines/>
        <w:widowControl w:val="0"/>
        <w:shd w:val="clear" w:color="auto" w:fill="auto"/>
        <w:bidi w:val="0"/>
        <w:spacing w:before="0" w:after="380" w:line="240" w:lineRule="auto"/>
        <w:ind w:left="0" w:right="0" w:firstLine="0"/>
        <w:jc w:val="left"/>
      </w:pPr>
      <w:bookmarkStart w:id="1924" w:name="bookmark1924"/>
      <w:bookmarkStart w:id="1925" w:name="bookmark1925"/>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924"/>
      <w:bookmarkEnd w:id="1925"/>
      <w:bookmarkEnd w:id="192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70,671,396.48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7,242,640.77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47,257,506.76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267,155,090.00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16,893,819.27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1,321,983.80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6,519,230.91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11,659,395.18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240,950.22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1,572,176.09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154,231,554.04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9,752,986.55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67,776.40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334,232.54</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382,932.89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52,199.20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85,928.24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49,642.18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244,805.45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3,550,053.52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27,570,013.00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1,743,417.34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1,803,373.73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557,068.38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17,289.56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112,812.65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0.84164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274,635.55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0.063236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109,628.96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12,165.15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59,991.22</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0"/>
        <w:keepNext/>
        <w:keepLines/>
        <w:widowControl w:val="0"/>
        <w:shd w:val="clear" w:color="auto" w:fill="auto"/>
        <w:bidi w:val="0"/>
        <w:spacing w:before="0" w:after="380" w:line="331" w:lineRule="exact"/>
        <w:ind w:left="0" w:right="0" w:firstLine="0"/>
        <w:jc w:val="left"/>
      </w:pPr>
      <w:bookmarkStart w:id="1929" w:name="bookmark1929"/>
      <w:bookmarkStart w:id="1930" w:name="bookmark1930"/>
      <w:bookmarkStart w:id="1931" w:name="bookmark19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929"/>
      <w:bookmarkEnd w:id="1930"/>
      <w:bookmarkEnd w:id="1931"/>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925"/>
        <w:gridCol w:w="2021"/>
        <w:gridCol w:w="217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株式会社亦一京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SOFTWARE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HopeRun Technology Co., Ltd.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美国特拉华州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r>
    </w:tbl>
    <w:p>
      <w:pPr>
        <w:widowControl w:val="0"/>
        <w:spacing w:after="639" w:line="1" w:lineRule="exact"/>
      </w:pPr>
    </w:p>
    <w:p>
      <w:pPr>
        <w:pStyle w:val="Style30"/>
        <w:keepNext/>
        <w:keepLines/>
        <w:widowControl w:val="0"/>
        <w:shd w:val="clear" w:color="auto" w:fill="auto"/>
        <w:tabs>
          <w:tab w:pos="483" w:val="left"/>
        </w:tabs>
        <w:bidi w:val="0"/>
        <w:spacing w:before="0" w:after="380" w:line="240" w:lineRule="auto"/>
        <w:ind w:left="0" w:right="0" w:firstLine="0"/>
        <w:jc w:val="left"/>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8</w:t>
      </w:r>
      <w:bookmarkEnd w:id="193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932"/>
      <w:bookmarkEnd w:id="1933"/>
      <w:bookmarkEnd w:id="19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8</w:t>
      </w:r>
      <w:bookmarkEnd w:id="1938"/>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936"/>
      <w:bookmarkEnd w:id="1937"/>
      <w:bookmarkEnd w:id="1939"/>
    </w:p>
    <w:p>
      <w:pPr>
        <w:pStyle w:val="Style30"/>
        <w:keepNext/>
        <w:keepLines/>
        <w:widowControl w:val="0"/>
        <w:shd w:val="clear" w:color="auto" w:fill="auto"/>
        <w:bidi w:val="0"/>
        <w:spacing w:before="0" w:after="380" w:line="240" w:lineRule="auto"/>
        <w:ind w:left="0" w:right="0" w:firstLine="0"/>
        <w:jc w:val="left"/>
      </w:pPr>
      <w:bookmarkStart w:id="1936" w:name="bookmark1936"/>
      <w:bookmarkStart w:id="1937" w:name="bookmark1937"/>
      <w:bookmarkStart w:id="1940" w:name="bookmark19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936"/>
      <w:bookmarkEnd w:id="1937"/>
      <w:bookmarkEnd w:id="1940"/>
    </w:p>
    <w:p>
      <w:pPr>
        <w:pStyle w:val="Style26"/>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8,283,038.23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8,283,038.23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6,349,266.51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6,349,266.51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研发费用专项补贴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3,732,211.64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3,732,211.64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软件及服务外包产业发展扶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2,665,203.00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2,665,203.00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科技经费补助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1,161,856.64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1,161,856.64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现代服务业发展专项引导资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1,054,700.00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1,054,700.00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职业技能培训补贴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950,292.00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950,292.00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年数字经济政策补贴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639,000.00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就业支持计划奖励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314,178.83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314,178.83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年度特色园区奖励专项 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省级技术转移奖励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一次性就业奖励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202,000.00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服务贸易创新发展专项资金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193,000.00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软件产业发展专项补助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141,874.00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141,874.00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国际服务外包专项引导资金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125,400.00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125,400.00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失业金返还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124,799.80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124,799.80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增值税附加税退税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102,478.22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102,478.22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知识产权专项资金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101,800.00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101,800.00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科技型中小企业奖励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年度东湖高新区规模以 上服务业企业奖励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重点群体税收抵减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增值税超百万经济企业奖励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20,785.00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一次性吸纳就业补贴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312,550.90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312,550.90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34,979,334.77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34,979,334.77</w:t>
            </w:r>
          </w:p>
        </w:tc>
      </w:tr>
    </w:tbl>
    <w:p>
      <w:pPr>
        <w:pStyle w:val="Style30"/>
        <w:keepNext/>
        <w:keepLines/>
        <w:widowControl w:val="0"/>
        <w:shd w:val="clear" w:color="auto" w:fill="auto"/>
        <w:bidi w:val="0"/>
        <w:spacing w:before="0" w:after="380" w:line="240" w:lineRule="auto"/>
        <w:ind w:left="0" w:right="0" w:firstLine="0"/>
        <w:jc w:val="left"/>
      </w:pPr>
      <w:bookmarkStart w:id="1941" w:name="bookmark1941"/>
      <w:bookmarkStart w:id="1942" w:name="bookmark1942"/>
      <w:bookmarkStart w:id="1943" w:name="bookmark19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941"/>
      <w:bookmarkEnd w:id="1942"/>
      <w:bookmarkEnd w:id="194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8</w:t>
      </w:r>
      <w:bookmarkEnd w:id="1946"/>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944"/>
      <w:bookmarkEnd w:id="1945"/>
      <w:bookmarkEnd w:id="1947"/>
    </w:p>
    <w:p>
      <w:pPr>
        <w:pStyle w:val="Style24"/>
        <w:keepNext/>
        <w:keepLines/>
        <w:widowControl w:val="0"/>
        <w:shd w:val="clear" w:color="auto" w:fill="auto"/>
        <w:bidi w:val="0"/>
        <w:spacing w:before="0" w:after="380" w:line="240" w:lineRule="auto"/>
        <w:ind w:left="0" w:right="0" w:firstLine="0"/>
        <w:jc w:val="left"/>
      </w:pPr>
      <w:bookmarkStart w:id="1948" w:name="bookmark1948"/>
      <w:bookmarkStart w:id="1949" w:name="bookmark1949"/>
      <w:bookmarkStart w:id="1950" w:name="bookmark1950"/>
      <w:bookmarkStart w:id="1951" w:name="bookmark1951"/>
      <w:r>
        <w:rPr>
          <w:color w:val="000000"/>
          <w:spacing w:val="0"/>
          <w:w w:val="100"/>
          <w:position w:val="0"/>
          <w:sz w:val="24"/>
          <w:szCs w:val="24"/>
        </w:rPr>
        <w:t>八</w:t>
      </w:r>
      <w:bookmarkEnd w:id="1950"/>
      <w:r>
        <w:rPr>
          <w:color w:val="000000"/>
          <w:spacing w:val="0"/>
          <w:w w:val="100"/>
          <w:position w:val="0"/>
          <w:sz w:val="24"/>
          <w:szCs w:val="24"/>
        </w:rPr>
        <w:t>、合并范围的变更</w:t>
      </w:r>
      <w:bookmarkEnd w:id="1948"/>
      <w:bookmarkEnd w:id="1949"/>
      <w:bookmarkEnd w:id="1951"/>
    </w:p>
    <w:p>
      <w:pPr>
        <w:pStyle w:val="Style30"/>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52"/>
      <w:bookmarkEnd w:id="1953"/>
      <w:bookmarkEnd w:id="1954"/>
    </w:p>
    <w:p>
      <w:pPr>
        <w:pStyle w:val="Style30"/>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5" w:name="bookmark19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52"/>
      <w:bookmarkEnd w:id="1953"/>
      <w:bookmarkEnd w:id="19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956" w:name="bookmark1956"/>
      <w:bookmarkStart w:id="1957" w:name="bookmark1957"/>
      <w:bookmarkStart w:id="1958" w:name="bookmark19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56"/>
      <w:bookmarkEnd w:id="1957"/>
      <w:bookmarkEnd w:id="195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numPr>
          <w:ilvl w:val="0"/>
          <w:numId w:val="209"/>
        </w:numPr>
        <w:shd w:val="clear" w:color="auto" w:fill="auto"/>
        <w:bidi w:val="0"/>
        <w:spacing w:before="0" w:after="380" w:line="240" w:lineRule="auto"/>
        <w:ind w:left="0" w:right="0" w:firstLine="140"/>
        <w:jc w:val="left"/>
      </w:pPr>
      <w:bookmarkStart w:id="1959" w:name="bookmark1959"/>
      <w:bookmarkStart w:id="1960" w:name="bookmark1960"/>
      <w:bookmarkStart w:id="1961" w:name="bookmark1961"/>
      <w:bookmarkStart w:id="1962" w:name="bookmark1962"/>
      <w:bookmarkEnd w:id="1961"/>
      <w:r>
        <w:rPr>
          <w:color w:val="000000"/>
          <w:spacing w:val="0"/>
          <w:w w:val="100"/>
          <w:position w:val="0"/>
        </w:rPr>
        <w:t>被购买方于购买日可辨认资产、负债</w:t>
      </w:r>
      <w:bookmarkEnd w:id="1959"/>
      <w:bookmarkEnd w:id="1960"/>
      <w:bookmarkEnd w:id="19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0"/>
        <w:keepNext/>
        <w:keepLines/>
        <w:widowControl w:val="0"/>
        <w:numPr>
          <w:ilvl w:val="0"/>
          <w:numId w:val="209"/>
        </w:numPr>
        <w:shd w:val="clear" w:color="auto" w:fill="auto"/>
        <w:bidi w:val="0"/>
        <w:spacing w:before="0" w:after="240" w:line="240" w:lineRule="auto"/>
        <w:ind w:left="0" w:right="0" w:firstLine="0"/>
        <w:jc w:val="left"/>
      </w:pPr>
      <w:bookmarkStart w:id="1963" w:name="bookmark1963"/>
      <w:bookmarkStart w:id="1964" w:name="bookmark1964"/>
      <w:bookmarkStart w:id="1965" w:name="bookmark1965"/>
      <w:bookmarkStart w:id="1966" w:name="bookmark1966"/>
      <w:bookmarkEnd w:id="1965"/>
      <w:r>
        <w:rPr>
          <w:color w:val="000000"/>
          <w:spacing w:val="0"/>
          <w:w w:val="100"/>
          <w:position w:val="0"/>
        </w:rPr>
        <w:t>购买日之前持有的股权按照公允价值重新计量产生的利得或损失</w:t>
      </w:r>
      <w:bookmarkEnd w:id="1963"/>
      <w:bookmarkEnd w:id="1964"/>
      <w:bookmarkEnd w:id="1966"/>
    </w:p>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1"/>
        <w:keepNext w:val="0"/>
        <w:keepLines w:val="0"/>
        <w:widowControl w:val="0"/>
        <w:numPr>
          <w:ilvl w:val="0"/>
          <w:numId w:val="209"/>
        </w:numPr>
        <w:shd w:val="clear" w:color="auto" w:fill="auto"/>
        <w:bidi w:val="0"/>
        <w:spacing w:before="0" w:line="240" w:lineRule="auto"/>
        <w:ind w:left="0" w:right="0" w:firstLine="0"/>
        <w:jc w:val="left"/>
      </w:pPr>
      <w:bookmarkStart w:id="1967" w:name="bookmark1967"/>
      <w:bookmarkEnd w:id="1967"/>
      <w:r>
        <w:rPr>
          <w:color w:val="000000"/>
          <w:spacing w:val="0"/>
          <w:w w:val="100"/>
          <w:position w:val="0"/>
        </w:rPr>
        <w:t xml:space="preserve"> 购买日或合并当期期末无法合理确定合并对价或被购买方可辨认资产、负债公允价值的相关说明</w:t>
      </w:r>
    </w:p>
    <w:p>
      <w:pPr>
        <w:pStyle w:val="Style51"/>
        <w:keepNext w:val="0"/>
        <w:keepLines w:val="0"/>
        <w:widowControl w:val="0"/>
        <w:numPr>
          <w:ilvl w:val="0"/>
          <w:numId w:val="209"/>
        </w:numPr>
        <w:shd w:val="clear" w:color="auto" w:fill="auto"/>
        <w:tabs>
          <w:tab w:pos="493" w:val="left"/>
        </w:tabs>
        <w:bidi w:val="0"/>
        <w:spacing w:before="0" w:line="240" w:lineRule="auto"/>
        <w:ind w:left="0" w:right="0" w:firstLine="0"/>
        <w:jc w:val="left"/>
      </w:pPr>
      <w:bookmarkStart w:id="1968" w:name="bookmark1968"/>
      <w:bookmarkEnd w:id="1968"/>
      <w:r>
        <w:rPr>
          <w:color w:val="000000"/>
          <w:spacing w:val="0"/>
          <w:w w:val="100"/>
          <w:position w:val="0"/>
        </w:rPr>
        <w:t>其他说明</w:t>
      </w:r>
    </w:p>
    <w:p>
      <w:pPr>
        <w:pStyle w:val="Style51"/>
        <w:keepNext w:val="0"/>
        <w:keepLines w:val="0"/>
        <w:widowControl w:val="0"/>
        <w:shd w:val="clear" w:color="auto" w:fill="auto"/>
        <w:bidi w:val="0"/>
        <w:spacing w:before="0" w:line="240" w:lineRule="auto"/>
        <w:ind w:left="0" w:right="0" w:firstLine="0"/>
        <w:jc w:val="left"/>
      </w:pPr>
      <w:bookmarkStart w:id="1969" w:name="bookmark1969"/>
      <w:r>
        <w:rPr>
          <w:rFonts w:ascii="Times New Roman" w:eastAsia="Times New Roman" w:hAnsi="Times New Roman" w:cs="Times New Roman"/>
          <w:color w:val="000000"/>
          <w:spacing w:val="0"/>
          <w:w w:val="100"/>
          <w:position w:val="0"/>
        </w:rPr>
        <w:t>2</w:t>
      </w:r>
      <w:bookmarkEnd w:id="1969"/>
      <w:r>
        <w:rPr>
          <w:color w:val="000000"/>
          <w:spacing w:val="0"/>
          <w:w w:val="100"/>
          <w:position w:val="0"/>
        </w:rPr>
        <w:t>、同一控制下企业合并</w:t>
      </w:r>
    </w:p>
    <w:p>
      <w:pPr>
        <w:pStyle w:val="Style5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val="0"/>
        <w:keepLines w:val="0"/>
        <w:widowControl w:val="0"/>
        <w:numPr>
          <w:ilvl w:val="0"/>
          <w:numId w:val="211"/>
        </w:numPr>
        <w:shd w:val="clear" w:color="auto" w:fill="auto"/>
        <w:bidi w:val="0"/>
        <w:spacing w:before="0" w:line="240" w:lineRule="auto"/>
        <w:ind w:left="0" w:right="0" w:firstLine="0"/>
        <w:jc w:val="left"/>
      </w:pPr>
      <w:bookmarkStart w:id="1970" w:name="bookmark1970"/>
      <w:bookmarkEnd w:id="1970"/>
      <w:r>
        <w:rPr>
          <w:color w:val="000000"/>
          <w:spacing w:val="0"/>
          <w:w w:val="100"/>
          <w:position w:val="0"/>
        </w:rPr>
        <w:t>合并日被合并方资产、负债的账面价值</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6"/>
        <w:keepNext w:val="0"/>
        <w:keepLines w:val="0"/>
        <w:widowControl w:val="0"/>
        <w:shd w:val="clear" w:color="auto" w:fill="auto"/>
        <w:bidi w:val="0"/>
        <w:spacing w:before="0" w:after="40" w:line="317" w:lineRule="exact"/>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51"/>
        <w:keepNext w:val="0"/>
        <w:keepLines w:val="0"/>
        <w:widowControl w:val="0"/>
        <w:shd w:val="clear" w:color="auto" w:fill="auto"/>
        <w:tabs>
          <w:tab w:pos="378" w:val="left"/>
        </w:tabs>
        <w:bidi w:val="0"/>
        <w:spacing w:before="0" w:after="260" w:line="240" w:lineRule="auto"/>
        <w:ind w:left="0" w:right="0" w:firstLine="0"/>
        <w:jc w:val="left"/>
      </w:pPr>
      <w:bookmarkStart w:id="1971" w:name="bookmark1971"/>
      <w:r>
        <w:rPr>
          <w:rFonts w:ascii="Times New Roman" w:eastAsia="Times New Roman" w:hAnsi="Times New Roman" w:cs="Times New Roman"/>
          <w:color w:val="000000"/>
          <w:spacing w:val="0"/>
          <w:w w:val="100"/>
          <w:position w:val="0"/>
        </w:rPr>
        <w:t>3</w:t>
      </w:r>
      <w:bookmarkEnd w:id="1971"/>
      <w:r>
        <w:rPr>
          <w:color w:val="000000"/>
          <w:spacing w:val="0"/>
          <w:w w:val="100"/>
          <w:position w:val="0"/>
        </w:rPr>
        <w:t>、</w:t>
        <w:tab/>
        <w:t>反向购买</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51"/>
        <w:keepNext w:val="0"/>
        <w:keepLines w:val="0"/>
        <w:widowControl w:val="0"/>
        <w:shd w:val="clear" w:color="auto" w:fill="auto"/>
        <w:tabs>
          <w:tab w:pos="378" w:val="left"/>
        </w:tabs>
        <w:bidi w:val="0"/>
        <w:spacing w:before="0" w:line="240" w:lineRule="auto"/>
        <w:ind w:left="0" w:right="0" w:firstLine="0"/>
        <w:jc w:val="left"/>
      </w:pPr>
      <w:bookmarkStart w:id="1972" w:name="bookmark1972"/>
      <w:r>
        <w:rPr>
          <w:rFonts w:ascii="Times New Roman" w:eastAsia="Times New Roman" w:hAnsi="Times New Roman" w:cs="Times New Roman"/>
          <w:color w:val="000000"/>
          <w:spacing w:val="0"/>
          <w:w w:val="100"/>
          <w:position w:val="0"/>
        </w:rPr>
        <w:t>4</w:t>
      </w:r>
      <w:bookmarkEnd w:id="1972"/>
      <w:r>
        <w:rPr>
          <w:color w:val="000000"/>
          <w:spacing w:val="0"/>
          <w:w w:val="100"/>
          <w:position w:val="0"/>
        </w:rPr>
        <w:t>、</w:t>
        <w:tab/>
        <w:t>处置子公司</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股权处 置比例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款与处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制权之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制权之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与原子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公司股</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置投资 对应的 合并财 务报表 层面享 有该子 公司净 资产份 额的差 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日剩余 股权的 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股权的 账面价 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日剩余 股权的 公允价 值</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重新计 量剩余 股权产 生的利 得或损 失</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日剩余 股权公 允价值 的确定 方法及 主要假 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权投资 相关的 其他综 合收益 转入投 资损益 的金额</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江苏润 和智融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4,000,00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已全额 收到股 权转让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331,807.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1,834,09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165,903.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按照处 置股权 比例对 应的处 置价款 乘以剩 余持股 比例</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南京汇 聚智融 信息技 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w:t>
            </w:r>
          </w:p>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股权转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截止</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已全额 收到股 权转让 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1,124,61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其他说明：</w:t>
      </w:r>
    </w:p>
    <w:p>
      <w:pPr>
        <w:pStyle w:val="Style26"/>
        <w:keepNext w:val="0"/>
        <w:keepLines w:val="0"/>
        <w:widowControl w:val="0"/>
        <w:numPr>
          <w:ilvl w:val="0"/>
          <w:numId w:val="213"/>
        </w:numPr>
        <w:shd w:val="clear" w:color="auto" w:fill="auto"/>
        <w:tabs>
          <w:tab w:pos="373" w:val="left"/>
        </w:tabs>
        <w:bidi w:val="0"/>
        <w:spacing w:before="0" w:after="0" w:line="314" w:lineRule="exact"/>
        <w:ind w:left="0" w:right="0" w:firstLine="0"/>
        <w:jc w:val="both"/>
      </w:pPr>
      <w:bookmarkStart w:id="1973" w:name="bookmark1973"/>
      <w:bookmarkEnd w:id="197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日，本公司与润和智融股东南京瑞思创签署了《股权转让协议》，公司将持有的润和智融的</w:t>
      </w:r>
      <w:r>
        <w:rPr>
          <w:rFonts w:ascii="Times New Roman" w:eastAsia="Times New Roman" w:hAnsi="Times New Roman" w:cs="Times New Roman"/>
          <w:color w:val="000000"/>
          <w:spacing w:val="0"/>
          <w:w w:val="100"/>
          <w:position w:val="0"/>
        </w:rPr>
        <w:t>40.00%</w:t>
      </w:r>
      <w:r>
        <w:rPr>
          <w:color w:val="000000"/>
          <w:spacing w:val="0"/>
          <w:w w:val="100"/>
          <w:position w:val="0"/>
        </w:rPr>
        <w:t>股权转让 给南京瑞思创，同日公司召开第五届董事会第五十五次会议审议通过相关议案，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日已收到转让款并完成股权交 割，本期公司对润和智融的合并期间为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1-7</w:t>
      </w:r>
      <w:r>
        <w:rPr>
          <w:color w:val="000000"/>
          <w:spacing w:val="0"/>
          <w:w w:val="100"/>
          <w:position w:val="0"/>
        </w:rPr>
        <w:t>月。</w:t>
      </w:r>
    </w:p>
    <w:p>
      <w:pPr>
        <w:pStyle w:val="Style26"/>
        <w:keepNext w:val="0"/>
        <w:keepLines w:val="0"/>
        <w:widowControl w:val="0"/>
        <w:numPr>
          <w:ilvl w:val="0"/>
          <w:numId w:val="213"/>
        </w:numPr>
        <w:shd w:val="clear" w:color="auto" w:fill="auto"/>
        <w:tabs>
          <w:tab w:pos="373" w:val="left"/>
        </w:tabs>
        <w:bidi w:val="0"/>
        <w:spacing w:before="0" w:after="0" w:line="314" w:lineRule="exact"/>
        <w:ind w:left="0" w:right="0" w:firstLine="0"/>
        <w:jc w:val="both"/>
      </w:pPr>
      <w:bookmarkStart w:id="1974" w:name="bookmark1974"/>
      <w:bookmarkEnd w:id="1974"/>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日，本公司子公司联创智融和自然人王俊签署了《股权转让协议》，联创智融将持有的南京汇聚的</w:t>
      </w:r>
      <w:r>
        <w:rPr>
          <w:rFonts w:ascii="Times New Roman" w:eastAsia="Times New Roman" w:hAnsi="Times New Roman" w:cs="Times New Roman"/>
          <w:color w:val="000000"/>
          <w:spacing w:val="0"/>
          <w:w w:val="100"/>
          <w:position w:val="0"/>
        </w:rPr>
        <w:t>60.00%</w:t>
      </w:r>
      <w:r>
        <w:rPr>
          <w:color w:val="000000"/>
          <w:spacing w:val="0"/>
          <w:w w:val="100"/>
          <w:position w:val="0"/>
        </w:rPr>
        <w:t>股 权转让给王俊，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日已收到转让款并完成股权交割，本期公司对南京汇聚的合并期间为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bidi w:val="0"/>
        <w:spacing w:before="0" w:after="280" w:line="240" w:lineRule="auto"/>
        <w:ind w:left="0" w:right="0" w:firstLine="0"/>
        <w:jc w:val="both"/>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5</w:t>
      </w:r>
      <w:bookmarkEnd w:id="1977"/>
      <w:r>
        <w:rPr>
          <w:color w:val="000000"/>
          <w:spacing w:val="0"/>
          <w:w w:val="100"/>
          <w:position w:val="0"/>
        </w:rPr>
        <w:t>、其他原因的合并范围变动</w:t>
      </w:r>
      <w:bookmarkEnd w:id="1975"/>
      <w:bookmarkEnd w:id="1976"/>
      <w:bookmarkEnd w:id="1978"/>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说明其他原因导致的合并范围变动（如，新设子公司、清算子公司等）及其相关情况：</w:t>
      </w:r>
    </w:p>
    <w:p>
      <w:pPr>
        <w:pStyle w:val="Style26"/>
        <w:keepNext w:val="0"/>
        <w:keepLines w:val="0"/>
        <w:widowControl w:val="0"/>
        <w:shd w:val="clear" w:color="auto" w:fill="auto"/>
        <w:bidi w:val="0"/>
        <w:spacing w:before="0" w:after="0" w:line="307" w:lineRule="exact"/>
        <w:ind w:left="0" w:right="0" w:firstLine="520"/>
        <w:jc w:val="both"/>
      </w:pPr>
      <w:r>
        <w:rPr>
          <w:color w:val="000000"/>
          <w:spacing w:val="0"/>
          <w:w w:val="100"/>
          <w:position w:val="0"/>
        </w:rPr>
        <w:t>合肥汇聚是本公司子公司联创智融于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日新设成立的全资子公司，合肥汇聚自</w:t>
      </w:r>
      <w:r>
        <w:rPr>
          <w:rFonts w:ascii="Times New Roman" w:eastAsia="Times New Roman" w:hAnsi="Times New Roman" w:cs="Times New Roman"/>
          <w:color w:val="000000"/>
          <w:spacing w:val="0"/>
          <w:w w:val="100"/>
          <w:position w:val="0"/>
        </w:rPr>
        <w:t>2017</w:t>
      </w:r>
      <w:r>
        <w:rPr>
          <w:color w:val="000000"/>
          <w:spacing w:val="0"/>
          <w:w w:val="100"/>
          <w:position w:val="0"/>
        </w:rPr>
        <w:t>年成立以来未开展实际 经营业务，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日合肥汇聚工商注销手续已办理完毕，本期公司对合肥汇聚的合并期间为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1-12</w:t>
      </w:r>
      <w:r>
        <w:rPr>
          <w:color w:val="000000"/>
          <w:spacing w:val="0"/>
          <w:w w:val="100"/>
          <w:position w:val="0"/>
        </w:rPr>
        <w:t>月。</w:t>
      </w:r>
      <w:r>
        <w:br w:type="page"/>
      </w:r>
    </w:p>
    <w:p>
      <w:pPr>
        <w:pStyle w:val="Style30"/>
        <w:keepNext/>
        <w:keepLines/>
        <w:widowControl w:val="0"/>
        <w:shd w:val="clear" w:color="auto" w:fill="auto"/>
        <w:bidi w:val="0"/>
        <w:spacing w:before="0" w:after="340" w:line="240" w:lineRule="auto"/>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6</w:t>
      </w:r>
      <w:bookmarkEnd w:id="1981"/>
      <w:r>
        <w:rPr>
          <w:color w:val="000000"/>
          <w:spacing w:val="0"/>
          <w:w w:val="100"/>
          <w:position w:val="0"/>
        </w:rPr>
        <w:t>、其他</w:t>
      </w:r>
      <w:bookmarkEnd w:id="1979"/>
      <w:bookmarkEnd w:id="1980"/>
      <w:bookmarkEnd w:id="1982"/>
    </w:p>
    <w:p>
      <w:pPr>
        <w:pStyle w:val="Style24"/>
        <w:keepNext/>
        <w:keepLines/>
        <w:widowControl w:val="0"/>
        <w:shd w:val="clear" w:color="auto" w:fill="auto"/>
        <w:bidi w:val="0"/>
        <w:spacing w:before="0" w:after="34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sz w:val="24"/>
          <w:szCs w:val="24"/>
        </w:rPr>
        <w:t>九</w:t>
      </w:r>
      <w:bookmarkEnd w:id="1985"/>
      <w:r>
        <w:rPr>
          <w:color w:val="000000"/>
          <w:spacing w:val="0"/>
          <w:w w:val="100"/>
          <w:position w:val="0"/>
          <w:sz w:val="24"/>
          <w:szCs w:val="24"/>
        </w:rPr>
        <w:t>、在其他主体中的权益</w:t>
      </w:r>
      <w:bookmarkEnd w:id="1983"/>
      <w:bookmarkEnd w:id="1984"/>
      <w:bookmarkEnd w:id="1986"/>
    </w:p>
    <w:p>
      <w:pPr>
        <w:pStyle w:val="Style30"/>
        <w:keepNext/>
        <w:keepLines/>
        <w:widowControl w:val="0"/>
        <w:shd w:val="clear" w:color="auto" w:fill="auto"/>
        <w:bidi w:val="0"/>
        <w:spacing w:before="0" w:after="340" w:line="240" w:lineRule="auto"/>
        <w:ind w:left="0" w:right="0" w:firstLine="0"/>
        <w:jc w:val="left"/>
      </w:pPr>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987"/>
      <w:bookmarkEnd w:id="1988"/>
      <w:bookmarkEnd w:id="1989"/>
    </w:p>
    <w:p>
      <w:pPr>
        <w:pStyle w:val="Style30"/>
        <w:keepNext/>
        <w:keepLines/>
        <w:widowControl w:val="0"/>
        <w:shd w:val="clear" w:color="auto" w:fill="auto"/>
        <w:bidi w:val="0"/>
        <w:spacing w:before="0" w:after="340" w:line="240" w:lineRule="auto"/>
        <w:ind w:left="0" w:right="0" w:firstLine="140"/>
        <w:jc w:val="left"/>
      </w:pPr>
      <w:bookmarkStart w:id="1987" w:name="bookmark1987"/>
      <w:bookmarkStart w:id="1988" w:name="bookmark1988"/>
      <w:bookmarkStart w:id="1990" w:name="bookmark199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87"/>
      <w:bookmarkEnd w:id="1988"/>
      <w:bookmarkEnd w:id="199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江苏润和南京软 件外包园投资有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江苏软信和熙信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西安润和软件信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北京润和汇智信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深圳润和汇智信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上海润和信息技 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株式会社亦一</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日本东京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SOFTWARE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Technology Co.,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美国特拉华州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北京捷科智诚科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上海捷科智诚科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福州捷科智诚信 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北京联创智融信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重庆度融信息技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成都联创智融信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深圳联创智融信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香港润和信息技 术投资有限公司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上海菲耐得信息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广州润和颐能软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武汉宁润软件信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江苏润和捷诚科 技产业投资有限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南京润和润云科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本公司直接拥有东京润和</w:t>
      </w:r>
      <w:r>
        <w:rPr>
          <w:rFonts w:ascii="Times New Roman" w:eastAsia="Times New Roman" w:hAnsi="Times New Roman" w:cs="Times New Roman"/>
          <w:color w:val="000000"/>
          <w:spacing w:val="0"/>
          <w:w w:val="100"/>
          <w:position w:val="0"/>
        </w:rPr>
        <w:t>91.67%</w:t>
      </w:r>
      <w:r>
        <w:rPr>
          <w:color w:val="000000"/>
          <w:spacing w:val="0"/>
          <w:w w:val="100"/>
          <w:position w:val="0"/>
        </w:rPr>
        <w:t>的股权，东京润和持有</w:t>
      </w:r>
      <w:r>
        <w:rPr>
          <w:rFonts w:ascii="Times New Roman" w:eastAsia="Times New Roman" w:hAnsi="Times New Roman" w:cs="Times New Roman"/>
          <w:color w:val="000000"/>
          <w:spacing w:val="0"/>
          <w:w w:val="100"/>
          <w:position w:val="0"/>
        </w:rPr>
        <w:t>8.33%</w:t>
      </w:r>
      <w:r>
        <w:rPr>
          <w:color w:val="000000"/>
          <w:spacing w:val="0"/>
          <w:w w:val="100"/>
          <w:position w:val="0"/>
        </w:rPr>
        <w:t>的库存股股权，该库存股股权不仅没有表决权，也没有分红请 求权和剩余财产分配请求权等其他权利，因此本公司实际拥有东京润和</w:t>
      </w:r>
      <w:r>
        <w:rPr>
          <w:rFonts w:ascii="Times New Roman" w:eastAsia="Times New Roman" w:hAnsi="Times New Roman" w:cs="Times New Roman"/>
          <w:color w:val="000000"/>
          <w:spacing w:val="0"/>
          <w:w w:val="100"/>
          <w:position w:val="0"/>
        </w:rPr>
        <w:t>100%</w:t>
      </w:r>
      <w:r>
        <w:rPr>
          <w:color w:val="000000"/>
          <w:spacing w:val="0"/>
          <w:w w:val="100"/>
          <w:position w:val="0"/>
        </w:rPr>
        <w:t>权益。</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28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91"/>
      <w:bookmarkEnd w:id="1992"/>
      <w:bookmarkEnd w:id="1993"/>
    </w:p>
    <w:p>
      <w:pPr>
        <w:pStyle w:val="Style26"/>
        <w:keepNext w:val="0"/>
        <w:keepLines w:val="0"/>
        <w:widowControl w:val="0"/>
        <w:shd w:val="clear" w:color="auto" w:fill="auto"/>
        <w:bidi w:val="0"/>
        <w:spacing w:before="0" w:after="100" w:line="322" w:lineRule="exact"/>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94"/>
      <w:bookmarkEnd w:id="1995"/>
      <w:bookmarkEnd w:id="199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730" w:val="left"/>
                <w:tab w:pos="1474" w:val="left"/>
                <w:tab w:pos="2938" w:val="left"/>
                <w:tab w:pos="3682" w:val="left"/>
              </w:tabs>
              <w:bidi w:val="0"/>
              <w:spacing w:before="0" w:after="0" w:line="240" w:lineRule="auto"/>
              <w:ind w:left="0" w:right="0" w:firstLine="0"/>
              <w:jc w:val="center"/>
            </w:pPr>
            <w:r>
              <w:rPr>
                <w:color w:val="000000"/>
                <w:spacing w:val="0"/>
                <w:w w:val="100"/>
                <w:position w:val="0"/>
              </w:rPr>
              <w:t>流动资</w:t>
              <w:tab/>
              <w:t>非流动</w:t>
              <w:tab/>
              <w:t>资产合流动负</w:t>
              <w:tab/>
              <w:t>非流动</w:t>
              <w:tab/>
              <w:t>负债合</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tabs>
                <w:tab w:pos="730" w:val="left"/>
                <w:tab w:pos="1469" w:val="left"/>
                <w:tab w:pos="2938" w:val="left"/>
                <w:tab w:pos="3677" w:val="left"/>
              </w:tabs>
              <w:bidi w:val="0"/>
              <w:spacing w:before="0" w:after="0" w:line="240" w:lineRule="auto"/>
              <w:ind w:left="0" w:right="0" w:firstLine="0"/>
              <w:jc w:val="center"/>
            </w:pPr>
            <w:r>
              <w:rPr>
                <w:color w:val="000000"/>
                <w:spacing w:val="0"/>
                <w:w w:val="100"/>
                <w:position w:val="0"/>
              </w:rPr>
              <w:t>流动资</w:t>
              <w:tab/>
              <w:t>非流动</w:t>
              <w:tab/>
              <w:t>资产合流动负</w:t>
              <w:tab/>
              <w:t>非流动</w:t>
              <w:tab/>
              <w:t>负债合</w:t>
            </w:r>
          </w:p>
        </w:tc>
      </w:tr>
    </w:tbl>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98"/>
      <w:bookmarkEnd w:id="1999"/>
      <w:bookmarkEnd w:id="2001"/>
    </w:p>
    <w:p>
      <w:pPr>
        <w:pStyle w:val="Style30"/>
        <w:keepNext/>
        <w:keepLines/>
        <w:widowControl w:val="0"/>
        <w:shd w:val="clear" w:color="auto" w:fill="auto"/>
        <w:tabs>
          <w:tab w:pos="493" w:val="left"/>
        </w:tabs>
        <w:bidi w:val="0"/>
        <w:spacing w:before="0" w:after="380" w:line="240" w:lineRule="auto"/>
        <w:ind w:left="0" w:right="0" w:firstLine="0"/>
        <w:jc w:val="left"/>
      </w:pPr>
      <w:bookmarkStart w:id="1998" w:name="bookmark1998"/>
      <w:bookmarkStart w:id="1999" w:name="bookmark1999"/>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98"/>
      <w:bookmarkEnd w:id="1999"/>
      <w:bookmarkEnd w:id="200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04"/>
      <w:bookmarkEnd w:id="2005"/>
      <w:bookmarkEnd w:id="2006"/>
    </w:p>
    <w:p>
      <w:pPr>
        <w:pStyle w:val="Style30"/>
        <w:keepNext/>
        <w:keepLines/>
        <w:widowControl w:val="0"/>
        <w:shd w:val="clear" w:color="auto" w:fill="auto"/>
        <w:tabs>
          <w:tab w:pos="493" w:val="left"/>
        </w:tabs>
        <w:bidi w:val="0"/>
        <w:spacing w:before="0" w:after="380" w:line="240" w:lineRule="auto"/>
        <w:ind w:left="0" w:right="0" w:firstLine="0"/>
        <w:jc w:val="left"/>
      </w:pPr>
      <w:bookmarkStart w:id="2004" w:name="bookmark2004"/>
      <w:bookmarkStart w:id="2005" w:name="bookmark2005"/>
      <w:bookmarkStart w:id="2007" w:name="bookmark2007"/>
      <w:bookmarkStart w:id="2008" w:name="bookmark2008"/>
      <w:r>
        <w:rPr>
          <w:color w:val="000000"/>
          <w:spacing w:val="0"/>
          <w:w w:val="100"/>
          <w:position w:val="0"/>
        </w:rPr>
        <w:t>（</w:t>
      </w:r>
      <w:bookmarkEnd w:id="200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2004"/>
      <w:bookmarkEnd w:id="2005"/>
      <w:bookmarkEnd w:id="2008"/>
    </w:p>
    <w:p>
      <w:pPr>
        <w:pStyle w:val="Style30"/>
        <w:keepNext/>
        <w:keepLines/>
        <w:widowControl w:val="0"/>
        <w:shd w:val="clear" w:color="auto" w:fill="auto"/>
        <w:tabs>
          <w:tab w:pos="493" w:val="left"/>
        </w:tabs>
        <w:bidi w:val="0"/>
        <w:spacing w:before="0" w:after="380" w:line="240" w:lineRule="auto"/>
        <w:ind w:left="0" w:right="0" w:firstLine="0"/>
        <w:jc w:val="left"/>
      </w:pPr>
      <w:bookmarkStart w:id="2004" w:name="bookmark2004"/>
      <w:bookmarkStart w:id="2005" w:name="bookmark2005"/>
      <w:bookmarkStart w:id="2009" w:name="bookmark2009"/>
      <w:bookmarkStart w:id="2010" w:name="bookmark2010"/>
      <w:r>
        <w:rPr>
          <w:color w:val="000000"/>
          <w:spacing w:val="0"/>
          <w:w w:val="100"/>
          <w:position w:val="0"/>
        </w:rPr>
        <w:t>（</w:t>
      </w:r>
      <w:bookmarkEnd w:id="200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2004"/>
      <w:bookmarkEnd w:id="2005"/>
      <w:bookmarkEnd w:id="201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3</w:t>
      </w:r>
      <w:bookmarkEnd w:id="2013"/>
      <w:r>
        <w:rPr>
          <w:color w:val="000000"/>
          <w:spacing w:val="0"/>
          <w:w w:val="100"/>
          <w:position w:val="0"/>
        </w:rPr>
        <w:t>、在合营安排或联营企业中的权益</w:t>
      </w:r>
      <w:bookmarkEnd w:id="2011"/>
      <w:bookmarkEnd w:id="2012"/>
      <w:bookmarkEnd w:id="2014"/>
    </w:p>
    <w:p>
      <w:pPr>
        <w:pStyle w:val="Style30"/>
        <w:keepNext/>
        <w:keepLines/>
        <w:widowControl w:val="0"/>
        <w:shd w:val="clear" w:color="auto" w:fill="auto"/>
        <w:bidi w:val="0"/>
        <w:spacing w:before="0" w:after="380" w:line="240" w:lineRule="auto"/>
        <w:ind w:left="0" w:right="0" w:firstLine="0"/>
        <w:jc w:val="left"/>
      </w:pPr>
      <w:bookmarkStart w:id="2011" w:name="bookmark2011"/>
      <w:bookmarkStart w:id="2012" w:name="bookmark2012"/>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011"/>
      <w:bookmarkEnd w:id="2012"/>
      <w:bookmarkEnd w:id="201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0"/>
        <w:keepNext/>
        <w:keepLines/>
        <w:widowControl w:val="0"/>
        <w:shd w:val="clear" w:color="auto" w:fill="auto"/>
        <w:bidi w:val="0"/>
        <w:spacing w:before="0" w:after="380" w:line="240" w:lineRule="auto"/>
        <w:ind w:left="0" w:right="0" w:firstLine="0"/>
        <w:jc w:val="left"/>
      </w:pPr>
      <w:bookmarkStart w:id="2016" w:name="bookmark2016"/>
      <w:bookmarkStart w:id="2017" w:name="bookmark2017"/>
      <w:bookmarkStart w:id="2018" w:name="bookmark20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16"/>
      <w:bookmarkEnd w:id="2017"/>
      <w:bookmarkEnd w:id="20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numPr>
          <w:ilvl w:val="0"/>
          <w:numId w:val="215"/>
        </w:numPr>
        <w:shd w:val="clear" w:color="auto" w:fill="auto"/>
        <w:bidi w:val="0"/>
        <w:spacing w:before="0" w:line="240" w:lineRule="auto"/>
        <w:ind w:left="0" w:right="0" w:firstLine="14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重要联营企业的主要财务信息</w:t>
      </w:r>
      <w:bookmarkEnd w:id="2019"/>
      <w:bookmarkEnd w:id="2020"/>
      <w:bookmarkEnd w:id="202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0"/>
        <w:keepNext/>
        <w:keepLines/>
        <w:widowControl w:val="0"/>
        <w:numPr>
          <w:ilvl w:val="0"/>
          <w:numId w:val="215"/>
        </w:numPr>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bookmarkEnd w:id="2025"/>
      <w:r>
        <w:rPr>
          <w:color w:val="000000"/>
          <w:spacing w:val="0"/>
          <w:w w:val="100"/>
          <w:position w:val="0"/>
        </w:rPr>
        <w:t>不重要的合营企业和联营企业的汇总财务信息</w:t>
      </w:r>
      <w:bookmarkEnd w:id="2023"/>
      <w:bookmarkEnd w:id="2024"/>
      <w:bookmarkEnd w:id="20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71,334,049.46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89,474,576.86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868,673.77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-2,985,247.70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3,564,683.84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2,397,028.51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4,433,357.61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-588,219.19</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上表数据为联营企业奥特酷、鑫合易家、润辰科技、新维数联、润芯微、润和智融以及博纳讯动联营期间的财务信息。</w:t>
      </w:r>
    </w:p>
    <w:p>
      <w:pPr>
        <w:pStyle w:val="Style30"/>
        <w:keepNext/>
        <w:keepLines/>
        <w:widowControl w:val="0"/>
        <w:numPr>
          <w:ilvl w:val="0"/>
          <w:numId w:val="215"/>
        </w:numPr>
        <w:shd w:val="clear" w:color="auto" w:fill="auto"/>
        <w:tabs>
          <w:tab w:pos="633" w:val="left"/>
        </w:tabs>
        <w:bidi w:val="0"/>
        <w:spacing w:before="0" w:line="240" w:lineRule="auto"/>
        <w:ind w:left="0" w:right="0" w:firstLine="14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合营企业或联营企业向本公司转移资金的能力存在重大限制的说明</w:t>
      </w:r>
      <w:bookmarkEnd w:id="2027"/>
      <w:bookmarkEnd w:id="2028"/>
      <w:bookmarkEnd w:id="2030"/>
    </w:p>
    <w:p>
      <w:pPr>
        <w:pStyle w:val="Style30"/>
        <w:keepNext/>
        <w:keepLines/>
        <w:widowControl w:val="0"/>
        <w:numPr>
          <w:ilvl w:val="0"/>
          <w:numId w:val="215"/>
        </w:numPr>
        <w:shd w:val="clear" w:color="auto" w:fill="auto"/>
        <w:tabs>
          <w:tab w:pos="633" w:val="left"/>
        </w:tabs>
        <w:bidi w:val="0"/>
        <w:spacing w:before="0" w:line="240" w:lineRule="auto"/>
        <w:ind w:left="0" w:right="0" w:firstLine="140"/>
        <w:jc w:val="left"/>
      </w:pPr>
      <w:bookmarkStart w:id="2027" w:name="bookmark2027"/>
      <w:bookmarkStart w:id="2028" w:name="bookmark2028"/>
      <w:bookmarkStart w:id="2031" w:name="bookmark2031"/>
      <w:bookmarkStart w:id="2032" w:name="bookmark2032"/>
      <w:bookmarkEnd w:id="2031"/>
      <w:r>
        <w:rPr>
          <w:color w:val="000000"/>
          <w:spacing w:val="0"/>
          <w:w w:val="100"/>
          <w:position w:val="0"/>
        </w:rPr>
        <w:t>合营企业或联营企业发生的超额亏损</w:t>
      </w:r>
      <w:bookmarkEnd w:id="2027"/>
      <w:bookmarkEnd w:id="2028"/>
      <w:bookmarkEnd w:id="203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0"/>
        <w:keepNext/>
        <w:keepLines/>
        <w:widowControl w:val="0"/>
        <w:numPr>
          <w:ilvl w:val="0"/>
          <w:numId w:val="215"/>
        </w:numPr>
        <w:shd w:val="clear" w:color="auto" w:fill="auto"/>
        <w:tabs>
          <w:tab w:pos="493" w:val="left"/>
        </w:tabs>
        <w:bidi w:val="0"/>
        <w:spacing w:before="0" w:line="240" w:lineRule="auto"/>
        <w:ind w:left="0" w:right="0" w:firstLine="0"/>
        <w:jc w:val="left"/>
      </w:pPr>
      <w:bookmarkStart w:id="2033" w:name="bookmark2033"/>
      <w:bookmarkStart w:id="2034" w:name="bookmark2034"/>
      <w:bookmarkStart w:id="2035" w:name="bookmark2035"/>
      <w:bookmarkStart w:id="2036" w:name="bookmark2036"/>
      <w:bookmarkEnd w:id="2035"/>
      <w:r>
        <w:rPr>
          <w:color w:val="000000"/>
          <w:spacing w:val="0"/>
          <w:w w:val="100"/>
          <w:position w:val="0"/>
        </w:rPr>
        <w:t>与合营企业投资相关的未确认承诺</w:t>
      </w:r>
      <w:bookmarkEnd w:id="2033"/>
      <w:bookmarkEnd w:id="2034"/>
      <w:bookmarkEnd w:id="2036"/>
    </w:p>
    <w:p>
      <w:pPr>
        <w:pStyle w:val="Style30"/>
        <w:keepNext/>
        <w:keepLines/>
        <w:widowControl w:val="0"/>
        <w:numPr>
          <w:ilvl w:val="0"/>
          <w:numId w:val="215"/>
        </w:numPr>
        <w:shd w:val="clear" w:color="auto" w:fill="auto"/>
        <w:tabs>
          <w:tab w:pos="493" w:val="left"/>
        </w:tabs>
        <w:bidi w:val="0"/>
        <w:spacing w:before="0" w:line="240" w:lineRule="auto"/>
        <w:ind w:left="0" w:right="0" w:firstLine="0"/>
        <w:jc w:val="left"/>
      </w:pPr>
      <w:bookmarkStart w:id="2033" w:name="bookmark2033"/>
      <w:bookmarkStart w:id="2034" w:name="bookmark2034"/>
      <w:bookmarkStart w:id="2037" w:name="bookmark2037"/>
      <w:bookmarkStart w:id="2038" w:name="bookmark2038"/>
      <w:bookmarkEnd w:id="2037"/>
      <w:r>
        <w:rPr>
          <w:color w:val="000000"/>
          <w:spacing w:val="0"/>
          <w:w w:val="100"/>
          <w:position w:val="0"/>
        </w:rPr>
        <w:t>与合营企业或联营企业投资相关的或有负债</w:t>
      </w:r>
      <w:bookmarkEnd w:id="2033"/>
      <w:bookmarkEnd w:id="2034"/>
      <w:bookmarkEnd w:id="2038"/>
    </w:p>
    <w:p>
      <w:pPr>
        <w:pStyle w:val="Style30"/>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9" w:name="bookmark2039"/>
      <w:bookmarkStart w:id="2040" w:name="bookmark2040"/>
      <w:r>
        <w:rPr>
          <w:rFonts w:ascii="Times New Roman" w:eastAsia="Times New Roman" w:hAnsi="Times New Roman" w:cs="Times New Roman"/>
          <w:color w:val="000000"/>
          <w:spacing w:val="0"/>
          <w:w w:val="100"/>
          <w:position w:val="0"/>
        </w:rPr>
        <w:t>4</w:t>
      </w:r>
      <w:bookmarkEnd w:id="2039"/>
      <w:r>
        <w:rPr>
          <w:color w:val="000000"/>
          <w:spacing w:val="0"/>
          <w:w w:val="100"/>
          <w:position w:val="0"/>
        </w:rPr>
        <w:t>、重要的共同经营</w:t>
      </w:r>
      <w:bookmarkEnd w:id="2033"/>
      <w:bookmarkEnd w:id="2034"/>
      <w:bookmarkEnd w:id="2040"/>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在共同经营中的持股比例或享有的份额不同于表决权比例的说明: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0"/>
        <w:keepNext/>
        <w:keepLines/>
        <w:widowControl w:val="0"/>
        <w:shd w:val="clear" w:color="auto" w:fill="auto"/>
        <w:tabs>
          <w:tab w:pos="355" w:val="left"/>
        </w:tabs>
        <w:bidi w:val="0"/>
        <w:spacing w:before="0" w:after="260" w:line="240" w:lineRule="auto"/>
        <w:ind w:left="0" w:right="0" w:firstLine="0"/>
        <w:jc w:val="left"/>
      </w:pPr>
      <w:bookmarkStart w:id="2041" w:name="bookmark2041"/>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5</w:t>
      </w:r>
      <w:bookmarkEnd w:id="2043"/>
      <w:r>
        <w:rPr>
          <w:color w:val="000000"/>
          <w:spacing w:val="0"/>
          <w:w w:val="100"/>
          <w:position w:val="0"/>
        </w:rPr>
        <w:t>、</w:t>
        <w:tab/>
        <w:t>在未纳入合并财务报表范围的结构化主体中的权益</w:t>
      </w:r>
      <w:bookmarkEnd w:id="2041"/>
      <w:bookmarkEnd w:id="2042"/>
      <w:bookmarkEnd w:id="2044"/>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0"/>
        <w:keepNext/>
        <w:keepLines/>
        <w:widowControl w:val="0"/>
        <w:shd w:val="clear" w:color="auto" w:fill="auto"/>
        <w:tabs>
          <w:tab w:pos="355" w:val="left"/>
        </w:tabs>
        <w:bidi w:val="0"/>
        <w:spacing w:before="0" w:after="380" w:line="240" w:lineRule="auto"/>
        <w:ind w:left="0" w:right="0" w:firstLine="0"/>
        <w:jc w:val="left"/>
      </w:pPr>
      <w:bookmarkStart w:id="2045" w:name="bookmark2045"/>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6</w:t>
      </w:r>
      <w:bookmarkEnd w:id="2047"/>
      <w:r>
        <w:rPr>
          <w:color w:val="000000"/>
          <w:spacing w:val="0"/>
          <w:w w:val="100"/>
          <w:position w:val="0"/>
        </w:rPr>
        <w:t>、</w:t>
        <w:tab/>
        <w:t>其他</w:t>
      </w:r>
      <w:bookmarkEnd w:id="2045"/>
      <w:bookmarkEnd w:id="2046"/>
      <w:bookmarkEnd w:id="2048"/>
    </w:p>
    <w:p>
      <w:pPr>
        <w:pStyle w:val="Style24"/>
        <w:keepNext/>
        <w:keepLines/>
        <w:widowControl w:val="0"/>
        <w:shd w:val="clear" w:color="auto" w:fill="auto"/>
        <w:bidi w:val="0"/>
        <w:spacing w:before="0" w:after="260" w:line="240" w:lineRule="auto"/>
        <w:ind w:left="0" w:right="0" w:firstLine="0"/>
        <w:jc w:val="left"/>
      </w:pPr>
      <w:bookmarkStart w:id="2049" w:name="bookmark2049"/>
      <w:bookmarkStart w:id="2050" w:name="bookmark2050"/>
      <w:bookmarkStart w:id="2051" w:name="bookmark2051"/>
      <w:r>
        <w:rPr>
          <w:color w:val="000000"/>
          <w:spacing w:val="0"/>
          <w:w w:val="100"/>
          <w:position w:val="0"/>
          <w:sz w:val="24"/>
          <w:szCs w:val="24"/>
        </w:rPr>
        <w:t>十、与金融工具相关的风险</w:t>
      </w:r>
      <w:bookmarkEnd w:id="2049"/>
      <w:bookmarkEnd w:id="2050"/>
      <w:bookmarkEnd w:id="2051"/>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本公司与金融工具相关的风险源于本公司在经营过程中所确认的各类金融资产和金融负债，包括：信用风险、流动性风险和 市场风险。</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本公司与金融工具相关的各类风险的管理目标和政策的制度由本公司管理层负责。经营管理层通过职能部门负责日常的风险 管理（例如本公司信用管理部对公司发生的赊销业务进行逐笔进行审核）。本公司内部审计部门对公司风险管理的政策和程 序的执行情况进行日常监督，并且将有关发现及时报告给本公司审计委员会。</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本公司风险管理的总体目标是在不过度影响公司竞争力和应变力的情况下,制定尽可能降低各类与金融工具相关风险的风险 管理政策。</w:t>
      </w:r>
    </w:p>
    <w:p>
      <w:pPr>
        <w:pStyle w:val="Style26"/>
        <w:keepNext w:val="0"/>
        <w:keepLines w:val="0"/>
        <w:widowControl w:val="0"/>
        <w:numPr>
          <w:ilvl w:val="0"/>
          <w:numId w:val="217"/>
        </w:numPr>
        <w:shd w:val="clear" w:color="auto" w:fill="auto"/>
        <w:bidi w:val="0"/>
        <w:spacing w:before="0" w:after="0"/>
        <w:ind w:left="0" w:right="0" w:firstLine="0"/>
        <w:jc w:val="left"/>
      </w:pPr>
      <w:bookmarkStart w:id="2052" w:name="bookmark2052"/>
      <w:bookmarkEnd w:id="2052"/>
      <w:r>
        <w:rPr>
          <w:color w:val="000000"/>
          <w:spacing w:val="0"/>
          <w:w w:val="100"/>
          <w:position w:val="0"/>
        </w:rPr>
        <w:t>信用风险</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信用风险，是指金融工具的一方未能履行义务从而导致另一方发生财务损失的风险。本公司的信用风险主要产生于货币资金、 应收票据、应收账款、应收款项融资、其他应收款、合同资产、债权投资以及长期应收款等，这些金融资产的信用风险源自 交易对手违约，最大的风险敞口等于这些工具的账面金额。</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本公司货币资金主要存放于商业银行等金融机构，本公司认为这些商业银行具备较高信誉和资产状况，存在较低的信用风险。 对于应收票据、应收账款、应收款项融资、其他应收款、合同资产、债权投资及长期应收款，本公司设定相关政策以控制信 用风险敞口。本公司基于对客户的财务状况、从第三方获取担保的可能性、信用记录及其他因素诸如目前市场状况等评估客 户的信用资质并设置相应信用期。本公司会定期对客户信用记录进行监控，对于信用记录不良的客户，本公司会采用书面催 款、缩短信用期或取消信用期等方式，以确保本公司的整体信用风险在可控的范围内。</w:t>
      </w:r>
    </w:p>
    <w:p>
      <w:pPr>
        <w:pStyle w:val="Style26"/>
        <w:keepNext w:val="0"/>
        <w:keepLines w:val="0"/>
        <w:widowControl w:val="0"/>
        <w:shd w:val="clear" w:color="auto" w:fill="auto"/>
        <w:tabs>
          <w:tab w:pos="422" w:val="left"/>
        </w:tabs>
        <w:bidi w:val="0"/>
        <w:spacing w:before="0" w:after="0" w:line="312" w:lineRule="exact"/>
        <w:ind w:left="0" w:right="0" w:firstLine="0"/>
        <w:jc w:val="left"/>
      </w:pPr>
      <w:bookmarkStart w:id="2053" w:name="bookmark2053"/>
      <w:r>
        <w:rPr>
          <w:color w:val="000000"/>
          <w:spacing w:val="0"/>
          <w:w w:val="100"/>
          <w:position w:val="0"/>
        </w:rPr>
        <w:t>（</w:t>
      </w:r>
      <w:bookmarkEnd w:id="2053"/>
      <w:r>
        <w:rPr>
          <w:rFonts w:ascii="Times New Roman" w:eastAsia="Times New Roman" w:hAnsi="Times New Roman" w:cs="Times New Roman"/>
          <w:color w:val="000000"/>
          <w:spacing w:val="0"/>
          <w:w w:val="100"/>
          <w:position w:val="0"/>
        </w:rPr>
        <w:t>1</w:t>
      </w:r>
      <w:r>
        <w:rPr>
          <w:color w:val="000000"/>
          <w:spacing w:val="0"/>
          <w:w w:val="100"/>
          <w:position w:val="0"/>
        </w:rPr>
        <w:t>）</w:t>
        <w:tab/>
        <w:t>信用风险显著增加判断标准</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本公司在每个资产负债表日评估相关金融工具的信用风险自初始确认后是否已显著增加。在确定信用风险自初始确认后是否 显著增加时，本公司考虑在无须付出不必要的额外成本或努力即可获得合理且有依据的信息，包括基于本公司历史数据的定 性和定量分析、外部信用风险评级以及前瞻性信息。本公司以单项金融工具或者具有相似信用风险特征的金融工具组合为基 础，通过比较金融工具在资产负债表日发生违约的风险与在初始确认日发生违约的风险，以确定金融工具预计存续期内发生 违约风险的变化情况。</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当触发以下一个或多个定量、定性标准时，本公司认为金融工具的信用风险已发生显著增加：定量标准主要为报告日剩余存 续期违约概率较初始确认时上升超过一定比例；定性标准为主要债务人经营或财务情况出现重大不利变化、预警客户清单等。</w:t>
      </w:r>
    </w:p>
    <w:p>
      <w:pPr>
        <w:pStyle w:val="Style26"/>
        <w:keepNext w:val="0"/>
        <w:keepLines w:val="0"/>
        <w:widowControl w:val="0"/>
        <w:shd w:val="clear" w:color="auto" w:fill="auto"/>
        <w:tabs>
          <w:tab w:pos="422" w:val="left"/>
        </w:tabs>
        <w:bidi w:val="0"/>
        <w:spacing w:before="0" w:after="0" w:line="312" w:lineRule="exact"/>
        <w:ind w:left="0" w:right="0" w:firstLine="0"/>
        <w:jc w:val="left"/>
      </w:pPr>
      <w:bookmarkStart w:id="2054" w:name="bookmark2054"/>
      <w:r>
        <w:rPr>
          <w:color w:val="000000"/>
          <w:spacing w:val="0"/>
          <w:w w:val="100"/>
          <w:position w:val="0"/>
        </w:rPr>
        <w:t>（</w:t>
      </w:r>
      <w:bookmarkEnd w:id="2054"/>
      <w:r>
        <w:rPr>
          <w:rFonts w:ascii="Times New Roman" w:eastAsia="Times New Roman" w:hAnsi="Times New Roman" w:cs="Times New Roman"/>
          <w:color w:val="000000"/>
          <w:spacing w:val="0"/>
          <w:w w:val="100"/>
          <w:position w:val="0"/>
        </w:rPr>
        <w:t>2</w:t>
      </w:r>
      <w:r>
        <w:rPr>
          <w:color w:val="000000"/>
          <w:spacing w:val="0"/>
          <w:w w:val="100"/>
          <w:position w:val="0"/>
        </w:rPr>
        <w:t>）</w:t>
        <w:tab/>
        <w:t>已发生信用减值资产的定义</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为确定是否发生信用减值，本公司所采用的界定标准，与内部针对相关金融工具的信用风险管理目标保持一致，同时考虑定 量、定性指标。</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本公司评估债务人是否发生信用减值时，主要考虑以下因素：发行方或债务人发生重大财务困难；债务人违反合同，如偿付 利息或本金违约或逾期等；债权人出于与债务人财务困难有关的经济或合同考虑，给予债务人在任何其他情况下都不会做出 的让步；债务人很可能破产或进行其他财务重组；发行方或债务人财务困难导致该金融资产的活跃市场消失；以大幅折扣购 买或源生一项金融资产，该折扣反映了发生信用损失的事实。</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金融资产发生信用减值，有可能是多个事件的共同作用所致，未必是可单独识别的事件所致。</w:t>
      </w:r>
    </w:p>
    <w:p>
      <w:pPr>
        <w:pStyle w:val="Style26"/>
        <w:keepNext w:val="0"/>
        <w:keepLines w:val="0"/>
        <w:widowControl w:val="0"/>
        <w:shd w:val="clear" w:color="auto" w:fill="auto"/>
        <w:tabs>
          <w:tab w:pos="422" w:val="left"/>
        </w:tabs>
        <w:bidi w:val="0"/>
        <w:spacing w:before="0" w:after="0" w:line="312" w:lineRule="exact"/>
        <w:ind w:left="0" w:right="0" w:firstLine="0"/>
        <w:jc w:val="left"/>
      </w:pPr>
      <w:bookmarkStart w:id="2055" w:name="bookmark2055"/>
      <w:r>
        <w:rPr>
          <w:color w:val="000000"/>
          <w:spacing w:val="0"/>
          <w:w w:val="100"/>
          <w:position w:val="0"/>
        </w:rPr>
        <w:t>（</w:t>
      </w:r>
      <w:bookmarkEnd w:id="2055"/>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预期信用损失计量的参数 </w:t>
      </w:r>
      <w:r>
        <w:rPr>
          <w:color w:val="000000"/>
          <w:spacing w:val="0"/>
          <w:w w:val="100"/>
          <w:position w:val="0"/>
        </w:rPr>
        <w:t>根据信用风险是否发生显著增加以及是否已发生信用减值,本公司对不同的资产分别以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个月或整个存续期的预期信用损失 计量减值准备。预期信用损失计量的关键参数包括违约概率、违约损失率和违约风险敞口。本公司考虑历史统计数据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如交 易对手评级、担保方式及抵质押物类别、还款方式等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的定量分析及前瞻性信息，建立违约概率、违约损失率及违约风险敞 口模型。</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相关定义如下：</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违约概率是指债务人在未来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违约损失率是指本公司对违约风险暴露发生损失程度作出的预期。根据交易对手的类型、追索的方式和优先级，以及担保品 的不同，违约损失率也有所不同。违约损失率为违约发生时风险敞口损失的百分比，以未来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个月内或整个存续期为基准进 行计算；</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违约风险敞口是指，在未来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个月或在整个剩余存续期中，在违约发生时，本公司应被偿付的金额。前瞻性信息信用风险显 著增加的评估及预期信用损失的计算均涉及前瞻性信息。本公司通过进行历史数据分析，识别出影响各业务类型信用风险及 预期信用损失的关键经济指标。</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本公司所承受的最大信用风险敞口为资产负债表中每项金融资产的账面金额。本公司没有提供任何其他可能令本公司承受信 用风险的担保。</w:t>
      </w:r>
    </w:p>
    <w:p>
      <w:pPr>
        <w:pStyle w:val="Style2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rPr>
        <w:t xml:space="preserve">35.84% </w:t>
      </w:r>
      <w:r>
        <w:rPr>
          <w:color w:val="000000"/>
          <w:spacing w:val="0"/>
          <w:w w:val="100"/>
          <w:position w:val="0"/>
        </w:rPr>
        <w:t>（上期：</w:t>
      </w:r>
      <w:r>
        <w:rPr>
          <w:rFonts w:ascii="Times New Roman" w:eastAsia="Times New Roman" w:hAnsi="Times New Roman" w:cs="Times New Roman"/>
          <w:color w:val="000000"/>
          <w:spacing w:val="0"/>
          <w:w w:val="100"/>
          <w:position w:val="0"/>
        </w:rPr>
        <w:t>27.87%</w:t>
      </w:r>
      <w:r>
        <w:rPr>
          <w:color w:val="000000"/>
          <w:spacing w:val="0"/>
          <w:w w:val="100"/>
          <w:position w:val="0"/>
        </w:rPr>
        <w:t>）；本公司其他应收款中，欠 款金额前五大公司的其他应收款占本公司其他应收款总额的</w:t>
      </w:r>
      <w:r>
        <w:rPr>
          <w:rFonts w:ascii="Times New Roman" w:eastAsia="Times New Roman" w:hAnsi="Times New Roman" w:cs="Times New Roman"/>
          <w:color w:val="000000"/>
          <w:spacing w:val="0"/>
          <w:w w:val="100"/>
          <w:position w:val="0"/>
        </w:rPr>
        <w:t xml:space="preserve">54.59% </w:t>
      </w:r>
      <w:r>
        <w:rPr>
          <w:color w:val="000000"/>
          <w:spacing w:val="0"/>
          <w:w w:val="100"/>
          <w:position w:val="0"/>
        </w:rPr>
        <w:t>（上期：</w:t>
      </w:r>
      <w:r>
        <w:rPr>
          <w:rFonts w:ascii="Times New Roman" w:eastAsia="Times New Roman" w:hAnsi="Times New Roman" w:cs="Times New Roman"/>
          <w:color w:val="000000"/>
          <w:spacing w:val="0"/>
          <w:w w:val="100"/>
          <w:position w:val="0"/>
        </w:rPr>
        <w:t>24.85%</w:t>
      </w:r>
      <w:r>
        <w:rPr>
          <w:color w:val="000000"/>
          <w:spacing w:val="0"/>
          <w:w w:val="100"/>
          <w:position w:val="0"/>
        </w:rPr>
        <w:t>）。</w:t>
      </w:r>
    </w:p>
    <w:p>
      <w:pPr>
        <w:pStyle w:val="Style26"/>
        <w:keepNext w:val="0"/>
        <w:keepLines w:val="0"/>
        <w:widowControl w:val="0"/>
        <w:numPr>
          <w:ilvl w:val="0"/>
          <w:numId w:val="217"/>
        </w:numPr>
        <w:shd w:val="clear" w:color="auto" w:fill="auto"/>
        <w:tabs>
          <w:tab w:pos="278" w:val="left"/>
        </w:tabs>
        <w:bidi w:val="0"/>
        <w:spacing w:before="0" w:after="0"/>
        <w:ind w:left="0" w:right="0" w:firstLine="0"/>
        <w:jc w:val="left"/>
      </w:pPr>
      <w:bookmarkStart w:id="2056" w:name="bookmark2056"/>
      <w:bookmarkEnd w:id="2056"/>
      <w:r>
        <w:rPr>
          <w:color w:val="000000"/>
          <w:spacing w:val="0"/>
          <w:w w:val="100"/>
          <w:position w:val="0"/>
        </w:rPr>
        <w:t>流动性风险</w:t>
      </w:r>
    </w:p>
    <w:p>
      <w:pPr>
        <w:pStyle w:val="Style2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流动性风险，是指企业在履行以交付现金或其他金融资产的方式结算的义务时发生资金短缺的风险。本公司统筹负责公司内 各子公司的现金管理工作，包括现金盈余的短期投资和筹措贷款以应付预计现金需求。本公司的政策是定期监控短期和长期 的流动资金需求，以及是否符合借款协议的规定，以确保维持充裕的现金储备和可供随时变现的有价证券。</w:t>
      </w:r>
    </w:p>
    <w:p>
      <w:pPr>
        <w:pStyle w:val="Style26"/>
        <w:keepNext w:val="0"/>
        <w:keepLines w:val="0"/>
        <w:widowControl w:val="0"/>
        <w:numPr>
          <w:ilvl w:val="0"/>
          <w:numId w:val="217"/>
        </w:numPr>
        <w:shd w:val="clear" w:color="auto" w:fill="auto"/>
        <w:tabs>
          <w:tab w:pos="278" w:val="left"/>
        </w:tabs>
        <w:bidi w:val="0"/>
        <w:spacing w:before="0" w:after="0"/>
        <w:ind w:left="0" w:right="0" w:firstLine="0"/>
        <w:jc w:val="left"/>
      </w:pPr>
      <w:bookmarkStart w:id="2057" w:name="bookmark2057"/>
      <w:bookmarkEnd w:id="2057"/>
      <w:r>
        <w:rPr>
          <w:color w:val="000000"/>
          <w:spacing w:val="0"/>
          <w:w w:val="100"/>
          <w:position w:val="0"/>
        </w:rPr>
        <w:t>市场风险</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）外汇风险</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本公司的汇率风险主要来自本公司及下属子公司持有的不以其记账本位币计价的外币资产和负债。本公司承受汇率风险主要 与以港币和美元计价的借款有关，除本公司设立在香港特别行政区和境外的下属子公司使用港币、美元、英镑、人民币或新 加坡币计价结算外，本公司的其他主要业务以人民币计价结算。</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①截止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日，本公司各外币资产负债项目的主要外汇风险敞口如下（出于列报考虑，风险敞口金额以人民币列示， 以资产负债表日即期汇率折算）：</w:t>
      </w:r>
    </w:p>
    <w:tbl>
      <w:tblPr>
        <w:tblOverlap w:val="never"/>
        <w:jc w:val="center"/>
        <w:tblLayout w:type="fixed"/>
      </w:tblPr>
      <w:tblGrid>
        <w:gridCol w:w="1579"/>
        <w:gridCol w:w="1454"/>
        <w:gridCol w:w="1598"/>
        <w:gridCol w:w="2318"/>
        <w:gridCol w:w="216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7,242,640.77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47,257,506.76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267,155,090.00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16,893,819.27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240,950.22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1,572,176.09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154,231,554.04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9,752,986.55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52,199.20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1,358,850.00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85,928.24</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3,262.45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27,570,013.00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1,743,417.34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17,289.56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112,812.65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1,733,648.00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109,628.96</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7,509,380.55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48,997,957.15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452,049,155.04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28,585,780.36</w:t>
            </w:r>
          </w:p>
        </w:tc>
      </w:tr>
    </w:tbl>
    <w:p>
      <w:pPr>
        <w:pStyle w:val="Style36"/>
        <w:keepNext w:val="0"/>
        <w:keepLines w:val="0"/>
        <w:widowControl w:val="0"/>
        <w:shd w:val="clear" w:color="auto" w:fill="auto"/>
        <w:bidi w:val="0"/>
        <w:spacing w:before="0" w:after="0" w:line="240" w:lineRule="auto"/>
        <w:ind w:left="120" w:right="0" w:firstLine="0"/>
        <w:jc w:val="left"/>
      </w:pPr>
      <w:r>
        <w:rPr>
          <w:color w:val="000000"/>
          <w:spacing w:val="0"/>
          <w:w w:val="100"/>
          <w:position w:val="0"/>
        </w:rPr>
        <w:t>续上表）</w:t>
      </w:r>
    </w:p>
    <w:tbl>
      <w:tblPr>
        <w:tblOverlap w:val="never"/>
        <w:jc w:val="center"/>
        <w:tblLayout w:type="fixed"/>
      </w:tblPr>
      <w:tblGrid>
        <w:gridCol w:w="1306"/>
        <w:gridCol w:w="2059"/>
        <w:gridCol w:w="2371"/>
        <w:gridCol w:w="1752"/>
        <w:gridCol w:w="1627"/>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1,321,983.80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6,519,230.91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839.54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67,776.40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334,232.54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6"/>
        <w:gridCol w:w="2059"/>
        <w:gridCol w:w="2371"/>
        <w:gridCol w:w="1752"/>
        <w:gridCol w:w="162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49,642.18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244,805.45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365,692.04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1,803,373.73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12,165.15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59,991.22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326,310.00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274,635.55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1,817,259.57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8,961,633.85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327,307.50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275,475.09</w:t>
            </w:r>
          </w:p>
        </w:tc>
      </w:tr>
    </w:tbl>
    <w:p>
      <w:pPr>
        <w:pStyle w:val="Style36"/>
        <w:keepNext w:val="0"/>
        <w:keepLines w:val="0"/>
        <w:widowControl w:val="0"/>
        <w:shd w:val="clear" w:color="auto" w:fill="auto"/>
        <w:bidi w:val="0"/>
        <w:spacing w:before="0" w:after="0" w:line="240" w:lineRule="auto"/>
        <w:ind w:left="86" w:right="0" w:firstLine="0"/>
        <w:jc w:val="left"/>
      </w:pPr>
      <w:r>
        <w:rPr>
          <w:color w:val="000000"/>
          <w:spacing w:val="0"/>
          <w:w w:val="100"/>
          <w:position w:val="0"/>
        </w:rPr>
        <w:t>（续上表）</w:t>
      </w:r>
    </w:p>
    <w:tbl>
      <w:tblPr>
        <w:tblOverlap w:val="never"/>
        <w:jc w:val="center"/>
        <w:tblLayout w:type="fixed"/>
      </w:tblPr>
      <w:tblGrid>
        <w:gridCol w:w="1579"/>
        <w:gridCol w:w="1450"/>
        <w:gridCol w:w="1598"/>
        <w:gridCol w:w="2323"/>
        <w:gridCol w:w="2165"/>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50"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日元</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8,377,505.76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58,443,155.68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267,545,086.00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17,145,894.38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172,480.59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1,203,259.09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114,427,026.22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7,333,170.40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20"/>
                <w:szCs w:val="20"/>
              </w:rPr>
            </w:pPr>
            <w:r>
              <w:rPr>
                <w:rFonts w:ascii="Times New Roman" w:eastAsia="Times New Roman" w:hAnsi="Times New Roman" w:cs="Times New Roman"/>
                <w:color w:val="000000"/>
                <w:spacing w:val="0"/>
                <w:w w:val="100"/>
                <w:position w:val="0"/>
                <w:sz w:val="20"/>
                <w:szCs w:val="2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55,809.60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2,178,245.00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139,595.01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2,232.38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18,158,897.00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1,163,731.07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21,180.59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147,760.03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3,509,141.00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224,886.81</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8,579,486.94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59,852,216.78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405,818,395.22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26,007,277.67</w:t>
            </w:r>
          </w:p>
        </w:tc>
      </w:tr>
    </w:tbl>
    <w:p>
      <w:pPr>
        <w:pStyle w:val="Style36"/>
        <w:keepNext w:val="0"/>
        <w:keepLines w:val="0"/>
        <w:widowControl w:val="0"/>
        <w:shd w:val="clear" w:color="auto" w:fill="auto"/>
        <w:bidi w:val="0"/>
        <w:spacing w:before="0" w:after="0" w:line="240" w:lineRule="auto"/>
        <w:ind w:left="86" w:right="0" w:firstLine="0"/>
        <w:jc w:val="left"/>
      </w:pPr>
      <w:r>
        <w:rPr>
          <w:color w:val="000000"/>
          <w:spacing w:val="0"/>
          <w:w w:val="100"/>
          <w:position w:val="0"/>
        </w:rPr>
        <w:t>（续上表）</w:t>
      </w:r>
    </w:p>
    <w:tbl>
      <w:tblPr>
        <w:tblOverlap w:val="never"/>
        <w:jc w:val="center"/>
        <w:tblLayout w:type="fixed"/>
      </w:tblPr>
      <w:tblGrid>
        <w:gridCol w:w="1531"/>
        <w:gridCol w:w="1872"/>
        <w:gridCol w:w="1848"/>
        <w:gridCol w:w="2002"/>
        <w:gridCol w:w="1862"/>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项目名称</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新加坡元</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港币</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外币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175,911.91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910,150.63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930.11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431,197.24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2,230,971.40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33,023.40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170,859.77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6,962.27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36,022.09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281,454.08</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20"/>
                <w:szCs w:val="20"/>
              </w:rPr>
            </w:pPr>
            <w:r>
              <w:rPr>
                <w:rFonts w:ascii="Times New Roman" w:eastAsia="Times New Roman" w:hAnsi="Times New Roman" w:cs="Times New Roman"/>
                <w:color w:val="000000"/>
                <w:spacing w:val="0"/>
                <w:w w:val="100"/>
                <w:position w:val="0"/>
                <w:sz w:val="20"/>
                <w:szCs w:val="20"/>
              </w:rPr>
              <w:t>647,094.82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3,348,003.89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315,238.32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282,384.19</w:t>
            </w:r>
          </w:p>
        </w:tc>
      </w:tr>
    </w:tbl>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本公司密切关注汇率变动对本公司汇率风险的影响。本公司目前并未采取任何措施规避汇率风险。但管理层负责监控汇率风 险，并将于需要时考虑对冲重大汇率风险。</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②敏感性分析</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日，在其他风险变量不变的情况下，如果当日人民币对于美元升值或贬值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 增加或减少</w:t>
      </w:r>
      <w:r>
        <w:rPr>
          <w:rFonts w:ascii="Times New Roman" w:eastAsia="Times New Roman" w:hAnsi="Times New Roman" w:cs="Times New Roman"/>
          <w:color w:val="000000"/>
          <w:spacing w:val="0"/>
          <w:w w:val="100"/>
          <w:position w:val="0"/>
        </w:rPr>
        <w:t>487.66</w:t>
      </w:r>
      <w:r>
        <w:rPr>
          <w:color w:val="000000"/>
          <w:spacing w:val="0"/>
          <w:w w:val="100"/>
          <w:position w:val="0"/>
        </w:rPr>
        <w:t>万元；如果当日人民币对于日元升值或贬值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,那么本公司当年的净利润将增加或减少</w:t>
      </w:r>
      <w:r>
        <w:rPr>
          <w:rFonts w:ascii="Times New Roman" w:eastAsia="Times New Roman" w:hAnsi="Times New Roman" w:cs="Times New Roman"/>
          <w:color w:val="000000"/>
          <w:spacing w:val="0"/>
          <w:w w:val="100"/>
          <w:position w:val="0"/>
        </w:rPr>
        <w:t>248.8</w:t>
      </w:r>
      <w:r>
        <w:rPr>
          <w:rFonts w:ascii="Times New Roman" w:eastAsia="Times New Roman" w:hAnsi="Times New Roman" w:cs="Times New Roman"/>
          <w:color w:val="000000"/>
          <w:spacing w:val="0"/>
          <w:w w:val="100"/>
          <w:position w:val="0"/>
        </w:rPr>
        <w:t>0</w:t>
      </w:r>
      <w:r>
        <w:rPr>
          <w:color w:val="000000"/>
          <w:spacing w:val="0"/>
          <w:w w:val="100"/>
          <w:position w:val="0"/>
        </w:rPr>
        <w:t>万元；如 果当日人民币对于新加坡元升值或贬值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，那么本公司当年的净利润将增加或减少</w:t>
      </w:r>
      <w:r>
        <w:rPr>
          <w:rFonts w:ascii="Times New Roman" w:eastAsia="Times New Roman" w:hAnsi="Times New Roman" w:cs="Times New Roman"/>
          <w:color w:val="000000"/>
          <w:spacing w:val="0"/>
          <w:w w:val="100"/>
          <w:position w:val="0"/>
        </w:rPr>
        <w:t>52.35</w:t>
      </w:r>
      <w:r>
        <w:rPr>
          <w:color w:val="000000"/>
          <w:spacing w:val="0"/>
          <w:w w:val="100"/>
          <w:position w:val="0"/>
        </w:rPr>
        <w:t>万元；如果当日人民币对于港币 升值或贬值</w:t>
      </w:r>
      <w:r>
        <w:rPr>
          <w:rFonts w:ascii="Times New Roman" w:eastAsia="Times New Roman" w:hAnsi="Times New Roman" w:cs="Times New Roman"/>
          <w:color w:val="000000"/>
          <w:spacing w:val="0"/>
          <w:w w:val="100"/>
          <w:position w:val="0"/>
        </w:rPr>
        <w:t>10%</w:t>
      </w:r>
      <w:r>
        <w:rPr>
          <w:color w:val="000000"/>
          <w:spacing w:val="0"/>
          <w:w w:val="100"/>
          <w:position w:val="0"/>
        </w:rPr>
        <w:t>，那么本公司当年的净利润将增加或减少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.74</w:t>
      </w:r>
      <w:r>
        <w:rPr>
          <w:color w:val="000000"/>
          <w:spacing w:val="0"/>
          <w:w w:val="100"/>
          <w:position w:val="0"/>
        </w:rPr>
        <w:t>万元。</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本公司的利率风险主要产生于长期银行借款、应付债券等长期带息债务。浮动利率的金融负债使本公司面临现金流量利率风 险，固定利率的金融负债使本公司面临公允价值利率风险。本公司根据当时的市场环境来决定固定利率及浮动利率合同的相 对比例。</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本公司总部财务部门持续监控集团利率水平。利率上升会增加新增带息债务的成本以及本公司尚未付清的以浮动利率计息的 带息债务的利息支出，并对本公司的财务业绩产生重大的不利影响，管理层会依据最新的市场状况及时做出调整。</w:t>
      </w:r>
    </w:p>
    <w:p>
      <w:pPr>
        <w:pStyle w:val="Style24"/>
        <w:keepNext/>
        <w:keepLines/>
        <w:widowControl w:val="0"/>
        <w:shd w:val="clear" w:color="auto" w:fill="auto"/>
        <w:bidi w:val="0"/>
        <w:spacing w:before="0" w:after="360" w:line="240" w:lineRule="auto"/>
        <w:ind w:left="0" w:right="0" w:firstLine="0"/>
        <w:jc w:val="left"/>
      </w:pPr>
      <w:bookmarkStart w:id="2058" w:name="bookmark2058"/>
      <w:bookmarkStart w:id="2059" w:name="bookmark2059"/>
      <w:bookmarkStart w:id="2060" w:name="bookmark2060"/>
      <w:r>
        <w:rPr>
          <w:color w:val="000000"/>
          <w:spacing w:val="0"/>
          <w:w w:val="100"/>
          <w:position w:val="0"/>
          <w:sz w:val="24"/>
          <w:szCs w:val="24"/>
        </w:rPr>
        <w:t>十一、公允价值的披露</w:t>
      </w:r>
      <w:bookmarkEnd w:id="2058"/>
      <w:bookmarkEnd w:id="2059"/>
      <w:bookmarkEnd w:id="2060"/>
    </w:p>
    <w:p>
      <w:pPr>
        <w:pStyle w:val="Style30"/>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61"/>
      <w:bookmarkEnd w:id="2062"/>
      <w:bookmarkEnd w:id="206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233,637,522.46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233,637,522.46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1,837,910.70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19,929,852.60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235,475,433.16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255,405,285.76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0"/>
        <w:keepNext/>
        <w:keepLines/>
        <w:widowControl w:val="0"/>
        <w:shd w:val="clear" w:color="auto" w:fill="auto"/>
        <w:tabs>
          <w:tab w:pos="378" w:val="left"/>
        </w:tabs>
        <w:bidi w:val="0"/>
        <w:spacing w:before="0" w:after="28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bookmarkEnd w:id="2066"/>
      <w:r>
        <w:rPr>
          <w:color w:val="000000"/>
          <w:spacing w:val="0"/>
          <w:w w:val="100"/>
          <w:position w:val="0"/>
        </w:rPr>
        <w:t>、</w:t>
        <w:tab/>
        <w:t>持续和非持续第一层次公允价值计量项目市价的确定依据</w:t>
      </w:r>
      <w:bookmarkEnd w:id="2064"/>
      <w:bookmarkEnd w:id="2065"/>
      <w:bookmarkEnd w:id="2067"/>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w:t>
        <w:tab/>
        <w:t>持续和非持续第二层次公允价值计量项目，采用的估值技术和重要参数的定性及定量信息</w:t>
      </w:r>
      <w:bookmarkEnd w:id="2068"/>
      <w:bookmarkEnd w:id="2069"/>
      <w:bookmarkEnd w:id="2071"/>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0"/>
        <w:keepNext/>
        <w:keepLines/>
        <w:widowControl w:val="0"/>
        <w:shd w:val="clear" w:color="auto" w:fill="auto"/>
        <w:tabs>
          <w:tab w:pos="378" w:val="left"/>
        </w:tabs>
        <w:bidi w:val="0"/>
        <w:spacing w:before="0" w:after="28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4</w:t>
      </w:r>
      <w:bookmarkEnd w:id="2074"/>
      <w:r>
        <w:rPr>
          <w:color w:val="000000"/>
          <w:spacing w:val="0"/>
          <w:w w:val="100"/>
          <w:position w:val="0"/>
        </w:rPr>
        <w:t>、</w:t>
        <w:tab/>
        <w:t>持续和非持续第三层次公允价值计量项目，采用的估值技术和重要参数的定性及定量信息</w:t>
      </w:r>
      <w:bookmarkEnd w:id="2072"/>
      <w:bookmarkEnd w:id="2073"/>
      <w:bookmarkEnd w:id="2075"/>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应收款项融资系银行承兑汇票，该类资产在活跃市场中无报价且其公允价值不能可靠计量，成本代表了对公允价值的最佳估 计，故用成本代表公允价值。</w:t>
      </w:r>
    </w:p>
    <w:p>
      <w:pPr>
        <w:pStyle w:val="Style30"/>
        <w:keepNext/>
        <w:keepLines/>
        <w:widowControl w:val="0"/>
        <w:shd w:val="clear" w:color="auto" w:fill="auto"/>
        <w:tabs>
          <w:tab w:pos="378" w:val="left"/>
        </w:tabs>
        <w:bidi w:val="0"/>
        <w:spacing w:before="0" w:after="28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5</w:t>
      </w:r>
      <w:bookmarkEnd w:id="2078"/>
      <w:r>
        <w:rPr>
          <w:color w:val="000000"/>
          <w:spacing w:val="0"/>
          <w:w w:val="100"/>
          <w:position w:val="0"/>
        </w:rPr>
        <w:t>、</w:t>
        <w:tab/>
        <w:t>持续的第三层次公允价值计量项目，期初与期末账面价值间的调节信息及不可观察参数敏感性分析</w:t>
      </w:r>
      <w:bookmarkEnd w:id="2076"/>
      <w:bookmarkEnd w:id="2077"/>
      <w:bookmarkEnd w:id="2079"/>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本公司第三层次公允价值计量的其他权益工具投资系本公司持有的非上市公司股权。</w:t>
      </w:r>
    </w:p>
    <w:p>
      <w:pPr>
        <w:pStyle w:val="Style2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其他被投资企业经营环境和经营情况、财务状况未发生重大变化，所以公司按持有的权益作为公允价值的合理估计进行计量。</w:t>
      </w:r>
    </w:p>
    <w:p>
      <w:pPr>
        <w:pStyle w:val="Style51"/>
        <w:keepNext w:val="0"/>
        <w:keepLines w:val="0"/>
        <w:widowControl w:val="0"/>
        <w:shd w:val="clear" w:color="auto" w:fill="auto"/>
        <w:tabs>
          <w:tab w:pos="378" w:val="left"/>
        </w:tabs>
        <w:bidi w:val="0"/>
        <w:spacing w:before="0" w:line="240" w:lineRule="auto"/>
        <w:ind w:left="0" w:right="0" w:firstLine="0"/>
        <w:jc w:val="left"/>
      </w:pPr>
      <w:bookmarkStart w:id="2080" w:name="bookmark2080"/>
      <w:r>
        <w:rPr>
          <w:rFonts w:ascii="Times New Roman" w:eastAsia="Times New Roman" w:hAnsi="Times New Roman" w:cs="Times New Roman"/>
          <w:color w:val="000000"/>
          <w:spacing w:val="0"/>
          <w:w w:val="100"/>
          <w:position w:val="0"/>
        </w:rPr>
        <w:t>6</w:t>
      </w:r>
      <w:bookmarkEnd w:id="2080"/>
      <w:r>
        <w:rPr>
          <w:color w:val="000000"/>
          <w:spacing w:val="0"/>
          <w:w w:val="100"/>
          <w:position w:val="0"/>
        </w:rPr>
        <w:t>、</w:t>
        <w:tab/>
        <w:t>持续的公允价值计量项目，本期内发生各层级之间转换的，转换的原因及确定转换时点的政策</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2081" w:name="bookmark2081"/>
      <w:r>
        <w:rPr>
          <w:rFonts w:ascii="Times New Roman" w:eastAsia="Times New Roman" w:hAnsi="Times New Roman" w:cs="Times New Roman"/>
          <w:color w:val="000000"/>
          <w:spacing w:val="0"/>
          <w:w w:val="100"/>
          <w:position w:val="0"/>
        </w:rPr>
        <w:t>7</w:t>
      </w:r>
      <w:bookmarkEnd w:id="2081"/>
      <w:r>
        <w:rPr>
          <w:color w:val="000000"/>
          <w:spacing w:val="0"/>
          <w:w w:val="100"/>
          <w:position w:val="0"/>
        </w:rPr>
        <w:t>、</w:t>
        <w:tab/>
        <w:t>本期内发生的估值技术变更及变更原因</w:t>
      </w:r>
    </w:p>
    <w:p>
      <w:pPr>
        <w:pStyle w:val="Style51"/>
        <w:keepNext w:val="0"/>
        <w:keepLines w:val="0"/>
        <w:widowControl w:val="0"/>
        <w:shd w:val="clear" w:color="auto" w:fill="auto"/>
        <w:tabs>
          <w:tab w:pos="378" w:val="left"/>
        </w:tabs>
        <w:bidi w:val="0"/>
        <w:spacing w:before="0" w:line="240" w:lineRule="auto"/>
        <w:ind w:left="0" w:right="0" w:firstLine="0"/>
        <w:jc w:val="left"/>
      </w:pPr>
      <w:bookmarkStart w:id="2082" w:name="bookmark2082"/>
      <w:r>
        <w:rPr>
          <w:rFonts w:ascii="Times New Roman" w:eastAsia="Times New Roman" w:hAnsi="Times New Roman" w:cs="Times New Roman"/>
          <w:color w:val="000000"/>
          <w:spacing w:val="0"/>
          <w:w w:val="100"/>
          <w:position w:val="0"/>
        </w:rPr>
        <w:t>8</w:t>
      </w:r>
      <w:bookmarkEnd w:id="2082"/>
      <w:r>
        <w:rPr>
          <w:color w:val="000000"/>
          <w:spacing w:val="0"/>
          <w:w w:val="100"/>
          <w:position w:val="0"/>
        </w:rPr>
        <w:t>、</w:t>
        <w:tab/>
        <w:t>不以公允价值计量的金融资产和金融负债的公允价值情况</w:t>
      </w:r>
    </w:p>
    <w:p>
      <w:pPr>
        <w:pStyle w:val="Style51"/>
        <w:keepNext w:val="0"/>
        <w:keepLines w:val="0"/>
        <w:widowControl w:val="0"/>
        <w:shd w:val="clear" w:color="auto" w:fill="auto"/>
        <w:tabs>
          <w:tab w:pos="378" w:val="left"/>
        </w:tabs>
        <w:bidi w:val="0"/>
        <w:spacing w:before="0" w:after="320" w:line="240" w:lineRule="auto"/>
        <w:ind w:left="0" w:right="0" w:firstLine="0"/>
        <w:jc w:val="left"/>
      </w:pPr>
      <w:bookmarkStart w:id="2083" w:name="bookmark2083"/>
      <w:r>
        <w:rPr>
          <w:rFonts w:ascii="Times New Roman" w:eastAsia="Times New Roman" w:hAnsi="Times New Roman" w:cs="Times New Roman"/>
          <w:color w:val="000000"/>
          <w:spacing w:val="0"/>
          <w:w w:val="100"/>
          <w:position w:val="0"/>
        </w:rPr>
        <w:t>9</w:t>
      </w:r>
      <w:bookmarkEnd w:id="2083"/>
      <w:r>
        <w:rPr>
          <w:color w:val="000000"/>
          <w:spacing w:val="0"/>
          <w:w w:val="100"/>
          <w:position w:val="0"/>
        </w:rPr>
        <w:t>、</w:t>
        <w:tab/>
        <w:t>其他</w:t>
      </w:r>
    </w:p>
    <w:p>
      <w:pPr>
        <w:pStyle w:val="Style24"/>
        <w:keepNext/>
        <w:keepLines/>
        <w:widowControl w:val="0"/>
        <w:shd w:val="clear" w:color="auto" w:fill="auto"/>
        <w:bidi w:val="0"/>
        <w:spacing w:before="0" w:after="380" w:line="240" w:lineRule="auto"/>
        <w:ind w:left="0" w:right="0" w:firstLine="0"/>
        <w:jc w:val="left"/>
      </w:pPr>
      <w:bookmarkStart w:id="2084" w:name="bookmark2084"/>
      <w:bookmarkStart w:id="2085" w:name="bookmark2085"/>
      <w:bookmarkStart w:id="2086" w:name="bookmark2086"/>
      <w:r>
        <w:rPr>
          <w:color w:val="000000"/>
          <w:spacing w:val="0"/>
          <w:w w:val="100"/>
          <w:position w:val="0"/>
          <w:sz w:val="24"/>
          <w:szCs w:val="24"/>
        </w:rPr>
        <w:t>十二、关联方及关联交易</w:t>
      </w:r>
      <w:bookmarkEnd w:id="2084"/>
      <w:bookmarkEnd w:id="2085"/>
      <w:bookmarkEnd w:id="2086"/>
    </w:p>
    <w:p>
      <w:pPr>
        <w:pStyle w:val="Style5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 集团有限公司（以下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润和投资</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17" w:lineRule="exact"/>
        <w:ind w:left="0" w:right="0" w:firstLine="520"/>
        <w:jc w:val="left"/>
      </w:pPr>
      <w:r>
        <w:rPr>
          <w:color w:val="000000"/>
          <w:spacing w:val="0"/>
          <w:w w:val="100"/>
          <w:position w:val="0"/>
        </w:rPr>
        <w:t>本公司最终控制方为自然人周红卫、姚宁，截至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日，周红卫、姚宁分别直接持有润和软件</w:t>
      </w:r>
      <w:r>
        <w:rPr>
          <w:rFonts w:ascii="Times New Roman" w:eastAsia="Times New Roman" w:hAnsi="Times New Roman" w:cs="Times New Roman"/>
          <w:color w:val="000000"/>
          <w:spacing w:val="0"/>
          <w:w w:val="100"/>
          <w:position w:val="0"/>
        </w:rPr>
        <w:t>4.17%</w:t>
      </w:r>
      <w:r>
        <w:rPr>
          <w:color w:val="000000"/>
          <w:spacing w:val="0"/>
          <w:w w:val="100"/>
          <w:position w:val="0"/>
        </w:rPr>
        <w:t>、</w:t>
      </w:r>
      <w:r>
        <w:rPr>
          <w:rFonts w:ascii="Times New Roman" w:eastAsia="Times New Roman" w:hAnsi="Times New Roman" w:cs="Times New Roman"/>
          <w:color w:val="000000"/>
          <w:spacing w:val="0"/>
          <w:w w:val="100"/>
          <w:position w:val="0"/>
        </w:rPr>
        <w:t xml:space="preserve">2.00% </w:t>
      </w:r>
      <w:r>
        <w:rPr>
          <w:color w:val="000000"/>
          <w:spacing w:val="0"/>
          <w:w w:val="100"/>
          <w:position w:val="0"/>
        </w:rPr>
        <w:t>的股权，并通过共同控制润和投资，合计持有公司</w:t>
      </w:r>
      <w:r>
        <w:rPr>
          <w:rFonts w:ascii="Times New Roman" w:eastAsia="Times New Roman" w:hAnsi="Times New Roman" w:cs="Times New Roman"/>
          <w:color w:val="000000"/>
          <w:spacing w:val="0"/>
          <w:w w:val="100"/>
          <w:position w:val="0"/>
        </w:rPr>
        <w:t>12.35%</w:t>
      </w:r>
      <w:r>
        <w:rPr>
          <w:color w:val="000000"/>
          <w:spacing w:val="0"/>
          <w:w w:val="100"/>
          <w:position w:val="0"/>
        </w:rPr>
        <w:t>的表决权股份。</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本企业最终控制方是周红卫、姚宁。</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51"/>
        <w:keepNext w:val="0"/>
        <w:keepLines w:val="0"/>
        <w:widowControl w:val="0"/>
        <w:shd w:val="clear" w:color="auto" w:fill="auto"/>
        <w:tabs>
          <w:tab w:pos="378" w:val="left"/>
        </w:tabs>
        <w:bidi w:val="0"/>
        <w:spacing w:before="0" w:after="260" w:line="240" w:lineRule="auto"/>
        <w:ind w:left="0" w:right="0" w:firstLine="0"/>
        <w:jc w:val="left"/>
      </w:pPr>
      <w:bookmarkStart w:id="2087" w:name="bookmark2087"/>
      <w:r>
        <w:rPr>
          <w:rFonts w:ascii="Times New Roman" w:eastAsia="Times New Roman" w:hAnsi="Times New Roman" w:cs="Times New Roman"/>
          <w:color w:val="000000"/>
          <w:spacing w:val="0"/>
          <w:w w:val="100"/>
          <w:position w:val="0"/>
        </w:rPr>
        <w:t>2</w:t>
      </w:r>
      <w:bookmarkEnd w:id="2087"/>
      <w:r>
        <w:rPr>
          <w:color w:val="000000"/>
          <w:spacing w:val="0"/>
          <w:w w:val="100"/>
          <w:position w:val="0"/>
        </w:rPr>
        <w:t>、</w:t>
        <w:tab/>
        <w:t>本企业的子公司情况</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本企业子公司的情况详见附注九、在其他主体中的权益。</w:t>
      </w:r>
    </w:p>
    <w:p>
      <w:pPr>
        <w:pStyle w:val="Style51"/>
        <w:keepNext w:val="0"/>
        <w:keepLines w:val="0"/>
        <w:widowControl w:val="0"/>
        <w:shd w:val="clear" w:color="auto" w:fill="auto"/>
        <w:tabs>
          <w:tab w:pos="378" w:val="left"/>
        </w:tabs>
        <w:bidi w:val="0"/>
        <w:spacing w:before="0" w:after="260" w:line="240" w:lineRule="auto"/>
        <w:ind w:left="0" w:right="0" w:firstLine="0"/>
        <w:jc w:val="left"/>
      </w:pPr>
      <w:bookmarkStart w:id="2088" w:name="bookmark2088"/>
      <w:r>
        <w:rPr>
          <w:rFonts w:ascii="Times New Roman" w:eastAsia="Times New Roman" w:hAnsi="Times New Roman" w:cs="Times New Roman"/>
          <w:color w:val="000000"/>
          <w:spacing w:val="0"/>
          <w:w w:val="100"/>
          <w:position w:val="0"/>
        </w:rPr>
        <w:t>3</w:t>
      </w:r>
      <w:bookmarkEnd w:id="2088"/>
      <w:r>
        <w:rPr>
          <w:color w:val="000000"/>
          <w:spacing w:val="0"/>
          <w:w w:val="100"/>
          <w:position w:val="0"/>
        </w:rPr>
        <w:t>、</w:t>
        <w:tab/>
        <w:t>本企业合营和联营企业情况</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本企业重要的合营或联营企业详见附注九、在其他主体中的权益。</w:t>
      </w:r>
    </w:p>
    <w:p>
      <w:pPr>
        <w:pStyle w:val="Style26"/>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新维数联（北京）科技有限公司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江苏鑫合易家信息技术有限责任公司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奥特酷智能科技（南京）有限公司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江苏润和智融科技有限公司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after="32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4</w:t>
      </w:r>
      <w:bookmarkEnd w:id="2091"/>
      <w:r>
        <w:rPr>
          <w:color w:val="000000"/>
          <w:spacing w:val="0"/>
          <w:w w:val="100"/>
          <w:position w:val="0"/>
        </w:rPr>
        <w:t>、其他关联方情况</w:t>
      </w:r>
      <w:bookmarkEnd w:id="2089"/>
      <w:bookmarkEnd w:id="2090"/>
      <w:bookmarkEnd w:id="209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南京润宏置业有限公司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江苏慧通教育产业投资有限公司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南京慧通婴幼儿保育有限公司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CLOUD </w:t>
            </w:r>
            <w:r>
              <w:rPr>
                <w:rFonts w:ascii="Times New Roman" w:eastAsia="Times New Roman" w:hAnsi="Times New Roman" w:cs="Times New Roman"/>
                <w:color w:val="000000"/>
                <w:spacing w:val="0"/>
                <w:w w:val="100"/>
                <w:position w:val="0"/>
              </w:rPr>
              <w:t xml:space="preserve">4 </w:t>
            </w:r>
            <w:r>
              <w:rPr>
                <w:rFonts w:ascii="Times New Roman" w:eastAsia="Times New Roman" w:hAnsi="Times New Roman" w:cs="Times New Roman"/>
                <w:color w:val="000000"/>
                <w:spacing w:val="0"/>
                <w:w w:val="100"/>
                <w:position w:val="0"/>
              </w:rPr>
              <w:t>DEVICE TECHNOLOGY CORP.</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江苏润和文化产业发展有限公司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江苏润联信息技术有限公司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上海润舸投资管理有限公司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南京润林网络科技有限公司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上海润宁信息科技有限公司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南京泉创信息科技有限公司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南京市润企科技小额贷款有限公司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江苏众享金联科技有限公司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上海米飞网络科技有限公司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虹软科技股份有限公司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本期控股股东曾参股的公司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南京格致基因生物科技有限公司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周红卫、姚宁投资的公司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江苏民营投资控股有限公司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NEVADA NANOTECH SYSTEMS 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苏州博纳讯动软件有限公司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苏州保润欣和信息科技有限公司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持有上市公司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以上股份的法人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上海云鑫创业投资有限公司的母公司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重庆市蚂蚁商诚小额贷款有限公司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重庆市蚂蚁小微小额贷款有限公司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蚂蚁智信（杭州）信息技术有限公司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蚂蚁区块链科技（上海）有限公司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北京蚂蚁云金融信息服务有限公司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蚂蚁金服（海南）数字技术有限公司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蚂蚁财富（上海）金融信息服务有限公司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蚂蚁科技集团股份有限公司的子公司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江苏红土软件创业投资有限公司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周红卫担任董事的公司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江苏艾福睿信息科技有限公司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南京润和成科技信息有限公司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控股股东控制的公司</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上海保欣信息科技有限公司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江苏瑞照医疗投资管理有限公司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海南博鳌润和会展有限公司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控股股东间接控制的公司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南京致爱医药科技有限公司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南京格致基因生物科技有限公司持股</w:t>
            </w:r>
            <w:r>
              <w:rPr>
                <w:rFonts w:ascii="Times New Roman" w:eastAsia="Times New Roman" w:hAnsi="Times New Roman" w:cs="Times New Roman"/>
                <w:color w:val="000000"/>
                <w:spacing w:val="0"/>
                <w:w w:val="100"/>
                <w:position w:val="0"/>
              </w:rPr>
              <w:t>50%</w:t>
            </w:r>
            <w:r>
              <w:rPr>
                <w:color w:val="000000"/>
                <w:spacing w:val="0"/>
                <w:w w:val="100"/>
                <w:position w:val="0"/>
              </w:rPr>
              <w:t>的公司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浙江鑫通创新股权投资管理有限公司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江苏鑫智股权投资管理有限公司控股公司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上海云藤生物科技有限公司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南京格致基因生物科技有限公司参股公司</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支付宝（中国）网络技术有限公司北京分公司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蚂蚁科技集团股份有限公司的子公司支付宝（中国）网络技 术有限公司的分公司</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5</w:t>
      </w:r>
      <w:bookmarkEnd w:id="2095"/>
      <w:r>
        <w:rPr>
          <w:color w:val="000000"/>
          <w:spacing w:val="0"/>
          <w:w w:val="100"/>
          <w:position w:val="0"/>
        </w:rPr>
        <w:t>、关联交易情况</w:t>
      </w:r>
      <w:bookmarkEnd w:id="2093"/>
      <w:bookmarkEnd w:id="2094"/>
      <w:bookmarkEnd w:id="2096"/>
    </w:p>
    <w:p>
      <w:pPr>
        <w:pStyle w:val="Style30"/>
        <w:keepNext/>
        <w:keepLines/>
        <w:widowControl w:val="0"/>
        <w:shd w:val="clear" w:color="auto" w:fill="auto"/>
        <w:bidi w:val="0"/>
        <w:spacing w:before="0" w:after="380" w:line="240" w:lineRule="auto"/>
        <w:ind w:left="0" w:right="0" w:firstLine="0"/>
        <w:jc w:val="left"/>
      </w:pPr>
      <w:bookmarkStart w:id="2093" w:name="bookmark2093"/>
      <w:bookmarkStart w:id="2094" w:name="bookmark2094"/>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93"/>
      <w:bookmarkEnd w:id="2094"/>
      <w:bookmarkEnd w:id="209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新维数联（北京）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12,665,630.17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5,171,762.82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江苏开拓信息与系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7,688,560.59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7,629,032.10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江苏润和智融科技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6,018,658.76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苏州博纳讯动软件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2,396,226.41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2,396,226.42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南京润辰科技有限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871,275.77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843,593.66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蚂蚁区块链科技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330,188.68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江苏润和文化产业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虹软科技股份有限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10,619.47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29,998,059.85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16,040,615.00</w:t>
            </w:r>
          </w:p>
        </w:tc>
      </w:tr>
    </w:tbl>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蚂蚁智信（杭州）信息技术有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7,303,389.34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2,596,639.34</w:t>
            </w:r>
          </w:p>
        </w:tc>
      </w:tr>
    </w:tbl>
    <w:p>
      <w:pPr>
        <w:spacing w:lineRule="exact" w:line="1"/>
        <w:rPr>
          <w:sz w:val="2"/>
          <w:szCs w:val="2"/>
        </w:rPr>
      </w:pPr>
      <w:r>
        <w:br w:type="page"/>
      </w:r>
    </w:p>
    <w:tbl>
      <w:tblPr>
        <w:tblOverlap w:val="never"/>
        <w:jc w:val="center"/>
        <w:tblLayout w:type="fixed"/>
      </w:tblPr>
      <w:tblGrid>
        <w:gridCol w:w="2405"/>
        <w:gridCol w:w="2261"/>
        <w:gridCol w:w="2256"/>
        <w:gridCol w:w="266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蚂蚁区块链科技（上海）有限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3,339,867.60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69,568.99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北京蚂蚁云金融信息服务有限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849,805.63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175,665.66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江苏鑫合易家信息技术有限责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682,141.51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150,824.48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重庆市蚂蚁商诚小额贷款有限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242,646.89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蚂蚁金服（海南）数字技术有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217,361.04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蚂蚁财富（上海）金融信息服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11,938.51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重庆市蚂蚁小微小额贷款有限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624,256.81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支付宝（中国）网络技术有限 公司北京分公司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78,372.58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江苏开拓信息与系统有限公司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26,005.65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南京市润企科技小额贷款有限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13,966,919.09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4,819,629.36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98"/>
      <w:bookmarkEnd w:id="2099"/>
      <w:bookmarkEnd w:id="210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r>
        <w:br w:type="page"/>
      </w:r>
    </w:p>
    <w:p>
      <w:pPr>
        <w:pStyle w:val="Style30"/>
        <w:keepNext/>
        <w:keepLines/>
        <w:widowControl w:val="0"/>
        <w:shd w:val="clear" w:color="auto" w:fill="auto"/>
        <w:bidi w:val="0"/>
        <w:spacing w:before="0" w:after="38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01"/>
      <w:bookmarkEnd w:id="2102"/>
      <w:bookmarkEnd w:id="2104"/>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江苏润和科技投资集团有限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5,423,013.79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7,003,743.02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南京慧通婴幼儿保育有限公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1,563,976.63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1,551,665.40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510,691.12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548,494.09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482,456.54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103,790.44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7,535,484.51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9,652,346.52</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0"/>
        <w:keepNext/>
        <w:keepLines/>
        <w:widowControl w:val="0"/>
        <w:shd w:val="clear" w:color="auto" w:fill="auto"/>
        <w:bidi w:val="0"/>
        <w:spacing w:before="0" w:after="38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w:t>
      </w:r>
      <w:bookmarkEnd w:id="210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05"/>
      <w:bookmarkEnd w:id="2106"/>
      <w:bookmarkEnd w:id="210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北京捷科智诚科技有限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北京联创智融信息科技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西安润和软件信息技术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周红卫、束岚、姚宁、 朱彤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526,400,000.00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有限公司、北京捷科智 诚科技有限公司、周红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卫、姚宁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周红卫、束岚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江苏润和科技投资集团 有限公司、周红卫、束 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有限公司、北京捷科智 诚科技有限公司、周红 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北京捷科智诚科技有限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周帮建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周红卫、束岚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有限公司、周红卫、束 岚、姚宁、朱彤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江苏润和科技投资集团 有限公司、周红卫、姚 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江苏润和科技投资集团 有限公司、周红卫、姚 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有限公司、周红卫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江苏润和科技投资集团 有限公司、周红卫、姚 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江苏润和南京软件外包 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江苏润和南京软件外包 园投资有限公司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江苏润和南京软件外包 园投资有限公司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27"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2"/>
              <w:keepNext w:val="0"/>
              <w:keepLines w:val="0"/>
              <w:widowControl w:val="0"/>
              <w:shd w:val="clear" w:color="auto" w:fill="auto"/>
              <w:bidi w:val="0"/>
              <w:spacing w:before="0" w:after="380" w:line="240" w:lineRule="auto"/>
              <w:ind w:left="0" w:right="0" w:firstLine="0"/>
              <w:jc w:val="both"/>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)关联方资金拆借</w:t>
            </w:r>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31,930,121.49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江苏润和科技投资集团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3,007,512.20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江苏润和科技投资集团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12,062,366.31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截至报告披露日已归还</w:t>
            </w:r>
          </w:p>
        </w:tc>
      </w:tr>
    </w:tbl>
    <w:p>
      <w:pPr>
        <w:widowControl w:val="0"/>
        <w:spacing w:after="319" w:line="1" w:lineRule="exact"/>
      </w:pPr>
    </w:p>
    <w:p>
      <w:pPr>
        <w:pStyle w:val="Style30"/>
        <w:keepNext/>
        <w:keepLines/>
        <w:widowControl w:val="0"/>
        <w:numPr>
          <w:ilvl w:val="0"/>
          <w:numId w:val="219"/>
        </w:numPr>
        <w:shd w:val="clear" w:color="auto" w:fill="auto"/>
        <w:bidi w:val="0"/>
        <w:spacing w:before="0" w:after="380" w:line="240" w:lineRule="auto"/>
        <w:ind w:left="0" w:right="0" w:firstLine="0"/>
        <w:jc w:val="left"/>
      </w:pPr>
      <w:bookmarkStart w:id="2109" w:name="bookmark2109"/>
      <w:bookmarkStart w:id="2110" w:name="bookmark2110"/>
      <w:bookmarkStart w:id="2111" w:name="bookmark2111"/>
      <w:bookmarkStart w:id="2112" w:name="bookmark2112"/>
      <w:bookmarkEnd w:id="2111"/>
      <w:r>
        <w:rPr>
          <w:color w:val="000000"/>
          <w:spacing w:val="0"/>
          <w:w w:val="100"/>
          <w:position w:val="0"/>
        </w:rPr>
        <w:t>关联方资产转让、债务重组情况</w:t>
      </w:r>
      <w:bookmarkEnd w:id="2109"/>
      <w:bookmarkEnd w:id="2110"/>
      <w:bookmarkEnd w:id="211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0"/>
        <w:keepNext/>
        <w:keepLines/>
        <w:widowControl w:val="0"/>
        <w:numPr>
          <w:ilvl w:val="0"/>
          <w:numId w:val="219"/>
        </w:numPr>
        <w:shd w:val="clear" w:color="auto" w:fill="auto"/>
        <w:bidi w:val="0"/>
        <w:spacing w:before="0" w:after="380" w:line="240" w:lineRule="auto"/>
        <w:ind w:left="0" w:right="0" w:firstLine="0"/>
        <w:jc w:val="left"/>
      </w:pPr>
      <w:bookmarkStart w:id="2113" w:name="bookmark2113"/>
      <w:bookmarkStart w:id="2114" w:name="bookmark2114"/>
      <w:bookmarkStart w:id="2115" w:name="bookmark2115"/>
      <w:bookmarkStart w:id="2116" w:name="bookmark2116"/>
      <w:bookmarkEnd w:id="2115"/>
      <w:r>
        <w:rPr>
          <w:color w:val="000000"/>
          <w:spacing w:val="0"/>
          <w:w w:val="100"/>
          <w:position w:val="0"/>
        </w:rPr>
        <w:t>关键管理人员报酬</w:t>
      </w:r>
      <w:bookmarkEnd w:id="2113"/>
      <w:bookmarkEnd w:id="2114"/>
      <w:bookmarkEnd w:id="211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8,503,500.00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6,993,400.00</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19" w:name="bookmark2119"/>
      <w:bookmarkStart w:id="2120" w:name="bookmark2120"/>
      <w:r>
        <w:rPr>
          <w:color w:val="000000"/>
          <w:spacing w:val="0"/>
          <w:w w:val="100"/>
          <w:position w:val="0"/>
        </w:rPr>
        <w:t>（</w:t>
      </w:r>
      <w:bookmarkEnd w:id="211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17"/>
      <w:bookmarkEnd w:id="2118"/>
      <w:bookmarkEnd w:id="2120"/>
    </w:p>
    <w:p>
      <w:pPr>
        <w:pStyle w:val="Style30"/>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21" w:name="bookmark2121"/>
      <w:bookmarkStart w:id="2122" w:name="bookmark2122"/>
      <w:r>
        <w:rPr>
          <w:rFonts w:ascii="Times New Roman" w:eastAsia="Times New Roman" w:hAnsi="Times New Roman" w:cs="Times New Roman"/>
          <w:color w:val="000000"/>
          <w:spacing w:val="0"/>
          <w:w w:val="100"/>
          <w:position w:val="0"/>
        </w:rPr>
        <w:t>6</w:t>
      </w:r>
      <w:bookmarkEnd w:id="2121"/>
      <w:r>
        <w:rPr>
          <w:color w:val="000000"/>
          <w:spacing w:val="0"/>
          <w:w w:val="100"/>
          <w:position w:val="0"/>
        </w:rPr>
        <w:t>、关联方应收应付款项</w:t>
      </w:r>
      <w:bookmarkEnd w:id="2117"/>
      <w:bookmarkEnd w:id="2118"/>
      <w:bookmarkEnd w:id="2122"/>
    </w:p>
    <w:p>
      <w:pPr>
        <w:pStyle w:val="Style30"/>
        <w:keepNext/>
        <w:keepLines/>
        <w:widowControl w:val="0"/>
        <w:shd w:val="clear" w:color="auto" w:fill="auto"/>
        <w:bidi w:val="0"/>
        <w:spacing w:before="0" w:line="240" w:lineRule="auto"/>
        <w:ind w:left="0" w:right="0" w:firstLine="0"/>
        <w:jc w:val="left"/>
      </w:pPr>
      <w:bookmarkStart w:id="2117" w:name="bookmark2117"/>
      <w:bookmarkStart w:id="2118" w:name="bookmark2118"/>
      <w:bookmarkStart w:id="2123" w:name="bookmark2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17"/>
      <w:bookmarkEnd w:id="2118"/>
      <w:bookmarkEnd w:id="212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江苏润和智融科技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28,249,000.00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蚂蚁区块链科技（上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1,804,916.65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南京润辰科技有限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921,596.00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江苏鑫合易家信息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882,943.95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159,873.95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7,993.70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北京蚂蚁云金融信 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368,588.26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829,512.97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41,475.65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奥特酷智能科技（南 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351,844.00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江苏润和科技投资 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16,246,310.32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812,315.52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24"/>
      <w:bookmarkEnd w:id="2125"/>
      <w:bookmarkEnd w:id="212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江苏润和智融科技有限公司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617,517.93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802,316.36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1,115,257.13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苏州博纳讯动软件有限公司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230,949.36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新维数联（北京）科技有限公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123,249.90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142,986.97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75,276.86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蚂蚁金服（海南）数字技术有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22,649.07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20,651.64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奥特酷智能科技（南京）有限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106,104.69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62,487.98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江苏开拓信息与系统有限公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南京润辰科技有限公司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77,962.40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新维数联（北京）科技有限公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19,803.20</w:t>
            </w:r>
          </w:p>
        </w:tc>
      </w:tr>
    </w:tbl>
    <w:p>
      <w:pPr>
        <w:widowControl w:val="0"/>
        <w:spacing w:after="359" w:line="1" w:lineRule="exact"/>
      </w:pPr>
    </w:p>
    <w:p>
      <w:pPr>
        <w:pStyle w:val="Style30"/>
        <w:keepNext/>
        <w:keepLines/>
        <w:widowControl w:val="0"/>
        <w:shd w:val="clear" w:color="auto" w:fill="auto"/>
        <w:tabs>
          <w:tab w:pos="373" w:val="left"/>
        </w:tabs>
        <w:bidi w:val="0"/>
        <w:spacing w:before="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7</w:t>
      </w:r>
      <w:bookmarkEnd w:id="2129"/>
      <w:r>
        <w:rPr>
          <w:color w:val="000000"/>
          <w:spacing w:val="0"/>
          <w:w w:val="100"/>
          <w:position w:val="0"/>
        </w:rPr>
        <w:t>、</w:t>
        <w:tab/>
        <w:t>关联方承诺</w:t>
      </w:r>
      <w:bookmarkEnd w:id="2127"/>
      <w:bookmarkEnd w:id="2128"/>
      <w:bookmarkEnd w:id="2130"/>
    </w:p>
    <w:p>
      <w:pPr>
        <w:pStyle w:val="Style30"/>
        <w:keepNext/>
        <w:keepLines/>
        <w:widowControl w:val="0"/>
        <w:shd w:val="clear" w:color="auto" w:fill="auto"/>
        <w:tabs>
          <w:tab w:pos="378" w:val="left"/>
        </w:tabs>
        <w:bidi w:val="0"/>
        <w:spacing w:before="0" w:line="240" w:lineRule="auto"/>
        <w:ind w:left="0" w:right="0" w:firstLine="0"/>
        <w:jc w:val="left"/>
      </w:pPr>
      <w:bookmarkStart w:id="2127" w:name="bookmark2127"/>
      <w:bookmarkStart w:id="2128" w:name="bookmark2128"/>
      <w:bookmarkStart w:id="2131" w:name="bookmark2131"/>
      <w:bookmarkStart w:id="2132" w:name="bookmark2132"/>
      <w:r>
        <w:rPr>
          <w:rFonts w:ascii="Times New Roman" w:eastAsia="Times New Roman" w:hAnsi="Times New Roman" w:cs="Times New Roman"/>
          <w:color w:val="000000"/>
          <w:spacing w:val="0"/>
          <w:w w:val="100"/>
          <w:position w:val="0"/>
        </w:rPr>
        <w:t>8</w:t>
      </w:r>
      <w:bookmarkEnd w:id="2131"/>
      <w:r>
        <w:rPr>
          <w:color w:val="000000"/>
          <w:spacing w:val="0"/>
          <w:w w:val="100"/>
          <w:position w:val="0"/>
        </w:rPr>
        <w:t>、</w:t>
        <w:tab/>
        <w:t>其他</w:t>
      </w:r>
      <w:bookmarkEnd w:id="2127"/>
      <w:bookmarkEnd w:id="2128"/>
      <w:bookmarkEnd w:id="2132"/>
    </w:p>
    <w:p>
      <w:pPr>
        <w:pStyle w:val="Style24"/>
        <w:keepNext/>
        <w:keepLines/>
        <w:widowControl w:val="0"/>
        <w:shd w:val="clear" w:color="auto" w:fill="auto"/>
        <w:bidi w:val="0"/>
        <w:spacing w:before="0" w:after="360" w:line="240" w:lineRule="auto"/>
        <w:ind w:left="0" w:right="0" w:firstLine="0"/>
        <w:jc w:val="left"/>
      </w:pPr>
      <w:bookmarkStart w:id="2133" w:name="bookmark2133"/>
      <w:bookmarkStart w:id="2134" w:name="bookmark2134"/>
      <w:bookmarkStart w:id="2135" w:name="bookmark2135"/>
      <w:r>
        <w:rPr>
          <w:color w:val="000000"/>
          <w:spacing w:val="0"/>
          <w:w w:val="100"/>
          <w:position w:val="0"/>
          <w:sz w:val="24"/>
          <w:szCs w:val="24"/>
        </w:rPr>
        <w:t>十三、股份支付</w:t>
      </w:r>
      <w:bookmarkEnd w:id="2133"/>
      <w:bookmarkEnd w:id="2134"/>
      <w:bookmarkEnd w:id="2135"/>
    </w:p>
    <w:p>
      <w:pPr>
        <w:pStyle w:val="Style30"/>
        <w:keepNext/>
        <w:keepLines/>
        <w:widowControl w:val="0"/>
        <w:shd w:val="clear" w:color="auto" w:fill="auto"/>
        <w:tabs>
          <w:tab w:pos="368" w:val="left"/>
        </w:tabs>
        <w:bidi w:val="0"/>
        <w:spacing w:before="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1</w:t>
      </w:r>
      <w:bookmarkEnd w:id="2138"/>
      <w:r>
        <w:rPr>
          <w:color w:val="000000"/>
          <w:spacing w:val="0"/>
          <w:w w:val="100"/>
          <w:position w:val="0"/>
        </w:rPr>
        <w:t>、</w:t>
        <w:tab/>
        <w:t>股份支付总体情况</w:t>
      </w:r>
      <w:bookmarkEnd w:id="2136"/>
      <w:bookmarkEnd w:id="2137"/>
      <w:bookmarkEnd w:id="213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2</w:t>
      </w:r>
      <w:bookmarkEnd w:id="2142"/>
      <w:r>
        <w:rPr>
          <w:color w:val="000000"/>
          <w:spacing w:val="0"/>
          <w:w w:val="100"/>
          <w:position w:val="0"/>
        </w:rPr>
        <w:t>、</w:t>
        <w:tab/>
        <w:t>以权益结算的股份支付情况</w:t>
      </w:r>
      <w:bookmarkEnd w:id="2140"/>
      <w:bookmarkEnd w:id="2141"/>
      <w:bookmarkEnd w:id="2143"/>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44" w:name="bookmark2144"/>
      <w:bookmarkStart w:id="2145" w:name="bookmark2145"/>
      <w:bookmarkStart w:id="2146" w:name="bookmark2146"/>
      <w:bookmarkStart w:id="2147" w:name="bookmark2147"/>
      <w:r>
        <w:rPr>
          <w:rFonts w:ascii="Times New Roman" w:eastAsia="Times New Roman" w:hAnsi="Times New Roman" w:cs="Times New Roman"/>
          <w:color w:val="000000"/>
          <w:spacing w:val="0"/>
          <w:w w:val="100"/>
          <w:position w:val="0"/>
        </w:rPr>
        <w:t>3</w:t>
      </w:r>
      <w:bookmarkEnd w:id="2146"/>
      <w:r>
        <w:rPr>
          <w:color w:val="000000"/>
          <w:spacing w:val="0"/>
          <w:w w:val="100"/>
          <w:position w:val="0"/>
        </w:rPr>
        <w:t>、</w:t>
        <w:tab/>
        <w:t>以现金结算的股份支付情况</w:t>
      </w:r>
      <w:bookmarkEnd w:id="2144"/>
      <w:bookmarkEnd w:id="2145"/>
      <w:bookmarkEnd w:id="2147"/>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left"/>
      </w:pPr>
      <w:bookmarkStart w:id="2148" w:name="bookmark2148"/>
      <w:bookmarkStart w:id="2149" w:name="bookmark2149"/>
      <w:bookmarkStart w:id="2150" w:name="bookmark2150"/>
      <w:bookmarkStart w:id="2151" w:name="bookmark2151"/>
      <w:r>
        <w:rPr>
          <w:rFonts w:ascii="Times New Roman" w:eastAsia="Times New Roman" w:hAnsi="Times New Roman" w:cs="Times New Roman"/>
          <w:color w:val="000000"/>
          <w:spacing w:val="0"/>
          <w:w w:val="100"/>
          <w:position w:val="0"/>
        </w:rPr>
        <w:t>4</w:t>
      </w:r>
      <w:bookmarkEnd w:id="2150"/>
      <w:r>
        <w:rPr>
          <w:color w:val="000000"/>
          <w:spacing w:val="0"/>
          <w:w w:val="100"/>
          <w:position w:val="0"/>
        </w:rPr>
        <w:t>、</w:t>
        <w:tab/>
        <w:t>股份支付的修改、终止情况</w:t>
      </w:r>
      <w:bookmarkEnd w:id="2148"/>
      <w:bookmarkEnd w:id="2149"/>
      <w:bookmarkEnd w:id="2151"/>
    </w:p>
    <w:p>
      <w:pPr>
        <w:pStyle w:val="Style30"/>
        <w:keepNext/>
        <w:keepLines/>
        <w:widowControl w:val="0"/>
        <w:shd w:val="clear" w:color="auto" w:fill="auto"/>
        <w:tabs>
          <w:tab w:pos="378" w:val="left"/>
        </w:tabs>
        <w:bidi w:val="0"/>
        <w:spacing w:before="0" w:line="240" w:lineRule="auto"/>
        <w:ind w:left="0" w:right="0" w:firstLine="0"/>
        <w:jc w:val="left"/>
      </w:pPr>
      <w:bookmarkStart w:id="2148" w:name="bookmark2148"/>
      <w:bookmarkStart w:id="2149" w:name="bookmark2149"/>
      <w:bookmarkStart w:id="2152" w:name="bookmark2152"/>
      <w:bookmarkStart w:id="2153" w:name="bookmark2153"/>
      <w:r>
        <w:rPr>
          <w:rFonts w:ascii="Times New Roman" w:eastAsia="Times New Roman" w:hAnsi="Times New Roman" w:cs="Times New Roman"/>
          <w:color w:val="000000"/>
          <w:spacing w:val="0"/>
          <w:w w:val="100"/>
          <w:position w:val="0"/>
        </w:rPr>
        <w:t>5</w:t>
      </w:r>
      <w:bookmarkEnd w:id="2152"/>
      <w:r>
        <w:rPr>
          <w:color w:val="000000"/>
          <w:spacing w:val="0"/>
          <w:w w:val="100"/>
          <w:position w:val="0"/>
        </w:rPr>
        <w:t>、</w:t>
        <w:tab/>
        <w:t>其他</w:t>
      </w:r>
      <w:bookmarkEnd w:id="2148"/>
      <w:bookmarkEnd w:id="2149"/>
      <w:bookmarkEnd w:id="2153"/>
    </w:p>
    <w:p>
      <w:pPr>
        <w:pStyle w:val="Style24"/>
        <w:keepNext/>
        <w:keepLines/>
        <w:widowControl w:val="0"/>
        <w:shd w:val="clear" w:color="auto" w:fill="auto"/>
        <w:bidi w:val="0"/>
        <w:spacing w:before="0" w:after="360" w:line="240" w:lineRule="auto"/>
        <w:ind w:left="0" w:right="0" w:firstLine="0"/>
        <w:jc w:val="left"/>
      </w:pPr>
      <w:bookmarkStart w:id="2154" w:name="bookmark2154"/>
      <w:bookmarkStart w:id="2155" w:name="bookmark2155"/>
      <w:bookmarkStart w:id="2156" w:name="bookmark2156"/>
      <w:r>
        <w:rPr>
          <w:color w:val="000000"/>
          <w:spacing w:val="0"/>
          <w:w w:val="100"/>
          <w:position w:val="0"/>
          <w:sz w:val="24"/>
          <w:szCs w:val="24"/>
        </w:rPr>
        <w:t>十四、承诺及或有事项</w:t>
      </w:r>
      <w:bookmarkEnd w:id="2154"/>
      <w:bookmarkEnd w:id="2155"/>
      <w:bookmarkEnd w:id="2156"/>
    </w:p>
    <w:p>
      <w:pPr>
        <w:pStyle w:val="Style30"/>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57"/>
      <w:bookmarkEnd w:id="2158"/>
      <w:bookmarkEnd w:id="2159"/>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30"/>
        <w:keepNext/>
        <w:keepLines/>
        <w:widowControl w:val="0"/>
        <w:shd w:val="clear" w:color="auto" w:fill="auto"/>
        <w:tabs>
          <w:tab w:pos="378" w:val="left"/>
        </w:tabs>
        <w:bidi w:val="0"/>
        <w:spacing w:before="0" w:line="240" w:lineRule="auto"/>
        <w:ind w:left="0" w:right="0" w:firstLine="0"/>
        <w:jc w:val="left"/>
      </w:pPr>
      <w:bookmarkStart w:id="2160" w:name="bookmark2160"/>
      <w:bookmarkStart w:id="2161" w:name="bookmark2161"/>
      <w:bookmarkStart w:id="2162" w:name="bookmark2162"/>
      <w:bookmarkStart w:id="2163" w:name="bookmark2163"/>
      <w:r>
        <w:rPr>
          <w:rFonts w:ascii="Times New Roman" w:eastAsia="Times New Roman" w:hAnsi="Times New Roman" w:cs="Times New Roman"/>
          <w:color w:val="000000"/>
          <w:spacing w:val="0"/>
          <w:w w:val="100"/>
          <w:position w:val="0"/>
        </w:rPr>
        <w:t>2</w:t>
      </w:r>
      <w:bookmarkEnd w:id="2162"/>
      <w:r>
        <w:rPr>
          <w:color w:val="000000"/>
          <w:spacing w:val="0"/>
          <w:w w:val="100"/>
          <w:position w:val="0"/>
        </w:rPr>
        <w:t>、</w:t>
        <w:tab/>
        <w:t>或有事项</w:t>
      </w:r>
      <w:bookmarkEnd w:id="2160"/>
      <w:bookmarkEnd w:id="2161"/>
      <w:bookmarkEnd w:id="2163"/>
    </w:p>
    <w:p>
      <w:pPr>
        <w:pStyle w:val="Style30"/>
        <w:keepNext/>
        <w:keepLines/>
        <w:widowControl w:val="0"/>
        <w:shd w:val="clear" w:color="auto" w:fill="auto"/>
        <w:tabs>
          <w:tab w:pos="493" w:val="left"/>
        </w:tabs>
        <w:bidi w:val="0"/>
        <w:spacing w:before="0" w:line="240" w:lineRule="auto"/>
        <w:ind w:left="0" w:right="0" w:firstLine="0"/>
        <w:jc w:val="left"/>
      </w:pPr>
      <w:bookmarkStart w:id="2160" w:name="bookmark2160"/>
      <w:bookmarkStart w:id="2161" w:name="bookmark2161"/>
      <w:bookmarkStart w:id="2164" w:name="bookmark2164"/>
      <w:bookmarkStart w:id="2165" w:name="bookmark2165"/>
      <w:r>
        <w:rPr>
          <w:color w:val="000000"/>
          <w:spacing w:val="0"/>
          <w:w w:val="100"/>
          <w:position w:val="0"/>
        </w:rPr>
        <w:t>（</w:t>
      </w:r>
      <w:bookmarkEnd w:id="216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60"/>
      <w:bookmarkEnd w:id="2161"/>
      <w:bookmarkEnd w:id="216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30"/>
        <w:keepNext/>
        <w:keepLines/>
        <w:widowControl w:val="0"/>
        <w:shd w:val="clear" w:color="auto" w:fill="auto"/>
        <w:tabs>
          <w:tab w:pos="493" w:val="left"/>
        </w:tabs>
        <w:bidi w:val="0"/>
        <w:spacing w:before="0" w:line="240" w:lineRule="auto"/>
        <w:ind w:left="0" w:right="0" w:firstLine="0"/>
        <w:jc w:val="left"/>
      </w:pPr>
      <w:bookmarkStart w:id="2166" w:name="bookmark2166"/>
      <w:bookmarkStart w:id="2167" w:name="bookmark2167"/>
      <w:bookmarkStart w:id="2168" w:name="bookmark2168"/>
      <w:bookmarkStart w:id="2169" w:name="bookmark2169"/>
      <w:r>
        <w:rPr>
          <w:color w:val="000000"/>
          <w:spacing w:val="0"/>
          <w:w w:val="100"/>
          <w:position w:val="0"/>
        </w:rPr>
        <w:t>（</w:t>
      </w:r>
      <w:bookmarkEnd w:id="216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66"/>
      <w:bookmarkEnd w:id="2167"/>
      <w:bookmarkEnd w:id="2169"/>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line="240" w:lineRule="auto"/>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3</w:t>
      </w:r>
      <w:bookmarkEnd w:id="2172"/>
      <w:r>
        <w:rPr>
          <w:color w:val="000000"/>
          <w:spacing w:val="0"/>
          <w:w w:val="100"/>
          <w:position w:val="0"/>
        </w:rPr>
        <w:t>、</w:t>
        <w:tab/>
        <w:t>其他</w:t>
      </w:r>
      <w:bookmarkEnd w:id="2170"/>
      <w:bookmarkEnd w:id="2171"/>
      <w:bookmarkEnd w:id="2173"/>
    </w:p>
    <w:p>
      <w:pPr>
        <w:pStyle w:val="Style24"/>
        <w:keepNext/>
        <w:keepLines/>
        <w:widowControl w:val="0"/>
        <w:shd w:val="clear" w:color="auto" w:fill="auto"/>
        <w:bidi w:val="0"/>
        <w:spacing w:before="0" w:after="360" w:line="240" w:lineRule="auto"/>
        <w:ind w:left="0" w:right="0" w:firstLine="0"/>
        <w:jc w:val="left"/>
      </w:pPr>
      <w:bookmarkStart w:id="2174" w:name="bookmark2174"/>
      <w:bookmarkStart w:id="2175" w:name="bookmark2175"/>
      <w:bookmarkStart w:id="2176" w:name="bookmark2176"/>
      <w:r>
        <w:rPr>
          <w:color w:val="000000"/>
          <w:spacing w:val="0"/>
          <w:w w:val="100"/>
          <w:position w:val="0"/>
          <w:sz w:val="24"/>
          <w:szCs w:val="24"/>
        </w:rPr>
        <w:t>十五、资产负债表日后事项</w:t>
      </w:r>
      <w:bookmarkEnd w:id="2174"/>
      <w:bookmarkEnd w:id="2175"/>
      <w:bookmarkEnd w:id="2176"/>
    </w:p>
    <w:p>
      <w:pPr>
        <w:pStyle w:val="Style30"/>
        <w:keepNext/>
        <w:keepLines/>
        <w:widowControl w:val="0"/>
        <w:shd w:val="clear" w:color="auto" w:fill="auto"/>
        <w:bidi w:val="0"/>
        <w:spacing w:before="0" w:line="240" w:lineRule="auto"/>
        <w:ind w:left="0" w:right="0" w:firstLine="0"/>
        <w:jc w:val="left"/>
      </w:pPr>
      <w:bookmarkStart w:id="2177" w:name="bookmark2177"/>
      <w:bookmarkStart w:id="2178" w:name="bookmark2178"/>
      <w:bookmarkStart w:id="2179" w:name="bookmark2179"/>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77"/>
      <w:bookmarkEnd w:id="2178"/>
      <w:bookmarkEnd w:id="217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0"/>
        <w:keepNext/>
        <w:keepLines/>
        <w:widowControl w:val="0"/>
        <w:shd w:val="clear" w:color="auto" w:fill="auto"/>
        <w:tabs>
          <w:tab w:pos="378" w:val="left"/>
        </w:tabs>
        <w:bidi w:val="0"/>
        <w:spacing w:before="0" w:after="260" w:line="240" w:lineRule="auto"/>
        <w:ind w:left="0" w:right="0" w:firstLine="0"/>
        <w:jc w:val="both"/>
      </w:pPr>
      <w:bookmarkStart w:id="2180" w:name="bookmark2180"/>
      <w:bookmarkStart w:id="2181" w:name="bookmark2181"/>
      <w:bookmarkStart w:id="2182" w:name="bookmark2182"/>
      <w:bookmarkStart w:id="2183" w:name="bookmark2183"/>
      <w:r>
        <w:rPr>
          <w:rFonts w:ascii="Times New Roman" w:eastAsia="Times New Roman" w:hAnsi="Times New Roman" w:cs="Times New Roman"/>
          <w:color w:val="000000"/>
          <w:spacing w:val="0"/>
          <w:w w:val="100"/>
          <w:position w:val="0"/>
        </w:rPr>
        <w:t>2</w:t>
      </w:r>
      <w:bookmarkEnd w:id="2182"/>
      <w:r>
        <w:rPr>
          <w:color w:val="000000"/>
          <w:spacing w:val="0"/>
          <w:w w:val="100"/>
          <w:position w:val="0"/>
        </w:rPr>
        <w:t>、</w:t>
        <w:tab/>
        <w:t>利润分配情况</w:t>
      </w:r>
      <w:bookmarkEnd w:id="2180"/>
      <w:bookmarkEnd w:id="2181"/>
      <w:bookmarkEnd w:id="2183"/>
    </w:p>
    <w:p>
      <w:pPr>
        <w:pStyle w:val="Style26"/>
        <w:keepNext w:val="0"/>
        <w:keepLines w:val="0"/>
        <w:widowControl w:val="0"/>
        <w:shd w:val="clear" w:color="auto" w:fill="auto"/>
        <w:bidi w:val="0"/>
        <w:spacing w:before="0" w:after="360" w:line="315" w:lineRule="exact"/>
        <w:ind w:left="8940" w:right="0" w:firstLine="0"/>
        <w:jc w:val="left"/>
      </w:pPr>
      <w:r>
        <w:rPr>
          <w:color w:val="000000"/>
          <w:spacing w:val="0"/>
          <w:w w:val="100"/>
          <w:position w:val="0"/>
        </w:rPr>
        <w:t>单位：元</w:t>
      </w:r>
    </w:p>
    <w:p>
      <w:pPr>
        <w:pStyle w:val="Style30"/>
        <w:keepNext/>
        <w:keepLines/>
        <w:widowControl w:val="0"/>
        <w:shd w:val="clear" w:color="auto" w:fill="auto"/>
        <w:tabs>
          <w:tab w:pos="378" w:val="left"/>
        </w:tabs>
        <w:bidi w:val="0"/>
        <w:spacing w:before="0" w:line="240" w:lineRule="auto"/>
        <w:ind w:left="0" w:right="0" w:firstLine="0"/>
        <w:jc w:val="left"/>
      </w:pPr>
      <w:bookmarkStart w:id="2184" w:name="bookmark2184"/>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3</w:t>
      </w:r>
      <w:bookmarkEnd w:id="2186"/>
      <w:r>
        <w:rPr>
          <w:color w:val="000000"/>
          <w:spacing w:val="0"/>
          <w:w w:val="100"/>
          <w:position w:val="0"/>
        </w:rPr>
        <w:t>、</w:t>
        <w:tab/>
        <w:t>销售退回</w:t>
      </w:r>
      <w:bookmarkEnd w:id="2184"/>
      <w:bookmarkEnd w:id="2185"/>
      <w:bookmarkEnd w:id="2187"/>
    </w:p>
    <w:p>
      <w:pPr>
        <w:pStyle w:val="Style30"/>
        <w:keepNext/>
        <w:keepLines/>
        <w:widowControl w:val="0"/>
        <w:shd w:val="clear" w:color="auto" w:fill="auto"/>
        <w:tabs>
          <w:tab w:pos="378" w:val="left"/>
        </w:tabs>
        <w:bidi w:val="0"/>
        <w:spacing w:before="0" w:after="260" w:line="240" w:lineRule="auto"/>
        <w:ind w:left="0" w:right="0" w:firstLine="0"/>
        <w:jc w:val="left"/>
      </w:pPr>
      <w:bookmarkStart w:id="2184" w:name="bookmark2184"/>
      <w:bookmarkStart w:id="2185" w:name="bookmark2185"/>
      <w:bookmarkStart w:id="2188" w:name="bookmark2188"/>
      <w:bookmarkStart w:id="2189" w:name="bookmark2189"/>
      <w:r>
        <w:rPr>
          <w:rFonts w:ascii="Times New Roman" w:eastAsia="Times New Roman" w:hAnsi="Times New Roman" w:cs="Times New Roman"/>
          <w:color w:val="000000"/>
          <w:spacing w:val="0"/>
          <w:w w:val="100"/>
          <w:position w:val="0"/>
        </w:rPr>
        <w:t>4</w:t>
      </w:r>
      <w:bookmarkEnd w:id="2188"/>
      <w:r>
        <w:rPr>
          <w:color w:val="000000"/>
          <w:spacing w:val="0"/>
          <w:w w:val="100"/>
          <w:position w:val="0"/>
        </w:rPr>
        <w:t>、</w:t>
        <w:tab/>
        <w:t>其他资产负债表日后事项说明</w:t>
      </w:r>
      <w:bookmarkEnd w:id="2184"/>
      <w:bookmarkEnd w:id="2185"/>
      <w:bookmarkEnd w:id="2189"/>
    </w:p>
    <w:p>
      <w:pPr>
        <w:pStyle w:val="Style26"/>
        <w:keepNext w:val="0"/>
        <w:keepLines w:val="0"/>
        <w:widowControl w:val="0"/>
        <w:shd w:val="clear" w:color="auto" w:fill="auto"/>
        <w:tabs>
          <w:tab w:pos="541" w:val="left"/>
        </w:tabs>
        <w:bidi w:val="0"/>
        <w:spacing w:before="0" w:after="0" w:line="315" w:lineRule="exact"/>
        <w:ind w:left="0" w:right="0" w:firstLine="0"/>
        <w:jc w:val="left"/>
      </w:pPr>
      <w:bookmarkStart w:id="2190" w:name="bookmark2190"/>
      <w:r>
        <w:rPr>
          <w:color w:val="000000"/>
          <w:spacing w:val="0"/>
          <w:w w:val="100"/>
          <w:position w:val="0"/>
        </w:rPr>
        <w:t>（</w:t>
      </w:r>
      <w:bookmarkEnd w:id="2190"/>
      <w:r>
        <w:rPr>
          <w:rFonts w:ascii="Times New Roman" w:eastAsia="Times New Roman" w:hAnsi="Times New Roman" w:cs="Times New Roman"/>
          <w:color w:val="000000"/>
          <w:spacing w:val="0"/>
          <w:w w:val="100"/>
          <w:position w:val="0"/>
        </w:rPr>
        <w:t>1</w:t>
      </w:r>
      <w:r>
        <w:rPr>
          <w:color w:val="000000"/>
          <w:spacing w:val="0"/>
          <w:w w:val="100"/>
          <w:position w:val="0"/>
        </w:rPr>
        <w:t>）</w:t>
        <w:tab/>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日第六届董事会第^一次会议审议通过的《</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年度利润分配预案》，公司拟定</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 案为：不派发现金红利，不送红股，不以公积金转增股本。该预案尚需经股东大会审议通过。</w:t>
      </w:r>
    </w:p>
    <w:p>
      <w:pPr>
        <w:pStyle w:val="Style26"/>
        <w:keepNext w:val="0"/>
        <w:keepLines w:val="0"/>
        <w:widowControl w:val="0"/>
        <w:shd w:val="clear" w:color="auto" w:fill="auto"/>
        <w:tabs>
          <w:tab w:pos="445" w:val="left"/>
        </w:tabs>
        <w:bidi w:val="0"/>
        <w:spacing w:before="0" w:after="0" w:line="315" w:lineRule="exact"/>
        <w:ind w:left="0" w:right="0" w:firstLine="0"/>
        <w:jc w:val="left"/>
      </w:pPr>
      <w:bookmarkStart w:id="2191" w:name="bookmark2191"/>
      <w:r>
        <w:rPr>
          <w:color w:val="000000"/>
          <w:spacing w:val="0"/>
          <w:w w:val="100"/>
          <w:position w:val="0"/>
        </w:rPr>
        <w:t>（</w:t>
      </w:r>
      <w:bookmarkEnd w:id="2191"/>
      <w:r>
        <w:rPr>
          <w:rFonts w:ascii="Times New Roman" w:eastAsia="Times New Roman" w:hAnsi="Times New Roman" w:cs="Times New Roman"/>
          <w:color w:val="000000"/>
          <w:spacing w:val="0"/>
          <w:w w:val="100"/>
          <w:position w:val="0"/>
        </w:rPr>
        <w:t>2</w:t>
      </w:r>
      <w:r>
        <w:rPr>
          <w:color w:val="000000"/>
          <w:spacing w:val="0"/>
          <w:w w:val="100"/>
          <w:position w:val="0"/>
        </w:rPr>
        <w:t>）</w:t>
        <w:tab/>
        <w:t>期后资金占用及其归还情况</w:t>
      </w:r>
    </w:p>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年初控股股东润和投资通过相关供应商间接向润和软件拆借资金</w:t>
      </w:r>
      <w:r>
        <w:rPr>
          <w:rFonts w:ascii="Times New Roman" w:eastAsia="Times New Roman" w:hAnsi="Times New Roman" w:cs="Times New Roman"/>
          <w:color w:val="000000"/>
          <w:spacing w:val="0"/>
          <w:w w:val="100"/>
          <w:position w:val="0"/>
        </w:rPr>
        <w:t>77,440,370.00</w:t>
      </w:r>
      <w:r>
        <w:rPr>
          <w:color w:val="000000"/>
          <w:spacing w:val="0"/>
          <w:w w:val="100"/>
          <w:position w:val="0"/>
        </w:rPr>
        <w:t>元，用于归还润和投资的对外借款，形成 了对润和软件的非经营性资金占用。截至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 xml:space="preserve">日，润和软件已收到润和投资归还的上述占用资金本金及利息合计 </w:t>
      </w:r>
      <w:r>
        <w:rPr>
          <w:rFonts w:ascii="Times New Roman" w:eastAsia="Times New Roman" w:hAnsi="Times New Roman" w:cs="Times New Roman"/>
          <w:color w:val="000000"/>
          <w:spacing w:val="0"/>
          <w:w w:val="100"/>
          <w:position w:val="0"/>
        </w:rPr>
        <w:t xml:space="preserve">78,543,150.11 </w:t>
      </w:r>
      <w:r>
        <w:rPr>
          <w:color w:val="000000"/>
          <w:spacing w:val="0"/>
          <w:w w:val="100"/>
          <w:position w:val="0"/>
        </w:rPr>
        <w:t>元。</w:t>
      </w:r>
    </w:p>
    <w:p>
      <w:pPr>
        <w:pStyle w:val="Style26"/>
        <w:keepNext w:val="0"/>
        <w:keepLines w:val="0"/>
        <w:widowControl w:val="0"/>
        <w:shd w:val="clear" w:color="auto" w:fill="auto"/>
        <w:tabs>
          <w:tab w:pos="445" w:val="left"/>
        </w:tabs>
        <w:bidi w:val="0"/>
        <w:spacing w:before="0" w:after="360" w:line="315" w:lineRule="exact"/>
        <w:ind w:left="0" w:right="0" w:firstLine="0"/>
        <w:jc w:val="left"/>
      </w:pPr>
      <w:bookmarkStart w:id="2192" w:name="bookmark2192"/>
      <w:r>
        <w:rPr>
          <w:color w:val="000000"/>
          <w:spacing w:val="0"/>
          <w:w w:val="100"/>
          <w:position w:val="0"/>
        </w:rPr>
        <w:t>（</w:t>
      </w:r>
      <w:bookmarkEnd w:id="2192"/>
      <w:r>
        <w:rPr>
          <w:rFonts w:ascii="Times New Roman" w:eastAsia="Times New Roman" w:hAnsi="Times New Roman" w:cs="Times New Roman"/>
          <w:color w:val="000000"/>
          <w:spacing w:val="0"/>
          <w:w w:val="100"/>
          <w:position w:val="0"/>
        </w:rPr>
        <w:t>3</w:t>
      </w:r>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日止，除上述事项外，本公司无需要披露的其他资产负债表日后事项。</w:t>
      </w:r>
    </w:p>
    <w:p>
      <w:pPr>
        <w:pStyle w:val="Style24"/>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r>
        <w:rPr>
          <w:color w:val="000000"/>
          <w:spacing w:val="0"/>
          <w:w w:val="100"/>
          <w:position w:val="0"/>
          <w:sz w:val="24"/>
          <w:szCs w:val="24"/>
        </w:rPr>
        <w:t>十六、其他重要事项</w:t>
      </w:r>
      <w:bookmarkEnd w:id="2193"/>
      <w:bookmarkEnd w:id="2194"/>
      <w:bookmarkEnd w:id="2195"/>
    </w:p>
    <w:p>
      <w:pPr>
        <w:pStyle w:val="Style30"/>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96"/>
      <w:bookmarkEnd w:id="2197"/>
      <w:bookmarkEnd w:id="2198"/>
    </w:p>
    <w:p>
      <w:pPr>
        <w:pStyle w:val="Style30"/>
        <w:keepNext/>
        <w:keepLines/>
        <w:widowControl w:val="0"/>
        <w:shd w:val="clear" w:color="auto" w:fill="auto"/>
        <w:bidi w:val="0"/>
        <w:spacing w:before="0" w:after="260" w:line="240" w:lineRule="auto"/>
        <w:ind w:left="0" w:right="0" w:firstLine="0"/>
        <w:jc w:val="both"/>
      </w:pPr>
      <w:bookmarkStart w:id="2196" w:name="bookmark2196"/>
      <w:bookmarkStart w:id="2197" w:name="bookmark2197"/>
      <w:bookmarkStart w:id="2199" w:name="bookmark2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96"/>
      <w:bookmarkEnd w:id="2197"/>
      <w:bookmarkEnd w:id="2199"/>
    </w:p>
    <w:p>
      <w:pPr>
        <w:pStyle w:val="Style26"/>
        <w:keepNext w:val="0"/>
        <w:keepLines w:val="0"/>
        <w:widowControl w:val="0"/>
        <w:shd w:val="clear" w:color="auto" w:fill="auto"/>
        <w:bidi w:val="0"/>
        <w:spacing w:before="0" w:after="80" w:line="315" w:lineRule="exact"/>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受影响的各个比较期间报表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tbl>
      <w:tblPr>
        <w:tblOverlap w:val="never"/>
        <w:jc w:val="center"/>
        <w:tblLayout w:type="fixed"/>
      </w:tblPr>
      <w:tblGrid>
        <w:gridCol w:w="2501"/>
        <w:gridCol w:w="2294"/>
        <w:gridCol w:w="2390"/>
        <w:gridCol w:w="2400"/>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p>
      <w:pPr>
        <w:widowControl w:val="0"/>
        <w:spacing w:after="359" w:line="1" w:lineRule="exact"/>
      </w:pP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51"/>
        <w:keepNext w:val="0"/>
        <w:keepLines w:val="0"/>
        <w:widowControl w:val="0"/>
        <w:shd w:val="clear" w:color="auto" w:fill="auto"/>
        <w:tabs>
          <w:tab w:pos="378" w:val="left"/>
        </w:tabs>
        <w:bidi w:val="0"/>
        <w:spacing w:before="0" w:after="360" w:line="240" w:lineRule="auto"/>
        <w:ind w:left="0" w:right="0" w:firstLine="0"/>
        <w:jc w:val="left"/>
      </w:pPr>
      <w:bookmarkStart w:id="2200" w:name="bookmark2200"/>
      <w:r>
        <w:rPr>
          <w:rFonts w:ascii="Times New Roman" w:eastAsia="Times New Roman" w:hAnsi="Times New Roman" w:cs="Times New Roman"/>
          <w:color w:val="000000"/>
          <w:spacing w:val="0"/>
          <w:w w:val="100"/>
          <w:position w:val="0"/>
        </w:rPr>
        <w:t>2</w:t>
      </w:r>
      <w:bookmarkEnd w:id="2200"/>
      <w:r>
        <w:rPr>
          <w:color w:val="000000"/>
          <w:spacing w:val="0"/>
          <w:w w:val="100"/>
          <w:position w:val="0"/>
        </w:rPr>
        <w:t>、</w:t>
        <w:tab/>
        <w:t>债务重组</w:t>
      </w:r>
    </w:p>
    <w:p>
      <w:pPr>
        <w:pStyle w:val="Style51"/>
        <w:keepNext w:val="0"/>
        <w:keepLines w:val="0"/>
        <w:widowControl w:val="0"/>
        <w:shd w:val="clear" w:color="auto" w:fill="auto"/>
        <w:tabs>
          <w:tab w:pos="378" w:val="left"/>
        </w:tabs>
        <w:bidi w:val="0"/>
        <w:spacing w:before="0" w:after="360" w:line="240" w:lineRule="auto"/>
        <w:ind w:left="0" w:right="0" w:firstLine="0"/>
        <w:jc w:val="left"/>
      </w:pPr>
      <w:bookmarkStart w:id="2201" w:name="bookmark2201"/>
      <w:r>
        <w:rPr>
          <w:rFonts w:ascii="Times New Roman" w:eastAsia="Times New Roman" w:hAnsi="Times New Roman" w:cs="Times New Roman"/>
          <w:color w:val="000000"/>
          <w:spacing w:val="0"/>
          <w:w w:val="100"/>
          <w:position w:val="0"/>
        </w:rPr>
        <w:t>3</w:t>
      </w:r>
      <w:bookmarkEnd w:id="2201"/>
      <w:r>
        <w:rPr>
          <w:color w:val="000000"/>
          <w:spacing w:val="0"/>
          <w:w w:val="100"/>
          <w:position w:val="0"/>
        </w:rPr>
        <w:t>、</w:t>
        <w:tab/>
        <w:t>资产置换</w:t>
      </w:r>
    </w:p>
    <w:p>
      <w:pPr>
        <w:pStyle w:val="Style51"/>
        <w:keepNext w:val="0"/>
        <w:keepLines w:val="0"/>
        <w:widowControl w:val="0"/>
        <w:shd w:val="clear" w:color="auto" w:fill="auto"/>
        <w:tabs>
          <w:tab w:pos="493" w:val="left"/>
        </w:tabs>
        <w:bidi w:val="0"/>
        <w:spacing w:before="0" w:after="360" w:line="240" w:lineRule="auto"/>
        <w:ind w:left="0" w:right="0" w:firstLine="0"/>
        <w:jc w:val="left"/>
      </w:pPr>
      <w:bookmarkStart w:id="2202" w:name="bookmark2202"/>
      <w:r>
        <w:rPr>
          <w:color w:val="000000"/>
          <w:spacing w:val="0"/>
          <w:w w:val="100"/>
          <w:position w:val="0"/>
        </w:rPr>
        <w:t>（</w:t>
      </w:r>
      <w:bookmarkEnd w:id="220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1"/>
        <w:keepNext w:val="0"/>
        <w:keepLines w:val="0"/>
        <w:widowControl w:val="0"/>
        <w:shd w:val="clear" w:color="auto" w:fill="auto"/>
        <w:tabs>
          <w:tab w:pos="493" w:val="left"/>
        </w:tabs>
        <w:bidi w:val="0"/>
        <w:spacing w:before="0" w:after="360" w:line="240" w:lineRule="auto"/>
        <w:ind w:left="0" w:right="0" w:firstLine="0"/>
        <w:jc w:val="left"/>
      </w:pPr>
      <w:bookmarkStart w:id="2203" w:name="bookmark2203"/>
      <w:r>
        <w:rPr>
          <w:color w:val="000000"/>
          <w:spacing w:val="0"/>
          <w:w w:val="100"/>
          <w:position w:val="0"/>
        </w:rPr>
        <w:t>（</w:t>
      </w:r>
      <w:bookmarkEnd w:id="220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1"/>
        <w:keepNext w:val="0"/>
        <w:keepLines w:val="0"/>
        <w:widowControl w:val="0"/>
        <w:shd w:val="clear" w:color="auto" w:fill="auto"/>
        <w:tabs>
          <w:tab w:pos="378" w:val="left"/>
        </w:tabs>
        <w:bidi w:val="0"/>
        <w:spacing w:before="0" w:after="360" w:line="240" w:lineRule="auto"/>
        <w:ind w:left="0" w:right="0" w:firstLine="0"/>
        <w:jc w:val="left"/>
      </w:pPr>
      <w:bookmarkStart w:id="2204" w:name="bookmark2204"/>
      <w:r>
        <w:rPr>
          <w:rFonts w:ascii="Times New Roman" w:eastAsia="Times New Roman" w:hAnsi="Times New Roman" w:cs="Times New Roman"/>
          <w:color w:val="000000"/>
          <w:spacing w:val="0"/>
          <w:w w:val="100"/>
          <w:position w:val="0"/>
        </w:rPr>
        <w:t>4</w:t>
      </w:r>
      <w:bookmarkEnd w:id="2204"/>
      <w:r>
        <w:rPr>
          <w:color w:val="000000"/>
          <w:spacing w:val="0"/>
          <w:w w:val="100"/>
          <w:position w:val="0"/>
        </w:rPr>
        <w:t>、</w:t>
        <w:tab/>
        <w:t>年金计划</w:t>
      </w:r>
    </w:p>
    <w:p>
      <w:pPr>
        <w:pStyle w:val="Style51"/>
        <w:keepNext w:val="0"/>
        <w:keepLines w:val="0"/>
        <w:widowControl w:val="0"/>
        <w:shd w:val="clear" w:color="auto" w:fill="auto"/>
        <w:tabs>
          <w:tab w:pos="378" w:val="left"/>
        </w:tabs>
        <w:bidi w:val="0"/>
        <w:spacing w:before="0" w:after="400" w:line="240" w:lineRule="auto"/>
        <w:ind w:left="0" w:right="0" w:firstLine="0"/>
        <w:jc w:val="left"/>
      </w:pPr>
      <w:bookmarkStart w:id="2205" w:name="bookmark2205"/>
      <w:r>
        <w:rPr>
          <w:rFonts w:ascii="Times New Roman" w:eastAsia="Times New Roman" w:hAnsi="Times New Roman" w:cs="Times New Roman"/>
          <w:color w:val="000000"/>
          <w:spacing w:val="0"/>
          <w:w w:val="100"/>
          <w:position w:val="0"/>
        </w:rPr>
        <w:t>5</w:t>
      </w:r>
      <w:bookmarkEnd w:id="2205"/>
      <w:r>
        <w:rPr>
          <w:color w:val="000000"/>
          <w:spacing w:val="0"/>
          <w:w w:val="100"/>
          <w:position w:val="0"/>
        </w:rPr>
        <w:t>、</w:t>
        <w:tab/>
        <w:t>终止经营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51"/>
        <w:keepNext w:val="0"/>
        <w:keepLines w:val="0"/>
        <w:widowControl w:val="0"/>
        <w:shd w:val="clear" w:color="auto" w:fill="auto"/>
        <w:bidi w:val="0"/>
        <w:spacing w:before="0" w:after="360" w:line="240" w:lineRule="auto"/>
        <w:ind w:left="0" w:right="0" w:firstLine="0"/>
        <w:jc w:val="left"/>
      </w:pPr>
      <w:bookmarkStart w:id="2206" w:name="bookmark2206"/>
      <w:r>
        <w:rPr>
          <w:rFonts w:ascii="Times New Roman" w:eastAsia="Times New Roman" w:hAnsi="Times New Roman" w:cs="Times New Roman"/>
          <w:color w:val="000000"/>
          <w:spacing w:val="0"/>
          <w:w w:val="100"/>
          <w:position w:val="0"/>
        </w:rPr>
        <w:t>6</w:t>
      </w:r>
      <w:bookmarkEnd w:id="2206"/>
      <w:r>
        <w:rPr>
          <w:color w:val="000000"/>
          <w:spacing w:val="0"/>
          <w:w w:val="100"/>
          <w:position w:val="0"/>
        </w:rPr>
        <w:t>、分部信息</w:t>
      </w:r>
    </w:p>
    <w:p>
      <w:pPr>
        <w:pStyle w:val="Style51"/>
        <w:keepNext w:val="0"/>
        <w:keepLines w:val="0"/>
        <w:widowControl w:val="0"/>
        <w:shd w:val="clear" w:color="auto" w:fill="auto"/>
        <w:tabs>
          <w:tab w:pos="493" w:val="left"/>
        </w:tabs>
        <w:bidi w:val="0"/>
        <w:spacing w:before="0" w:after="360" w:line="240" w:lineRule="auto"/>
        <w:ind w:left="0" w:right="0" w:firstLine="0"/>
        <w:jc w:val="left"/>
      </w:pPr>
      <w:bookmarkStart w:id="2207" w:name="bookmark2207"/>
      <w:r>
        <w:rPr>
          <w:color w:val="000000"/>
          <w:spacing w:val="0"/>
          <w:w w:val="100"/>
          <w:position w:val="0"/>
        </w:rPr>
        <w:t>（</w:t>
      </w:r>
      <w:bookmarkEnd w:id="220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51"/>
        <w:keepNext w:val="0"/>
        <w:keepLines w:val="0"/>
        <w:widowControl w:val="0"/>
        <w:shd w:val="clear" w:color="auto" w:fill="auto"/>
        <w:tabs>
          <w:tab w:pos="493" w:val="left"/>
        </w:tabs>
        <w:bidi w:val="0"/>
        <w:spacing w:before="0" w:after="400" w:line="240" w:lineRule="auto"/>
        <w:ind w:left="0" w:right="0" w:firstLine="0"/>
        <w:jc w:val="left"/>
      </w:pPr>
      <w:bookmarkStart w:id="2208" w:name="bookmark2208"/>
      <w:r>
        <w:rPr>
          <w:color w:val="000000"/>
          <w:spacing w:val="0"/>
          <w:w w:val="100"/>
          <w:position w:val="0"/>
        </w:rPr>
        <w:t>（</w:t>
      </w:r>
      <w:bookmarkEnd w:id="220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51"/>
        <w:keepNext w:val="0"/>
        <w:keepLines w:val="0"/>
        <w:widowControl w:val="0"/>
        <w:shd w:val="clear" w:color="auto" w:fill="auto"/>
        <w:tabs>
          <w:tab w:pos="493" w:val="left"/>
        </w:tabs>
        <w:bidi w:val="0"/>
        <w:spacing w:before="0" w:after="360" w:line="240" w:lineRule="auto"/>
        <w:ind w:left="0" w:right="0" w:firstLine="0"/>
        <w:jc w:val="left"/>
      </w:pPr>
      <w:bookmarkStart w:id="2209" w:name="bookmark2209"/>
      <w:r>
        <w:rPr>
          <w:color w:val="000000"/>
          <w:spacing w:val="0"/>
          <w:w w:val="100"/>
          <w:position w:val="0"/>
        </w:rPr>
        <w:t>（</w:t>
      </w:r>
      <w:bookmarkEnd w:id="220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p>
    <w:p>
      <w:pPr>
        <w:pStyle w:val="Style51"/>
        <w:keepNext w:val="0"/>
        <w:keepLines w:val="0"/>
        <w:widowControl w:val="0"/>
        <w:shd w:val="clear" w:color="auto" w:fill="auto"/>
        <w:tabs>
          <w:tab w:pos="493" w:val="left"/>
        </w:tabs>
        <w:bidi w:val="0"/>
        <w:spacing w:before="0" w:after="360" w:line="240" w:lineRule="auto"/>
        <w:ind w:left="0" w:right="0" w:firstLine="0"/>
        <w:jc w:val="left"/>
      </w:pPr>
      <w:bookmarkStart w:id="2210" w:name="bookmark2210"/>
      <w:r>
        <w:rPr>
          <w:color w:val="000000"/>
          <w:spacing w:val="0"/>
          <w:w w:val="100"/>
          <w:position w:val="0"/>
        </w:rPr>
        <w:t>（</w:t>
      </w:r>
      <w:bookmarkEnd w:id="221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p>
    <w:p>
      <w:pPr>
        <w:pStyle w:val="Style51"/>
        <w:keepNext w:val="0"/>
        <w:keepLines w:val="0"/>
        <w:widowControl w:val="0"/>
        <w:shd w:val="clear" w:color="auto" w:fill="auto"/>
        <w:tabs>
          <w:tab w:pos="373" w:val="left"/>
        </w:tabs>
        <w:bidi w:val="0"/>
        <w:spacing w:before="0" w:after="360" w:line="240" w:lineRule="auto"/>
        <w:ind w:left="0" w:right="0" w:firstLine="0"/>
        <w:jc w:val="left"/>
      </w:pPr>
      <w:bookmarkStart w:id="2211" w:name="bookmark2211"/>
      <w:r>
        <w:rPr>
          <w:rFonts w:ascii="Times New Roman" w:eastAsia="Times New Roman" w:hAnsi="Times New Roman" w:cs="Times New Roman"/>
          <w:color w:val="000000"/>
          <w:spacing w:val="0"/>
          <w:w w:val="100"/>
          <w:position w:val="0"/>
        </w:rPr>
        <w:t>7</w:t>
      </w:r>
      <w:bookmarkEnd w:id="2211"/>
      <w:r>
        <w:rPr>
          <w:color w:val="000000"/>
          <w:spacing w:val="0"/>
          <w:w w:val="100"/>
          <w:position w:val="0"/>
        </w:rPr>
        <w:t>、</w:t>
        <w:tab/>
        <w:t>其他对投资者决策有影响的重要交易和事项</w:t>
      </w:r>
    </w:p>
    <w:p>
      <w:pPr>
        <w:pStyle w:val="Style51"/>
        <w:keepNext w:val="0"/>
        <w:keepLines w:val="0"/>
        <w:widowControl w:val="0"/>
        <w:shd w:val="clear" w:color="auto" w:fill="auto"/>
        <w:tabs>
          <w:tab w:pos="378" w:val="left"/>
        </w:tabs>
        <w:bidi w:val="0"/>
        <w:spacing w:before="0" w:after="360" w:line="240" w:lineRule="auto"/>
        <w:ind w:left="0" w:right="0" w:firstLine="0"/>
        <w:jc w:val="left"/>
      </w:pPr>
      <w:bookmarkStart w:id="2212" w:name="bookmark2212"/>
      <w:r>
        <w:rPr>
          <w:rFonts w:ascii="Times New Roman" w:eastAsia="Times New Roman" w:hAnsi="Times New Roman" w:cs="Times New Roman"/>
          <w:color w:val="000000"/>
          <w:spacing w:val="0"/>
          <w:w w:val="100"/>
          <w:position w:val="0"/>
        </w:rPr>
        <w:t>8</w:t>
      </w:r>
      <w:bookmarkEnd w:id="2212"/>
      <w:r>
        <w:rPr>
          <w:color w:val="000000"/>
          <w:spacing w:val="0"/>
          <w:w w:val="100"/>
          <w:position w:val="0"/>
        </w:rPr>
        <w:t>、</w:t>
        <w:tab/>
        <w:t>其他</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日止，本公司无需要披露的其他重要事项。</w:t>
      </w:r>
      <w:r>
        <w:br w:type="page"/>
      </w:r>
    </w:p>
    <w:p>
      <w:pPr>
        <w:pStyle w:val="Style24"/>
        <w:keepNext/>
        <w:keepLines/>
        <w:widowControl w:val="0"/>
        <w:shd w:val="clear" w:color="auto" w:fill="auto"/>
        <w:bidi w:val="0"/>
        <w:spacing w:before="0" w:after="380" w:line="240" w:lineRule="auto"/>
        <w:ind w:left="0" w:right="0" w:firstLine="0"/>
        <w:jc w:val="left"/>
      </w:pPr>
      <w:bookmarkStart w:id="2213" w:name="bookmark2213"/>
      <w:bookmarkStart w:id="2214" w:name="bookmark2214"/>
      <w:bookmarkStart w:id="2215" w:name="bookmark2215"/>
      <w:r>
        <w:rPr>
          <w:color w:val="000000"/>
          <w:spacing w:val="0"/>
          <w:w w:val="100"/>
          <w:position w:val="0"/>
          <w:sz w:val="24"/>
          <w:szCs w:val="24"/>
        </w:rPr>
        <w:t>十七、母公司财务报表主要项目注释</w:t>
      </w:r>
      <w:bookmarkEnd w:id="2213"/>
      <w:bookmarkEnd w:id="2214"/>
      <w:bookmarkEnd w:id="2215"/>
    </w:p>
    <w:p>
      <w:pPr>
        <w:pStyle w:val="Style30"/>
        <w:keepNext/>
        <w:keepLines/>
        <w:widowControl w:val="0"/>
        <w:shd w:val="clear" w:color="auto" w:fill="auto"/>
        <w:bidi w:val="0"/>
        <w:spacing w:before="0" w:after="380" w:line="240" w:lineRule="auto"/>
        <w:ind w:left="0" w:right="0" w:firstLine="0"/>
        <w:jc w:val="left"/>
      </w:pPr>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16"/>
      <w:bookmarkEnd w:id="2217"/>
      <w:bookmarkEnd w:id="2218"/>
    </w:p>
    <w:p>
      <w:pPr>
        <w:pStyle w:val="Style30"/>
        <w:keepNext/>
        <w:keepLines/>
        <w:widowControl w:val="0"/>
        <w:shd w:val="clear" w:color="auto" w:fill="auto"/>
        <w:bidi w:val="0"/>
        <w:spacing w:before="0" w:after="380" w:line="240" w:lineRule="auto"/>
        <w:ind w:left="0" w:right="0" w:firstLine="0"/>
        <w:jc w:val="left"/>
      </w:pPr>
      <w:bookmarkStart w:id="2216" w:name="bookmark2216"/>
      <w:bookmarkStart w:id="2217" w:name="bookmark2217"/>
      <w:bookmarkStart w:id="2219" w:name="bookmark22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16"/>
      <w:bookmarkEnd w:id="2217"/>
      <w:bookmarkEnd w:id="221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541,398,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48,628,6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492,769,4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441,249,6</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29,587,97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411,661,70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 围内关联方客户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15,488,7</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15,488,79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5,594,889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5,594,889.2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 融资产组客户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34,765,2</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4,459,74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30,305,54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44,430,88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3,691,765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40,739,115.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491,144,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44,168,9</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446,975,1</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391,223,9</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25,896,20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365,327,70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541,398,</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48,628,6</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492,769,4</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441,249,6</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29,587,97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411,661,70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：应收合并范围内关联方客户</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 方客户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15,488,799.29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15,488,799.29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：应收联创智融资产组客户</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5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：应收联创智融资产组 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34,765,294.62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4,459,747.52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34,765,294.62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4,459,747.52</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200" w:firstLine="0"/>
              <w:jc w:val="right"/>
            </w:pPr>
            <w:r>
              <w:rPr>
                <w:rFonts w:ascii="Times New Roman" w:eastAsia="Times New Roman" w:hAnsi="Times New Roman" w:cs="Times New Roman"/>
                <w:color w:val="000000"/>
                <w:spacing w:val="0"/>
                <w:w w:val="100"/>
                <w:position w:val="0"/>
              </w:rPr>
              <w:t>--</w:t>
            </w:r>
          </w:p>
        </w:tc>
      </w:tr>
      <w:tr>
        <w:trPr>
          <w:trHeight w:val="1459"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公司参考历史信用损失经验，结合当前状况以及对未来经济状况的预测，确定该组合。</w:t>
            </w:r>
          </w:p>
          <w:p>
            <w:pPr>
              <w:pStyle w:val="Style2"/>
              <w:keepNext w:val="0"/>
              <w:keepLines w:val="0"/>
              <w:widowControl w:val="0"/>
              <w:shd w:val="clear" w:color="auto" w:fill="auto"/>
              <w:bidi w:val="0"/>
              <w:spacing w:before="0" w:after="0" w:line="346" w:lineRule="exact"/>
              <w:ind w:left="8920" w:right="0" w:hanging="892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 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491,144,044.17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44,168,917.69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491,144,044.17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44,168,917.69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公司参考历史信用损失经验，结合当前状况以及对未来经济状况的预测，确定该组合。</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5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2386"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485,508,270.21</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485,508,270.21</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16,461,444.36</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36,027,001.82</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3,401,421.69</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714,360.93</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2,596,908.00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90,152.76</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pPr>
            <w:r>
              <w:rPr>
                <w:rFonts w:ascii="Times New Roman" w:eastAsia="Times New Roman" w:hAnsi="Times New Roman" w:cs="Times New Roman"/>
                <w:color w:val="000000"/>
                <w:spacing w:val="0"/>
                <w:w w:val="100"/>
                <w:position w:val="0"/>
              </w:rPr>
              <w:t>541,398,138.08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20"/>
      <w:bookmarkEnd w:id="2221"/>
      <w:bookmarkEnd w:id="222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r>
        <w:br w:type="page"/>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：应收联创 智融资产组客户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3,691,765.33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767,982.19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4,459,747.52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：应收其他 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25,896,208.36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18,272,709.33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44,168,917.69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29,587,973.69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19,040,691.52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48,628,665.21</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0"/>
        <w:keepNext/>
        <w:keepLines/>
        <w:widowControl w:val="0"/>
        <w:numPr>
          <w:ilvl w:val="0"/>
          <w:numId w:val="221"/>
        </w:numPr>
        <w:shd w:val="clear" w:color="auto" w:fill="auto"/>
        <w:bidi w:val="0"/>
        <w:spacing w:before="0" w:after="38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本期实际核销的应收账款情况</w:t>
      </w:r>
      <w:bookmarkEnd w:id="2223"/>
      <w:bookmarkEnd w:id="2224"/>
      <w:bookmarkEnd w:id="2226"/>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0"/>
        <w:keepNext/>
        <w:keepLines/>
        <w:widowControl w:val="0"/>
        <w:numPr>
          <w:ilvl w:val="0"/>
          <w:numId w:val="221"/>
        </w:numPr>
        <w:shd w:val="clear" w:color="auto" w:fill="auto"/>
        <w:bidi w:val="0"/>
        <w:spacing w:before="0" w:after="380" w:line="240" w:lineRule="auto"/>
        <w:ind w:left="0" w:right="0" w:firstLine="0"/>
        <w:jc w:val="left"/>
      </w:pPr>
      <w:bookmarkStart w:id="2227" w:name="bookmark2227"/>
      <w:bookmarkStart w:id="2228" w:name="bookmark2228"/>
      <w:bookmarkStart w:id="2229" w:name="bookmark2229"/>
      <w:bookmarkStart w:id="2230" w:name="bookmark2230"/>
      <w:bookmarkEnd w:id="2229"/>
      <w:r>
        <w:rPr>
          <w:color w:val="000000"/>
          <w:spacing w:val="0"/>
          <w:w w:val="100"/>
          <w:position w:val="0"/>
        </w:rPr>
        <w:t>按欠款方归集的期末余额前五名的应收账款情况</w:t>
      </w:r>
      <w:bookmarkEnd w:id="2227"/>
      <w:bookmarkEnd w:id="2228"/>
      <w:bookmarkEnd w:id="2230"/>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123,100,143.61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6,155,007.18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79,288,654.68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3,964,432.73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73,733,981.89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3,686,699.09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34,753,247.99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2,043,727.60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31,090,242.89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1,619,924.57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341,966,271.06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numPr>
          <w:ilvl w:val="0"/>
          <w:numId w:val="221"/>
        </w:numPr>
        <w:shd w:val="clear" w:color="auto" w:fill="auto"/>
        <w:bidi w:val="0"/>
        <w:spacing w:before="0" w:after="380" w:line="240" w:lineRule="auto"/>
        <w:ind w:left="0" w:right="0" w:firstLine="0"/>
        <w:jc w:val="left"/>
      </w:pPr>
      <w:bookmarkStart w:id="2231" w:name="bookmark2231"/>
      <w:bookmarkStart w:id="2232" w:name="bookmark2232"/>
      <w:bookmarkStart w:id="2233" w:name="bookmark2233"/>
      <w:bookmarkStart w:id="2234" w:name="bookmark2234"/>
      <w:bookmarkEnd w:id="2233"/>
      <w:r>
        <w:rPr>
          <w:color w:val="000000"/>
          <w:spacing w:val="0"/>
          <w:w w:val="100"/>
          <w:position w:val="0"/>
        </w:rPr>
        <w:t>因金融资产转移而终止确认的应收账款</w:t>
      </w:r>
      <w:bookmarkEnd w:id="2231"/>
      <w:bookmarkEnd w:id="2232"/>
      <w:bookmarkEnd w:id="223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235" w:name="bookmark2235"/>
      <w:bookmarkStart w:id="2236" w:name="bookmark2236"/>
      <w:bookmarkStart w:id="2237" w:name="bookmark2237"/>
      <w:bookmarkStart w:id="2238" w:name="bookmark2238"/>
      <w:r>
        <w:rPr>
          <w:color w:val="000000"/>
          <w:spacing w:val="0"/>
          <w:w w:val="100"/>
          <w:position w:val="0"/>
        </w:rPr>
        <w:t>（</w:t>
      </w:r>
      <w:bookmarkEnd w:id="223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235"/>
      <w:bookmarkEnd w:id="2236"/>
      <w:bookmarkEnd w:id="223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0"/>
        <w:keepNext/>
        <w:keepLines/>
        <w:widowControl w:val="0"/>
        <w:shd w:val="clear" w:color="auto" w:fill="auto"/>
        <w:bidi w:val="0"/>
        <w:spacing w:before="0" w:line="240" w:lineRule="auto"/>
        <w:ind w:left="0" w:right="0" w:firstLine="0"/>
        <w:jc w:val="left"/>
      </w:pPr>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39"/>
      <w:bookmarkEnd w:id="2240"/>
      <w:bookmarkEnd w:id="224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58,994,672.13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37,930,534.76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58,994,672.13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37,930,534.76</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42"/>
      <w:bookmarkEnd w:id="2243"/>
      <w:bookmarkEnd w:id="2244"/>
    </w:p>
    <w:p>
      <w:pPr>
        <w:pStyle w:val="Style30"/>
        <w:keepNext/>
        <w:keepLines/>
        <w:widowControl w:val="0"/>
        <w:shd w:val="clear" w:color="auto" w:fill="auto"/>
        <w:bidi w:val="0"/>
        <w:spacing w:before="0" w:line="240" w:lineRule="auto"/>
        <w:ind w:left="0" w:right="0" w:firstLine="0"/>
        <w:jc w:val="both"/>
      </w:pPr>
      <w:bookmarkStart w:id="2242" w:name="bookmark2242"/>
      <w:bookmarkStart w:id="2243" w:name="bookmark2243"/>
      <w:bookmarkStart w:id="2245" w:name="bookmark2245"/>
      <w:bookmarkStart w:id="2246" w:name="bookmark2246"/>
      <w:r>
        <w:rPr>
          <w:rFonts w:ascii="Times New Roman" w:eastAsia="Times New Roman" w:hAnsi="Times New Roman" w:cs="Times New Roman"/>
          <w:color w:val="000000"/>
          <w:spacing w:val="0"/>
          <w:w w:val="100"/>
          <w:position w:val="0"/>
        </w:rPr>
        <w:t>1</w:t>
      </w:r>
      <w:bookmarkEnd w:id="2245"/>
      <w:r>
        <w:rPr>
          <w:color w:val="000000"/>
          <w:spacing w:val="0"/>
          <w:w w:val="100"/>
          <w:position w:val="0"/>
        </w:rPr>
        <w:t>）应收利息分类</w:t>
      </w:r>
      <w:bookmarkEnd w:id="2242"/>
      <w:bookmarkEnd w:id="2243"/>
      <w:bookmarkEnd w:id="224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2247" w:name="bookmark2247"/>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2</w:t>
      </w:r>
      <w:bookmarkEnd w:id="2249"/>
      <w:r>
        <w:rPr>
          <w:color w:val="000000"/>
          <w:spacing w:val="0"/>
          <w:w w:val="100"/>
          <w:position w:val="0"/>
        </w:rPr>
        <w:t>）重要逾期利息</w:t>
      </w:r>
      <w:bookmarkEnd w:id="2247"/>
      <w:bookmarkEnd w:id="2248"/>
      <w:bookmarkEnd w:id="2250"/>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both"/>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3</w:t>
      </w:r>
      <w:bookmarkEnd w:id="2253"/>
      <w:r>
        <w:rPr>
          <w:color w:val="000000"/>
          <w:spacing w:val="0"/>
          <w:w w:val="100"/>
          <w:position w:val="0"/>
        </w:rPr>
        <w:t>）坏账准备计提情况</w:t>
      </w:r>
      <w:bookmarkEnd w:id="2251"/>
      <w:bookmarkEnd w:id="2252"/>
      <w:bookmarkEnd w:id="2254"/>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2255" w:name="bookmark2255"/>
      <w:bookmarkStart w:id="2256" w:name="bookmark2256"/>
      <w:bookmarkStart w:id="2257" w:name="bookmark22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55"/>
      <w:bookmarkEnd w:id="2256"/>
      <w:bookmarkEnd w:id="2257"/>
    </w:p>
    <w:p>
      <w:pPr>
        <w:pStyle w:val="Style30"/>
        <w:keepNext/>
        <w:keepLines/>
        <w:widowControl w:val="0"/>
        <w:shd w:val="clear" w:color="auto" w:fill="auto"/>
        <w:bidi w:val="0"/>
        <w:spacing w:before="0" w:line="240" w:lineRule="auto"/>
        <w:ind w:left="0" w:right="0" w:firstLine="0"/>
        <w:jc w:val="both"/>
      </w:pPr>
      <w:bookmarkStart w:id="2255" w:name="bookmark2255"/>
      <w:bookmarkStart w:id="2256" w:name="bookmark2256"/>
      <w:bookmarkStart w:id="2258" w:name="bookmark2258"/>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55"/>
      <w:bookmarkEnd w:id="2256"/>
      <w:bookmarkEnd w:id="225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2</w:t>
      </w:r>
      <w:bookmarkEnd w:id="226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9"/>
      <w:bookmarkEnd w:id="2260"/>
      <w:bookmarkEnd w:id="226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30"/>
        <w:keepNext/>
        <w:keepLines/>
        <w:widowControl w:val="0"/>
        <w:shd w:val="clear" w:color="auto" w:fill="auto"/>
        <w:bidi w:val="0"/>
        <w:spacing w:before="0" w:after="380" w:line="240" w:lineRule="auto"/>
        <w:ind w:left="0" w:right="0" w:firstLine="0"/>
        <w:jc w:val="left"/>
      </w:pPr>
      <w:bookmarkStart w:id="2263" w:name="bookmark2263"/>
      <w:bookmarkStart w:id="2264" w:name="bookmark2264"/>
      <w:bookmarkStart w:id="2265" w:name="bookmark2265"/>
      <w:bookmarkStart w:id="2266" w:name="bookmark2266"/>
      <w:r>
        <w:rPr>
          <w:rFonts w:ascii="Times New Roman" w:eastAsia="Times New Roman" w:hAnsi="Times New Roman" w:cs="Times New Roman"/>
          <w:color w:val="000000"/>
          <w:spacing w:val="0"/>
          <w:w w:val="100"/>
          <w:position w:val="0"/>
        </w:rPr>
        <w:t>3</w:t>
      </w:r>
      <w:bookmarkEnd w:id="2265"/>
      <w:r>
        <w:rPr>
          <w:color w:val="000000"/>
          <w:spacing w:val="0"/>
          <w:w w:val="100"/>
          <w:position w:val="0"/>
        </w:rPr>
        <w:t>）坏账准备计提情况</w:t>
      </w:r>
      <w:bookmarkEnd w:id="2263"/>
      <w:bookmarkEnd w:id="2264"/>
      <w:bookmarkEnd w:id="2266"/>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69" w:name="bookmark2269"/>
      <w:bookmarkStart w:id="2270" w:name="bookmark2270"/>
      <w:r>
        <w:rPr>
          <w:color w:val="000000"/>
          <w:spacing w:val="0"/>
          <w:w w:val="100"/>
          <w:position w:val="0"/>
        </w:rPr>
        <w:t>（</w:t>
      </w:r>
      <w:bookmarkEnd w:id="2269"/>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67"/>
      <w:bookmarkEnd w:id="2268"/>
      <w:bookmarkEnd w:id="2270"/>
    </w:p>
    <w:p>
      <w:pPr>
        <w:pStyle w:val="Style30"/>
        <w:keepNext/>
        <w:keepLines/>
        <w:widowControl w:val="0"/>
        <w:shd w:val="clear" w:color="auto" w:fill="auto"/>
        <w:bidi w:val="0"/>
        <w:spacing w:before="0" w:after="380" w:line="240" w:lineRule="auto"/>
        <w:ind w:left="0" w:right="0" w:firstLine="0"/>
        <w:jc w:val="left"/>
      </w:pPr>
      <w:bookmarkStart w:id="2267" w:name="bookmark2267"/>
      <w:bookmarkStart w:id="2268" w:name="bookmark2268"/>
      <w:bookmarkStart w:id="2271" w:name="bookmark227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7"/>
      <w:bookmarkEnd w:id="2268"/>
      <w:bookmarkEnd w:id="227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38,724,694.67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26,781,947.27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14,768,184.86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3,654,438.74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4,885,427.52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4,042,379.05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3,398,605.98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3,343,227.53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61,134,034.10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39,052,981.37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272" w:name="bookmark2272"/>
      <w:bookmarkStart w:id="2273" w:name="bookmark2273"/>
      <w:bookmarkStart w:id="2274" w:name="bookmark227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72"/>
      <w:bookmarkEnd w:id="2273"/>
      <w:bookmarkEnd w:id="227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1,122,446.61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1,122,446.61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1,016,915.36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1,016,915.36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2,139,361.97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2,139,361.97</w:t>
            </w:r>
          </w:p>
        </w:tc>
      </w:tr>
    </w:tbl>
    <w:p>
      <w:pPr>
        <w:widowControl w:val="0"/>
        <w:spacing w:after="7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58,851,197.08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58,851,197.08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694,133.52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1,004,560.00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584,143.50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61,134,034.10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275" w:name="bookmark2275"/>
      <w:bookmarkStart w:id="2276" w:name="bookmark2276"/>
      <w:bookmarkStart w:id="2277" w:name="bookmark2277"/>
      <w:bookmarkStart w:id="2278" w:name="bookmark2278"/>
      <w:r>
        <w:rPr>
          <w:rFonts w:ascii="Times New Roman" w:eastAsia="Times New Roman" w:hAnsi="Times New Roman" w:cs="Times New Roman"/>
          <w:color w:val="000000"/>
          <w:spacing w:val="0"/>
          <w:w w:val="100"/>
          <w:position w:val="0"/>
        </w:rPr>
        <w:t>3</w:t>
      </w:r>
      <w:bookmarkEnd w:id="2277"/>
      <w:r>
        <w:rPr>
          <w:color w:val="000000"/>
          <w:spacing w:val="0"/>
          <w:w w:val="100"/>
          <w:position w:val="0"/>
        </w:rPr>
        <w:t>）本期计提、收回或转回的坏账准备情况</w:t>
      </w:r>
      <w:bookmarkEnd w:id="2275"/>
      <w:bookmarkEnd w:id="2276"/>
      <w:bookmarkEnd w:id="227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：应收其他客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1,122,446.61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1,016,915.36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2,139,361.97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1,122,446.61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1,016,915.36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2,139,361.97</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279" w:name="bookmark2279"/>
      <w:bookmarkStart w:id="2280" w:name="bookmark2280"/>
      <w:bookmarkStart w:id="2281" w:name="bookmark2281"/>
      <w:bookmarkStart w:id="2282" w:name="bookmark2282"/>
      <w:r>
        <w:rPr>
          <w:rFonts w:ascii="Times New Roman" w:eastAsia="Times New Roman" w:hAnsi="Times New Roman" w:cs="Times New Roman"/>
          <w:color w:val="000000"/>
          <w:spacing w:val="0"/>
          <w:w w:val="100"/>
          <w:position w:val="0"/>
        </w:rPr>
        <w:t>4</w:t>
      </w:r>
      <w:bookmarkEnd w:id="2281"/>
      <w:r>
        <w:rPr>
          <w:color w:val="000000"/>
          <w:spacing w:val="0"/>
          <w:w w:val="100"/>
          <w:position w:val="0"/>
        </w:rPr>
        <w:t>）本期实际核销的其他应收款情况</w:t>
      </w:r>
      <w:bookmarkEnd w:id="2279"/>
      <w:bookmarkEnd w:id="2280"/>
      <w:bookmarkEnd w:id="22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0"/>
        <w:keepNext/>
        <w:keepLines/>
        <w:widowControl w:val="0"/>
        <w:shd w:val="clear" w:color="auto" w:fill="auto"/>
        <w:bidi w:val="0"/>
        <w:spacing w:before="0" w:line="240" w:lineRule="auto"/>
        <w:ind w:left="0" w:right="0" w:firstLine="0"/>
        <w:jc w:val="left"/>
      </w:pPr>
      <w:bookmarkStart w:id="2283" w:name="bookmark2283"/>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5</w:t>
      </w:r>
      <w:bookmarkEnd w:id="2285"/>
      <w:r>
        <w:rPr>
          <w:color w:val="000000"/>
          <w:spacing w:val="0"/>
          <w:w w:val="100"/>
          <w:position w:val="0"/>
        </w:rPr>
        <w:t>）按欠款方归集的期末余额前五名的其他应收款情况</w:t>
      </w:r>
      <w:bookmarkEnd w:id="2283"/>
      <w:bookmarkEnd w:id="2284"/>
      <w:bookmarkEnd w:id="228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江苏润和科技投资集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14,768,184.86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738,409.24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江苏润和捷诚科技产 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11,950,694.67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广州润和颐能软件技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上海润和信息技术服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北京润和汇智信息技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50,568,879.53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738,409.24</w:t>
            </w:r>
          </w:p>
        </w:tc>
      </w:tr>
    </w:tbl>
    <w:p>
      <w:pPr>
        <w:widowControl w:val="0"/>
        <w:spacing w:after="359" w:line="1" w:lineRule="exact"/>
      </w:pPr>
    </w:p>
    <w:p>
      <w:pPr>
        <w:pStyle w:val="Style30"/>
        <w:keepNext/>
        <w:keepLines/>
        <w:widowControl w:val="0"/>
        <w:numPr>
          <w:ilvl w:val="0"/>
          <w:numId w:val="223"/>
        </w:numPr>
        <w:shd w:val="clear" w:color="auto" w:fill="auto"/>
        <w:bidi w:val="0"/>
        <w:spacing w:before="0" w:line="240" w:lineRule="auto"/>
        <w:ind w:left="0" w:right="0" w:firstLine="0"/>
        <w:jc w:val="left"/>
      </w:pPr>
      <w:bookmarkStart w:id="2287" w:name="bookmark2287"/>
      <w:bookmarkStart w:id="2288" w:name="bookmark2288"/>
      <w:bookmarkStart w:id="2289" w:name="bookmark2289"/>
      <w:bookmarkStart w:id="2290" w:name="bookmark2290"/>
      <w:bookmarkEnd w:id="2289"/>
      <w:r>
        <w:rPr>
          <w:color w:val="000000"/>
          <w:spacing w:val="0"/>
          <w:w w:val="100"/>
          <w:position w:val="0"/>
        </w:rPr>
        <w:t>涉及政府补助的应收款项</w:t>
      </w:r>
      <w:bookmarkEnd w:id="2287"/>
      <w:bookmarkEnd w:id="2288"/>
      <w:bookmarkEnd w:id="2290"/>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0"/>
        <w:keepNext/>
        <w:keepLines/>
        <w:widowControl w:val="0"/>
        <w:numPr>
          <w:ilvl w:val="0"/>
          <w:numId w:val="223"/>
        </w:numPr>
        <w:shd w:val="clear" w:color="auto" w:fill="auto"/>
        <w:tabs>
          <w:tab w:pos="392" w:val="left"/>
        </w:tabs>
        <w:bidi w:val="0"/>
        <w:spacing w:before="0" w:line="240" w:lineRule="auto"/>
        <w:ind w:left="0" w:right="0" w:firstLine="0"/>
        <w:jc w:val="left"/>
      </w:pPr>
      <w:bookmarkStart w:id="2291" w:name="bookmark2291"/>
      <w:bookmarkStart w:id="2292" w:name="bookmark2292"/>
      <w:bookmarkStart w:id="2293" w:name="bookmark2293"/>
      <w:bookmarkStart w:id="2294" w:name="bookmark2294"/>
      <w:bookmarkEnd w:id="2293"/>
      <w:r>
        <w:rPr>
          <w:color w:val="000000"/>
          <w:spacing w:val="0"/>
          <w:w w:val="100"/>
          <w:position w:val="0"/>
        </w:rPr>
        <w:t>因金融资产转移而终止确认的其他应收款</w:t>
      </w:r>
      <w:bookmarkEnd w:id="2291"/>
      <w:bookmarkEnd w:id="2292"/>
      <w:bookmarkEnd w:id="2294"/>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numPr>
          <w:ilvl w:val="0"/>
          <w:numId w:val="223"/>
        </w:numPr>
        <w:shd w:val="clear" w:color="auto" w:fill="auto"/>
        <w:tabs>
          <w:tab w:pos="397" w:val="left"/>
        </w:tabs>
        <w:bidi w:val="0"/>
        <w:spacing w:before="0" w:line="240" w:lineRule="auto"/>
        <w:ind w:left="0" w:right="0" w:firstLine="0"/>
        <w:jc w:val="left"/>
      </w:pPr>
      <w:bookmarkStart w:id="2295" w:name="bookmark2295"/>
      <w:bookmarkStart w:id="2296" w:name="bookmark2296"/>
      <w:bookmarkStart w:id="2297" w:name="bookmark2297"/>
      <w:bookmarkStart w:id="2298" w:name="bookmark2298"/>
      <w:bookmarkEnd w:id="2297"/>
      <w:r>
        <w:rPr>
          <w:color w:val="000000"/>
          <w:spacing w:val="0"/>
          <w:w w:val="100"/>
          <w:position w:val="0"/>
        </w:rPr>
        <w:t>转移其他应收款且继续涉入形成的资产、负债金额</w:t>
      </w:r>
      <w:bookmarkEnd w:id="2295"/>
      <w:bookmarkEnd w:id="2296"/>
      <w:bookmarkEnd w:id="229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numPr>
          <w:ilvl w:val="0"/>
          <w:numId w:val="225"/>
        </w:numPr>
        <w:shd w:val="clear" w:color="auto" w:fill="auto"/>
        <w:tabs>
          <w:tab w:pos="445" w:val="left"/>
        </w:tabs>
        <w:bidi w:val="0"/>
        <w:spacing w:before="0" w:after="60" w:line="240" w:lineRule="auto"/>
        <w:ind w:left="0" w:right="0" w:firstLine="0"/>
        <w:jc w:val="left"/>
      </w:pPr>
      <w:bookmarkStart w:id="2299" w:name="bookmark2299"/>
      <w:bookmarkEnd w:id="2299"/>
      <w:r>
        <w:rPr>
          <w:color w:val="000000"/>
          <w:spacing w:val="0"/>
          <w:w w:val="100"/>
          <w:position w:val="0"/>
        </w:rPr>
        <w:t>本期坏账准备计提金额的确认标准及说明见附注五、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26"/>
        <w:keepNext w:val="0"/>
        <w:keepLines w:val="0"/>
        <w:widowControl w:val="0"/>
        <w:numPr>
          <w:ilvl w:val="0"/>
          <w:numId w:val="225"/>
        </w:numPr>
        <w:shd w:val="clear" w:color="auto" w:fill="auto"/>
        <w:bidi w:val="0"/>
        <w:spacing w:before="0" w:after="360" w:line="240" w:lineRule="auto"/>
        <w:ind w:left="0" w:right="0" w:firstLine="0"/>
        <w:jc w:val="left"/>
      </w:pPr>
      <w:bookmarkStart w:id="2300" w:name="bookmark2300"/>
      <w:bookmarkEnd w:id="2300"/>
      <w:r>
        <w:rPr>
          <w:color w:val="000000"/>
          <w:spacing w:val="0"/>
          <w:w w:val="100"/>
          <w:position w:val="0"/>
        </w:rPr>
        <w:t xml:space="preserve"> 其他应收款期末余额较期初余额增长</w:t>
      </w:r>
      <w:r>
        <w:rPr>
          <w:rFonts w:ascii="Times New Roman" w:eastAsia="Times New Roman" w:hAnsi="Times New Roman" w:cs="Times New Roman"/>
          <w:color w:val="000000"/>
          <w:spacing w:val="0"/>
          <w:w w:val="100"/>
          <w:position w:val="0"/>
        </w:rPr>
        <w:t>56.54%</w:t>
      </w:r>
      <w:r>
        <w:rPr>
          <w:color w:val="000000"/>
          <w:spacing w:val="0"/>
          <w:w w:val="100"/>
          <w:position w:val="0"/>
        </w:rPr>
        <w:t>，主要原因是期末资金往来余额的增加。</w:t>
      </w:r>
    </w:p>
    <w:p>
      <w:pPr>
        <w:pStyle w:val="Style30"/>
        <w:keepNext/>
        <w:keepLines/>
        <w:widowControl w:val="0"/>
        <w:shd w:val="clear" w:color="auto" w:fill="auto"/>
        <w:bidi w:val="0"/>
        <w:spacing w:before="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3</w:t>
      </w:r>
      <w:bookmarkEnd w:id="2303"/>
      <w:r>
        <w:rPr>
          <w:color w:val="000000"/>
          <w:spacing w:val="0"/>
          <w:w w:val="100"/>
          <w:position w:val="0"/>
        </w:rPr>
        <w:t>、长期股权投资</w:t>
      </w:r>
      <w:bookmarkEnd w:id="2301"/>
      <w:bookmarkEnd w:id="2302"/>
      <w:bookmarkEnd w:id="230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3,270,681,606.83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1,496,686,900.00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1,773,994,706.83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3,276,681,606.83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1,496,686,900.00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1,779,994,706.83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68,818,141.54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68,818,141.54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86,823,985.15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86,823,985.15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3,339,499,748.37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1,496,686,900.00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1,842,812,848.37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3,363,505,591.98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1,496,686,900.00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1,866,818,691.98</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140"/>
        <w:jc w:val="left"/>
      </w:pPr>
      <w:bookmarkStart w:id="2305" w:name="bookmark2305"/>
      <w:bookmarkStart w:id="2306" w:name="bookmark2306"/>
      <w:bookmarkStart w:id="2307" w:name="bookmark230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05"/>
      <w:bookmarkEnd w:id="2306"/>
      <w:bookmarkEnd w:id="230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4709"/>
        <w:gridCol w:w="1214"/>
        <w:gridCol w:w="122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面价值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价值</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株式会社亦一</w:t>
            </w:r>
          </w:p>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4,856,001.00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4,856,001.00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江苏润和南京 软件外包园投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155,456,135.8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155,456,135.83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HopeRun</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Technology Co.,</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60,676,450.00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60,676,450.00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西安润和软件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北京润和汇智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北京捷科智诚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720,000,000.0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上海润和信息 技术服务有限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香港润和信息 技术投资有限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2,466,120.00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2,466,120.00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北京联创智融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724,670,000.0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724,670,000.00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1,473,076,900.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上海菲耐得信 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63,390,000.00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23,610,000.00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广州润和颐能 软件技术有限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南京润和润云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江苏润和智融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1,779,994,706.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1,773,994,706.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1,496,686,900.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2308" w:name="bookmark2308"/>
      <w:bookmarkStart w:id="2309" w:name="bookmark2309"/>
      <w:bookmarkStart w:id="2310" w:name="bookmark231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08"/>
      <w:bookmarkEnd w:id="2309"/>
      <w:bookmarkEnd w:id="23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2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苏州博纳 讯动软件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29,880,77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奥特酷智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能科技</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19,175,07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22,336,58</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 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7.91</w:t>
            </w: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南京润辰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1,979,637</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750,955.6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2,730,593</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新维数联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28,200,92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1,667,840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29,868,76</w:t>
            </w:r>
          </w:p>
        </w:tc>
        <w:tc>
          <w:tcPr>
            <w:tcBorders>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科技有限 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8.31</w:t>
            </w: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江苏鑫合 易家信息 技术有限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7,587,572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67,880.34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7,655,452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润芯微科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技（江苏）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-42,811.3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3,757,188</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江苏润和 智融科技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469,551.3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2,469,551</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68,818,14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1.54</w:t>
            </w: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86,823,98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8,249,945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1,003,357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68,818,14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39.85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1.54</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311" w:name="bookmark2311"/>
      <w:bookmarkStart w:id="2312" w:name="bookmark2312"/>
      <w:bookmarkStart w:id="2313" w:name="bookmark2313"/>
      <w:bookmarkStart w:id="2314" w:name="bookmark2314"/>
      <w:r>
        <w:rPr>
          <w:rFonts w:ascii="Times New Roman" w:eastAsia="Times New Roman" w:hAnsi="Times New Roman" w:cs="Times New Roman"/>
          <w:color w:val="000000"/>
          <w:spacing w:val="0"/>
          <w:w w:val="100"/>
          <w:position w:val="0"/>
        </w:rPr>
        <w:t>（</w:t>
      </w:r>
      <w:bookmarkEnd w:id="2313"/>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11"/>
      <w:bookmarkEnd w:id="2312"/>
      <w:bookmarkEnd w:id="2314"/>
    </w:p>
    <w:p>
      <w:pPr>
        <w:pStyle w:val="Style26"/>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①本期</w:t>
      </w:r>
      <w:r>
        <w:rPr>
          <w:rFonts w:ascii="Times New Roman" w:eastAsia="Times New Roman" w:hAnsi="Times New Roman" w:cs="Times New Roman"/>
          <w:b/>
          <w:bCs/>
          <w:color w:val="000000"/>
          <w:spacing w:val="0"/>
          <w:w w:val="100"/>
          <w:position w:val="0"/>
        </w:rPr>
        <w:t>“</w:t>
      </w:r>
      <w:r>
        <w:rPr>
          <w:b/>
          <w:bCs/>
          <w:color w:val="000000"/>
          <w:spacing w:val="0"/>
          <w:w w:val="100"/>
          <w:position w:val="0"/>
        </w:rPr>
        <w:t>对子公司投资</w:t>
      </w:r>
      <w:r>
        <w:rPr>
          <w:rFonts w:ascii="Times New Roman" w:eastAsia="Times New Roman" w:hAnsi="Times New Roman" w:cs="Times New Roman"/>
          <w:b/>
          <w:bCs/>
          <w:color w:val="000000"/>
          <w:spacing w:val="0"/>
          <w:w w:val="100"/>
          <w:position w:val="0"/>
        </w:rPr>
        <w:t>”</w:t>
      </w:r>
      <w:r>
        <w:rPr>
          <w:b/>
          <w:bCs/>
          <w:color w:val="000000"/>
          <w:spacing w:val="0"/>
          <w:w w:val="100"/>
          <w:position w:val="0"/>
        </w:rPr>
        <w:t>之润和智融的股权变动情况，详见附注七、</w:t>
      </w:r>
      <w:r>
        <w:rPr>
          <w:rFonts w:ascii="Times New Roman" w:eastAsia="Times New Roman" w:hAnsi="Times New Roman" w:cs="Times New Roman"/>
          <w:b/>
          <w:bCs/>
          <w:color w:val="000000"/>
          <w:spacing w:val="0"/>
          <w:w w:val="100"/>
          <w:position w:val="0"/>
        </w:rPr>
        <w:t>17</w:t>
      </w:r>
      <w:r>
        <w:rPr>
          <w:b/>
          <w:bCs/>
          <w:color w:val="000000"/>
          <w:spacing w:val="0"/>
          <w:w w:val="100"/>
          <w:position w:val="0"/>
        </w:rPr>
        <w:t>、长期股权投资。</w:t>
      </w:r>
    </w:p>
    <w:p>
      <w:pPr>
        <w:pStyle w:val="Style26"/>
        <w:keepNext w:val="0"/>
        <w:keepLines w:val="0"/>
        <w:widowControl w:val="0"/>
        <w:numPr>
          <w:ilvl w:val="0"/>
          <w:numId w:val="227"/>
        </w:numPr>
        <w:shd w:val="clear" w:color="auto" w:fill="auto"/>
        <w:tabs>
          <w:tab w:pos="366" w:val="left"/>
        </w:tabs>
        <w:bidi w:val="0"/>
        <w:spacing w:before="0" w:after="100" w:line="240" w:lineRule="auto"/>
        <w:ind w:left="0" w:right="0" w:firstLine="0"/>
        <w:jc w:val="left"/>
      </w:pPr>
      <w:bookmarkStart w:id="2315" w:name="bookmark2315"/>
      <w:bookmarkEnd w:id="2315"/>
      <w:r>
        <w:rPr>
          <w:color w:val="000000"/>
          <w:spacing w:val="0"/>
          <w:w w:val="100"/>
          <w:position w:val="0"/>
        </w:rPr>
        <w:t>本期对联营企业、合营企业投资长期股权投资变动，详见附注七、</w:t>
      </w:r>
      <w:r>
        <w:rPr>
          <w:rFonts w:ascii="Times New Roman" w:eastAsia="Times New Roman" w:hAnsi="Times New Roman" w:cs="Times New Roman"/>
          <w:color w:val="000000"/>
          <w:spacing w:val="0"/>
          <w:w w:val="100"/>
          <w:position w:val="0"/>
        </w:rPr>
        <w:t>17</w:t>
      </w:r>
      <w:r>
        <w:rPr>
          <w:color w:val="000000"/>
          <w:spacing w:val="0"/>
          <w:w w:val="100"/>
          <w:position w:val="0"/>
        </w:rPr>
        <w:t>、长期股权投资。</w:t>
      </w:r>
    </w:p>
    <w:p>
      <w:pPr>
        <w:pStyle w:val="Style26"/>
        <w:keepNext w:val="0"/>
        <w:keepLines w:val="0"/>
        <w:widowControl w:val="0"/>
        <w:numPr>
          <w:ilvl w:val="0"/>
          <w:numId w:val="227"/>
        </w:numPr>
        <w:shd w:val="clear" w:color="auto" w:fill="auto"/>
        <w:tabs>
          <w:tab w:pos="366" w:val="left"/>
        </w:tabs>
        <w:bidi w:val="0"/>
        <w:spacing w:before="0" w:after="380" w:line="240" w:lineRule="auto"/>
        <w:ind w:left="0" w:right="0" w:firstLine="0"/>
        <w:jc w:val="left"/>
      </w:pPr>
      <w:bookmarkStart w:id="2316" w:name="bookmark2316"/>
      <w:bookmarkEnd w:id="2316"/>
      <w:r>
        <w:rPr>
          <w:color w:val="000000"/>
          <w:spacing w:val="0"/>
          <w:w w:val="100"/>
          <w:position w:val="0"/>
        </w:rPr>
        <w:t>本公司投资变现及投资收益汇回无重大限制。</w:t>
      </w:r>
    </w:p>
    <w:p>
      <w:pPr>
        <w:pStyle w:val="Style30"/>
        <w:keepNext/>
        <w:keepLines/>
        <w:widowControl w:val="0"/>
        <w:shd w:val="clear" w:color="auto" w:fill="auto"/>
        <w:bidi w:val="0"/>
        <w:spacing w:before="0" w:after="380" w:line="240" w:lineRule="auto"/>
        <w:ind w:left="0" w:right="0" w:firstLine="0"/>
        <w:jc w:val="left"/>
      </w:pPr>
      <w:bookmarkStart w:id="2317" w:name="bookmark2317"/>
      <w:bookmarkStart w:id="2318" w:name="bookmark2318"/>
      <w:bookmarkStart w:id="2319" w:name="bookmark2319"/>
      <w:bookmarkStart w:id="2320" w:name="bookmark2320"/>
      <w:r>
        <w:rPr>
          <w:rFonts w:ascii="Times New Roman" w:eastAsia="Times New Roman" w:hAnsi="Times New Roman" w:cs="Times New Roman"/>
          <w:color w:val="000000"/>
          <w:spacing w:val="0"/>
          <w:w w:val="100"/>
          <w:position w:val="0"/>
        </w:rPr>
        <w:t>4</w:t>
      </w:r>
      <w:bookmarkEnd w:id="2319"/>
      <w:r>
        <w:rPr>
          <w:color w:val="000000"/>
          <w:spacing w:val="0"/>
          <w:w w:val="100"/>
          <w:position w:val="0"/>
        </w:rPr>
        <w:t>、营业收入和营业成本</w:t>
      </w:r>
      <w:bookmarkEnd w:id="2317"/>
      <w:bookmarkEnd w:id="2318"/>
      <w:bookmarkEnd w:id="232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1,444,898,764.79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1,152,106,346.65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1,080,455,466.01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927,609,694.46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1,444,898,764.79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1,152,106,346.65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1,080,455,466.01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927,609,694.46</w:t>
            </w: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本公司业务主要结算类型可分为完工进度型、人力结算型、产品销售型，根据不同业务结算类型履约义务相关信息具体如下：</w:t>
      </w:r>
    </w:p>
    <w:p>
      <w:pPr>
        <w:pStyle w:val="Style26"/>
        <w:keepNext w:val="0"/>
        <w:keepLines w:val="0"/>
        <w:widowControl w:val="0"/>
        <w:shd w:val="clear" w:color="auto" w:fill="auto"/>
        <w:bidi w:val="0"/>
        <w:spacing w:before="0" w:after="0" w:line="313" w:lineRule="exact"/>
        <w:ind w:left="0" w:right="0" w:firstLine="0"/>
        <w:jc w:val="left"/>
      </w:pPr>
      <w:bookmarkStart w:id="2321" w:name="bookmark2321"/>
      <w:r>
        <w:rPr>
          <w:color w:val="000000"/>
          <w:spacing w:val="0"/>
          <w:w w:val="100"/>
          <w:position w:val="0"/>
        </w:rPr>
        <w:t>（</w:t>
      </w:r>
      <w:bookmarkEnd w:id="2321"/>
      <w:r>
        <w:rPr>
          <w:rFonts w:ascii="Times New Roman" w:eastAsia="Times New Roman" w:hAnsi="Times New Roman" w:cs="Times New Roman"/>
          <w:color w:val="000000"/>
          <w:spacing w:val="0"/>
          <w:w w:val="100"/>
          <w:position w:val="0"/>
        </w:rPr>
        <w:t>1</w:t>
      </w:r>
      <w:r>
        <w:rPr>
          <w:color w:val="000000"/>
          <w:spacing w:val="0"/>
          <w:w w:val="100"/>
          <w:position w:val="0"/>
        </w:rPr>
        <w:t>） 完工进度型是根据合同约定，达到约定的里程碑进行验收按合同总额比例收款，根据产出法或投入法在履行履约义务 时段内确认收入或在履行履约义务的时点确认收入。</w:t>
      </w:r>
    </w:p>
    <w:p>
      <w:pPr>
        <w:pStyle w:val="Style26"/>
        <w:keepNext w:val="0"/>
        <w:keepLines w:val="0"/>
        <w:widowControl w:val="0"/>
        <w:shd w:val="clear" w:color="auto" w:fill="auto"/>
        <w:tabs>
          <w:tab w:pos="534" w:val="left"/>
        </w:tabs>
        <w:bidi w:val="0"/>
        <w:spacing w:before="0" w:after="0" w:line="313" w:lineRule="exact"/>
        <w:ind w:left="0" w:right="0" w:firstLine="0"/>
        <w:jc w:val="left"/>
      </w:pPr>
      <w:bookmarkStart w:id="2322" w:name="bookmark2322"/>
      <w:r>
        <w:rPr>
          <w:color w:val="000000"/>
          <w:spacing w:val="0"/>
          <w:w w:val="100"/>
          <w:position w:val="0"/>
        </w:rPr>
        <w:t>（</w:t>
      </w:r>
      <w:bookmarkEnd w:id="2322"/>
      <w:r>
        <w:rPr>
          <w:rFonts w:ascii="Times New Roman" w:eastAsia="Times New Roman" w:hAnsi="Times New Roman" w:cs="Times New Roman"/>
          <w:color w:val="000000"/>
          <w:spacing w:val="0"/>
          <w:w w:val="100"/>
          <w:position w:val="0"/>
        </w:rPr>
        <w:t>2</w:t>
      </w:r>
      <w:r>
        <w:rPr>
          <w:color w:val="000000"/>
          <w:spacing w:val="0"/>
          <w:w w:val="100"/>
          <w:position w:val="0"/>
        </w:rPr>
        <w:t>）</w:t>
        <w:tab/>
        <w:t>人力结算型是根据合同约定，按客户要求委派符合条件的开发人员并根据客户条件确认的不同级别的开发人员根据实 际工作量进行结算，不同客户结算周期不同，一般按月</w:t>
      </w:r>
      <w:r>
        <w:rPr>
          <w:rFonts w:ascii="Times New Roman" w:eastAsia="Times New Roman" w:hAnsi="Times New Roman" w:cs="Times New Roman"/>
          <w:color w:val="000000"/>
          <w:spacing w:val="0"/>
          <w:w w:val="100"/>
          <w:position w:val="0"/>
        </w:rPr>
        <w:t>/</w:t>
      </w:r>
      <w:r>
        <w:rPr>
          <w:color w:val="000000"/>
          <w:spacing w:val="0"/>
          <w:w w:val="100"/>
          <w:position w:val="0"/>
        </w:rPr>
        <w:t>季</w:t>
      </w:r>
      <w:r>
        <w:rPr>
          <w:rFonts w:ascii="Times New Roman" w:eastAsia="Times New Roman" w:hAnsi="Times New Roman" w:cs="Times New Roman"/>
          <w:color w:val="000000"/>
          <w:spacing w:val="0"/>
          <w:w w:val="100"/>
          <w:position w:val="0"/>
        </w:rPr>
        <w:t>/</w:t>
      </w:r>
      <w:r>
        <w:rPr>
          <w:color w:val="000000"/>
          <w:spacing w:val="0"/>
          <w:w w:val="100"/>
          <w:position w:val="0"/>
        </w:rPr>
        <w:t>半年结算一次，根据实际结算的工作量在履行履约义务时段内确 认收入。</w:t>
      </w:r>
    </w:p>
    <w:p>
      <w:pPr>
        <w:pStyle w:val="Style26"/>
        <w:keepNext w:val="0"/>
        <w:keepLines w:val="0"/>
        <w:widowControl w:val="0"/>
        <w:shd w:val="clear" w:color="auto" w:fill="auto"/>
        <w:tabs>
          <w:tab w:pos="534" w:val="left"/>
        </w:tabs>
        <w:bidi w:val="0"/>
        <w:spacing w:before="0" w:after="0" w:line="313" w:lineRule="exact"/>
        <w:ind w:left="0" w:right="0" w:firstLine="0"/>
        <w:jc w:val="left"/>
      </w:pPr>
      <w:bookmarkStart w:id="2323" w:name="bookmark2323"/>
      <w:r>
        <w:rPr>
          <w:color w:val="000000"/>
          <w:spacing w:val="0"/>
          <w:w w:val="100"/>
          <w:position w:val="0"/>
        </w:rPr>
        <w:t>（</w:t>
      </w:r>
      <w:bookmarkEnd w:id="2323"/>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产品销售型是指销售软硬件或自主产品在控制权转移的某一时点确认收入，一般合同签署后，客户支付合同总金额的 </w:t>
      </w:r>
      <w:r>
        <w:rPr>
          <w:rFonts w:ascii="Times New Roman" w:eastAsia="Times New Roman" w:hAnsi="Times New Roman" w:cs="Times New Roman"/>
          <w:color w:val="000000"/>
          <w:spacing w:val="0"/>
          <w:w w:val="100"/>
          <w:position w:val="0"/>
        </w:rPr>
        <w:t>30%</w:t>
      </w:r>
      <w:r>
        <w:rPr>
          <w:color w:val="000000"/>
          <w:spacing w:val="0"/>
          <w:w w:val="100"/>
          <w:position w:val="0"/>
        </w:rPr>
        <w:t>作为预付款，产品交付给客户并验收通过，客户支付合同总额的</w:t>
      </w:r>
      <w:r>
        <w:rPr>
          <w:rFonts w:ascii="Times New Roman" w:eastAsia="Times New Roman" w:hAnsi="Times New Roman" w:cs="Times New Roman"/>
          <w:color w:val="000000"/>
          <w:spacing w:val="0"/>
          <w:w w:val="100"/>
          <w:position w:val="0"/>
        </w:rPr>
        <w:t>60%</w:t>
      </w:r>
      <w:r>
        <w:rPr>
          <w:color w:val="000000"/>
          <w:spacing w:val="0"/>
          <w:w w:val="100"/>
          <w:position w:val="0"/>
        </w:rPr>
        <w:t>，剩余合同总额的</w:t>
      </w:r>
      <w:r>
        <w:rPr>
          <w:rFonts w:ascii="Times New Roman" w:eastAsia="Times New Roman" w:hAnsi="Times New Roman" w:cs="Times New Roman"/>
          <w:color w:val="000000"/>
          <w:spacing w:val="0"/>
          <w:w w:val="100"/>
          <w:position w:val="0"/>
        </w:rPr>
        <w:t>10%</w:t>
      </w:r>
      <w:r>
        <w:rPr>
          <w:color w:val="000000"/>
          <w:spacing w:val="0"/>
          <w:w w:val="100"/>
          <w:position w:val="0"/>
        </w:rPr>
        <w:t>作为质保金。</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本公司交付的产品是根据客户要求采购或是自主产品，在交付产品前，本公司控制该产品且承担存货风险，为主要责任人。 除此之外，本公司的质量保证的类型包括保证型质量保证和服务型质量保证，对于保证型质量保证责任按照或有事项相关规 定处理，对于服务型质量保证责任作为单项履约义务，根据合同约定预计实际投入的工作量，合理分摊合同金额，一般为合 同总额的</w:t>
      </w:r>
      <w:r>
        <w:rPr>
          <w:rFonts w:ascii="Times New Roman" w:eastAsia="Times New Roman" w:hAnsi="Times New Roman" w:cs="Times New Roman"/>
          <w:color w:val="000000"/>
          <w:spacing w:val="0"/>
          <w:w w:val="100"/>
          <w:position w:val="0"/>
        </w:rPr>
        <w:t>5%-10%</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 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元预计将于年度确认收入。</w:t>
      </w:r>
    </w:p>
    <w:p>
      <w:pPr>
        <w:pStyle w:val="Style26"/>
        <w:keepNext w:val="0"/>
        <w:keepLines w:val="0"/>
        <w:widowControl w:val="0"/>
        <w:shd w:val="clear" w:color="auto" w:fill="auto"/>
        <w:bidi w:val="0"/>
        <w:spacing w:before="0" w:after="60" w:line="313" w:lineRule="exact"/>
        <w:ind w:left="0" w:right="0" w:firstLine="0"/>
        <w:jc w:val="left"/>
      </w:pPr>
      <w:r>
        <w:rPr>
          <w:color w:val="000000"/>
          <w:spacing w:val="0"/>
          <w:w w:val="100"/>
          <w:position w:val="0"/>
        </w:rPr>
        <w:t>其他说明：</w:t>
      </w:r>
      <w:r>
        <w:br w:type="page"/>
      </w:r>
    </w:p>
    <w:p>
      <w:pPr>
        <w:pStyle w:val="Style30"/>
        <w:keepNext/>
        <w:keepLines/>
        <w:widowControl w:val="0"/>
        <w:shd w:val="clear" w:color="auto" w:fill="auto"/>
        <w:bidi w:val="0"/>
        <w:spacing w:before="0" w:line="240" w:lineRule="auto"/>
        <w:ind w:left="0" w:right="0" w:firstLine="0"/>
        <w:jc w:val="left"/>
      </w:pPr>
      <w:bookmarkStart w:id="2324" w:name="bookmark2324"/>
      <w:bookmarkStart w:id="2325" w:name="bookmark2325"/>
      <w:bookmarkStart w:id="2326" w:name="bookmark2326"/>
      <w:bookmarkStart w:id="2327" w:name="bookmark2327"/>
      <w:r>
        <w:rPr>
          <w:rFonts w:ascii="Times New Roman" w:eastAsia="Times New Roman" w:hAnsi="Times New Roman" w:cs="Times New Roman"/>
          <w:color w:val="000000"/>
          <w:spacing w:val="0"/>
          <w:w w:val="100"/>
          <w:position w:val="0"/>
        </w:rPr>
        <w:t>5</w:t>
      </w:r>
      <w:bookmarkEnd w:id="2326"/>
      <w:r>
        <w:rPr>
          <w:color w:val="000000"/>
          <w:spacing w:val="0"/>
          <w:w w:val="100"/>
          <w:position w:val="0"/>
        </w:rPr>
        <w:t>、投资收益</w:t>
      </w:r>
      <w:bookmarkEnd w:id="2324"/>
      <w:bookmarkEnd w:id="2325"/>
      <w:bookmarkEnd w:id="232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1,115,850.05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-3,623,389.35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12,404,679.08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-1,814,146.32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银行理财产品投资收益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8,134,930.49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14,592,145.85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丧失重大影响后，剩余股权按公允价值重 新计量产生的利得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12,573,686.82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应收款项融资贴现利息支出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-61,033.60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-71,079.07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134,229,146.44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209,022,497.51</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2328" w:name="bookmark2328"/>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6</w:t>
      </w:r>
      <w:bookmarkEnd w:id="2330"/>
      <w:r>
        <w:rPr>
          <w:color w:val="000000"/>
          <w:spacing w:val="0"/>
          <w:w w:val="100"/>
          <w:position w:val="0"/>
        </w:rPr>
        <w:t>、其他</w:t>
      </w:r>
      <w:bookmarkEnd w:id="2328"/>
      <w:bookmarkEnd w:id="2329"/>
      <w:bookmarkEnd w:id="2331"/>
    </w:p>
    <w:p>
      <w:pPr>
        <w:pStyle w:val="Style24"/>
        <w:keepNext/>
        <w:keepLines/>
        <w:widowControl w:val="0"/>
        <w:shd w:val="clear" w:color="auto" w:fill="auto"/>
        <w:bidi w:val="0"/>
        <w:spacing w:before="0" w:after="360" w:line="240" w:lineRule="auto"/>
        <w:ind w:left="0" w:right="0" w:firstLine="0"/>
        <w:jc w:val="both"/>
      </w:pPr>
      <w:bookmarkStart w:id="2332" w:name="bookmark2332"/>
      <w:bookmarkStart w:id="2333" w:name="bookmark2333"/>
      <w:bookmarkStart w:id="2334" w:name="bookmark2334"/>
      <w:r>
        <w:rPr>
          <w:color w:val="000000"/>
          <w:spacing w:val="0"/>
          <w:w w:val="100"/>
          <w:position w:val="0"/>
          <w:sz w:val="24"/>
          <w:szCs w:val="24"/>
        </w:rPr>
        <w:t>十八、补充资料</w:t>
      </w:r>
      <w:bookmarkEnd w:id="2332"/>
      <w:bookmarkEnd w:id="2333"/>
      <w:bookmarkEnd w:id="2334"/>
    </w:p>
    <w:p>
      <w:pPr>
        <w:pStyle w:val="Style30"/>
        <w:keepNext/>
        <w:keepLines/>
        <w:widowControl w:val="0"/>
        <w:shd w:val="clear" w:color="auto" w:fill="auto"/>
        <w:bidi w:val="0"/>
        <w:spacing w:before="0" w:line="240" w:lineRule="auto"/>
        <w:ind w:left="0" w:right="0" w:firstLine="0"/>
        <w:jc w:val="both"/>
      </w:pPr>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35"/>
      <w:bookmarkEnd w:id="2336"/>
      <w:bookmarkEnd w:id="2337"/>
    </w:p>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26,674,118.86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31,487,123.13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1,902,179.53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4,480,620.36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-1,116,906.94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11,484,058.12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286,123.05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66,741,953.77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 xml:space="preserve">号——非经常性损益》中列举的非经常性损益项目界定为经常性损益的项目，应 </w:t>
      </w:r>
      <w:r>
        <w:rPr>
          <w:color w:val="000000"/>
          <w:spacing w:val="0"/>
          <w:w w:val="100"/>
          <w:position w:val="0"/>
        </w:rPr>
        <w:t>说明原因。</w:t>
      </w:r>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0.130</w:t>
            </w:r>
          </w:p>
        </w:tc>
      </w:tr>
    </w:tbl>
    <w:p>
      <w:pPr>
        <w:widowControl w:val="0"/>
        <w:spacing w:after="279" w:line="1" w:lineRule="exact"/>
      </w:pPr>
    </w:p>
    <w:p>
      <w:pPr>
        <w:pStyle w:val="Style51"/>
        <w:keepNext w:val="0"/>
        <w:keepLines w:val="0"/>
        <w:widowControl w:val="0"/>
        <w:shd w:val="clear" w:color="auto" w:fill="auto"/>
        <w:tabs>
          <w:tab w:pos="378" w:val="left"/>
        </w:tabs>
        <w:bidi w:val="0"/>
        <w:spacing w:before="0" w:after="280" w:line="331" w:lineRule="exact"/>
        <w:ind w:left="0" w:right="0" w:firstLine="0"/>
        <w:jc w:val="left"/>
      </w:pPr>
      <w:bookmarkStart w:id="2338" w:name="bookmark2338"/>
      <w:r>
        <w:rPr>
          <w:rFonts w:ascii="Times New Roman" w:eastAsia="Times New Roman" w:hAnsi="Times New Roman" w:cs="Times New Roman"/>
          <w:color w:val="000000"/>
          <w:spacing w:val="0"/>
          <w:w w:val="100"/>
          <w:position w:val="0"/>
        </w:rPr>
        <w:t>3</w:t>
      </w:r>
      <w:bookmarkEnd w:id="2338"/>
      <w:r>
        <w:rPr>
          <w:color w:val="000000"/>
          <w:spacing w:val="0"/>
          <w:w w:val="100"/>
          <w:position w:val="0"/>
        </w:rPr>
        <w:t>、</w:t>
        <w:tab/>
        <w:t>境内外会计准则下会计数据差异</w:t>
      </w:r>
    </w:p>
    <w:p>
      <w:pPr>
        <w:pStyle w:val="Style51"/>
        <w:keepNext w:val="0"/>
        <w:keepLines w:val="0"/>
        <w:widowControl w:val="0"/>
        <w:shd w:val="clear" w:color="auto" w:fill="auto"/>
        <w:tabs>
          <w:tab w:pos="493" w:val="left"/>
        </w:tabs>
        <w:bidi w:val="0"/>
        <w:spacing w:before="0" w:after="360" w:line="331" w:lineRule="exact"/>
        <w:ind w:left="0" w:right="0" w:firstLine="0"/>
        <w:jc w:val="left"/>
      </w:pPr>
      <w:bookmarkStart w:id="2339" w:name="bookmark2339"/>
      <w:r>
        <w:rPr>
          <w:color w:val="000000"/>
          <w:spacing w:val="0"/>
          <w:w w:val="100"/>
          <w:position w:val="0"/>
        </w:rPr>
        <w:t>（</w:t>
      </w:r>
      <w:bookmarkEnd w:id="233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1"/>
        <w:keepNext w:val="0"/>
        <w:keepLines w:val="0"/>
        <w:widowControl w:val="0"/>
        <w:shd w:val="clear" w:color="auto" w:fill="auto"/>
        <w:tabs>
          <w:tab w:pos="493" w:val="left"/>
        </w:tabs>
        <w:bidi w:val="0"/>
        <w:spacing w:before="0" w:after="360" w:line="331" w:lineRule="exact"/>
        <w:ind w:left="0" w:right="0" w:firstLine="0"/>
        <w:jc w:val="left"/>
      </w:pPr>
      <w:bookmarkStart w:id="2340" w:name="bookmark2340"/>
      <w:r>
        <w:rPr>
          <w:color w:val="000000"/>
          <w:spacing w:val="0"/>
          <w:w w:val="100"/>
          <w:position w:val="0"/>
        </w:rPr>
        <w:t>（</w:t>
      </w:r>
      <w:bookmarkEnd w:id="234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p>
    <w:p>
      <w:pPr>
        <w:pStyle w:val="Style2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1"/>
        <w:keepNext w:val="0"/>
        <w:keepLines w:val="0"/>
        <w:widowControl w:val="0"/>
        <w:shd w:val="clear" w:color="auto" w:fill="auto"/>
        <w:bidi w:val="0"/>
        <w:spacing w:before="0" w:after="280" w:line="331" w:lineRule="exact"/>
        <w:ind w:left="0" w:right="0" w:firstLine="0"/>
        <w:jc w:val="left"/>
      </w:pPr>
      <w:bookmarkStart w:id="2341" w:name="bookmark2341"/>
      <w:r>
        <w:rPr>
          <w:color w:val="000000"/>
          <w:spacing w:val="0"/>
          <w:w w:val="100"/>
          <w:position w:val="0"/>
        </w:rPr>
        <w:t>（</w:t>
      </w:r>
      <w:bookmarkEnd w:id="234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p>
    <w:p>
      <w:pPr>
        <w:pStyle w:val="Style51"/>
        <w:keepNext w:val="0"/>
        <w:keepLines w:val="0"/>
        <w:widowControl w:val="0"/>
        <w:shd w:val="clear" w:color="auto" w:fill="auto"/>
        <w:tabs>
          <w:tab w:pos="378" w:val="left"/>
        </w:tabs>
        <w:bidi w:val="0"/>
        <w:spacing w:before="0" w:after="280" w:line="331" w:lineRule="exact"/>
        <w:ind w:left="0" w:right="0" w:firstLine="0"/>
        <w:jc w:val="left"/>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71" w:right="1070" w:bottom="1453" w:left="1052" w:header="0" w:footer="3" w:gutter="0"/>
          <w:cols w:space="720"/>
          <w:noEndnote/>
          <w:titlePg/>
          <w:rtlGutter w:val="0"/>
          <w:docGrid w:linePitch="360"/>
        </w:sectPr>
      </w:pPr>
      <w:bookmarkStart w:id="2342" w:name="bookmark2342"/>
      <w:r>
        <w:rPr>
          <w:rFonts w:ascii="Times New Roman" w:eastAsia="Times New Roman" w:hAnsi="Times New Roman" w:cs="Times New Roman"/>
          <w:color w:val="000000"/>
          <w:spacing w:val="0"/>
          <w:w w:val="100"/>
          <w:position w:val="0"/>
        </w:rPr>
        <w:t>4</w:t>
      </w:r>
      <w:bookmarkEnd w:id="2342"/>
      <w:r>
        <w:rPr>
          <w:color w:val="000000"/>
          <w:spacing w:val="0"/>
          <w:w w:val="100"/>
          <w:position w:val="0"/>
        </w:rPr>
        <w:t>、</w:t>
        <w:tab/>
        <w:t>其他</w:t>
      </w:r>
    </w:p>
    <w:p>
      <w:pPr>
        <w:pStyle w:val="Style13"/>
        <w:keepNext/>
        <w:keepLines/>
        <w:widowControl w:val="0"/>
        <w:shd w:val="clear" w:color="auto" w:fill="auto"/>
        <w:bidi w:val="0"/>
        <w:spacing w:before="0" w:after="500" w:line="240" w:lineRule="auto"/>
        <w:ind w:left="0" w:right="0" w:firstLine="0"/>
        <w:jc w:val="center"/>
      </w:pPr>
      <w:bookmarkStart w:id="2343" w:name="bookmark2343"/>
      <w:bookmarkStart w:id="2344" w:name="bookmark2344"/>
      <w:bookmarkStart w:id="2345" w:name="bookmark2345"/>
      <w:r>
        <w:rPr>
          <w:color w:val="000000"/>
          <w:spacing w:val="0"/>
          <w:w w:val="100"/>
          <w:position w:val="0"/>
        </w:rPr>
        <w:t>第十三节备查文件目录</w:t>
      </w:r>
      <w:bookmarkEnd w:id="2343"/>
      <w:bookmarkEnd w:id="2344"/>
      <w:bookmarkEnd w:id="2345"/>
    </w:p>
    <w:p>
      <w:pPr>
        <w:pStyle w:val="Style26"/>
        <w:keepNext w:val="0"/>
        <w:keepLines w:val="0"/>
        <w:widowControl w:val="0"/>
        <w:shd w:val="clear" w:color="auto" w:fill="auto"/>
        <w:tabs>
          <w:tab w:pos="699" w:val="left"/>
        </w:tabs>
        <w:bidi w:val="0"/>
        <w:spacing w:before="0" w:after="0" w:line="307" w:lineRule="exact"/>
        <w:ind w:left="0" w:right="0" w:firstLine="360"/>
        <w:jc w:val="left"/>
      </w:pPr>
      <w:bookmarkStart w:id="2346" w:name="bookmark2346"/>
      <w:bookmarkStart w:id="2347" w:name="bookmark2347"/>
      <w:r>
        <w:rPr>
          <w:rFonts w:ascii="Times New Roman" w:eastAsia="Times New Roman" w:hAnsi="Times New Roman" w:cs="Times New Roman"/>
          <w:color w:val="000000"/>
          <w:spacing w:val="0"/>
          <w:w w:val="100"/>
          <w:position w:val="0"/>
        </w:rPr>
        <w:t>1</w:t>
      </w:r>
      <w:bookmarkEnd w:id="2347"/>
      <w:r>
        <w:rPr>
          <w:color w:val="000000"/>
          <w:spacing w:val="0"/>
          <w:w w:val="100"/>
          <w:position w:val="0"/>
        </w:rPr>
        <w:t>、</w:t>
        <w:tab/>
        <w:t>载有公司负责人周红卫先生、主管会计工作负责人马玉峰先生、会计机构负责人（主管会计人员）马玉峰先生签名 并盖章的财务报表原件；</w:t>
      </w:r>
      <w:bookmarkEnd w:id="2346"/>
    </w:p>
    <w:p>
      <w:pPr>
        <w:pStyle w:val="Style26"/>
        <w:keepNext w:val="0"/>
        <w:keepLines w:val="0"/>
        <w:widowControl w:val="0"/>
        <w:shd w:val="clear" w:color="auto" w:fill="auto"/>
        <w:tabs>
          <w:tab w:pos="714" w:val="left"/>
        </w:tabs>
        <w:bidi w:val="0"/>
        <w:spacing w:before="0" w:after="0" w:line="307" w:lineRule="exact"/>
        <w:ind w:left="0" w:right="0" w:firstLine="360"/>
        <w:jc w:val="left"/>
      </w:pPr>
      <w:bookmarkStart w:id="2348" w:name="bookmark2348"/>
      <w:r>
        <w:rPr>
          <w:rFonts w:ascii="Times New Roman" w:eastAsia="Times New Roman" w:hAnsi="Times New Roman" w:cs="Times New Roman"/>
          <w:color w:val="000000"/>
          <w:spacing w:val="0"/>
          <w:w w:val="100"/>
          <w:position w:val="0"/>
        </w:rPr>
        <w:t>2</w:t>
      </w:r>
      <w:bookmarkEnd w:id="2348"/>
      <w:r>
        <w:rPr>
          <w:color w:val="000000"/>
          <w:spacing w:val="0"/>
          <w:w w:val="100"/>
          <w:position w:val="0"/>
        </w:rPr>
        <w:t>、</w:t>
        <w:tab/>
        <w:t>载有会计师事务所盖章、注册会计师签名并盖章的审计报告原件；</w:t>
      </w:r>
    </w:p>
    <w:p>
      <w:pPr>
        <w:pStyle w:val="Style26"/>
        <w:keepNext w:val="0"/>
        <w:keepLines w:val="0"/>
        <w:widowControl w:val="0"/>
        <w:shd w:val="clear" w:color="auto" w:fill="auto"/>
        <w:tabs>
          <w:tab w:pos="714" w:val="left"/>
        </w:tabs>
        <w:bidi w:val="0"/>
        <w:spacing w:before="0" w:after="0" w:line="307" w:lineRule="exact"/>
        <w:ind w:left="0" w:right="0" w:firstLine="360"/>
        <w:jc w:val="left"/>
      </w:pPr>
      <w:bookmarkStart w:id="2349" w:name="bookmark2349"/>
      <w:r>
        <w:rPr>
          <w:rFonts w:ascii="Times New Roman" w:eastAsia="Times New Roman" w:hAnsi="Times New Roman" w:cs="Times New Roman"/>
          <w:color w:val="000000"/>
          <w:spacing w:val="0"/>
          <w:w w:val="100"/>
          <w:position w:val="0"/>
        </w:rPr>
        <w:t>3</w:t>
      </w:r>
      <w:bookmarkEnd w:id="2349"/>
      <w:r>
        <w:rPr>
          <w:color w:val="000000"/>
          <w:spacing w:val="0"/>
          <w:w w:val="100"/>
          <w:position w:val="0"/>
        </w:rPr>
        <w:t>、</w:t>
        <w:tab/>
        <w:t>报告期内在中国证监会创业板指定信息披露网站披露过的所有文件的正本及公告的原稿；</w:t>
      </w:r>
    </w:p>
    <w:p>
      <w:pPr>
        <w:pStyle w:val="Style26"/>
        <w:keepNext w:val="0"/>
        <w:keepLines w:val="0"/>
        <w:widowControl w:val="0"/>
        <w:shd w:val="clear" w:color="auto" w:fill="auto"/>
        <w:tabs>
          <w:tab w:pos="714" w:val="left"/>
        </w:tabs>
        <w:bidi w:val="0"/>
        <w:spacing w:before="0" w:after="100" w:line="307" w:lineRule="exact"/>
        <w:ind w:left="0" w:right="0" w:firstLine="360"/>
        <w:jc w:val="left"/>
      </w:pPr>
      <w:bookmarkStart w:id="2350" w:name="bookmark2350"/>
      <w:r>
        <w:rPr>
          <w:rFonts w:ascii="Times New Roman" w:eastAsia="Times New Roman" w:hAnsi="Times New Roman" w:cs="Times New Roman"/>
          <w:color w:val="000000"/>
          <w:spacing w:val="0"/>
          <w:w w:val="100"/>
          <w:position w:val="0"/>
        </w:rPr>
        <w:t>4</w:t>
      </w:r>
      <w:bookmarkEnd w:id="2350"/>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rPr>
        <w:t>2020</w:t>
      </w:r>
      <w:r>
        <w:rPr>
          <w:color w:val="000000"/>
          <w:spacing w:val="0"/>
          <w:w w:val="100"/>
          <w:position w:val="0"/>
        </w:rPr>
        <w:t>年年度报告文本原件；</w:t>
      </w:r>
    </w:p>
    <w:p>
      <w:pPr>
        <w:pStyle w:val="Style26"/>
        <w:keepNext w:val="0"/>
        <w:keepLines w:val="0"/>
        <w:widowControl w:val="0"/>
        <w:shd w:val="clear" w:color="auto" w:fill="auto"/>
        <w:tabs>
          <w:tab w:pos="704" w:val="left"/>
        </w:tabs>
        <w:bidi w:val="0"/>
        <w:spacing w:before="0" w:after="0"/>
        <w:ind w:left="0" w:right="0" w:firstLine="360"/>
        <w:jc w:val="left"/>
      </w:pPr>
      <w:bookmarkStart w:id="2351" w:name="bookmark2351"/>
      <w:r>
        <w:rPr>
          <w:rFonts w:ascii="Times New Roman" w:eastAsia="Times New Roman" w:hAnsi="Times New Roman" w:cs="Times New Roman"/>
          <w:color w:val="000000"/>
          <w:spacing w:val="0"/>
          <w:w w:val="100"/>
          <w:position w:val="0"/>
        </w:rPr>
        <w:t>5</w:t>
      </w:r>
      <w:bookmarkEnd w:id="2351"/>
      <w:r>
        <w:rPr>
          <w:color w:val="000000"/>
          <w:spacing w:val="0"/>
          <w:w w:val="100"/>
          <w:position w:val="0"/>
        </w:rPr>
        <w:t>、</w:t>
        <w:tab/>
        <w:t>其他有关资料。</w:t>
      </w:r>
    </w:p>
    <w:p>
      <w:pPr>
        <w:pStyle w:val="Style26"/>
        <w:keepNext w:val="0"/>
        <w:keepLines w:val="0"/>
        <w:widowControl w:val="0"/>
        <w:shd w:val="clear" w:color="auto" w:fill="auto"/>
        <w:bidi w:val="0"/>
        <w:spacing w:before="0" w:after="40" w:line="307" w:lineRule="exact"/>
        <w:ind w:left="0" w:right="0" w:firstLine="36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662" w:right="1119" w:bottom="1662"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6733540</wp:posOffset>
              </wp:positionH>
              <wp:positionV relativeFrom="page">
                <wp:posOffset>9991090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20000000000005pt;margin-top:786.70000000000005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6733540</wp:posOffset>
              </wp:positionH>
              <wp:positionV relativeFrom="page">
                <wp:posOffset>9991090</wp:posOffset>
              </wp:positionV>
              <wp:extent cx="97790" cy="79375"/>
              <wp:wrapNone/>
              <wp:docPr id="35" name="Shape 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530.20000000000005pt;margin-top:786.7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6383020</wp:posOffset>
              </wp:positionH>
              <wp:positionV relativeFrom="page">
                <wp:posOffset>9761855</wp:posOffset>
              </wp:positionV>
              <wp:extent cx="448310" cy="106680"/>
              <wp:wrapNone/>
              <wp:docPr id="40" name="Shape 40"/>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6" type="#_x0000_t202" style="position:absolute;margin-left:502.60000000000002pt;margin-top:768.64999999999998pt;width:35.300000000000004pt;height:8.4000000000000004pt;z-index:-1887440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6663690</wp:posOffset>
              </wp:positionH>
              <wp:positionV relativeFrom="page">
                <wp:posOffset>10166985</wp:posOffset>
              </wp:positionV>
              <wp:extent cx="167640" cy="82550"/>
              <wp:wrapNone/>
              <wp:docPr id="42" name="Shape 42"/>
              <a:graphic xmlns:a="http://schemas.openxmlformats.org/drawingml/2006/main">
                <a:graphicData uri="http://schemas.microsoft.com/office/word/2010/wordprocessingShape">
                  <wps:wsp>
                    <wps:cNvSpPr txBox="1"/>
                    <wps:spPr>
                      <a:xfrm>
                        <a:ext cx="167640" cy="825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524.70000000000005pt;margin-top:800.55000000000007pt;width:13.200000000000001pt;height:6.5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6733540</wp:posOffset>
              </wp:positionH>
              <wp:positionV relativeFrom="page">
                <wp:posOffset>9991090</wp:posOffset>
              </wp:positionV>
              <wp:extent cx="97790" cy="79375"/>
              <wp:wrapNone/>
              <wp:docPr id="47" name="Shape 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0.20000000000005pt;margin-top:786.70000000000005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6383020</wp:posOffset>
              </wp:positionH>
              <wp:positionV relativeFrom="page">
                <wp:posOffset>9761855</wp:posOffset>
              </wp:positionV>
              <wp:extent cx="448310" cy="106680"/>
              <wp:wrapNone/>
              <wp:docPr id="52" name="Shape 52"/>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8" type="#_x0000_t202" style="position:absolute;margin-left:502.60000000000002pt;margin-top:768.64999999999998pt;width:35.30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6663690</wp:posOffset>
              </wp:positionH>
              <wp:positionV relativeFrom="page">
                <wp:posOffset>10166985</wp:posOffset>
              </wp:positionV>
              <wp:extent cx="167640" cy="82550"/>
              <wp:wrapNone/>
              <wp:docPr id="54" name="Shape 54"/>
              <a:graphic xmlns:a="http://schemas.openxmlformats.org/drawingml/2006/main">
                <a:graphicData uri="http://schemas.microsoft.com/office/word/2010/wordprocessingShape">
                  <wps:wsp>
                    <wps:cNvSpPr txBox="1"/>
                    <wps:spPr>
                      <a:xfrm>
                        <a:ext cx="167640" cy="8255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0" type="#_x0000_t202" style="position:absolute;margin-left:524.70000000000005pt;margin-top:800.55000000000007pt;width:13.200000000000001pt;height:6.5pt;z-index:-1887440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4385945</wp:posOffset>
              </wp:positionH>
              <wp:positionV relativeFrom="page">
                <wp:posOffset>478790</wp:posOffset>
              </wp:positionV>
              <wp:extent cx="2444750" cy="106680"/>
              <wp:wrapNone/>
              <wp:docPr id="1" name="Shape 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35000000000002pt;margin-top:37.700000000000003pt;width:192.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4336415</wp:posOffset>
              </wp:positionH>
              <wp:positionV relativeFrom="page">
                <wp:posOffset>556895</wp:posOffset>
              </wp:positionV>
              <wp:extent cx="2444750" cy="106680"/>
              <wp:wrapNone/>
              <wp:docPr id="6" name="Shape 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1.44999999999999pt;margin-top:43.850000000000001pt;width:192.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5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4336415</wp:posOffset>
              </wp:positionH>
              <wp:positionV relativeFrom="page">
                <wp:posOffset>556895</wp:posOffset>
              </wp:positionV>
              <wp:extent cx="2444750" cy="106680"/>
              <wp:wrapNone/>
              <wp:docPr id="32" name="Shape 3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58" type="#_x0000_t202" style="position:absolute;margin-left:341.44999999999999pt;margin-top:43.850000000000001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5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4383405</wp:posOffset>
              </wp:positionH>
              <wp:positionV relativeFrom="page">
                <wp:posOffset>760730</wp:posOffset>
              </wp:positionV>
              <wp:extent cx="2444750" cy="106680"/>
              <wp:wrapNone/>
              <wp:docPr id="37" name="Shape 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3" type="#_x0000_t202" style="position:absolute;margin-left:345.15000000000003pt;margin-top:59.899999999999999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915035</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2.049999999999997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4336415</wp:posOffset>
              </wp:positionH>
              <wp:positionV relativeFrom="page">
                <wp:posOffset>556895</wp:posOffset>
              </wp:positionV>
              <wp:extent cx="2444750" cy="106680"/>
              <wp:wrapNone/>
              <wp:docPr id="44" name="Shape 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70" type="#_x0000_t202" style="position:absolute;margin-left:341.44999999999999pt;margin-top:43.850000000000001pt;width:192.5pt;height:8.4000000000000004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江苏润和软件股份有限公司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850000000000001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4383405</wp:posOffset>
              </wp:positionH>
              <wp:positionV relativeFrom="page">
                <wp:posOffset>760730</wp:posOffset>
              </wp:positionV>
              <wp:extent cx="2444750" cy="106680"/>
              <wp:wrapNone/>
              <wp:docPr id="49" name="Shape 4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45.15000000000003pt;margin-top:59.899999999999999pt;width:192.5pt;height:8.4000000000000004pt;z-index:-18874404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江苏润和软件股份有限公司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915035</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72.049999999999997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4"/>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18">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 (2)_"/>
    <w:basedOn w:val="DefaultParagraphFont"/>
    <w:link w:val="Style9"/>
    <w:rPr>
      <w:rFonts w:ascii="SimSun" w:eastAsia="SimSun" w:hAnsi="SimSun" w:cs="SimSun"/>
      <w:b/>
      <w:bCs/>
      <w:i w:val="0"/>
      <w:iCs w:val="0"/>
      <w:smallCaps w:val="0"/>
      <w:strike w:val="0"/>
      <w:sz w:val="28"/>
      <w:szCs w:val="28"/>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正文文本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图片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8"/>
      <w:szCs w:val="18"/>
      <w:u w:val="none"/>
      <w:shd w:val="clear" w:color="auto" w:fill="auto"/>
    </w:rPr>
  </w:style>
  <w:style w:type="character" w:customStyle="1" w:styleId="CharStyle48">
    <w:name w:val="正文文本 (5)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2">
    <w:name w:val="正文文本 (6)_"/>
    <w:basedOn w:val="DefaultParagraphFont"/>
    <w:link w:val="Style51"/>
    <w:rPr>
      <w:rFonts w:ascii="SimSun" w:eastAsia="SimSun" w:hAnsi="SimSun" w:cs="SimSun"/>
      <w:b/>
      <w:bCs/>
      <w:i w:val="0"/>
      <w:iCs w:val="0"/>
      <w:smallCaps w:val="0"/>
      <w:strike w:val="0"/>
      <w:sz w:val="20"/>
      <w:szCs w:val="20"/>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2)"/>
    <w:basedOn w:val="Normal"/>
    <w:link w:val="CharStyle10"/>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标题 #1"/>
    <w:basedOn w:val="Normal"/>
    <w:link w:val="CharStyle14"/>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目录"/>
    <w:basedOn w:val="Normal"/>
    <w:link w:val="CharStyle21"/>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2"/>
    <w:basedOn w:val="Normal"/>
    <w:link w:val="CharStyle25"/>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6">
    <w:name w:val="正文文本"/>
    <w:basedOn w:val="Normal"/>
    <w:link w:val="CharStyle27"/>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图片标题"/>
    <w:basedOn w:val="Normal"/>
    <w:link w:val="CharStyle34"/>
    <w:pPr>
      <w:widowControl w:val="0"/>
      <w:shd w:val="clear" w:color="auto" w:fill="auto"/>
      <w:spacing w:line="240" w:lineRule="exact"/>
      <w:ind w:firstLine="6440"/>
    </w:pPr>
    <w:rPr>
      <w:rFonts w:ascii="SimSun" w:eastAsia="SimSun" w:hAnsi="SimSun" w:cs="SimSun"/>
      <w:b w:val="0"/>
      <w:bCs w:val="0"/>
      <w:i w:val="0"/>
      <w:iCs w:val="0"/>
      <w:smallCaps w:val="0"/>
      <w:strike w:val="0"/>
      <w:sz w:val="18"/>
      <w:szCs w:val="18"/>
      <w:u w:val="none"/>
      <w:shd w:val="clear" w:color="auto" w:fill="auto"/>
    </w:rPr>
  </w:style>
  <w:style w:type="paragraph" w:customStyle="1" w:styleId="Style36">
    <w:name w:val="表格标题"/>
    <w:basedOn w:val="Normal"/>
    <w:link w:val="CharStyle3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7">
    <w:name w:val="正文文本 (5)"/>
    <w:basedOn w:val="Normal"/>
    <w:link w:val="CharStyle48"/>
    <w:pPr>
      <w:widowControl w:val="0"/>
      <w:shd w:val="clear" w:color="auto" w:fill="auto"/>
      <w:spacing w:after="300" w:line="290" w:lineRule="auto"/>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1">
    <w:name w:val="正文文本 (6)"/>
    <w:basedOn w:val="Normal"/>
    <w:link w:val="CharStyle52"/>
    <w:pPr>
      <w:widowControl w:val="0"/>
      <w:shd w:val="clear" w:color="auto" w:fill="auto"/>
      <w:spacing w:after="380"/>
    </w:pPr>
    <w:rPr>
      <w:rFonts w:ascii="SimSun" w:eastAsia="SimSun" w:hAnsi="SimSun" w:cs="SimSun"/>
      <w:b/>
      <w:bCs/>
      <w:i w:val="0"/>
      <w:iCs w:val="0"/>
      <w:smallCaps w:val="0"/>
      <w:strike w:val="0"/>
      <w:sz w:val="20"/>
      <w:szCs w:val="20"/>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江苏润和软件股份有限公司2020年年度报告全文</dc:title>
  <dc:subject/>
  <dc:creator>江苏润和软件股份有限公司</dc:creator>
  <cp:keywords/>
</cp:coreProperties>
</file>