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pStyle w:val="Heading3"/>
        <w:tabs>
          <w:tab w:pos="3202" w:val="left" w:leader="none"/>
          <w:tab w:pos="5857" w:val="left" w:leader="none"/>
        </w:tabs>
        <w:spacing w:line="240" w:lineRule="auto" w:before="141"/>
        <w:ind w:left="116" w:right="0"/>
        <w:jc w:val="center"/>
        <w:rPr>
          <w:rFonts w:ascii="Arial" w:hAnsi="Arial" w:cs="Arial" w:eastAsia="Arial" w:hint="default"/>
          <w:b w:val="0"/>
          <w:bCs w:val="0"/>
        </w:rPr>
      </w:pPr>
      <w:r>
        <w:rPr/>
        <w:pict>
          <v:group style="position:absolute;margin-left:55.200001pt;margin-top:-15.774375pt;width:484.8pt;height:.1pt;mso-position-horizontal-relative:page;mso-position-vertical-relative:paragraph;z-index:0" coordorigin="1104,-315" coordsize="9696,2">
            <v:shape style="position:absolute;left:1104;top:-315;width:9696;height:2" coordorigin="1104,-315" coordsize="9696,0" path="m1104,-315l10800,-315e" filled="false" stroked="true" strokeweight=".72pt" strokecolor="#000000">
              <v:path arrowok="t"/>
            </v:shape>
            <w10:wrap type="none"/>
          </v:group>
        </w:pict>
      </w:r>
      <w:r>
        <w:rPr>
          <w:rFonts w:ascii="黑体" w:hAnsi="黑体" w:cs="黑体" w:eastAsia="黑体" w:hint="default"/>
          <w:w w:val="95"/>
        </w:rPr>
        <w:t>证券代码：</w:t>
      </w:r>
      <w:r>
        <w:rPr>
          <w:rFonts w:ascii="Arial" w:hAnsi="Arial" w:cs="Arial" w:eastAsia="Arial" w:hint="default"/>
          <w:w w:val="95"/>
        </w:rPr>
        <w:t>300352</w:t>
        <w:tab/>
      </w:r>
      <w:r>
        <w:rPr>
          <w:rFonts w:ascii="黑体" w:hAnsi="黑体" w:cs="黑体" w:eastAsia="黑体" w:hint="default"/>
        </w:rPr>
        <w:t>证券简称：北信源</w:t>
        <w:tab/>
        <w:t>公告编码：</w:t>
      </w:r>
      <w:r>
        <w:rPr>
          <w:rFonts w:ascii="Arial" w:hAnsi="Arial" w:cs="Arial" w:eastAsia="Arial" w:hint="default"/>
        </w:rPr>
        <w:t>2013</w:t>
      </w:r>
      <w:r>
        <w:rPr>
          <w:rFonts w:ascii="宋体" w:hAnsi="宋体" w:cs="宋体" w:eastAsia="宋体" w:hint="default"/>
        </w:rPr>
        <w:t>-</w:t>
      </w:r>
      <w:r>
        <w:rPr>
          <w:rFonts w:ascii="Arial" w:hAnsi="Arial" w:cs="Arial" w:eastAsia="Arial" w:hint="default"/>
        </w:rPr>
        <w:t>011</w:t>
      </w:r>
      <w:r>
        <w:rPr>
          <w:rFonts w:ascii="Arial" w:hAnsi="Arial" w:cs="Arial" w:eastAsia="Arial" w:hint="default"/>
          <w:b w:val="0"/>
          <w:bCs w:val="0"/>
        </w:rPr>
      </w: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3"/>
        <w:rPr>
          <w:rFonts w:ascii="Arial" w:hAnsi="Arial" w:cs="Arial" w:eastAsia="Arial" w:hint="default"/>
          <w:b/>
          <w:bCs/>
          <w:sz w:val="24"/>
          <w:szCs w:val="24"/>
        </w:rPr>
      </w:pPr>
    </w:p>
    <w:p>
      <w:pPr>
        <w:spacing w:before="0"/>
        <w:ind w:left="0" w:right="0" w:firstLine="0"/>
        <w:jc w:val="center"/>
        <w:rPr>
          <w:rFonts w:ascii="宋体" w:hAnsi="宋体" w:cs="宋体" w:eastAsia="宋体" w:hint="default"/>
          <w:sz w:val="48"/>
          <w:szCs w:val="48"/>
        </w:rPr>
      </w:pPr>
      <w:bookmarkStart w:name="北京北信源软件股份有限公司" w:id="1"/>
      <w:bookmarkEnd w:id="1"/>
      <w:r>
        <w:rPr/>
      </w:r>
      <w:r>
        <w:rPr>
          <w:rFonts w:ascii="宋体" w:hAnsi="宋体" w:cs="宋体" w:eastAsia="宋体" w:hint="default"/>
          <w:b/>
          <w:bCs/>
          <w:sz w:val="48"/>
          <w:szCs w:val="48"/>
        </w:rPr>
        <w:t>北京北信源软件股份有限公司</w:t>
      </w:r>
      <w:r>
        <w:rPr>
          <w:rFonts w:ascii="宋体" w:hAnsi="宋体" w:cs="宋体" w:eastAsia="宋体" w:hint="default"/>
          <w:sz w:val="48"/>
          <w:szCs w:val="48"/>
        </w:rPr>
      </w:r>
    </w:p>
    <w:p>
      <w:pPr>
        <w:spacing w:line="240" w:lineRule="auto" w:before="3"/>
        <w:rPr>
          <w:rFonts w:ascii="宋体" w:hAnsi="宋体" w:cs="宋体" w:eastAsia="宋体" w:hint="default"/>
          <w:b/>
          <w:bCs/>
          <w:sz w:val="49"/>
          <w:szCs w:val="49"/>
        </w:rPr>
      </w:pPr>
    </w:p>
    <w:p>
      <w:pPr>
        <w:spacing w:before="0"/>
        <w:ind w:left="64" w:right="0" w:firstLine="0"/>
        <w:jc w:val="center"/>
        <w:rPr>
          <w:rFonts w:ascii="宋体" w:hAnsi="宋体" w:cs="宋体" w:eastAsia="宋体" w:hint="default"/>
          <w:sz w:val="48"/>
          <w:szCs w:val="48"/>
        </w:rPr>
      </w:pPr>
      <w:bookmarkStart w:name="2012年度报告" w:id="2"/>
      <w:bookmarkEnd w:id="2"/>
      <w:r>
        <w:rPr/>
      </w:r>
      <w:r>
        <w:rPr>
          <w:rFonts w:ascii="Times New Roman" w:hAnsi="Times New Roman" w:cs="Times New Roman" w:eastAsia="Times New Roman" w:hint="default"/>
          <w:b/>
          <w:bCs/>
          <w:sz w:val="48"/>
          <w:szCs w:val="48"/>
        </w:rPr>
        <w:t>2012 </w:t>
      </w:r>
      <w:r>
        <w:rPr>
          <w:rFonts w:ascii="宋体" w:hAnsi="宋体" w:cs="宋体" w:eastAsia="宋体" w:hint="default"/>
          <w:b/>
          <w:bCs/>
          <w:sz w:val="48"/>
          <w:szCs w:val="48"/>
        </w:rPr>
        <w:t>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1860" w:lineRule="exact"/>
        <w:ind w:left="2937"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2577477" cy="11812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577477" cy="118129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2"/>
        <w:spacing w:line="240" w:lineRule="auto"/>
        <w:ind w:right="0" w:firstLine="0"/>
        <w:jc w:val="center"/>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b w:val="0"/>
          <w:bCs w:val="0"/>
        </w:rPr>
      </w:r>
    </w:p>
    <w:p>
      <w:pPr>
        <w:spacing w:after="0" w:line="240" w:lineRule="auto"/>
        <w:jc w:val="cente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09"/>
        <w:ind w:right="296"/>
        <w:jc w:val="center"/>
        <w:rPr>
          <w:b w:val="0"/>
          <w:bCs w:val="0"/>
        </w:rPr>
      </w:pPr>
      <w:bookmarkStart w:name="_TOC_250009" w:id="3"/>
      <w:bookmarkStart w:name="第一节 重要提示、目录和释义" w:id="4"/>
      <w:r>
        <w:rPr>
          <w:b w:val="0"/>
          <w:bCs w:val="0"/>
        </w:rPr>
      </w:r>
      <w:r>
        <w:rPr/>
        <w:t>第一节</w:t>
      </w:r>
      <w:r>
        <w:rPr>
          <w:spacing w:val="-10"/>
        </w:rPr>
        <w:t> </w:t>
      </w:r>
      <w:r>
        <w:rPr/>
        <w:t>重要提示、目录和释义</w:t>
      </w:r>
      <w:bookmarkEnd w:id="3"/>
      <w:r>
        <w:rPr>
          <w:b w:val="0"/>
          <w:bCs w:val="0"/>
        </w:rPr>
      </w:r>
    </w:p>
    <w:p>
      <w:pPr>
        <w:spacing w:line="240" w:lineRule="auto" w:before="7"/>
        <w:rPr>
          <w:rFonts w:ascii="宋体" w:hAnsi="宋体" w:cs="宋体" w:eastAsia="宋体" w:hint="default"/>
          <w:b/>
          <w:bCs/>
          <w:sz w:val="36"/>
          <w:szCs w:val="36"/>
        </w:rPr>
      </w:pPr>
    </w:p>
    <w:p>
      <w:pPr>
        <w:pStyle w:val="Heading5"/>
        <w:spacing w:line="273" w:lineRule="auto"/>
        <w:ind w:right="0" w:firstLine="422"/>
        <w:jc w:val="left"/>
        <w:rPr>
          <w:b w:val="0"/>
          <w:bCs w:val="0"/>
        </w:rPr>
      </w:pPr>
      <w:r>
        <w:rPr>
          <w:spacing w:val="-2"/>
        </w:rPr>
        <w:t>本公司董事会、监事会及董事、监事、高级管理人员保证本报告所载资料不存在任何虚假记载、误导</w:t>
      </w:r>
      <w:r>
        <w:rPr>
          <w:w w:val="100"/>
        </w:rPr>
        <w:t> </w:t>
      </w:r>
      <w:r>
        <w:rPr/>
        <w:t>性陈述或者重大遗漏，并对其内容的真实性、准确性和完整性承担个别及连带责任。</w:t>
      </w:r>
      <w:r>
        <w:rPr>
          <w:b w:val="0"/>
          <w:bCs w:val="0"/>
        </w:rPr>
      </w:r>
    </w:p>
    <w:p>
      <w:pPr>
        <w:pStyle w:val="Heading5"/>
        <w:spacing w:line="412" w:lineRule="exact" w:before="22"/>
        <w:ind w:left="575" w:right="0"/>
        <w:jc w:val="left"/>
        <w:rPr>
          <w:b w:val="0"/>
          <w:bCs w:val="0"/>
        </w:rPr>
      </w:pPr>
      <w:r>
        <w:rPr/>
        <w:t>所有董事均已出席了审议本报告的董事会会议。</w:t>
      </w:r>
      <w:r>
        <w:rPr>
          <w:w w:val="100"/>
        </w:rPr>
        <w:t> </w:t>
      </w:r>
      <w:r>
        <w:rPr>
          <w:spacing w:val="-1"/>
        </w:rPr>
        <w:t>公司负责人林皓、主管会计工作负责人严惠甜及会计机构负责人</w:t>
      </w:r>
      <w:r>
        <w:rPr>
          <w:rFonts w:ascii="Times New Roman" w:hAnsi="Times New Roman" w:cs="Times New Roman" w:eastAsia="Times New Roman" w:hint="default"/>
          <w:spacing w:val="-1"/>
        </w:rPr>
        <w:t>(</w:t>
      </w:r>
      <w:r>
        <w:rPr>
          <w:spacing w:val="-1"/>
        </w:rPr>
        <w:t>会计主管人员</w:t>
      </w:r>
      <w:r>
        <w:rPr>
          <w:rFonts w:ascii="Times New Roman" w:hAnsi="Times New Roman" w:cs="Times New Roman" w:eastAsia="Times New Roman" w:hint="default"/>
          <w:spacing w:val="-1"/>
        </w:rPr>
        <w:t>)</w:t>
      </w:r>
      <w:r>
        <w:rPr>
          <w:spacing w:val="-1"/>
        </w:rPr>
        <w:t>李丹声明：保证年度</w:t>
      </w:r>
      <w:r>
        <w:rPr>
          <w:b w:val="0"/>
          <w:bCs w:val="0"/>
          <w:spacing w:val="-1"/>
        </w:rPr>
      </w:r>
    </w:p>
    <w:p>
      <w:pPr>
        <w:pStyle w:val="Heading5"/>
        <w:spacing w:line="259" w:lineRule="exact"/>
        <w:ind w:right="0"/>
        <w:jc w:val="left"/>
        <w:rPr>
          <w:b w:val="0"/>
          <w:bCs w:val="0"/>
        </w:rPr>
      </w:pPr>
      <w:r>
        <w:rPr/>
        <w:t>报告中财务报告的真实、准确、完整。</w:t>
      </w:r>
      <w:r>
        <w:rPr>
          <w:b w:val="0"/>
          <w:bCs w:val="0"/>
        </w:rPr>
      </w:r>
    </w:p>
    <w:p>
      <w:pPr>
        <w:pStyle w:val="Heading5"/>
        <w:spacing w:line="357" w:lineRule="auto" w:before="138"/>
        <w:ind w:left="575" w:right="0"/>
        <w:jc w:val="left"/>
        <w:rPr>
          <w:b w:val="0"/>
          <w:bCs w:val="0"/>
        </w:rPr>
      </w:pPr>
      <w:r>
        <w:rPr/>
        <w:t>公司设计未来计划、预测等内容的声明：</w:t>
      </w:r>
      <w:r>
        <w:rPr>
          <w:w w:val="100"/>
        </w:rPr>
        <w:t> </w:t>
      </w:r>
      <w:r>
        <w:rPr>
          <w:spacing w:val="-2"/>
        </w:rPr>
        <w:t>本报告中如有涉及未来的计划、业绩预测等方面的内容，均不构成本公司对任何投资者及相关人士的</w:t>
      </w:r>
      <w:r>
        <w:rPr>
          <w:b w:val="0"/>
          <w:bCs w:val="0"/>
          <w:spacing w:val="-2"/>
        </w:rPr>
      </w:r>
    </w:p>
    <w:p>
      <w:pPr>
        <w:pStyle w:val="Heading5"/>
        <w:spacing w:line="209" w:lineRule="exact"/>
        <w:ind w:right="0"/>
        <w:jc w:val="left"/>
        <w:rPr>
          <w:b w:val="0"/>
          <w:bCs w:val="0"/>
        </w:rPr>
      </w:pPr>
      <w:r>
        <w:rPr/>
        <w:t>承诺，投资者及相关人士均应对此保持足够的风险认识，并且应当理解计划、预测与承诺之间的差异。</w:t>
      </w:r>
      <w:r>
        <w:rPr>
          <w:b w:val="0"/>
          <w:bCs w:val="0"/>
        </w:rPr>
      </w:r>
    </w:p>
    <w:p>
      <w:pPr>
        <w:spacing w:after="0" w:line="209" w:lineRule="exact"/>
        <w:jc w:val="left"/>
        <w:sectPr>
          <w:footerReference w:type="default" r:id="rId8"/>
          <w:pgSz w:w="11910" w:h="16840"/>
          <w:pgMar w:footer="982" w:header="745"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spacing w:line="539" w:lineRule="exact" w:before="0"/>
        <w:ind w:left="116" w:right="61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1" w:val="right" w:leader="dot"/>
            </w:tabs>
            <w:spacing w:line="240" w:lineRule="auto" w:before="301"/>
            <w:ind w:right="0"/>
            <w:jc w:val="left"/>
            <w:rPr>
              <w:rFonts w:ascii="宋体" w:hAnsi="宋体" w:cs="宋体" w:eastAsia="宋体" w:hint="default"/>
            </w:rPr>
          </w:pPr>
          <w:r>
            <w:fldChar w:fldCharType="begin"/>
          </w:r>
          <w:r>
            <w:instrText>TOC \o "1-1" \h \z \u </w:instrText>
          </w:r>
          <w:r>
            <w:fldChar w:fldCharType="separate"/>
          </w:r>
          <w:hyperlink w:history="true" w:anchor="_TOC_250009">
            <w:r>
              <w:rPr/>
            </w:r>
            <w:r>
              <w:rPr>
                <w:u w:val="single" w:color="000000"/>
              </w:rPr>
              <w:t>第一节 重要提示、目录和释义</w:t>
            </w:r>
            <w:r>
              <w:rPr/>
            </w:r>
            <w:r>
              <w:rPr>
                <w:rFonts w:ascii="宋体" w:hAnsi="宋体" w:cs="宋体" w:eastAsia="宋体" w:hint="default"/>
              </w:rPr>
              <w:tab/>
              <w:t>5</w:t>
            </w:r>
          </w:hyperlink>
        </w:p>
        <w:p>
          <w:pPr>
            <w:pStyle w:val="TOC1"/>
            <w:tabs>
              <w:tab w:pos="9781" w:val="right" w:leader="dot"/>
            </w:tabs>
            <w:spacing w:line="240" w:lineRule="auto"/>
            <w:ind w:right="0"/>
            <w:jc w:val="left"/>
            <w:rPr>
              <w:rFonts w:ascii="宋体" w:hAnsi="宋体" w:cs="宋体" w:eastAsia="宋体" w:hint="default"/>
            </w:rPr>
          </w:pPr>
          <w:hyperlink w:history="true" w:anchor="_TOC_250008">
            <w:r>
              <w:rPr/>
            </w:r>
            <w:r>
              <w:rPr>
                <w:u w:val="single" w:color="000000"/>
              </w:rPr>
              <w:t>第二节 公司基本情况简介</w:t>
            </w:r>
            <w:r>
              <w:rPr/>
            </w:r>
            <w:r>
              <w:rPr>
                <w:rFonts w:ascii="宋体" w:hAnsi="宋体" w:cs="宋体" w:eastAsia="宋体" w:hint="default"/>
              </w:rPr>
              <w:tab/>
              <w:t>7</w:t>
            </w:r>
          </w:hyperlink>
        </w:p>
        <w:p>
          <w:pPr>
            <w:pStyle w:val="TOC1"/>
            <w:tabs>
              <w:tab w:pos="9781" w:val="right" w:leader="dot"/>
            </w:tabs>
            <w:spacing w:line="240" w:lineRule="auto" w:before="36"/>
            <w:ind w:right="0"/>
            <w:jc w:val="left"/>
            <w:rPr>
              <w:rFonts w:ascii="宋体" w:hAnsi="宋体" w:cs="宋体" w:eastAsia="宋体" w:hint="default"/>
            </w:rPr>
          </w:pPr>
          <w:hyperlink w:history="true" w:anchor="_TOC_250007">
            <w:r>
              <w:rPr/>
            </w:r>
            <w:r>
              <w:rPr>
                <w:u w:val="single" w:color="000000"/>
              </w:rPr>
              <w:t>第三节 会计数据和财务指标摘要</w:t>
            </w:r>
            <w:r>
              <w:rPr/>
            </w:r>
            <w:r>
              <w:rPr>
                <w:rFonts w:ascii="宋体" w:hAnsi="宋体" w:cs="宋体" w:eastAsia="宋体" w:hint="default"/>
              </w:rPr>
              <w:tab/>
              <w:t>8</w:t>
            </w:r>
          </w:hyperlink>
        </w:p>
        <w:p>
          <w:pPr>
            <w:pStyle w:val="TOC1"/>
            <w:tabs>
              <w:tab w:pos="9781" w:val="right" w:leader="dot"/>
            </w:tabs>
            <w:spacing w:line="240" w:lineRule="auto"/>
            <w:ind w:right="0"/>
            <w:jc w:val="left"/>
            <w:rPr>
              <w:rFonts w:ascii="宋体" w:hAnsi="宋体" w:cs="宋体" w:eastAsia="宋体" w:hint="default"/>
            </w:rPr>
          </w:pPr>
          <w:hyperlink w:history="true" w:anchor="_TOC_250006">
            <w:r>
              <w:rPr/>
            </w:r>
            <w:r>
              <w:rPr>
                <w:u w:val="single" w:color="000000"/>
              </w:rPr>
              <w:t>第四节 董事会报告</w:t>
            </w:r>
            <w:r>
              <w:rPr/>
            </w:r>
            <w:r>
              <w:rPr>
                <w:rFonts w:ascii="宋体" w:hAnsi="宋体" w:cs="宋体" w:eastAsia="宋体" w:hint="default"/>
              </w:rPr>
              <w:tab/>
              <w:t>17</w:t>
            </w:r>
          </w:hyperlink>
        </w:p>
        <w:p>
          <w:pPr>
            <w:pStyle w:val="TOC1"/>
            <w:tabs>
              <w:tab w:pos="9781" w:val="right" w:leader="dot"/>
            </w:tabs>
            <w:spacing w:line="240" w:lineRule="auto"/>
            <w:ind w:right="0"/>
            <w:jc w:val="left"/>
            <w:rPr>
              <w:rFonts w:ascii="宋体" w:hAnsi="宋体" w:cs="宋体" w:eastAsia="宋体" w:hint="default"/>
            </w:rPr>
          </w:pPr>
          <w:hyperlink w:history="true" w:anchor="_TOC_250005">
            <w:r>
              <w:rPr/>
            </w:r>
            <w:r>
              <w:rPr>
                <w:u w:val="single" w:color="000000"/>
              </w:rPr>
              <w:t>第五节 重要事项</w:t>
            </w:r>
            <w:r>
              <w:rPr/>
            </w:r>
            <w:r>
              <w:rPr>
                <w:rFonts w:ascii="宋体" w:hAnsi="宋体" w:cs="宋体" w:eastAsia="宋体" w:hint="default"/>
              </w:rPr>
              <w:tab/>
              <w:t>43</w:t>
            </w:r>
          </w:hyperlink>
        </w:p>
        <w:p>
          <w:pPr>
            <w:pStyle w:val="TOC1"/>
            <w:tabs>
              <w:tab w:pos="9781" w:val="right" w:leader="dot"/>
            </w:tabs>
            <w:spacing w:line="240" w:lineRule="auto" w:before="36"/>
            <w:ind w:right="0"/>
            <w:jc w:val="left"/>
            <w:rPr>
              <w:rFonts w:ascii="宋体" w:hAnsi="宋体" w:cs="宋体" w:eastAsia="宋体" w:hint="default"/>
            </w:rPr>
          </w:pPr>
          <w:hyperlink w:history="true" w:anchor="_TOC_250004">
            <w:r>
              <w:rPr/>
            </w:r>
            <w:r>
              <w:rPr>
                <w:u w:val="single" w:color="000000"/>
              </w:rPr>
              <w:t>第六节 股份变动及股东情况</w:t>
            </w:r>
            <w:r>
              <w:rPr/>
            </w:r>
            <w:r>
              <w:rPr>
                <w:rFonts w:ascii="宋体" w:hAnsi="宋体" w:cs="宋体" w:eastAsia="宋体" w:hint="default"/>
              </w:rPr>
              <w:tab/>
              <w:t>58</w:t>
            </w:r>
          </w:hyperlink>
        </w:p>
        <w:p>
          <w:pPr>
            <w:pStyle w:val="TOC1"/>
            <w:tabs>
              <w:tab w:pos="9781" w:val="right" w:leader="dot"/>
            </w:tabs>
            <w:spacing w:line="240" w:lineRule="auto"/>
            <w:ind w:right="0"/>
            <w:jc w:val="left"/>
            <w:rPr>
              <w:rFonts w:ascii="宋体" w:hAnsi="宋体" w:cs="宋体" w:eastAsia="宋体" w:hint="default"/>
            </w:rPr>
          </w:pPr>
          <w:hyperlink w:history="true" w:anchor="_TOC_250003">
            <w:r>
              <w:rPr/>
            </w:r>
            <w:r>
              <w:rPr>
                <w:u w:val="single" w:color="000000"/>
              </w:rPr>
              <w:t>第七节 董事、监事、高级管理人员和员工情况</w:t>
            </w:r>
            <w:r>
              <w:rPr/>
            </w:r>
            <w:r>
              <w:rPr>
                <w:rFonts w:ascii="宋体" w:hAnsi="宋体" w:cs="宋体" w:eastAsia="宋体" w:hint="default"/>
              </w:rPr>
              <w:tab/>
              <w:t>65</w:t>
            </w:r>
          </w:hyperlink>
        </w:p>
        <w:p>
          <w:pPr>
            <w:pStyle w:val="TOC1"/>
            <w:tabs>
              <w:tab w:pos="9781" w:val="right" w:leader="dot"/>
            </w:tabs>
            <w:spacing w:line="240" w:lineRule="auto"/>
            <w:ind w:right="0"/>
            <w:jc w:val="left"/>
            <w:rPr>
              <w:rFonts w:ascii="宋体" w:hAnsi="宋体" w:cs="宋体" w:eastAsia="宋体" w:hint="default"/>
            </w:rPr>
          </w:pPr>
          <w:hyperlink w:history="true" w:anchor="_TOC_250002">
            <w:r>
              <w:rPr/>
            </w:r>
            <w:r>
              <w:rPr>
                <w:u w:val="single" w:color="000000"/>
              </w:rPr>
              <w:t>第八节 公司治理</w:t>
            </w:r>
            <w:r>
              <w:rPr/>
            </w:r>
            <w:r>
              <w:rPr>
                <w:rFonts w:ascii="宋体" w:hAnsi="宋体" w:cs="宋体" w:eastAsia="宋体" w:hint="default"/>
              </w:rPr>
              <w:tab/>
              <w:t>72</w:t>
            </w:r>
          </w:hyperlink>
        </w:p>
        <w:p>
          <w:pPr>
            <w:pStyle w:val="TOC1"/>
            <w:tabs>
              <w:tab w:pos="9781" w:val="right" w:leader="dot"/>
            </w:tabs>
            <w:spacing w:line="240" w:lineRule="auto" w:before="36"/>
            <w:ind w:right="0"/>
            <w:jc w:val="left"/>
            <w:rPr>
              <w:rFonts w:ascii="宋体" w:hAnsi="宋体" w:cs="宋体" w:eastAsia="宋体" w:hint="default"/>
            </w:rPr>
          </w:pPr>
          <w:hyperlink w:history="true" w:anchor="_TOC_250001">
            <w:r>
              <w:rPr/>
            </w:r>
            <w:r>
              <w:rPr>
                <w:u w:val="single" w:color="000000"/>
              </w:rPr>
              <w:t>第九节 财务报告</w:t>
            </w:r>
            <w:r>
              <w:rPr/>
            </w:r>
            <w:r>
              <w:rPr>
                <w:rFonts w:ascii="宋体" w:hAnsi="宋体" w:cs="宋体" w:eastAsia="宋体" w:hint="default"/>
              </w:rPr>
              <w:tab/>
              <w:t>74</w:t>
            </w:r>
          </w:hyperlink>
        </w:p>
        <w:p>
          <w:pPr>
            <w:pStyle w:val="TOC1"/>
            <w:tabs>
              <w:tab w:pos="9781" w:val="right" w:leader="dot"/>
            </w:tabs>
            <w:spacing w:line="240" w:lineRule="auto"/>
            <w:ind w:right="0"/>
            <w:jc w:val="left"/>
            <w:rPr>
              <w:rFonts w:ascii="宋体" w:hAnsi="宋体" w:cs="宋体" w:eastAsia="宋体" w:hint="default"/>
            </w:rPr>
          </w:pPr>
          <w:hyperlink w:history="true" w:anchor="_TOC_250000">
            <w:r>
              <w:rPr/>
            </w:r>
            <w:r>
              <w:rPr>
                <w:u w:val="single" w:color="000000"/>
              </w:rPr>
              <w:t>第十节 备查文件目录</w:t>
            </w:r>
            <w:r>
              <w:rPr/>
            </w:r>
            <w:r>
              <w:rPr>
                <w:rFonts w:ascii="宋体" w:hAnsi="宋体" w:cs="宋体" w:eastAsia="宋体" w:hint="default"/>
              </w:rPr>
              <w:tab/>
              <w:t>193</w:t>
            </w:r>
          </w:hyperlink>
        </w:p>
        <w:p>
          <w:pPr/>
          <w:r>
            <w:fldChar w:fldCharType="end"/>
          </w:r>
        </w:p>
      </w:sdtContent>
    </w:sdt>
    <w:p>
      <w:pPr>
        <w:spacing w:after="0"/>
        <w:sectPr>
          <w:pgSz w:w="11910" w:h="16840"/>
          <w:pgMar w:header="745" w:footer="982" w:top="1060" w:bottom="1180" w:left="980" w:right="980"/>
        </w:sectPr>
      </w:pPr>
    </w:p>
    <w:p>
      <w:pPr>
        <w:spacing w:before="987"/>
        <w:ind w:left="116" w:right="632" w:firstLine="0"/>
        <w:jc w:val="center"/>
        <w:rPr>
          <w:rFonts w:ascii="宋体" w:hAnsi="宋体" w:cs="宋体" w:eastAsia="宋体" w:hint="default"/>
          <w:sz w:val="44"/>
          <w:szCs w:val="44"/>
        </w:rPr>
      </w:pPr>
      <w:r>
        <w:rPr>
          <w:rFonts w:ascii="宋体" w:hAnsi="宋体" w:cs="宋体" w:eastAsia="宋体" w:hint="default"/>
          <w:b/>
          <w:bCs/>
          <w:sz w:val="44"/>
          <w:szCs w:val="44"/>
        </w:rPr>
        <w:t>释义</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1"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公司、本公司、股份公司、北信源</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北信源有限、有限公司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北京北信源自动化技术有限公司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神州信源</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北京北信源软件股份有限公司西安分公司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北京北信源软件股份有限公司广州分公司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天越创投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华睿创投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浙江华睿盛银创业投资有限公司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保荐机构、主承销商、民族证券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律师、天银律师事务所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北京市天银律师事务所</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会计师、中瑞岳华会计师事务所、中瑞岳华</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赛迪顾问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赛迪顾问股份有限公司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《北京北信源软件股份有限公司章程》</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新会计准则</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国家财政部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年颁布的《企业会计准则》</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自然人林皓先生</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北京北信源软件股份有限公司股东大会、董事会、监事会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信息产业部</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原中华人民共和国信息产业部</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工业和信息化部、工信部</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中华人民共和国科学技术部</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国家公安部、公安部</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中华人民共和国公安部</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国家发改委、发改委</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17"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终端安全管理产品</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16" w:lineRule="auto" w:before="49"/>
              <w:ind w:left="28" w:right="22"/>
              <w:jc w:val="both"/>
              <w:rPr>
                <w:rFonts w:ascii="宋体" w:hAnsi="宋体" w:cs="宋体" w:eastAsia="宋体" w:hint="default"/>
                <w:sz w:val="18"/>
                <w:szCs w:val="18"/>
              </w:rPr>
            </w:pPr>
            <w:r>
              <w:rPr>
                <w:rFonts w:ascii="宋体" w:hAnsi="宋体" w:cs="宋体" w:eastAsia="宋体" w:hint="default"/>
                <w:spacing w:val="-2"/>
                <w:sz w:val="18"/>
                <w:szCs w:val="18"/>
              </w:rPr>
              <w:t>用于实现对网络中终端计算机的运行状态、安全状态进行检查、分析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和评估，并通过制定和下发相应的的安全</w:t>
            </w:r>
            <w:r>
              <w:rPr>
                <w:rFonts w:ascii="宋体" w:hAnsi="宋体" w:cs="宋体" w:eastAsia="宋体" w:hint="default"/>
                <w:spacing w:val="1"/>
                <w:sz w:val="18"/>
                <w:szCs w:val="18"/>
              </w:rPr>
              <w:t> </w:t>
            </w:r>
            <w:r>
              <w:rPr>
                <w:rFonts w:ascii="宋体" w:hAnsi="宋体" w:cs="宋体" w:eastAsia="宋体" w:hint="default"/>
                <w:sz w:val="18"/>
                <w:szCs w:val="18"/>
              </w:rPr>
              <w:t>管理策略，实现对终端计</w:t>
            </w:r>
            <w:r>
              <w:rPr>
                <w:rFonts w:ascii="宋体" w:hAnsi="宋体" w:cs="宋体" w:eastAsia="宋体" w:hint="default"/>
                <w:sz w:val="18"/>
                <w:szCs w:val="18"/>
              </w:rPr>
              <w:t> 算机的安全管理、运行维护和安全防护的信息安全产品。</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317"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数据安全管理产品</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0"/>
              <w:ind w:left="23" w:right="-10"/>
              <w:jc w:val="left"/>
              <w:rPr>
                <w:rFonts w:ascii="宋体" w:hAnsi="宋体" w:cs="宋体" w:eastAsia="宋体" w:hint="default"/>
                <w:sz w:val="18"/>
                <w:szCs w:val="18"/>
              </w:rPr>
            </w:pPr>
            <w:r>
              <w:rPr>
                <w:rFonts w:ascii="宋体" w:hAnsi="宋体" w:cs="宋体" w:eastAsia="宋体" w:hint="default"/>
                <w:sz w:val="18"/>
                <w:szCs w:val="18"/>
              </w:rPr>
              <w:t>用于对网络中终端计算机产生的文档数据、敏感信息进行安全保护，</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44"/>
        <w:ind w:left="0" w:right="159"/>
        <w:jc w:val="right"/>
      </w:pPr>
      <w:r>
        <w:rPr/>
        <w:pict>
          <v:shape style="position:absolute;margin-left:56.400002pt;margin-top:-65.649284pt;width:479.2pt;height:168.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7"/>
                          <w:jc w:val="left"/>
                          <w:rPr>
                            <w:rFonts w:ascii="宋体" w:hAnsi="宋体" w:cs="宋体" w:eastAsia="宋体" w:hint="default"/>
                            <w:sz w:val="18"/>
                            <w:szCs w:val="18"/>
                          </w:rPr>
                        </w:pPr>
                        <w:r>
                          <w:rPr>
                            <w:rFonts w:ascii="宋体" w:hAnsi="宋体" w:cs="宋体" w:eastAsia="宋体" w:hint="default"/>
                            <w:sz w:val="18"/>
                            <w:szCs w:val="18"/>
                          </w:rPr>
                          <w:t>保证该类数据信息存储和外发的安全性，</w:t>
                        </w:r>
                        <w:r>
                          <w:rPr>
                            <w:rFonts w:ascii="宋体" w:hAnsi="宋体" w:cs="宋体" w:eastAsia="宋体" w:hint="default"/>
                            <w:spacing w:val="1"/>
                            <w:sz w:val="18"/>
                            <w:szCs w:val="18"/>
                          </w:rPr>
                          <w:t> </w:t>
                        </w:r>
                        <w:r>
                          <w:rPr>
                            <w:rFonts w:ascii="宋体" w:hAnsi="宋体" w:cs="宋体" w:eastAsia="宋体" w:hint="default"/>
                            <w:sz w:val="18"/>
                            <w:szCs w:val="18"/>
                          </w:rPr>
                          <w:t>防止重要文档资料和敏感</w:t>
                        </w:r>
                        <w:r>
                          <w:rPr>
                            <w:rFonts w:ascii="宋体" w:hAnsi="宋体" w:cs="宋体" w:eastAsia="宋体" w:hint="default"/>
                            <w:sz w:val="18"/>
                            <w:szCs w:val="18"/>
                          </w:rPr>
                          <w:t> 信息的泄露的信息安全产品。</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安全管理平台</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通过对网络中的安全设备、网络设备、服务器系统、终端系统的日志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事件信息进行统一收集、过滤、归并和关</w:t>
                        </w:r>
                        <w:r>
                          <w:rPr>
                            <w:rFonts w:ascii="宋体" w:hAnsi="宋体" w:cs="宋体" w:eastAsia="宋体" w:hint="default"/>
                            <w:spacing w:val="1"/>
                            <w:sz w:val="18"/>
                            <w:szCs w:val="18"/>
                          </w:rPr>
                          <w:t> </w:t>
                        </w:r>
                        <w:r>
                          <w:rPr>
                            <w:rFonts w:ascii="宋体" w:hAnsi="宋体" w:cs="宋体" w:eastAsia="宋体" w:hint="default"/>
                            <w:sz w:val="18"/>
                            <w:szCs w:val="18"/>
                          </w:rPr>
                          <w:t>联性分析，实现对重要信</w:t>
                        </w:r>
                        <w:r>
                          <w:rPr>
                            <w:rFonts w:ascii="宋体" w:hAnsi="宋体" w:cs="宋体" w:eastAsia="宋体" w:hint="default"/>
                            <w:sz w:val="18"/>
                            <w:szCs w:val="18"/>
                          </w:rPr>
                          <w:t> 息资产和业务系统的安全状态</w:t>
                        </w:r>
                        <w:r>
                          <w:rPr>
                            <w:rFonts w:ascii="宋体" w:hAnsi="宋体" w:cs="宋体" w:eastAsia="宋体" w:hint="default"/>
                            <w:spacing w:val="-14"/>
                            <w:sz w:val="18"/>
                            <w:szCs w:val="18"/>
                          </w:rPr>
                          <w:t> </w:t>
                        </w:r>
                        <w:r>
                          <w:rPr>
                            <w:rFonts w:ascii="宋体" w:hAnsi="宋体" w:cs="宋体" w:eastAsia="宋体" w:hint="default"/>
                            <w:sz w:val="18"/>
                            <w:szCs w:val="18"/>
                          </w:rPr>
                          <w:t>监控、安全风险管理和安全态势感知</w:t>
                        </w:r>
                        <w:r>
                          <w:rPr>
                            <w:rFonts w:ascii="宋体" w:hAnsi="宋体" w:cs="宋体" w:eastAsia="宋体" w:hint="default"/>
                            <w:sz w:val="18"/>
                            <w:szCs w:val="18"/>
                          </w:rPr>
                          <w:t> 并及时进行安全</w:t>
                        </w:r>
                        <w:r>
                          <w:rPr>
                            <w:rFonts w:ascii="宋体" w:hAnsi="宋体" w:cs="宋体" w:eastAsia="宋体" w:hint="default"/>
                            <w:spacing w:val="1"/>
                            <w:sz w:val="18"/>
                            <w:szCs w:val="18"/>
                          </w:rPr>
                          <w:t> </w:t>
                        </w:r>
                        <w:r>
                          <w:rPr>
                            <w:rFonts w:ascii="宋体" w:hAnsi="宋体" w:cs="宋体" w:eastAsia="宋体" w:hint="default"/>
                            <w:sz w:val="18"/>
                            <w:szCs w:val="18"/>
                          </w:rPr>
                          <w:t>预警、安全响应和管理控制的信息安全产品。</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基于策略的安全解决方案，综合运用多种技术手段，对网络中流动的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信息进行选择性阻断，对信息流动进行全</w:t>
                        </w:r>
                        <w:r>
                          <w:rPr>
                            <w:rFonts w:ascii="宋体" w:hAnsi="宋体" w:cs="宋体" w:eastAsia="宋体" w:hint="default"/>
                            <w:spacing w:val="1"/>
                            <w:sz w:val="18"/>
                            <w:szCs w:val="18"/>
                          </w:rPr>
                          <w:t> </w:t>
                        </w:r>
                        <w:r>
                          <w:rPr>
                            <w:rFonts w:ascii="宋体" w:hAnsi="宋体" w:cs="宋体" w:eastAsia="宋体" w:hint="default"/>
                            <w:sz w:val="18"/>
                            <w:szCs w:val="18"/>
                          </w:rPr>
                          <w:t>方向识别和保护，保证信</w:t>
                        </w:r>
                        <w:r>
                          <w:rPr>
                            <w:rFonts w:ascii="宋体" w:hAnsi="宋体" w:cs="宋体" w:eastAsia="宋体" w:hint="default"/>
                            <w:sz w:val="18"/>
                            <w:szCs w:val="18"/>
                          </w:rPr>
                          <w:t> 息流动的可控可管，全面防范</w:t>
                        </w:r>
                        <w:r>
                          <w:rPr>
                            <w:rFonts w:ascii="宋体" w:hAnsi="宋体" w:cs="宋体" w:eastAsia="宋体" w:hint="default"/>
                            <w:spacing w:val="1"/>
                            <w:sz w:val="18"/>
                            <w:szCs w:val="18"/>
                          </w:rPr>
                          <w:t> </w:t>
                        </w:r>
                        <w:r>
                          <w:rPr>
                            <w:rFonts w:ascii="宋体" w:hAnsi="宋体" w:cs="宋体" w:eastAsia="宋体" w:hint="default"/>
                            <w:sz w:val="18"/>
                            <w:szCs w:val="18"/>
                          </w:rPr>
                          <w:t>外部和内部安全威胁的安全软件和硬</w:t>
                        </w:r>
                        <w:r>
                          <w:rPr>
                            <w:rFonts w:ascii="宋体" w:hAnsi="宋体" w:cs="宋体" w:eastAsia="宋体" w:hint="default"/>
                            <w:sz w:val="18"/>
                            <w:szCs w:val="18"/>
                          </w:rPr>
                          <w:t> 件。</w:t>
                        </w: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539" w:lineRule="exact"/>
        <w:ind w:left="2432" w:right="0"/>
        <w:jc w:val="left"/>
        <w:rPr>
          <w:b w:val="0"/>
          <w:bCs w:val="0"/>
        </w:rPr>
      </w:pPr>
      <w:bookmarkStart w:name="_TOC_250008" w:id="5"/>
      <w:bookmarkStart w:name="第二节 公司基本情况简介" w:id="6"/>
      <w:r>
        <w:rPr>
          <w:b w:val="0"/>
          <w:bCs w:val="0"/>
        </w:rPr>
      </w:r>
      <w:r>
        <w:rPr/>
        <w:t>第二节</w:t>
      </w:r>
      <w:r>
        <w:rPr>
          <w:spacing w:val="-9"/>
        </w:rPr>
        <w:t> </w:t>
      </w:r>
      <w:r>
        <w:rPr/>
        <w:t>公司基本情况简介</w:t>
      </w:r>
      <w:bookmarkEnd w:id="5"/>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90"/>
        <w:ind w:right="0"/>
        <w:jc w:val="left"/>
        <w:rPr>
          <w:b w:val="0"/>
          <w:bCs w:val="0"/>
        </w:rPr>
      </w:pPr>
      <w:bookmarkStart w:name="一、公司信息" w:id="7"/>
      <w:bookmarkEnd w:id="7"/>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8"/>
        <w:gridCol w:w="2327"/>
        <w:gridCol w:w="2135"/>
        <w:gridCol w:w="2188"/>
      </w:tblGrid>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300352</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VRV </w:t>
            </w:r>
            <w:r>
              <w:rPr>
                <w:rFonts w:ascii="Times New Roman"/>
                <w:sz w:val="18"/>
              </w:rPr>
              <w:t>Software Corporation</w:t>
            </w:r>
            <w:r>
              <w:rPr>
                <w:rFonts w:ascii="Times New Roman"/>
                <w:spacing w:val="-18"/>
                <w:sz w:val="18"/>
              </w:rPr>
              <w:t> </w:t>
            </w:r>
            <w:r>
              <w:rPr>
                <w:rFonts w:ascii="Times New Roman"/>
                <w:sz w:val="18"/>
              </w:rPr>
              <w:t>Limited.</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pacing w:val="-11"/>
                <w:sz w:val="18"/>
              </w:rPr>
              <w:t>VRV</w:t>
            </w:r>
            <w:r>
              <w:rPr>
                <w:rFonts w:ascii="Times New Roman"/>
                <w:sz w:val="18"/>
              </w:rPr>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 </w:t>
            </w:r>
            <w:r>
              <w:rPr>
                <w:rFonts w:ascii="宋体" w:hAnsi="宋体" w:cs="宋体" w:eastAsia="宋体" w:hint="default"/>
                <w:sz w:val="18"/>
                <w:szCs w:val="18"/>
              </w:rPr>
              <w:t>室</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 </w:t>
            </w:r>
            <w:r>
              <w:rPr>
                <w:rFonts w:ascii="宋体" w:hAnsi="宋体" w:cs="宋体" w:eastAsia="宋体" w:hint="default"/>
                <w:sz w:val="18"/>
                <w:szCs w:val="18"/>
              </w:rPr>
              <w:t>室</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http://web.vrv.com.cn/</w:t>
              </w:r>
            </w:hyperlink>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vrvzq@vrvmail.com.cn</w:t>
              </w:r>
            </w:hyperlink>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9"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8"/>
      <w:bookmarkEnd w:id="8"/>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79"/>
        <w:gridCol w:w="320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李旭</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4D4D4"/>
          </w:tcPr>
          <w:p>
            <w:pPr/>
          </w:p>
        </w:tc>
        <w:tc>
          <w:tcPr>
            <w:tcW w:w="3200" w:type="dxa"/>
            <w:vMerge w:val="restart"/>
            <w:tcBorders>
              <w:top w:val="single" w:sz="4" w:space="0" w:color="000000"/>
              <w:left w:val="single" w:sz="9" w:space="0" w:color="D4D4D4"/>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号中关村 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号中关村 科技发展大厦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 </w:t>
            </w:r>
            <w:r>
              <w:rPr>
                <w:rFonts w:ascii="宋体" w:hAnsi="宋体" w:cs="宋体" w:eastAsia="宋体" w:hint="default"/>
                <w:sz w:val="18"/>
                <w:szCs w:val="18"/>
              </w:rPr>
              <w:t>室</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4D4D4"/>
          </w:tcPr>
          <w:p>
            <w:pPr/>
          </w:p>
        </w:tc>
        <w:tc>
          <w:tcPr>
            <w:tcW w:w="320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010-62140485-8073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010-62140485-8073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010-62147259</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vrvzq@vrvmail.com.cn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9"/>
      <w:bookmarkEnd w:id="9"/>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8"/>
        <w:gridCol w:w="5710"/>
      </w:tblGrid>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  上海证券报</w:t>
            </w:r>
            <w:r>
              <w:rPr>
                <w:rFonts w:ascii="宋体" w:hAnsi="宋体" w:cs="宋体" w:eastAsia="宋体" w:hint="default"/>
                <w:spacing w:val="88"/>
                <w:sz w:val="18"/>
                <w:szCs w:val="18"/>
              </w:rPr>
              <w:t> </w:t>
            </w:r>
            <w:r>
              <w:rPr>
                <w:rFonts w:ascii="宋体" w:hAnsi="宋体" w:cs="宋体" w:eastAsia="宋体" w:hint="default"/>
                <w:sz w:val="18"/>
                <w:szCs w:val="18"/>
              </w:rPr>
              <w:t>证券时报</w:t>
            </w: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523" w:right="72" w:hanging="452"/>
              <w:jc w:val="left"/>
              <w:rPr>
                <w:rFonts w:ascii="宋体" w:hAnsi="宋体" w:cs="宋体" w:eastAsia="宋体" w:hint="default"/>
                <w:sz w:val="18"/>
                <w:szCs w:val="18"/>
              </w:rPr>
            </w:pPr>
            <w:bookmarkStart w:name="四、公司历史沿革" w:id="10"/>
            <w:bookmarkEnd w:id="10"/>
            <w:r>
              <w:rPr/>
            </w: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北京市海淀区海淀 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08464509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110108101967333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10196733-3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整体变更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 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110108101967333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10196733-3</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 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110108101967333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10196733-3</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 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110108101967333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10196733-3</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20"/>
              <w:jc w:val="left"/>
              <w:rPr>
                <w:rFonts w:ascii="宋体" w:hAnsi="宋体" w:cs="宋体" w:eastAsia="宋体" w:hint="default"/>
                <w:sz w:val="18"/>
                <w:szCs w:val="18"/>
              </w:rPr>
            </w:pPr>
            <w:r>
              <w:rPr>
                <w:rFonts w:ascii="宋体" w:hAnsi="宋体" w:cs="宋体" w:eastAsia="宋体" w:hint="default"/>
                <w:sz w:val="18"/>
                <w:szCs w:val="18"/>
              </w:rPr>
              <w:t>首次公开发行变更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北京市海淀区中关 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 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110108101967333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10196733-3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539" w:lineRule="exact"/>
        <w:ind w:left="1770" w:right="0"/>
        <w:jc w:val="left"/>
        <w:rPr>
          <w:b w:val="0"/>
          <w:bCs w:val="0"/>
        </w:rPr>
      </w:pPr>
      <w:bookmarkStart w:name="_TOC_250007" w:id="11"/>
      <w:bookmarkStart w:name="第三节 会计数据和财务指标摘要" w:id="12"/>
      <w:r>
        <w:rPr>
          <w:b w:val="0"/>
          <w:bCs w:val="0"/>
        </w:rPr>
      </w:r>
      <w:r>
        <w:rPr/>
        <w:t>第三节</w:t>
      </w:r>
      <w:r>
        <w:rPr>
          <w:spacing w:val="-11"/>
        </w:rPr>
        <w:t> </w:t>
      </w:r>
      <w:r>
        <w:rPr/>
        <w:t>会计数据和财务指标摘要</w:t>
      </w:r>
      <w:bookmarkEnd w:id="11"/>
      <w:r>
        <w:rPr>
          <w:b w:val="0"/>
          <w:bCs w:val="0"/>
        </w:rPr>
      </w:r>
    </w:p>
    <w:p>
      <w:pPr>
        <w:spacing w:line="240" w:lineRule="auto" w:before="7"/>
        <w:rPr>
          <w:rFonts w:ascii="宋体" w:hAnsi="宋体" w:cs="宋体" w:eastAsia="宋体" w:hint="default"/>
          <w:b/>
          <w:bCs/>
          <w:sz w:val="34"/>
          <w:szCs w:val="34"/>
        </w:rPr>
      </w:pPr>
    </w:p>
    <w:p>
      <w:pPr>
        <w:pStyle w:val="Heading3"/>
        <w:spacing w:line="240" w:lineRule="auto"/>
        <w:ind w:right="0"/>
        <w:jc w:val="left"/>
        <w:rPr>
          <w:b w:val="0"/>
          <w:bCs w:val="0"/>
        </w:rPr>
      </w:pPr>
      <w:bookmarkStart w:name="一、主要会计数据和财务指标" w:id="13"/>
      <w:bookmarkEnd w:id="13"/>
      <w:r>
        <w:rPr>
          <w:b w:val="0"/>
          <w:bCs w:val="0"/>
        </w:rPr>
      </w: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96"/>
        <w:gridCol w:w="1748"/>
        <w:gridCol w:w="1740"/>
        <w:gridCol w:w="1985"/>
        <w:gridCol w:w="1488"/>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189,957,858.76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126,950,700.98</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91,686,470.98</w:t>
            </w:r>
            <w:r>
              <w:rPr>
                <w:rFonts w:ascii="Times New Roman"/>
                <w:sz w:val="18"/>
              </w:rPr>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58,005,115.58</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37,016,063.71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26,281,874.99</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68,044,278.29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49,690,116.43</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45,263,080.18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44,769,501.53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40,284,492.68</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57,734,149.18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42,349,617.22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32,078,847.68</w:t>
            </w:r>
            <w:r>
              <w:rPr>
                <w:rFonts w:ascii="Times New Roman"/>
                <w:sz w:val="18"/>
              </w:rPr>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-11,381,234.08</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28,397,550.99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-140.08%</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20,352,404.36</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635,323,492.69</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179,486,024.72</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165,438,280.00</w:t>
            </w:r>
            <w:r>
              <w:rPr>
                <w:rFonts w:ascii="Times New Roman"/>
                <w:sz w:val="18"/>
              </w:rPr>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43,127,943.49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27,583,438.22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43,305,195.03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592,195,549.20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151,902,586.50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122,133,084.97</w:t>
            </w:r>
            <w:r>
              <w:rPr>
                <w:rFonts w:ascii="Times New Roman"/>
                <w:sz w:val="18"/>
              </w:rPr>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0"/>
        <w:gridCol w:w="1748"/>
        <w:gridCol w:w="1735"/>
        <w:gridCol w:w="1985"/>
        <w:gridCol w:w="1488"/>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32.98%</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39.78%</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26.27%</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-11.38%</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0"/>
        <w:gridCol w:w="1748"/>
        <w:gridCol w:w="1735"/>
        <w:gridCol w:w="1985"/>
        <w:gridCol w:w="1488"/>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0.57</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-130.04%</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192.24%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w:t>
            </w:r>
            <w:r>
              <w:rPr>
                <w:rFonts w:ascii="Times New Roman"/>
                <w:sz w:val="18"/>
              </w:rPr>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26.18%</w:t>
            </w:r>
          </w:p>
        </w:tc>
      </w:tr>
    </w:tbl>
    <w:p>
      <w:pPr>
        <w:pStyle w:val="BodyText"/>
        <w:spacing w:line="240" w:lineRule="auto" w:before="49"/>
        <w:ind w:right="0"/>
        <w:jc w:val="left"/>
      </w:pPr>
      <w:r>
        <w:rPr/>
        <w:t>主要会计数据</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7"/>
        <w:gridCol w:w="1200"/>
        <w:gridCol w:w="1202"/>
        <w:gridCol w:w="1200"/>
        <w:gridCol w:w="1202"/>
        <w:gridCol w:w="1200"/>
        <w:gridCol w:w="1202"/>
      </w:tblGrid>
      <w:tr>
        <w:trPr>
          <w:trHeight w:val="163" w:hRule="exact"/>
        </w:trPr>
        <w:tc>
          <w:tcPr>
            <w:tcW w:w="2347"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9"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2" w:hRule="exact"/>
        </w:trPr>
        <w:tc>
          <w:tcPr>
            <w:tcW w:w="2347"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23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189,957,858.76</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126,950,700.98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49.63%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91,686,470.98</w:t>
            </w:r>
          </w:p>
        </w:tc>
      </w:tr>
      <w:tr>
        <w:trPr>
          <w:trHeight w:val="401"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58,005,115.58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37,016,063.71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26,281,874.99</w:t>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68,044,278.29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49,690,116.43</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36.94%</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45,263,080.18</w:t>
            </w:r>
          </w:p>
        </w:tc>
      </w:tr>
      <w:tr>
        <w:trPr>
          <w:trHeight w:val="71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44,769,501.53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34.26%</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40,284,492.68</w:t>
            </w:r>
          </w:p>
        </w:tc>
      </w:tr>
      <w:tr>
        <w:trPr>
          <w:trHeight w:val="715"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57,734,149.18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42,349,617.22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32,078,847.68</w:t>
            </w:r>
          </w:p>
        </w:tc>
      </w:tr>
      <w:tr>
        <w:trPr>
          <w:trHeight w:val="71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-11,381,234.08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28,397,550.99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-140.08%</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20,352,404.36</w:t>
            </w:r>
          </w:p>
        </w:tc>
      </w:tr>
      <w:tr>
        <w:trPr>
          <w:trHeight w:val="163" w:hRule="exact"/>
        </w:trPr>
        <w:tc>
          <w:tcPr>
            <w:tcW w:w="2347"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9"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2" w:hRule="exact"/>
        </w:trPr>
        <w:tc>
          <w:tcPr>
            <w:tcW w:w="2347"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23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635,323,492.69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179,486,024.72</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253.97%</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165,438,280.00</w:t>
            </w:r>
            <w:r>
              <w:rPr>
                <w:rFonts w:ascii="Times New Roman"/>
                <w:sz w:val="18"/>
              </w:rPr>
            </w:r>
          </w:p>
        </w:tc>
      </w:tr>
      <w:tr>
        <w:trPr>
          <w:trHeight w:val="401"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43,127,943.49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27,583,438.22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56.35%</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43,305,195.03</w:t>
            </w:r>
          </w:p>
        </w:tc>
      </w:tr>
      <w:tr>
        <w:trPr>
          <w:trHeight w:val="715"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63"/>
              <w:jc w:val="left"/>
              <w:rPr>
                <w:rFonts w:ascii="宋体" w:hAnsi="宋体" w:cs="宋体" w:eastAsia="宋体" w:hint="default"/>
                <w:sz w:val="18"/>
                <w:szCs w:val="18"/>
              </w:rPr>
            </w:pPr>
            <w:r>
              <w:rPr>
                <w:rFonts w:ascii="宋体" w:hAnsi="宋体" w:cs="宋体" w:eastAsia="宋体" w:hint="default"/>
                <w:sz w:val="18"/>
                <w:szCs w:val="18"/>
              </w:rPr>
              <w:t>归属于上市公司股东的所有 者权益（元）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592,195,549.20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151,902,586.50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289.85%</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122,133,084.97</w:t>
            </w:r>
            <w:r>
              <w:rPr>
                <w:rFonts w:ascii="Times New Roman"/>
                <w:sz w:val="18"/>
              </w:rPr>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66,700,000.00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49"/>
        <w:ind w:right="0"/>
        <w:jc w:val="left"/>
      </w:pPr>
      <w:r>
        <w:rPr/>
        <w:t>主要财务指标</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36"/>
        <w:gridCol w:w="1211"/>
        <w:gridCol w:w="1202"/>
        <w:gridCol w:w="1200"/>
        <w:gridCol w:w="1202"/>
        <w:gridCol w:w="1200"/>
        <w:gridCol w:w="1202"/>
      </w:tblGrid>
      <w:tr>
        <w:trPr>
          <w:trHeight w:val="161" w:hRule="exact"/>
        </w:trPr>
        <w:tc>
          <w:tcPr>
            <w:tcW w:w="2336" w:type="dxa"/>
            <w:vMerge w:val="restart"/>
            <w:tcBorders>
              <w:top w:val="single" w:sz="4" w:space="0" w:color="000000"/>
              <w:left w:val="single" w:sz="4" w:space="0" w:color="000000"/>
              <w:right w:val="single" w:sz="4" w:space="0" w:color="000000"/>
            </w:tcBorders>
            <w:shd w:val="clear" w:color="auto" w:fill="D4D4D4"/>
          </w:tcPr>
          <w:p>
            <w:pPr/>
          </w:p>
        </w:tc>
        <w:tc>
          <w:tcPr>
            <w:tcW w:w="1211"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0" w:hRule="exact"/>
        </w:trPr>
        <w:tc>
          <w:tcPr>
            <w:tcW w:w="2336" w:type="dxa"/>
            <w:vMerge w:val="restart"/>
            <w:tcBorders>
              <w:top w:val="nil" w:sz="6" w:space="0" w:color="auto"/>
              <w:left w:val="single" w:sz="4" w:space="0" w:color="000000"/>
              <w:right w:val="single" w:sz="4" w:space="0" w:color="000000"/>
            </w:tcBorders>
            <w:shd w:val="clear" w:color="auto" w:fill="D4D4D4"/>
          </w:tcPr>
          <w:p>
            <w:pPr/>
          </w:p>
        </w:tc>
        <w:tc>
          <w:tcPr>
            <w:tcW w:w="12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3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1"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r>
      <w:tr>
        <w:trPr>
          <w:trHeight w:val="40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23.33%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0.81</w:t>
            </w:r>
            <w:r>
              <w:rPr>
                <w:rFonts w:ascii="Times New Roman"/>
                <w:sz w:val="18"/>
              </w:rPr>
            </w:r>
          </w:p>
        </w:tc>
      </w:tr>
      <w:tr>
        <w:trPr>
          <w:trHeight w:val="71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0.85</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25.88%</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r>
      <w:tr>
        <w:trPr>
          <w:trHeight w:val="40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10.15%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-19.32%</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32.98%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47"/>
        <w:gridCol w:w="1200"/>
        <w:gridCol w:w="1202"/>
        <w:gridCol w:w="1200"/>
        <w:gridCol w:w="1202"/>
        <w:gridCol w:w="1200"/>
        <w:gridCol w:w="1202"/>
      </w:tblGrid>
      <w:tr>
        <w:trPr>
          <w:trHeight w:val="401"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21.55%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33.91%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-12.36%</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39.78%</w:t>
            </w:r>
          </w:p>
        </w:tc>
      </w:tr>
      <w:tr>
        <w:trPr>
          <w:trHeight w:val="715"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63"/>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9.75%</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26.27%</w:t>
            </w:r>
          </w:p>
        </w:tc>
      </w:tr>
      <w:tr>
        <w:trPr>
          <w:trHeight w:val="71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-11.38%</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31.67%</w:t>
            </w:r>
          </w:p>
        </w:tc>
      </w:tr>
      <w:tr>
        <w:trPr>
          <w:trHeight w:val="715"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6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-130.04%</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r>
      <w:tr>
        <w:trPr>
          <w:trHeight w:val="161" w:hRule="exact"/>
        </w:trPr>
        <w:tc>
          <w:tcPr>
            <w:tcW w:w="2347"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0" w:hRule="exact"/>
        </w:trPr>
        <w:tc>
          <w:tcPr>
            <w:tcW w:w="2347"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3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192.24%</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w:t>
            </w:r>
            <w:r>
              <w:rPr>
                <w:rFonts w:ascii="Times New Roman"/>
                <w:sz w:val="18"/>
              </w:rPr>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15.37%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-8.58%</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26.18%</w:t>
            </w:r>
          </w:p>
        </w:tc>
      </w:tr>
    </w:tbl>
    <w:p>
      <w:pPr>
        <w:pStyle w:val="BodyText"/>
        <w:spacing w:line="338" w:lineRule="auto" w:before="49"/>
        <w:ind w:left="604" w:right="62" w:hanging="452"/>
        <w:jc w:val="left"/>
      </w:pPr>
      <w:r>
        <w:rPr/>
        <w:t>注： </w:t>
      </w:r>
      <w:r>
        <w:rPr>
          <w:rFonts w:ascii="Times New Roman" w:hAnsi="Times New Roman" w:cs="Times New Roman" w:eastAsia="Times New Roman" w:hint="default"/>
        </w:rPr>
        <w:t>1</w:t>
      </w:r>
      <w:r>
        <w:rPr/>
        <w:t>、提供截至报告期末公司近三年调整后的主要会计数据和财务指标。 </w:t>
      </w:r>
      <w:r>
        <w:rPr>
          <w:rFonts w:ascii="Times New Roman" w:hAnsi="Times New Roman" w:cs="Times New Roman" w:eastAsia="Times New Roman" w:hint="default"/>
          <w:spacing w:val="-2"/>
        </w:rPr>
        <w:t>2</w:t>
      </w:r>
      <w:r>
        <w:rPr>
          <w:spacing w:val="-2"/>
        </w:rPr>
        <w:t>、在报告期内公司因派发股票股利、公积金转增股本、拆股而增加或并股而减少公司总股本，但不影响股东权益金额</w:t>
      </w:r>
    </w:p>
    <w:p>
      <w:pPr>
        <w:pStyle w:val="BodyText"/>
        <w:spacing w:line="230" w:lineRule="exact"/>
        <w:ind w:right="62"/>
        <w:jc w:val="left"/>
      </w:pPr>
      <w:r>
        <w:rPr/>
        <w:t>的，应当根据相关会计准则的规定按最新股本调整并列报最近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年的基本每股收益和稀释每股收益。</w:t>
      </w:r>
    </w:p>
    <w:p>
      <w:pPr>
        <w:pStyle w:val="BodyText"/>
        <w:spacing w:line="300" w:lineRule="auto" w:before="103"/>
        <w:ind w:right="62" w:firstLine="451"/>
        <w:jc w:val="left"/>
      </w:pPr>
      <w:r>
        <w:rPr>
          <w:rFonts w:ascii="Times New Roman" w:hAnsi="Times New Roman" w:cs="Times New Roman" w:eastAsia="Times New Roman" w:hint="default"/>
          <w:spacing w:val="-4"/>
        </w:rPr>
        <w:t>3</w:t>
      </w:r>
      <w:r>
        <w:rPr>
          <w:spacing w:val="-4"/>
        </w:rPr>
        <w:t>、如果报告期末至年度报告披露日，公司股本因送红股、资本公积转增股本的原因发生变化且不影响股东权益金额的，</w:t>
      </w:r>
      <w:r>
        <w:rPr/>
        <w:t> 应当根据相关会计准则的规定按最新股本调整并列报最近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年的基本每股收益和稀释每股收益。</w:t>
      </w:r>
    </w:p>
    <w:p>
      <w:pPr>
        <w:pStyle w:val="BodyText"/>
        <w:spacing w:line="300" w:lineRule="auto" w:before="53"/>
        <w:ind w:left="153" w:right="62" w:firstLine="451"/>
        <w:jc w:val="left"/>
      </w:pPr>
      <w:r>
        <w:rPr>
          <w:rFonts w:ascii="Times New Roman" w:hAnsi="Times New Roman" w:cs="Times New Roman" w:eastAsia="Times New Roman" w:hint="default"/>
          <w:spacing w:val="-2"/>
        </w:rPr>
        <w:t>4</w:t>
      </w:r>
      <w:r>
        <w:rPr>
          <w:spacing w:val="-2"/>
        </w:rPr>
        <w:t>、因会计政策变更及会计差错更正等追溯调整或重述以前年度会计数据的，应披露会计政策变更的原因及会计差错更</w:t>
      </w:r>
      <w:r>
        <w:rPr/>
        <w:t> 正的情况，并应同时披露调整前后的数据。</w:t>
      </w:r>
    </w:p>
    <w:p>
      <w:pPr>
        <w:pStyle w:val="BodyText"/>
        <w:spacing w:line="240" w:lineRule="auto" w:before="70"/>
        <w:ind w:left="604" w:right="62"/>
        <w:jc w:val="left"/>
      </w:pPr>
      <w:r>
        <w:rPr>
          <w:rFonts w:ascii="Times New Roman" w:hAnsi="Times New Roman" w:cs="Times New Roman" w:eastAsia="Times New Roman" w:hint="default"/>
        </w:rPr>
        <w:t>5</w:t>
      </w:r>
      <w:r>
        <w:rPr/>
        <w:t>、编制合并财务报表的公司应当以合并财务报表数据填列或计算以上数据和指标。</w:t>
      </w:r>
    </w:p>
    <w:p>
      <w:pPr>
        <w:pStyle w:val="BodyText"/>
        <w:spacing w:line="300" w:lineRule="auto" w:before="103"/>
        <w:ind w:left="153" w:right="180" w:firstLine="451"/>
        <w:jc w:val="left"/>
      </w:pPr>
      <w:r>
        <w:rPr>
          <w:rFonts w:ascii="Times New Roman" w:hAnsi="Times New Roman" w:cs="Times New Roman" w:eastAsia="Times New Roman" w:hint="default"/>
          <w:spacing w:val="-3"/>
        </w:rPr>
        <w:t>6</w:t>
      </w:r>
      <w:r>
        <w:rPr>
          <w:spacing w:val="-3"/>
        </w:rPr>
        <w:t>、净资产收益率、每股收益的计算公式参照《公开发行证券的公司信息披露编报规则第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净资产收益率和每股 收益的计算及披露》执行。</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3" w:right="62"/>
        <w:jc w:val="left"/>
      </w:pPr>
      <w:r>
        <w:rPr/>
        <w:t>公司报告期末至报告披露日股本是否因发行新股、增发、配股、股权激励行权、回购等原因发生变化且影响所有者权益金额</w:t>
      </w:r>
    </w:p>
    <w:p>
      <w:pPr>
        <w:pStyle w:val="BodyText"/>
        <w:spacing w:line="340" w:lineRule="auto" w:before="117"/>
        <w:ind w:left="153" w:right="69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是否存在公司债和可转债等其他证券</w:t>
      </w:r>
    </w:p>
    <w:p>
      <w:pPr>
        <w:pStyle w:val="BodyText"/>
        <w:spacing w:line="340" w:lineRule="auto" w:before="39"/>
        <w:ind w:left="153" w:right="1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如果公司存在最近两年连续亏损的情形，公司债和可转债等其他证券是否需要于次一交易日开市起停牌</w:t>
      </w:r>
    </w:p>
    <w:p>
      <w:pPr>
        <w:pStyle w:val="BodyText"/>
        <w:spacing w:line="240" w:lineRule="auto" w:before="41"/>
        <w:ind w:left="153" w:right="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p>
    <w:p>
      <w:pPr>
        <w:spacing w:line="240" w:lineRule="auto" w:before="0"/>
        <w:rPr>
          <w:rFonts w:ascii="宋体" w:hAnsi="宋体" w:cs="宋体" w:eastAsia="宋体" w:hint="default"/>
          <w:sz w:val="24"/>
          <w:szCs w:val="24"/>
        </w:rPr>
      </w:pPr>
    </w:p>
    <w:p>
      <w:pPr>
        <w:pStyle w:val="Heading3"/>
        <w:spacing w:line="240" w:lineRule="auto"/>
        <w:ind w:right="62"/>
        <w:jc w:val="left"/>
        <w:rPr>
          <w:b w:val="0"/>
          <w:bCs w:val="0"/>
        </w:rPr>
      </w:pPr>
      <w:bookmarkStart w:name="二、境内外会计准则下会计数据差异" w:id="14"/>
      <w:bookmarkEnd w:id="14"/>
      <w:r>
        <w:rPr>
          <w:b w:val="0"/>
          <w:bCs w:val="0"/>
        </w:rPr>
      </w:r>
      <w:r>
        <w:rPr/>
        <w:t>二、境内外会计准则下会计数据差异</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62"/>
        <w:jc w:val="left"/>
        <w:rPr>
          <w:b w:val="0"/>
          <w:bCs w:val="0"/>
        </w:rPr>
      </w:pPr>
      <w:bookmarkStart w:name="1、同时按照国际会计准则与按中国会计准则披露的财务报告中净利润和净资产差异情况" w:id="15"/>
      <w:bookmarkEnd w:id="15"/>
      <w:r>
        <w:rPr>
          <w:b w:val="0"/>
          <w:bCs w:val="0"/>
        </w:rPr>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0"/>
        <w:gridCol w:w="2004"/>
        <w:gridCol w:w="1769"/>
        <w:gridCol w:w="1759"/>
      </w:tblGrid>
      <w:tr>
        <w:trPr>
          <w:trHeight w:val="204" w:hRule="exact"/>
        </w:trPr>
        <w:tc>
          <w:tcPr>
            <w:tcW w:w="2285"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4D4D4"/>
          </w:tcPr>
          <w:p>
            <w:pPr/>
          </w:p>
        </w:tc>
        <w:tc>
          <w:tcPr>
            <w:tcW w:w="3744" w:type="dxa"/>
            <w:gridSpan w:val="2"/>
            <w:vMerge/>
            <w:tcBorders>
              <w:left w:val="single" w:sz="4" w:space="0" w:color="000000"/>
              <w:bottom w:val="single" w:sz="4" w:space="0" w:color="000000"/>
              <w:right w:val="single" w:sz="4" w:space="0" w:color="000000"/>
            </w:tcBorders>
            <w:shd w:val="clear" w:color="auto" w:fill="D4D4D4"/>
          </w:tcPr>
          <w:p>
            <w:pPr/>
          </w:p>
        </w:tc>
        <w:tc>
          <w:tcPr>
            <w:tcW w:w="35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4D4D4"/>
          </w:tcPr>
          <w:p>
            <w:pPr/>
          </w:p>
        </w:tc>
        <w:tc>
          <w:tcPr>
            <w:tcW w:w="17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0" w:type="dxa"/>
            <w:vMerge/>
            <w:tcBorders>
              <w:left w:val="single" w:sz="4" w:space="0" w:color="000000"/>
              <w:bottom w:val="single" w:sz="4" w:space="0" w:color="000000"/>
              <w:right w:val="single" w:sz="4" w:space="0" w:color="000000"/>
            </w:tcBorders>
            <w:shd w:val="clear" w:color="auto" w:fill="D4D4D4"/>
          </w:tcPr>
          <w:p>
            <w:pPr/>
          </w:p>
        </w:tc>
        <w:tc>
          <w:tcPr>
            <w:tcW w:w="2004"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59"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60,107,528.99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44,769,501.53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592,195,549.20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151,902,586.50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5"/>
        <w:gridCol w:w="1740"/>
        <w:gridCol w:w="2004"/>
        <w:gridCol w:w="1769"/>
        <w:gridCol w:w="1771"/>
      </w:tblGrid>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同时按照境外会计准则与按中国会计准则披露的财务报告中净利润和净资产差异情况" w:id="16"/>
      <w:bookmarkEnd w:id="16"/>
      <w:r>
        <w:rPr>
          <w:b w:val="0"/>
          <w:bCs w:val="0"/>
        </w:rPr>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0"/>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4D4D4"/>
          </w:tcPr>
          <w:p>
            <w:pPr/>
          </w:p>
        </w:tc>
        <w:tc>
          <w:tcPr>
            <w:tcW w:w="3744" w:type="dxa"/>
            <w:gridSpan w:val="2"/>
            <w:vMerge/>
            <w:tcBorders>
              <w:left w:val="single" w:sz="4" w:space="0" w:color="000000"/>
              <w:bottom w:val="single" w:sz="4" w:space="0" w:color="000000"/>
              <w:right w:val="single" w:sz="4" w:space="0" w:color="000000"/>
            </w:tcBorders>
            <w:shd w:val="clear" w:color="auto" w:fill="D4D4D4"/>
          </w:tcPr>
          <w:p>
            <w:pPr/>
          </w:p>
        </w:tc>
        <w:tc>
          <w:tcPr>
            <w:tcW w:w="3540"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4D4D4"/>
          </w:tcPr>
          <w:p>
            <w:pPr/>
          </w:p>
        </w:tc>
        <w:tc>
          <w:tcPr>
            <w:tcW w:w="174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740" w:type="dxa"/>
            <w:vMerge/>
            <w:tcBorders>
              <w:left w:val="single" w:sz="4" w:space="0" w:color="000000"/>
              <w:bottom w:val="single" w:sz="4" w:space="0" w:color="000000"/>
              <w:right w:val="single" w:sz="4" w:space="0" w:color="000000"/>
            </w:tcBorders>
            <w:shd w:val="clear" w:color="auto" w:fill="D4D4D4"/>
          </w:tcPr>
          <w:p>
            <w:pPr/>
          </w:p>
        </w:tc>
        <w:tc>
          <w:tcPr>
            <w:tcW w:w="2004"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1"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60,107,528.99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44,769,501.53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592,195,549.20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151,902,586.50</w:t>
            </w:r>
          </w:p>
        </w:tc>
      </w:tr>
      <w:tr>
        <w:trPr>
          <w:trHeight w:val="402"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注：境内外会计准则下会计数据差异填列合并报表数据。</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境内外会计准则下会计数据差异说明" w:id="17"/>
      <w:bookmarkEnd w:id="17"/>
      <w:r>
        <w:rPr>
          <w:b w:val="0"/>
          <w:bCs w:val="0"/>
        </w:rPr>
      </w: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
        <w:rPr>
          <w:rFonts w:ascii="宋体" w:hAnsi="宋体" w:cs="宋体" w:eastAsia="宋体" w:hint="default"/>
          <w:b/>
          <w:bCs/>
          <w:sz w:val="25"/>
          <w:szCs w:val="25"/>
        </w:rPr>
      </w:pPr>
    </w:p>
    <w:p>
      <w:pPr>
        <w:pStyle w:val="BodyText"/>
        <w:spacing w:line="360" w:lineRule="auto"/>
        <w:ind w:right="3294"/>
        <w:jc w:val="left"/>
      </w:pPr>
      <w:r>
        <w:rPr/>
        <w:t>无差异 注：对已经境外审计机构审计的数据进行差异调节的，应注明该境外机构的名称。</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三、报告期内非经常性损益的项目及金额" w:id="18"/>
      <w:bookmarkEnd w:id="18"/>
      <w:r>
        <w:rPr>
          <w:b w:val="0"/>
          <w:bCs w:val="0"/>
        </w:rPr>
      </w: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4,413.36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-1,398.67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2,079,680.94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2,002,500.00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9,400,000.00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3"/>
        <w:gridCol w:w="1532"/>
        <w:gridCol w:w="1519"/>
        <w:gridCol w:w="1522"/>
        <w:gridCol w:w="1711"/>
      </w:tblGrid>
      <w:tr>
        <w:trPr>
          <w:trHeight w:val="362"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的各项资产减值准备</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17,264.38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-29,508.89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253,700.00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624,152.02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701,683.80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305,357.62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300,165.20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1,448,055.00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2,373,379.81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2,419,884.31</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8,205,645.00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、各非经常性损益项目按税前金额列示。</w:t>
      </w:r>
    </w:p>
    <w:p>
      <w:pPr>
        <w:pStyle w:val="BodyText"/>
        <w:spacing w:line="240" w:lineRule="auto" w:before="103"/>
        <w:ind w:left="512" w:right="0"/>
        <w:jc w:val="left"/>
      </w:pPr>
      <w:r>
        <w:rPr>
          <w:rFonts w:ascii="Times New Roman" w:hAnsi="Times New Roman" w:cs="Times New Roman" w:eastAsia="Times New Roman" w:hint="default"/>
        </w:rPr>
        <w:t>2</w:t>
      </w:r>
      <w:r>
        <w:rPr/>
        <w:t>、非经常性损益项目中的损失或者减项类应以负数填写。</w:t>
      </w:r>
    </w:p>
    <w:p>
      <w:pPr>
        <w:pStyle w:val="BodyText"/>
        <w:spacing w:line="300" w:lineRule="auto" w:before="101"/>
        <w:ind w:right="198" w:firstLine="359"/>
        <w:jc w:val="left"/>
      </w:pPr>
      <w:r>
        <w:rPr>
          <w:rFonts w:ascii="Times New Roman" w:hAnsi="Times New Roman" w:cs="Times New Roman" w:eastAsia="Times New Roman" w:hint="default"/>
        </w:rPr>
        <w:t>3</w:t>
      </w:r>
      <w:r>
        <w:rPr/>
        <w:t>、应按照《公开发行证券的公司信息披露解释性公告第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
        </w:rPr>
        <w:t>号</w:t>
      </w:r>
      <w:r>
        <w:rPr>
          <w:rFonts w:ascii="Times New Roman" w:hAnsi="Times New Roman" w:cs="Times New Roman" w:eastAsia="Times New Roman" w:hint="default"/>
          <w:spacing w:val="-1"/>
        </w:rPr>
        <w:t>——</w:t>
      </w:r>
      <w:r>
        <w:rPr>
          <w:spacing w:val="-1"/>
        </w:rPr>
        <w:t>非经常性损益（</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5"/>
        </w:rPr>
        <w:t> </w:t>
      </w:r>
      <w:r>
        <w:rPr>
          <w:spacing w:val="-7"/>
        </w:rPr>
        <w:t>年修订）》的要求，确定和计算</w:t>
      </w:r>
      <w:r>
        <w:rPr/>
        <w:t> 非经常性损益。</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512" w:right="0"/>
        <w:jc w:val="left"/>
      </w:pPr>
      <w:r>
        <w:rPr/>
        <w:t>对公司根据《公开发行证券的公司信息披露解释性公告第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0" w:lineRule="auto" w:before="62"/>
        <w:ind w:left="153" w:right="139"/>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0"/>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3"/>
        <w:gridCol w:w="2126"/>
        <w:gridCol w:w="5179"/>
      </w:tblGrid>
      <w:tr>
        <w:trPr>
          <w:trHeight w:val="401" w:hRule="exact"/>
        </w:trPr>
        <w:tc>
          <w:tcPr>
            <w:tcW w:w="22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7"/>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7,984,577.30</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依据国家对软件行业的总体政策导向，预期软件增值税退税的税 收优惠政策将在较长时期内保持稳定，故定义为经常性损益。</w:t>
            </w: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四、重大风险提示" w:id="19"/>
      <w:bookmarkEnd w:id="19"/>
      <w:r>
        <w:rPr>
          <w:b w:val="0"/>
          <w:bCs w:val="0"/>
        </w:rPr>
      </w: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2" w:right="325"/>
        <w:jc w:val="left"/>
      </w:pPr>
      <w:r>
        <w:rPr/>
        <w:t>（一）产品销售季节性不均衡的风险 </w:t>
      </w:r>
      <w:r>
        <w:rPr>
          <w:spacing w:val="-1"/>
        </w:rPr>
        <w:t>公司作为专业的信息安全软件的提供商，主要客户为政府部门、军队及军工企业、能源、金融等重要领域的大型国有</w:t>
      </w:r>
    </w:p>
    <w:p>
      <w:pPr>
        <w:pStyle w:val="BodyText"/>
        <w:spacing w:line="316" w:lineRule="auto" w:before="18"/>
        <w:ind w:right="327"/>
        <w:jc w:val="both"/>
      </w:pPr>
      <w:r>
        <w:rPr>
          <w:spacing w:val="-1"/>
        </w:rPr>
        <w:t>企业和事业单位，这些客户通常采取预算管理制度和产品集中采购制度，一般下半年制定次年年度预算和投资计划，审批</w:t>
      </w:r>
      <w:r>
        <w:rPr>
          <w:spacing w:val="-73"/>
        </w:rPr>
        <w:t> </w:t>
      </w:r>
      <w:r>
        <w:rPr>
          <w:spacing w:val="-73"/>
        </w:rPr>
      </w:r>
      <w:r>
        <w:rPr>
          <w:spacing w:val="-1"/>
        </w:rPr>
        <w:t>通常集中在次年的上半年，采购招标则安排在次年年中或下半年。因此，公司每年上半年销售较少，销售主要集中在下半</w:t>
      </w:r>
      <w:r>
        <w:rPr>
          <w:spacing w:val="-77"/>
        </w:rPr>
        <w:t> </w:t>
      </w:r>
      <w:r>
        <w:rPr>
          <w:spacing w:val="-77"/>
        </w:rPr>
      </w:r>
      <w:r>
        <w:rPr>
          <w:spacing w:val="-1"/>
        </w:rPr>
        <w:t>年尤其是第四季度，公司销售呈现较明显的季节性分布，并由此使得公司营业收入在第四季度集中实现。从公司近三年各</w:t>
      </w:r>
      <w:r>
        <w:rPr>
          <w:spacing w:val="-73"/>
        </w:rPr>
        <w:t> </w:t>
      </w:r>
      <w:r>
        <w:rPr>
          <w:spacing w:val="-73"/>
        </w:rPr>
      </w:r>
      <w:r>
        <w:rPr/>
        <w:t>季度营业收入统计来看，第四季度营业收入占全年收入</w:t>
      </w:r>
      <w:r>
        <w:rPr>
          <w:rFonts w:ascii="宋体" w:hAnsi="宋体" w:cs="宋体" w:eastAsia="宋体" w:hint="default"/>
        </w:rPr>
        <w:t>40%</w:t>
      </w:r>
      <w:r>
        <w:rPr/>
        <w:t>以上；由于费用在年度内较为均衡地发生，因而可能会造成公 司第一季度、半年度或第三季度出现季节性波动或亏损，投资者不宜以半年度或季度的数据推算公司全年的经营成果。</w:t>
      </w:r>
    </w:p>
    <w:p>
      <w:pPr>
        <w:pStyle w:val="BodyText"/>
        <w:spacing w:line="316" w:lineRule="auto" w:before="18"/>
        <w:ind w:left="512" w:right="62" w:hanging="288"/>
        <w:jc w:val="left"/>
      </w:pPr>
      <w:r>
        <w:rPr/>
        <w:t>（二）公司资产规模较小、营业收入较少的经营风险 </w:t>
      </w:r>
      <w:r>
        <w:rPr>
          <w:spacing w:val="-2"/>
        </w:rPr>
        <w:t>公司是专业从事信息安全软件产品及整体解决方案的供应商，但由于信息安全软件行业在国内方兴未艾及软件行业呈现</w:t>
      </w:r>
    </w:p>
    <w:p>
      <w:pPr>
        <w:pStyle w:val="BodyText"/>
        <w:spacing w:line="304" w:lineRule="auto" w:before="18"/>
        <w:ind w:right="179"/>
        <w:jc w:val="left"/>
      </w:pPr>
      <w:r>
        <w:rPr>
          <w:spacing w:val="-3"/>
        </w:rPr>
        <w:t>的技术密集型的特点，决定了公司总体资产规模和营业收入依然较小，针对公司目前的资金实力和业务规模，公司采取了</w:t>
      </w:r>
      <w:r>
        <w:rPr>
          <w:rFonts w:ascii="Times New Roman" w:hAnsi="Times New Roman" w:cs="Times New Roman" w:eastAsia="Times New Roman" w:hint="default"/>
          <w:spacing w:val="-3"/>
        </w:rPr>
        <w:t>“</w:t>
      </w:r>
      <w:r>
        <w:rPr>
          <w:spacing w:val="-3"/>
        </w:rPr>
        <w:t>重</w:t>
      </w:r>
      <w:r>
        <w:rPr>
          <w:spacing w:val="-85"/>
        </w:rPr>
        <w:t> </w:t>
      </w:r>
      <w:r>
        <w:rPr/>
        <w:t>技术研发、重营销服务</w:t>
      </w:r>
      <w:r>
        <w:rPr>
          <w:rFonts w:ascii="Times New Roman" w:hAnsi="Times New Roman" w:cs="Times New Roman" w:eastAsia="Times New Roman" w:hint="default"/>
        </w:rPr>
        <w:t>”</w:t>
      </w:r>
      <w:r>
        <w:rPr/>
        <w:t>的经营模式，将有限的资源投入到最能迅速提升竞争能力和盈利能力的业务环节。</w:t>
      </w:r>
      <w:r>
        <w:rPr>
          <w:rFonts w:ascii="Times New Roman" w:hAnsi="Times New Roman" w:cs="Times New Roman" w:eastAsia="Times New Roman" w:hint="default"/>
        </w:rPr>
        <w:t>2010</w:t>
      </w:r>
      <w:r>
        <w:rPr/>
        <w:t>年末、</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年末和</w:t>
      </w:r>
      <w:r>
        <w:rPr>
          <w:rFonts w:ascii="Times New Roman" w:hAnsi="Times New Roman" w:cs="Times New Roman" w:eastAsia="Times New Roman" w:hint="default"/>
        </w:rPr>
        <w:t>2012</w:t>
      </w:r>
      <w:r>
        <w:rPr/>
        <w:t>年末，公司总资产分别为</w:t>
      </w:r>
      <w:r>
        <w:rPr>
          <w:rFonts w:ascii="Times New Roman" w:hAnsi="Times New Roman" w:cs="Times New Roman" w:eastAsia="Times New Roman" w:hint="default"/>
        </w:rPr>
        <w:t>16,543.83 </w:t>
      </w:r>
      <w:r>
        <w:rPr/>
        <w:t>万元、</w:t>
      </w:r>
      <w:r>
        <w:rPr>
          <w:rFonts w:ascii="Times New Roman" w:hAnsi="Times New Roman" w:cs="Times New Roman" w:eastAsia="Times New Roman" w:hint="default"/>
        </w:rPr>
        <w:t>17,948.60 </w:t>
      </w:r>
      <w:r>
        <w:rPr/>
        <w:t>万元和</w:t>
      </w:r>
      <w:r>
        <w:rPr>
          <w:spacing w:val="-65"/>
        </w:rPr>
        <w:t> </w:t>
      </w:r>
      <w:r>
        <w:rPr>
          <w:rFonts w:ascii="Times New Roman" w:hAnsi="Times New Roman" w:cs="Times New Roman" w:eastAsia="Times New Roman" w:hint="default"/>
        </w:rPr>
        <w:t>63,532.35</w:t>
      </w:r>
      <w:r>
        <w:rPr/>
        <w:t>万元；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年，营业收 入分别为 </w:t>
      </w:r>
      <w:r>
        <w:rPr>
          <w:rFonts w:ascii="Times New Roman" w:hAnsi="Times New Roman" w:cs="Times New Roman" w:eastAsia="Times New Roman" w:hint="default"/>
        </w:rPr>
        <w:t>9,168.65 </w:t>
      </w:r>
      <w:r>
        <w:rPr/>
        <w:t>万元、</w:t>
      </w:r>
      <w:r>
        <w:rPr>
          <w:rFonts w:ascii="Times New Roman" w:hAnsi="Times New Roman" w:cs="Times New Roman" w:eastAsia="Times New Roman" w:hint="default"/>
        </w:rPr>
        <w:t>12,695.07 </w:t>
      </w:r>
      <w:r>
        <w:rPr/>
        <w:t>万元、</w:t>
      </w:r>
      <w:r>
        <w:rPr>
          <w:rFonts w:ascii="Times New Roman" w:hAnsi="Times New Roman" w:cs="Times New Roman" w:eastAsia="Times New Roman" w:hint="default"/>
        </w:rPr>
        <w:t>18,995.79</w:t>
      </w:r>
      <w:r>
        <w:rPr/>
        <w:t>万元</w:t>
      </w:r>
      <w:r>
        <w:rPr>
          <w:spacing w:val="6"/>
        </w:rPr>
        <w:t> </w:t>
      </w:r>
      <w:r>
        <w:rPr/>
        <w:t>。报告期内，公司总资产和营业收入规模虽然保持持续增长的趋</w:t>
      </w:r>
      <w:r>
        <w:rPr/>
        <w:t> </w:t>
      </w:r>
      <w:r>
        <w:rPr>
          <w:spacing w:val="-2"/>
        </w:rPr>
        <w:t>势，但信息安全行业竞争的日趋加剧和市场需求的持续扩大对公司的资产和营业收入规模提出了更高的要求。公司仍存在资</w:t>
      </w:r>
      <w:r>
        <w:rPr>
          <w:spacing w:val="-64"/>
        </w:rPr>
        <w:t> </w:t>
      </w:r>
      <w:r>
        <w:rPr>
          <w:spacing w:val="-64"/>
        </w:rPr>
      </w:r>
      <w:r>
        <w:rPr/>
        <w:t>产规模较小、营业收入较少的经营风险，可能影响其抵御市场波动的能力。</w:t>
      </w:r>
    </w:p>
    <w:p>
      <w:pPr>
        <w:pStyle w:val="BodyText"/>
        <w:spacing w:line="316" w:lineRule="auto" w:before="27"/>
        <w:ind w:left="512" w:right="62" w:hanging="360"/>
        <w:jc w:val="left"/>
      </w:pPr>
      <w:r>
        <w:rPr/>
        <w:t>（三）核心技术人员流失和核心技术泄露的风险 </w:t>
      </w:r>
      <w:r>
        <w:rPr>
          <w:spacing w:val="-2"/>
        </w:rPr>
        <w:t>公司作为自主创新的高新技术企业，主营产品科技含量较高，在核心技术上拥有自主知识产权，其自主研发的信息安全</w:t>
      </w:r>
    </w:p>
    <w:p>
      <w:pPr>
        <w:pStyle w:val="BodyText"/>
        <w:spacing w:line="300" w:lineRule="auto" w:before="18"/>
        <w:ind w:left="532" w:right="90" w:hanging="380"/>
        <w:jc w:val="left"/>
      </w:pPr>
      <w:r>
        <w:rPr/>
        <w:t>软件产品曾先后荣获</w:t>
      </w:r>
      <w:r>
        <w:rPr>
          <w:rFonts w:ascii="Times New Roman" w:hAnsi="Times New Roman" w:cs="Times New Roman" w:eastAsia="Times New Roman" w:hint="default"/>
        </w:rPr>
        <w:t>“</w:t>
      </w:r>
      <w:r>
        <w:rPr/>
        <w:t>国家科学技术进步二等奖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公安部科学技术二等奖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北京市自主创新产品</w:t>
      </w:r>
      <w:r>
        <w:rPr>
          <w:rFonts w:ascii="Times New Roman" w:hAnsi="Times New Roman" w:cs="Times New Roman" w:eastAsia="Times New Roman" w:hint="default"/>
        </w:rPr>
        <w:t>”</w:t>
      </w:r>
      <w:r>
        <w:rPr/>
        <w:t>等一系列奖</w:t>
      </w:r>
      <w:r>
        <w:rPr>
          <w:spacing w:val="-25"/>
        </w:rPr>
        <w:t> </w:t>
      </w:r>
      <w:r>
        <w:rPr/>
        <w:t>项和荣誉。</w:t>
      </w:r>
      <w:r>
        <w:rPr/>
        <w:t> 目前，公司有多项产品和技术处于研发阶段，需要依赖专业人才尤其是核心技术人员，因此这些核心技术人员正是公</w:t>
      </w:r>
    </w:p>
    <w:p>
      <w:pPr>
        <w:pStyle w:val="BodyText"/>
        <w:spacing w:line="316" w:lineRule="auto" w:before="31"/>
        <w:ind w:right="327"/>
        <w:jc w:val="both"/>
      </w:pPr>
      <w:r>
        <w:rPr>
          <w:spacing w:val="-1"/>
        </w:rPr>
        <w:t>司保持市场竞争优势和持续创新的关键因素。为防止技术泄露和核心技术人员的流失，公司一方面通过规范研发过程，健</w:t>
      </w:r>
      <w:r>
        <w:rPr>
          <w:spacing w:val="-73"/>
        </w:rPr>
        <w:t> </w:t>
      </w:r>
      <w:r>
        <w:rPr>
          <w:spacing w:val="-73"/>
        </w:rPr>
      </w:r>
      <w:r>
        <w:rPr>
          <w:spacing w:val="-1"/>
        </w:rPr>
        <w:t>全保密制度，申请相关专利等方式保护核心技术；另一方面，通过向核心技术人员转让股权、建立完善良好的企业文化和</w:t>
      </w:r>
      <w:r>
        <w:rPr>
          <w:spacing w:val="-77"/>
        </w:rPr>
        <w:t> </w:t>
      </w:r>
      <w:r>
        <w:rPr>
          <w:spacing w:val="-77"/>
        </w:rPr>
      </w:r>
      <w:r>
        <w:rPr/>
        <w:t>有竞争性的薪酬奖励机制等措施提升内部凝聚力，吸引和稳定核心技术人员。</w:t>
      </w:r>
    </w:p>
    <w:p>
      <w:pPr>
        <w:pStyle w:val="BodyText"/>
        <w:spacing w:line="316" w:lineRule="auto" w:before="18"/>
        <w:ind w:right="272" w:firstLine="379"/>
        <w:jc w:val="both"/>
      </w:pPr>
      <w:r>
        <w:rPr/>
        <w:t>当前市场对于技术和人才竞争日益激烈，如果出现核心技术泄露或核心技术人员大量流失的现象，可能会在一定程度 上影响公司的市场竞争力和技术创新能</w:t>
      </w:r>
      <w:r>
        <w:rPr>
          <w:spacing w:val="-18"/>
        </w:rPr>
        <w:t> </w:t>
      </w:r>
      <w:r>
        <w:rPr/>
        <w:t>力。</w:t>
      </w:r>
    </w:p>
    <w:p>
      <w:pPr>
        <w:pStyle w:val="BodyText"/>
        <w:spacing w:line="240" w:lineRule="auto" w:before="18"/>
        <w:ind w:right="62"/>
        <w:jc w:val="left"/>
      </w:pPr>
      <w:r>
        <w:rPr/>
        <w:t>（四）税收优惠和政府补助变化的风险</w:t>
      </w:r>
    </w:p>
    <w:p>
      <w:pPr>
        <w:pStyle w:val="BodyText"/>
        <w:spacing w:line="300" w:lineRule="auto" w:before="76"/>
        <w:ind w:left="512" w:right="554" w:hanging="288"/>
        <w:jc w:val="left"/>
      </w:pPr>
      <w:r>
        <w:rPr>
          <w:rFonts w:ascii="Times New Roman" w:hAnsi="Times New Roman" w:cs="Times New Roman" w:eastAsia="Times New Roman" w:hint="default"/>
        </w:rPr>
        <w:t>1</w:t>
      </w:r>
      <w:r>
        <w:rPr/>
        <w:t>、增值税税收优惠政策变化的风险 </w:t>
      </w:r>
      <w:r>
        <w:rPr>
          <w:spacing w:val="-2"/>
        </w:rPr>
        <w:t>根据财政部、国家税务总局、海关总署《关于鼓励软件产业和集成电路产业发展有关税收政策问题的通知》（财税</w:t>
      </w:r>
    </w:p>
    <w:p>
      <w:pPr>
        <w:pStyle w:val="BodyText"/>
        <w:spacing w:line="300" w:lineRule="auto" w:before="31"/>
        <w:ind w:right="560"/>
        <w:jc w:val="both"/>
      </w:pPr>
      <w:r>
        <w:rPr>
          <w:rFonts w:ascii="Times New Roman" w:hAnsi="Times New Roman" w:cs="Times New Roman" w:eastAsia="Times New Roman" w:hint="default"/>
          <w:spacing w:val="-1"/>
        </w:rPr>
        <w:t>[2000]25</w:t>
      </w:r>
      <w:r>
        <w:rPr>
          <w:rFonts w:ascii="Times New Roman" w:hAnsi="Times New Roman" w:cs="Times New Roman" w:eastAsia="Times New Roman" w:hint="default"/>
        </w:rPr>
        <w:t> </w:t>
      </w:r>
      <w:r>
        <w:rPr>
          <w:spacing w:val="-2"/>
        </w:rPr>
        <w:t>号），对增值税一般纳税人销售其自行开发生产的软件产品，按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的法定税率征收增值税后，对其增值税实</w:t>
      </w:r>
      <w:r>
        <w:rPr>
          <w:spacing w:val="-80"/>
        </w:rPr>
        <w:t> </w:t>
      </w:r>
      <w:r>
        <w:rPr>
          <w:spacing w:val="-80"/>
        </w:rPr>
      </w:r>
      <w:r>
        <w:rPr/>
        <w:t>际税负超过</w:t>
      </w:r>
      <w:r>
        <w:rPr>
          <w:rFonts w:ascii="Times New Roman" w:hAnsi="Times New Roman" w:cs="Times New Roman" w:eastAsia="Times New Roman" w:hint="default"/>
        </w:rPr>
        <w:t>3%</w:t>
      </w:r>
      <w:r>
        <w:rPr/>
        <w:t>的部分实行即征即退政策。所退税款由企业用于研究开发软件产品和扩大再生产，不作为企业所得税应</w:t>
      </w:r>
      <w:r>
        <w:rPr>
          <w:w w:val="99"/>
        </w:rPr>
        <w:t> </w:t>
      </w:r>
      <w:r>
        <w:rPr/>
        <w:t>税收入，不予征收企业所得税。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w:t>
      </w:r>
      <w:r>
        <w:rPr>
          <w:w w:val="99"/>
        </w:rPr>
        <w:t> </w:t>
      </w:r>
      <w:r>
        <w:rPr/>
        <w:t>的通知》（国发</w:t>
      </w:r>
      <w:r>
        <w:rPr>
          <w:rFonts w:ascii="Times New Roman" w:hAnsi="Times New Roman" w:cs="Times New Roman" w:eastAsia="Times New Roman" w:hint="default"/>
        </w:rPr>
        <w:t>[2011]4</w:t>
      </w:r>
      <w:r>
        <w:rPr>
          <w:rFonts w:ascii="Times New Roman" w:hAnsi="Times New Roman" w:cs="Times New Roman" w:eastAsia="Times New Roman" w:hint="default"/>
          <w:spacing w:val="23"/>
        </w:rPr>
        <w:t> </w:t>
      </w:r>
      <w:r>
        <w:rPr/>
        <w:t>号）继续实施软件增值税税收优惠政策。</w:t>
      </w:r>
    </w:p>
    <w:p>
      <w:pPr>
        <w:pStyle w:val="BodyText"/>
        <w:spacing w:line="309" w:lineRule="auto" w:before="13"/>
        <w:ind w:right="430"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年，公司获得的增值税退税金额分别为</w:t>
      </w:r>
      <w:r>
        <w:rPr>
          <w:rFonts w:ascii="Times New Roman" w:hAnsi="Times New Roman" w:cs="Times New Roman" w:eastAsia="Times New Roman" w:hint="default"/>
        </w:rPr>
        <w:t>932.75</w:t>
      </w:r>
      <w:r>
        <w:rPr/>
        <w:t>万元、</w:t>
      </w:r>
      <w:r>
        <w:rPr>
          <w:rFonts w:ascii="Times New Roman" w:hAnsi="Times New Roman" w:cs="Times New Roman" w:eastAsia="Times New Roman" w:hint="default"/>
        </w:rPr>
        <w:t>1,067.30</w:t>
      </w:r>
      <w:r>
        <w:rPr/>
        <w:t>万元和</w:t>
      </w:r>
      <w:r>
        <w:rPr>
          <w:rFonts w:ascii="Times New Roman" w:hAnsi="Times New Roman" w:cs="Times New Roman" w:eastAsia="Times New Roman" w:hint="default"/>
        </w:rPr>
        <w:t>798.46</w:t>
      </w:r>
      <w:r>
        <w:rPr/>
        <w:t>万元。依据国家对 软件行业的总体政策导向，预期上述税收优惠政策将在较长时期内保持稳定。如果国家对软件行业实施的增值税税收优</w:t>
      </w:r>
      <w:r>
        <w:rPr>
          <w:spacing w:val="-61"/>
        </w:rPr>
        <w:t> </w:t>
      </w:r>
      <w:r>
        <w:rPr>
          <w:spacing w:val="-61"/>
        </w:rPr>
      </w:r>
      <w:r>
        <w:rPr/>
        <w:t>惠政策发生不利变化，将对公司的经营业绩产生一定影响。</w:t>
      </w:r>
    </w:p>
    <w:p>
      <w:pPr>
        <w:pStyle w:val="BodyText"/>
        <w:spacing w:line="240" w:lineRule="auto" w:before="24"/>
        <w:ind w:left="224" w:right="62"/>
        <w:jc w:val="left"/>
      </w:pPr>
      <w:r>
        <w:rPr>
          <w:rFonts w:ascii="Times New Roman" w:hAnsi="Times New Roman" w:cs="Times New Roman" w:eastAsia="Times New Roman" w:hint="default"/>
        </w:rPr>
        <w:t>2</w:t>
      </w:r>
      <w:r>
        <w:rPr/>
        <w:t>、所得税税收优惠政策变化的风险</w:t>
      </w:r>
    </w:p>
    <w:p>
      <w:pPr>
        <w:pStyle w:val="BodyText"/>
        <w:spacing w:line="300" w:lineRule="auto" w:before="62"/>
        <w:ind w:right="193" w:firstLine="288"/>
        <w:jc w:val="both"/>
      </w:pPr>
      <w:r>
        <w:rPr/>
        <w:t>（</w:t>
      </w:r>
      <w:r>
        <w:rPr>
          <w:rFonts w:ascii="Times New Roman" w:hAnsi="Times New Roman" w:cs="Times New Roman" w:eastAsia="Times New Roman" w:hint="default"/>
        </w:rPr>
        <w:t>1</w:t>
      </w:r>
      <w:r>
        <w:rPr/>
        <w:t>）根据《中华人民共和国企业所得税法》（中华人民共和国主席令第</w:t>
      </w:r>
      <w:r>
        <w:rPr>
          <w:spacing w:val="-18"/>
        </w:rPr>
        <w:t> </w:t>
      </w:r>
      <w:r>
        <w:rPr>
          <w:rFonts w:ascii="Times New Roman" w:hAnsi="Times New Roman" w:cs="Times New Roman" w:eastAsia="Times New Roman" w:hint="default"/>
        </w:rPr>
        <w:t>63</w:t>
      </w:r>
      <w:r>
        <w:rPr/>
        <w:t>号）、《中华人民共和国企业所得税法实施 </w:t>
      </w:r>
      <w:r>
        <w:rPr>
          <w:spacing w:val="-7"/>
        </w:rPr>
        <w:t>条例》（国务院令第</w:t>
      </w:r>
      <w:r>
        <w:rPr>
          <w:spacing w:val="-6"/>
        </w:rPr>
        <w:t> </w:t>
      </w:r>
      <w:r>
        <w:rPr>
          <w:rFonts w:ascii="Times New Roman" w:hAnsi="Times New Roman" w:cs="Times New Roman" w:eastAsia="Times New Roman" w:hint="default"/>
        </w:rPr>
        <w:t>512</w:t>
      </w:r>
      <w:r>
        <w:rPr>
          <w:rFonts w:ascii="Times New Roman" w:hAnsi="Times New Roman" w:cs="Times New Roman" w:eastAsia="Times New Roman" w:hint="default"/>
          <w:spacing w:val="40"/>
        </w:rPr>
        <w:t> </w:t>
      </w:r>
      <w:r>
        <w:rPr>
          <w:spacing w:val="-10"/>
        </w:rPr>
        <w:t>号）、科技部、</w:t>
      </w:r>
      <w:r>
        <w:rPr>
          <w:spacing w:val="-40"/>
        </w:rPr>
        <w:t> </w:t>
      </w:r>
      <w:r>
        <w:rPr>
          <w:spacing w:val="-3"/>
        </w:rPr>
        <w:t>财政部和国家税务总局颁布的《高新技术企业认定管理办法》（国科发火</w:t>
      </w:r>
      <w:r>
        <w:rPr>
          <w:rFonts w:ascii="Times New Roman" w:hAnsi="Times New Roman" w:cs="Times New Roman" w:eastAsia="Times New Roman" w:hint="default"/>
          <w:spacing w:val="-3"/>
        </w:rPr>
        <w:t>[2008]172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号）及科技部、财政部和国家税务总局颁布的《高新技术企业认定管理工作指引》（国科发火</w:t>
      </w:r>
      <w:r>
        <w:rPr>
          <w:rFonts w:ascii="Times New Roman" w:hAnsi="Times New Roman" w:cs="Times New Roman" w:eastAsia="Times New Roman" w:hint="default"/>
        </w:rPr>
        <w:t>[2008]362</w:t>
      </w:r>
      <w:r>
        <w:rPr/>
        <w:t>号）的相关规定，</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32" w:right="214" w:hanging="380"/>
        <w:jc w:val="left"/>
      </w:pPr>
      <w:r>
        <w:rPr/>
        <w:t>经认定的高新技术企业，减按</w:t>
      </w:r>
      <w:r>
        <w:rPr>
          <w:rFonts w:ascii="Times New Roman" w:hAnsi="Times New Roman" w:cs="Times New Roman" w:eastAsia="Times New Roman" w:hint="default"/>
        </w:rPr>
        <w:t>15%</w:t>
      </w:r>
      <w:r>
        <w:rPr/>
        <w:t>的税率征收企业所得税。 北信源母公司属于中关村科技园区内企业，于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日取得北京市科学技术委员会、北京市</w:t>
      </w:r>
    </w:p>
    <w:p>
      <w:pPr>
        <w:pStyle w:val="BodyText"/>
        <w:spacing w:line="300" w:lineRule="auto" w:before="13"/>
        <w:ind w:right="164"/>
        <w:jc w:val="left"/>
      </w:pPr>
      <w:r>
        <w:rPr/>
        <w:t>财政局、北京市国家税务局、北京市地方税务局联合颁发的《高新技术企业证书》（</w:t>
      </w:r>
      <w:r>
        <w:rPr>
          <w:rFonts w:ascii="Times New Roman" w:hAnsi="Times New Roman" w:cs="Times New Roman" w:eastAsia="Times New Roman" w:hint="default"/>
        </w:rPr>
        <w:t>GR200811000038</w:t>
      </w:r>
      <w:r>
        <w:rPr/>
        <w:t>）、《高新技术企业 证书》（</w:t>
      </w:r>
      <w:r>
        <w:rPr>
          <w:rFonts w:ascii="Times New Roman" w:hAnsi="Times New Roman" w:cs="Times New Roman" w:eastAsia="Times New Roman" w:hint="default"/>
        </w:rPr>
        <w:t>GF201111001810</w:t>
      </w:r>
      <w:r>
        <w:rPr/>
        <w:t>），认定有效期均为三年，公司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年适用</w:t>
      </w:r>
      <w:r>
        <w:rPr>
          <w:rFonts w:ascii="Times New Roman" w:hAnsi="Times New Roman" w:cs="Times New Roman" w:eastAsia="Times New Roman" w:hint="default"/>
        </w:rPr>
        <w:t>15%</w:t>
      </w:r>
      <w:r>
        <w:rPr/>
        <w:t>的企业所得税税率。</w:t>
      </w:r>
    </w:p>
    <w:p>
      <w:pPr>
        <w:pStyle w:val="BodyText"/>
        <w:spacing w:line="300" w:lineRule="auto" w:before="13"/>
        <w:ind w:right="234" w:firstLine="379"/>
        <w:jc w:val="left"/>
      </w:pPr>
      <w:r>
        <w:rPr/>
        <w:t>根据《中华人民共和国企业所得税法》及其实施条例，上海北信源</w:t>
      </w:r>
      <w:r>
        <w:rPr>
          <w:rFonts w:ascii="Times New Roman" w:hAnsi="Times New Roman" w:cs="Times New Roman" w:eastAsia="Times New Roman" w:hint="default"/>
        </w:rPr>
        <w:t>2010</w:t>
      </w:r>
      <w:r>
        <w:rPr/>
        <w:t>年度符合小型微利企业的条件，享受</w:t>
      </w:r>
      <w:r>
        <w:rPr>
          <w:rFonts w:ascii="Times New Roman" w:hAnsi="Times New Roman" w:cs="Times New Roman" w:eastAsia="Times New Roman" w:hint="default"/>
        </w:rPr>
        <w:t>20%</w:t>
      </w:r>
      <w:r>
        <w:rPr/>
        <w:t>优惠 税率。根据财政部、国家税务总局、海关总署下发的《关于鼓励软件产业和集成电路产业发展有关税收政策问题的通知》</w:t>
      </w:r>
    </w:p>
    <w:p>
      <w:pPr>
        <w:pStyle w:val="BodyText"/>
        <w:spacing w:line="300" w:lineRule="auto" w:before="31"/>
        <w:ind w:right="0"/>
        <w:jc w:val="left"/>
      </w:pPr>
      <w:r>
        <w:rPr/>
        <w:t>（财税</w:t>
      </w:r>
      <w:r>
        <w:rPr>
          <w:rFonts w:ascii="Times New Roman" w:hAnsi="Times New Roman" w:cs="Times New Roman" w:eastAsia="Times New Roman" w:hint="default"/>
        </w:rPr>
        <w:t>[2000]25 </w:t>
      </w:r>
      <w:r>
        <w:rPr/>
        <w:t>号文）、《企业所得税优惠审批结果通知书》（沪地税闸十六</w:t>
      </w:r>
      <w:r>
        <w:rPr>
          <w:rFonts w:ascii="Times New Roman" w:hAnsi="Times New Roman" w:cs="Times New Roman" w:eastAsia="Times New Roman" w:hint="default"/>
        </w:rPr>
        <w:t>[2011]000003</w:t>
      </w:r>
      <w:r>
        <w:rPr/>
        <w:t>号），上海北信源自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日免征企业所得税，自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日减半征收企业所得税。</w:t>
      </w:r>
    </w:p>
    <w:p>
      <w:pPr>
        <w:pStyle w:val="BodyText"/>
        <w:spacing w:line="300" w:lineRule="auto" w:before="13"/>
        <w:ind w:left="153" w:right="200" w:firstLine="360"/>
        <w:jc w:val="both"/>
      </w:pPr>
      <w:r>
        <w:rPr/>
        <w:t>如果国家所得税税收优惠政策发生不利变化，或者北信源母公司</w:t>
      </w:r>
      <w:r>
        <w:rPr>
          <w:rFonts w:ascii="Times New Roman" w:hAnsi="Times New Roman" w:cs="Times New Roman" w:eastAsia="Times New Roman" w:hint="default"/>
        </w:rPr>
        <w:t>2014</w:t>
      </w:r>
      <w:r>
        <w:rPr>
          <w:rFonts w:ascii="Times New Roman" w:hAnsi="Times New Roman" w:cs="Times New Roman" w:eastAsia="Times New Roman" w:hint="default"/>
          <w:spacing w:val="23"/>
        </w:rPr>
        <w:t> </w:t>
      </w:r>
      <w:r>
        <w:rPr/>
        <w:t>年及以后年度不能被认定为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，公 司须按</w:t>
      </w:r>
      <w:r>
        <w:rPr>
          <w:rFonts w:ascii="Times New Roman" w:hAnsi="Times New Roman" w:cs="Times New Roman" w:eastAsia="Times New Roman" w:hint="default"/>
        </w:rPr>
        <w:t>25%</w:t>
      </w:r>
      <w:r>
        <w:rPr/>
        <w:t>的税率缴纳企业所得税，因此公司存在所得税税收优惠政策变化的风险。</w:t>
      </w:r>
    </w:p>
    <w:p>
      <w:pPr>
        <w:pStyle w:val="BodyText"/>
        <w:spacing w:line="300" w:lineRule="auto" w:before="13"/>
        <w:ind w:left="153" w:right="150" w:firstLine="314"/>
        <w:jc w:val="both"/>
      </w:pPr>
      <w:r>
        <w:rPr/>
        <w:t>（</w:t>
      </w:r>
      <w:r>
        <w:rPr>
          <w:rFonts w:ascii="Times New Roman" w:hAnsi="Times New Roman" w:cs="Times New Roman" w:eastAsia="Times New Roman" w:hint="default"/>
        </w:rPr>
        <w:t>2</w:t>
      </w:r>
      <w:r>
        <w:rPr/>
        <w:t>）根据财政部、国家税务总局《关于企业技术创新有关企业所得税优惠政</w:t>
      </w:r>
      <w:r>
        <w:rPr>
          <w:spacing w:val="1"/>
        </w:rPr>
        <w:t> </w:t>
      </w:r>
      <w:r>
        <w:rPr/>
        <w:t>策的通知》（财税</w:t>
      </w:r>
      <w:r>
        <w:rPr>
          <w:rFonts w:ascii="Times New Roman" w:hAnsi="Times New Roman" w:cs="Times New Roman" w:eastAsia="Times New Roman" w:hint="default"/>
        </w:rPr>
        <w:t>[2006]88</w:t>
      </w:r>
      <w:r>
        <w:rPr/>
        <w:t>号）和国家税 </w:t>
      </w:r>
      <w:r>
        <w:rPr>
          <w:spacing w:val="-1"/>
        </w:rPr>
        <w:t>务总局《关于印发〈企业研究开发费用税前扣除管理办法（试行）</w:t>
      </w:r>
      <w:r>
        <w:rPr>
          <w:rFonts w:ascii="Times New Roman" w:hAnsi="Times New Roman" w:cs="Times New Roman" w:eastAsia="Times New Roman" w:hint="default"/>
          <w:spacing w:val="-1"/>
        </w:rPr>
        <w:t>&gt;</w:t>
      </w:r>
      <w:r>
        <w:rPr>
          <w:spacing w:val="-1"/>
        </w:rPr>
        <w:t>的通知》（国税发</w:t>
      </w:r>
      <w:r>
        <w:rPr>
          <w:rFonts w:ascii="Times New Roman" w:hAnsi="Times New Roman" w:cs="Times New Roman" w:eastAsia="Times New Roman" w:hint="default"/>
          <w:spacing w:val="-1"/>
        </w:rPr>
        <w:t>[2008]116</w:t>
      </w:r>
      <w:r>
        <w:rPr>
          <w:spacing w:val="-1"/>
        </w:rPr>
        <w:t>号）的相关规定，对未形成</w:t>
      </w:r>
      <w:r>
        <w:rPr>
          <w:spacing w:val="-68"/>
        </w:rPr>
        <w:t> </w:t>
      </w:r>
      <w:r>
        <w:rPr>
          <w:spacing w:val="-68"/>
        </w:rPr>
      </w:r>
      <w:r>
        <w:rPr/>
        <w:t>无形资产计入当期损益的研究开发费用，在按照规定据实扣除的基础上，加计扣除</w:t>
      </w:r>
      <w:r>
        <w:rPr>
          <w:rFonts w:ascii="Times New Roman" w:hAnsi="Times New Roman" w:cs="Times New Roman" w:eastAsia="Times New Roman" w:hint="default"/>
        </w:rPr>
        <w:t>50%</w:t>
      </w:r>
      <w:r>
        <w:rPr/>
        <w:t>。</w:t>
      </w:r>
    </w:p>
    <w:p>
      <w:pPr>
        <w:pStyle w:val="BodyText"/>
        <w:spacing w:line="316" w:lineRule="auto" w:before="13"/>
        <w:ind w:left="153" w:right="198" w:firstLine="360"/>
        <w:jc w:val="left"/>
      </w:pPr>
      <w:r>
        <w:rPr/>
        <w:t>若国家所得税税收优惠政策发生不利变化，公司研究开发费用不能加计扣除，将在一定程度上影响公司的净利润水 平。</w:t>
      </w:r>
    </w:p>
    <w:p>
      <w:pPr>
        <w:pStyle w:val="BodyText"/>
        <w:spacing w:line="240" w:lineRule="auto" w:before="18"/>
        <w:ind w:left="552" w:right="0"/>
        <w:jc w:val="left"/>
      </w:pPr>
      <w:r>
        <w:rPr>
          <w:rFonts w:ascii="Times New Roman" w:hAnsi="Times New Roman" w:cs="Times New Roman" w:eastAsia="Times New Roman" w:hint="default"/>
        </w:rPr>
        <w:t>3</w:t>
      </w:r>
      <w:r>
        <w:rPr/>
        <w:t>、政府补助变化的风险</w:t>
      </w:r>
    </w:p>
    <w:p>
      <w:pPr>
        <w:pStyle w:val="BodyText"/>
        <w:spacing w:line="300" w:lineRule="auto" w:before="62"/>
        <w:ind w:left="153" w:right="218" w:firstLine="379"/>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年，公司对所获得的政府补助分别确认营业外收入</w:t>
      </w:r>
      <w:r>
        <w:rPr>
          <w:rFonts w:ascii="Times New Roman" w:hAnsi="Times New Roman" w:cs="Times New Roman" w:eastAsia="Times New Roman" w:hint="default"/>
        </w:rPr>
        <w:t>940.00 </w:t>
      </w:r>
      <w:r>
        <w:rPr/>
        <w:t>万元、</w:t>
      </w:r>
      <w:r>
        <w:rPr>
          <w:rFonts w:ascii="Times New Roman" w:hAnsi="Times New Roman" w:cs="Times New Roman" w:eastAsia="Times New Roman" w:hint="default"/>
        </w:rPr>
        <w:t>200.25</w:t>
      </w:r>
      <w:r>
        <w:rPr>
          <w:rFonts w:ascii="Times New Roman" w:hAnsi="Times New Roman" w:cs="Times New Roman" w:eastAsia="Times New Roman" w:hint="default"/>
          <w:spacing w:val="41"/>
        </w:rPr>
        <w:t> </w:t>
      </w:r>
      <w:r>
        <w:rPr/>
        <w:t>万元和</w:t>
      </w:r>
      <w:r>
        <w:rPr>
          <w:rFonts w:ascii="Times New Roman" w:hAnsi="Times New Roman" w:cs="Times New Roman" w:eastAsia="Times New Roman" w:hint="default"/>
        </w:rPr>
        <w:t>207.97</w:t>
      </w:r>
      <w:r>
        <w:rPr/>
        <w:t>万元，上 述性质的政府补助收入存在较大不确定性。</w:t>
      </w:r>
    </w:p>
    <w:p>
      <w:pPr>
        <w:pStyle w:val="BodyText"/>
        <w:spacing w:line="316" w:lineRule="auto" w:before="31"/>
        <w:ind w:left="153" w:right="0" w:firstLine="372"/>
        <w:jc w:val="left"/>
      </w:pPr>
      <w:r>
        <w:rPr/>
        <w:t>综上，虽然国家税收优惠政策和政府补助并不构成公司利润来源的重要组成部分，但如果国家税收优惠政策和政府 补助金额发生较大变动，将对本公司的经营成果产生一定的影响。</w:t>
      </w:r>
    </w:p>
    <w:p>
      <w:pPr>
        <w:pStyle w:val="BodyText"/>
        <w:spacing w:line="316" w:lineRule="auto" w:before="18"/>
        <w:ind w:left="559" w:right="367" w:hanging="406"/>
        <w:jc w:val="left"/>
      </w:pPr>
      <w:r>
        <w:rPr/>
        <w:t>（五）应收账款余额较大及增幅较大的风险 随着近年信息安全市场的快速发展，公司的业务规模迅速扩大，盈利能力不断增强，营业收入持续增长，应收账款</w:t>
      </w:r>
    </w:p>
    <w:p>
      <w:pPr>
        <w:pStyle w:val="BodyText"/>
        <w:spacing w:line="307" w:lineRule="auto" w:before="18"/>
        <w:ind w:left="153" w:right="279"/>
        <w:jc w:val="both"/>
      </w:pPr>
      <w:r>
        <w:rPr/>
        <w:t>也相应增加。</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年，公司营业收入分别为</w:t>
      </w:r>
      <w:r>
        <w:rPr>
          <w:rFonts w:ascii="Times New Roman" w:hAnsi="Times New Roman" w:cs="Times New Roman" w:eastAsia="Times New Roman" w:hint="default"/>
        </w:rPr>
        <w:t>9,168.65</w:t>
      </w:r>
      <w:r>
        <w:rPr/>
        <w:t>万元、</w:t>
      </w:r>
      <w:r>
        <w:rPr>
          <w:rFonts w:ascii="Times New Roman" w:hAnsi="Times New Roman" w:cs="Times New Roman" w:eastAsia="Times New Roman" w:hint="default"/>
        </w:rPr>
        <w:t>12,695.07</w:t>
      </w:r>
      <w:r>
        <w:rPr/>
        <w:t>万元和</w:t>
      </w:r>
      <w:r>
        <w:rPr>
          <w:rFonts w:ascii="Times New Roman" w:hAnsi="Times New Roman" w:cs="Times New Roman" w:eastAsia="Times New Roman" w:hint="default"/>
        </w:rPr>
        <w:t>18,995.79</w:t>
      </w:r>
      <w:r>
        <w:rPr/>
        <w:t>万元。随着营业收 </w:t>
      </w:r>
      <w:r>
        <w:rPr>
          <w:spacing w:val="-2"/>
        </w:rPr>
        <w:t>入的增长，公司应收账款也相应增加，</w:t>
      </w:r>
      <w:r>
        <w:rPr>
          <w:rFonts w:ascii="Times New Roman" w:hAnsi="Times New Roman" w:cs="Times New Roman" w:eastAsia="Times New Roman" w:hint="default"/>
          <w:spacing w:val="-2"/>
        </w:rPr>
        <w:t>2010</w:t>
      </w:r>
      <w:r>
        <w:rPr>
          <w:spacing w:val="-2"/>
        </w:rPr>
        <w:t>年末至</w:t>
      </w:r>
      <w:r>
        <w:rPr>
          <w:rFonts w:ascii="Times New Roman" w:hAnsi="Times New Roman" w:cs="Times New Roman" w:eastAsia="Times New Roman" w:hint="default"/>
          <w:spacing w:val="-2"/>
        </w:rPr>
        <w:t>2012</w:t>
      </w:r>
      <w:r>
        <w:rPr>
          <w:spacing w:val="-2"/>
        </w:rPr>
        <w:t>年末，应收账款余额分别为</w:t>
      </w:r>
      <w:r>
        <w:rPr>
          <w:rFonts w:ascii="Times New Roman" w:hAnsi="Times New Roman" w:cs="Times New Roman" w:eastAsia="Times New Roman" w:hint="default"/>
          <w:spacing w:val="-2"/>
        </w:rPr>
        <w:t>4,346.92</w:t>
      </w:r>
      <w:r>
        <w:rPr>
          <w:spacing w:val="-2"/>
        </w:rPr>
        <w:t>万元、</w:t>
      </w:r>
      <w:r>
        <w:rPr>
          <w:rFonts w:ascii="Times New Roman" w:hAnsi="Times New Roman" w:cs="Times New Roman" w:eastAsia="Times New Roman" w:hint="default"/>
          <w:spacing w:val="-2"/>
        </w:rPr>
        <w:t>6,945.58</w:t>
      </w:r>
      <w:r>
        <w:rPr>
          <w:spacing w:val="-2"/>
        </w:rPr>
        <w:t>万元和</w:t>
      </w:r>
      <w:r>
        <w:rPr>
          <w:rFonts w:ascii="Times New Roman" w:hAnsi="Times New Roman" w:cs="Times New Roman" w:eastAsia="Times New Roman" w:hint="default"/>
          <w:spacing w:val="-2"/>
        </w:rPr>
        <w:t>15,544.53</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万元。另外，公司营业收入具有季节性特征，销售集中在下半年尤其是第四季度，其中</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12</w:t>
      </w:r>
      <w:r>
        <w:rPr/>
        <w:t>月份营业收</w:t>
      </w:r>
      <w:r>
        <w:rPr>
          <w:spacing w:val="-41"/>
        </w:rPr>
        <w:t> </w:t>
      </w:r>
      <w:r>
        <w:rPr>
          <w:spacing w:val="-41"/>
        </w:rPr>
      </w:r>
      <w:r>
        <w:rPr/>
        <w:t>入占全年营业收入的比重分别为</w:t>
      </w:r>
      <w:r>
        <w:rPr>
          <w:rFonts w:ascii="Times New Roman" w:hAnsi="Times New Roman" w:cs="Times New Roman" w:eastAsia="Times New Roman" w:hint="default"/>
        </w:rPr>
        <w:t>46.32%</w:t>
      </w:r>
      <w:r>
        <w:rPr/>
        <w:t>、</w:t>
      </w:r>
      <w:r>
        <w:rPr>
          <w:rFonts w:ascii="Times New Roman" w:hAnsi="Times New Roman" w:cs="Times New Roman" w:eastAsia="Times New Roman" w:hint="default"/>
        </w:rPr>
        <w:t>39.79%</w:t>
      </w:r>
      <w:r>
        <w:rPr/>
        <w:t>和</w:t>
      </w:r>
      <w:r>
        <w:rPr>
          <w:rFonts w:ascii="Times New Roman" w:hAnsi="Times New Roman" w:cs="Times New Roman" w:eastAsia="Times New Roman" w:hint="default"/>
        </w:rPr>
        <w:t>48.91%</w:t>
      </w:r>
      <w:r>
        <w:rPr/>
        <w:t>。由于第四季度销售的产品大部分尚在信用期，需要在次年进</w:t>
      </w:r>
      <w:r>
        <w:rPr>
          <w:spacing w:val="-85"/>
        </w:rPr>
        <w:t> </w:t>
      </w:r>
      <w:r>
        <w:rPr>
          <w:spacing w:val="-85"/>
        </w:rPr>
      </w:r>
      <w:r>
        <w:rPr/>
        <w:t>行收款，导致各年末的应收账款余额较大且增幅也较高。报告期内，公司进一步完善了应收账款管理制度，强化客户信</w:t>
      </w:r>
      <w:r>
        <w:rPr>
          <w:spacing w:val="-42"/>
        </w:rPr>
        <w:t> </w:t>
      </w:r>
      <w:r>
        <w:rPr>
          <w:spacing w:val="-42"/>
        </w:rPr>
      </w:r>
      <w:r>
        <w:rPr/>
        <w:t>用调查和信用评估制度，并根据客户性质的不同，规定不同的信用期限。公司加强项目管理，确保项目能够及时得到验</w:t>
      </w:r>
      <w:r>
        <w:rPr>
          <w:spacing w:val="-42"/>
        </w:rPr>
        <w:t> </w:t>
      </w:r>
      <w:r>
        <w:rPr>
          <w:spacing w:val="-42"/>
        </w:rPr>
      </w:r>
      <w:r>
        <w:rPr>
          <w:spacing w:val="-1"/>
        </w:rPr>
        <w:t>收。公司还组织专人进行应收账款的管理，加强应收账款的管理，并加大对相关责任人奖惩力度，促进应收账款的回款。</w:t>
      </w:r>
    </w:p>
    <w:p>
      <w:pPr>
        <w:pStyle w:val="BodyText"/>
        <w:spacing w:line="316" w:lineRule="auto" w:before="26"/>
        <w:ind w:left="153" w:right="0" w:firstLine="360"/>
        <w:jc w:val="left"/>
      </w:pPr>
      <w:r>
        <w:rPr>
          <w:spacing w:val="-1"/>
        </w:rPr>
        <w:t>公司产品的主要客户为政府部门、军队及军工企业、能源、金融等重要领域的大型国有企事业单位，信用状况良好，</w:t>
      </w:r>
      <w:r>
        <w:rPr/>
        <w:t> 发生坏账的风险较小，报告期内公司应收账款的回款质量较好。随着公司经营规模的不断扩大，应收账款余额仍可能保</w:t>
      </w:r>
      <w:r>
        <w:rPr>
          <w:spacing w:val="-45"/>
        </w:rPr>
        <w:t> </w:t>
      </w:r>
      <w:r>
        <w:rPr>
          <w:spacing w:val="-45"/>
        </w:rPr>
      </w:r>
      <w:r>
        <w:rPr/>
        <w:t>持在较高水平。由于应收账款是公司资产的重要组成部分，如果公司主要客户的财务经营状况发生恶化或公司收款措施</w:t>
      </w:r>
      <w:r>
        <w:rPr>
          <w:spacing w:val="-45"/>
        </w:rPr>
        <w:t> </w:t>
      </w:r>
      <w:r>
        <w:rPr>
          <w:spacing w:val="-45"/>
        </w:rPr>
      </w:r>
      <w:r>
        <w:rPr/>
        <w:t>不力，应收账款不能收回，将对公司资产质量以及财务状况产生较大不利影响，公司面临一定的呆、坏账风险。</w:t>
      </w:r>
    </w:p>
    <w:p>
      <w:pPr>
        <w:pStyle w:val="BodyText"/>
        <w:spacing w:line="300" w:lineRule="auto" w:before="18"/>
        <w:ind w:left="153" w:right="146" w:firstLine="307"/>
        <w:jc w:val="left"/>
      </w:pPr>
      <w:r>
        <w:rPr>
          <w:spacing w:val="-6"/>
        </w:rPr>
        <w:t>（六）人力成本上升的风险 </w:t>
      </w:r>
      <w:r>
        <w:rPr>
          <w:spacing w:val="-7"/>
        </w:rPr>
        <w:t>报告期内，公司主营业务迅速发展，公司员工薪酬总体亦呈增长态势，</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2011</w:t>
      </w:r>
      <w:r>
        <w:rPr>
          <w:spacing w:val="-7"/>
        </w:rPr>
        <w:t>年和</w:t>
      </w:r>
      <w:r>
        <w:rPr>
          <w:spacing w:val="-2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 ，公司全部人员总成本分别为</w:t>
      </w:r>
      <w:r>
        <w:rPr>
          <w:rFonts w:ascii="Times New Roman" w:hAnsi="Times New Roman" w:cs="Times New Roman" w:eastAsia="Times New Roman" w:hint="default"/>
        </w:rPr>
        <w:t>2,408.28 </w:t>
      </w:r>
      <w:r>
        <w:rPr/>
        <w:t>万元、</w:t>
      </w:r>
      <w:r>
        <w:rPr>
          <w:rFonts w:ascii="Times New Roman" w:hAnsi="Times New Roman" w:cs="Times New Roman" w:eastAsia="Times New Roman" w:hint="default"/>
        </w:rPr>
        <w:t>3,844.09 </w:t>
      </w:r>
      <w:r>
        <w:rPr/>
        <w:t>万元和</w:t>
      </w:r>
      <w:r>
        <w:rPr>
          <w:spacing w:val="10"/>
        </w:rPr>
        <w:t> </w:t>
      </w:r>
      <w:r>
        <w:rPr>
          <w:rFonts w:ascii="Times New Roman" w:hAnsi="Times New Roman" w:cs="Times New Roman" w:eastAsia="Times New Roman" w:hint="default"/>
        </w:rPr>
        <w:t>5,063.86</w:t>
      </w:r>
      <w:r>
        <w:rPr/>
        <w:t>万元，按月均人数加权计算的员工单位平均成本 分别为每人</w:t>
      </w:r>
      <w:r>
        <w:rPr>
          <w:rFonts w:ascii="Times New Roman" w:hAnsi="Times New Roman" w:cs="Times New Roman" w:eastAsia="Times New Roman" w:hint="default"/>
        </w:rPr>
        <w:t>6.11  </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7.99  </w:t>
      </w:r>
      <w:r>
        <w:rPr/>
        <w:t>万元</w:t>
      </w:r>
      <w:r>
        <w:rPr>
          <w:rFonts w:ascii="Times New Roman" w:hAnsi="Times New Roman" w:cs="Times New Roman" w:eastAsia="Times New Roman" w:hint="default"/>
        </w:rPr>
        <w:t>/</w:t>
      </w:r>
      <w:r>
        <w:rPr/>
        <w:t>年</w:t>
      </w:r>
      <w:r>
        <w:rPr>
          <w:spacing w:val="-57"/>
        </w:rPr>
        <w:t> </w:t>
      </w:r>
      <w:r>
        <w:rPr>
          <w:rFonts w:ascii="Times New Roman" w:hAnsi="Times New Roman" w:cs="Times New Roman" w:eastAsia="Times New Roman" w:hint="default"/>
        </w:rPr>
        <w:t>9.21</w:t>
      </w:r>
      <w:r>
        <w:rPr/>
        <w:t>万元</w:t>
      </w:r>
      <w:r>
        <w:rPr>
          <w:rFonts w:ascii="Times New Roman" w:hAnsi="Times New Roman" w:cs="Times New Roman" w:eastAsia="Times New Roman" w:hint="default"/>
        </w:rPr>
        <w:t>/</w:t>
      </w:r>
      <w:r>
        <w:rPr/>
        <w:t>年。</w:t>
      </w:r>
    </w:p>
    <w:p>
      <w:pPr>
        <w:pStyle w:val="BodyText"/>
        <w:spacing w:line="300" w:lineRule="auto" w:before="13"/>
        <w:ind w:left="154" w:right="158" w:firstLine="379"/>
        <w:jc w:val="both"/>
      </w:pP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w:t>
      </w:r>
      <w:r>
        <w:rPr>
          <w:spacing w:val="-28"/>
        </w:rPr>
        <w:t> </w:t>
      </w:r>
      <w:r>
        <w:rPr/>
        <w:t>，公司加大技术研发投入以及市场开发力度，扩大员工规模，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年，公司月均员 工人数分别为</w:t>
      </w:r>
      <w:r>
        <w:rPr>
          <w:rFonts w:ascii="Times New Roman" w:hAnsi="Times New Roman" w:cs="Times New Roman" w:eastAsia="Times New Roman" w:hint="default"/>
        </w:rPr>
        <w:t>394</w:t>
      </w:r>
      <w:r>
        <w:rPr/>
        <w:t>人、</w:t>
      </w:r>
      <w:r>
        <w:rPr>
          <w:rFonts w:ascii="Times New Roman" w:hAnsi="Times New Roman" w:cs="Times New Roman" w:eastAsia="Times New Roman" w:hint="default"/>
        </w:rPr>
        <w:t>481</w:t>
      </w:r>
      <w:r>
        <w:rPr/>
        <w:t>人和</w:t>
      </w:r>
      <w:r>
        <w:rPr>
          <w:rFonts w:ascii="Times New Roman" w:hAnsi="Times New Roman" w:cs="Times New Roman" w:eastAsia="Times New Roman" w:hint="default"/>
        </w:rPr>
        <w:t>550</w:t>
      </w:r>
      <w:r>
        <w:rPr/>
        <w:t>人。另外，公司提高了员工的薪酬待遇水平，有效提升了员工积极性，促进公司业务的快 速发展。</w:t>
      </w:r>
    </w:p>
    <w:p>
      <w:pPr>
        <w:pStyle w:val="BodyText"/>
        <w:spacing w:line="316" w:lineRule="auto" w:before="31"/>
        <w:ind w:left="154" w:right="0" w:firstLine="360"/>
        <w:jc w:val="left"/>
      </w:pPr>
      <w:r>
        <w:rPr/>
        <w:t>报告期内，公司处于快速发展阶段，并采取了适合现阶段公司特点的工资政策。随着公司员工队伍的扩大和员工薪酬 待遇水平的上升，如果公司全部人员总成本增幅与营业收入增幅不匹配，将可能对公司经营业绩产生一定影响。</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left="154" w:right="0"/>
        <w:jc w:val="left"/>
      </w:pPr>
      <w:r>
        <w:rPr>
          <w:spacing w:val="-2"/>
        </w:rPr>
        <w:t>注：公司应在主要会计数据和财务指标摘要之后刊登重大风险提示。公司对风险因素的描述应当围绕公司的经营情况，遵循</w:t>
      </w:r>
      <w:r>
        <w:rPr>
          <w:spacing w:val="-63"/>
        </w:rPr>
        <w:t> </w:t>
      </w:r>
      <w:r>
        <w:rPr>
          <w:spacing w:val="-63"/>
        </w:rPr>
      </w:r>
      <w:r>
        <w:rPr>
          <w:spacing w:val="-2"/>
        </w:rPr>
        <w:t>重要性原则，披露可能对公司下一年度发展战略和经营目标的实现产生不利影响的重大风险，包括但不限于未来不能持续成</w:t>
      </w:r>
    </w:p>
    <w:p>
      <w:pPr>
        <w:spacing w:after="0" w:line="316"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t>长的风险、不能持续进行技术创新或产品更新的风险、产品的市场竞争风险、对大客户的依赖风险、重大投资失败的风险、 关键技术人员流失的风险等，并根据实际情况，披露已经或将要采取的措施。</w:t>
      </w:r>
    </w:p>
    <w:p>
      <w:pPr>
        <w:spacing w:after="0" w:line="316"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539" w:lineRule="exact"/>
        <w:ind w:left="3095" w:right="62"/>
        <w:jc w:val="left"/>
        <w:rPr>
          <w:b w:val="0"/>
          <w:bCs w:val="0"/>
        </w:rPr>
      </w:pPr>
      <w:bookmarkStart w:name="_TOC_250006" w:id="20"/>
      <w:bookmarkStart w:name="第四节 董事会报告" w:id="21"/>
      <w:r>
        <w:rPr>
          <w:b w:val="0"/>
          <w:bCs w:val="0"/>
        </w:rPr>
      </w:r>
      <w:r>
        <w:rPr/>
        <w:t>第四节</w:t>
      </w:r>
      <w:r>
        <w:rPr>
          <w:spacing w:val="-8"/>
        </w:rPr>
        <w:t> </w:t>
      </w:r>
      <w:r>
        <w:rPr/>
        <w:t>董事会报告</w:t>
      </w:r>
      <w:bookmarkEnd w:id="20"/>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90"/>
        <w:ind w:right="62"/>
        <w:jc w:val="left"/>
        <w:rPr>
          <w:b w:val="0"/>
          <w:bCs w:val="0"/>
        </w:rPr>
      </w:pPr>
      <w:bookmarkStart w:name="一、管理层讨论与分析" w:id="22"/>
      <w:bookmarkEnd w:id="22"/>
      <w:r>
        <w:rPr>
          <w:b w:val="0"/>
          <w:bCs w:val="0"/>
        </w:rPr>
      </w:r>
      <w:r>
        <w:rPr/>
        <w:t>一、管理层讨论与分析</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92" w:firstLine="360"/>
        <w:jc w:val="both"/>
      </w:pPr>
      <w:r>
        <w:rPr>
          <w:spacing w:val="-2"/>
        </w:rPr>
        <w:t>报告期内，公司在深圳证券交易所创业板成功上市，品牌形象和市场竞争力大幅提升。公司牢牢把握市场竞争形势，持</w:t>
      </w:r>
      <w:r>
        <w:rPr/>
        <w:t> </w:t>
      </w:r>
      <w:r>
        <w:rPr>
          <w:spacing w:val="-2"/>
        </w:rPr>
        <w:t>续夯实和深化在信息安全领域内产品和服务方面的核心竞争力，进一步巩固了公司行业领先地位；</w:t>
      </w:r>
      <w:r>
        <w:rPr>
          <w:rFonts w:ascii="Times New Roman" w:hAnsi="Times New Roman" w:cs="Times New Roman" w:eastAsia="Times New Roman" w:hint="default"/>
          <w:spacing w:val="-2"/>
        </w:rPr>
        <w:t>2012</w:t>
      </w:r>
      <w:r>
        <w:rPr>
          <w:spacing w:val="-2"/>
        </w:rPr>
        <w:t>年是公司发展史上的</w:t>
      </w:r>
      <w:r>
        <w:rPr>
          <w:spacing w:val="-62"/>
        </w:rPr>
        <w:t> </w:t>
      </w:r>
      <w:r>
        <w:rPr>
          <w:spacing w:val="-62"/>
        </w:rPr>
      </w:r>
      <w:r>
        <w:rPr>
          <w:spacing w:val="-2"/>
        </w:rPr>
        <w:t>一个重要里程牌，也是一个充满挑战的新起点。作为上市公司，不仅要努力抓住行业发展的历史机遇，推动业绩增长，也要</w:t>
      </w:r>
      <w:r>
        <w:rPr>
          <w:spacing w:val="-67"/>
        </w:rPr>
        <w:t> </w:t>
      </w:r>
      <w:r>
        <w:rPr>
          <w:spacing w:val="-67"/>
        </w:rPr>
      </w:r>
      <w:r>
        <w:rPr>
          <w:spacing w:val="-2"/>
        </w:rPr>
        <w:t>面对公众投资人的期待与监督。公司进一步加大研发力度，积极进行技术创新，提高产品质量和稳定性，优化产品结构，积</w:t>
      </w:r>
      <w:r>
        <w:rPr>
          <w:spacing w:val="-67"/>
        </w:rPr>
        <w:t> </w:t>
      </w:r>
      <w:r>
        <w:rPr>
          <w:spacing w:val="-67"/>
        </w:rPr>
      </w:r>
      <w:r>
        <w:rPr>
          <w:spacing w:val="-2"/>
        </w:rPr>
        <w:t>极布局优化市场，进一步巩固了市场地位；完善公司组织结构，健全管理制度，提高公司整体管控水平，提升了公司整体经</w:t>
      </w:r>
      <w:r>
        <w:rPr>
          <w:spacing w:val="-67"/>
        </w:rPr>
        <w:t> </w:t>
      </w:r>
      <w:r>
        <w:rPr>
          <w:spacing w:val="-67"/>
        </w:rPr>
      </w:r>
      <w:r>
        <w:rPr/>
        <w:t>济运行成效。</w:t>
      </w:r>
    </w:p>
    <w:p>
      <w:pPr>
        <w:pStyle w:val="BodyText"/>
        <w:spacing w:line="300" w:lineRule="auto" w:before="140"/>
        <w:ind w:left="512" w:right="62" w:hanging="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行业发展概况 </w:t>
      </w:r>
      <w:r>
        <w:rPr>
          <w:spacing w:val="-2"/>
        </w:rPr>
        <w:t>随着信息技术和信息产业的迅猛发展，信息技术的应用领域逐渐从小型业务系统向大型、关键业务系统扩展，越来越多</w:t>
      </w:r>
    </w:p>
    <w:p>
      <w:pPr>
        <w:pStyle w:val="BodyText"/>
        <w:spacing w:line="312" w:lineRule="auto" w:before="31"/>
        <w:ind w:right="62"/>
        <w:jc w:val="left"/>
      </w:pPr>
      <w:r>
        <w:rPr/>
        <w:t>的政府机关和企事业单位建立了自己的信息网络，并与</w:t>
      </w:r>
      <w:r>
        <w:rPr>
          <w:rFonts w:ascii="Times New Roman" w:hAnsi="Times New Roman" w:cs="Times New Roman" w:eastAsia="Times New Roman" w:hint="default"/>
        </w:rPr>
        <w:t>Internet</w:t>
      </w:r>
      <w:r>
        <w:rPr/>
        <w:t>相联，信息系统的基础性、全局性作用日益增强。作为保障 </w:t>
      </w:r>
      <w:r>
        <w:rPr>
          <w:spacing w:val="-4"/>
        </w:rPr>
        <w:t>和维护信息系统安全的重要工具和手段，信息安全产品在信息系统的地位越来越重要。我国信息安全行业正处于快速成长期，</w:t>
      </w:r>
      <w:r>
        <w:rPr>
          <w:spacing w:val="-44"/>
        </w:rPr>
        <w:t> </w:t>
      </w:r>
      <w:r>
        <w:rPr>
          <w:spacing w:val="-44"/>
        </w:rPr>
      </w:r>
      <w:r>
        <w:rPr>
          <w:spacing w:val="-2"/>
        </w:rPr>
        <w:t>信息安全需求层次逐步从中央向省级、地市甚至县级渗透，从核心业务安全监控向全面业务安全保护扩展，从网络实施阶段</w:t>
      </w:r>
      <w:r>
        <w:rPr>
          <w:spacing w:val="-65"/>
        </w:rPr>
        <w:t> </w:t>
      </w:r>
      <w:r>
        <w:rPr>
          <w:spacing w:val="-65"/>
        </w:rPr>
      </w:r>
      <w:r>
        <w:rPr/>
        <w:t>的安全布置到网络运行过程的安全维护，安全需求正在向更高层次、更广范围延伸，安全产品的市场需求不断扩大。</w:t>
      </w:r>
    </w:p>
    <w:p>
      <w:pPr>
        <w:pStyle w:val="BodyText"/>
        <w:spacing w:line="300" w:lineRule="auto" w:before="142"/>
        <w:ind w:right="200" w:firstLine="360"/>
        <w:jc w:val="both"/>
      </w:pPr>
      <w:r>
        <w:rPr>
          <w:rFonts w:ascii="Times New Roman" w:hAnsi="Times New Roman" w:cs="Times New Roman" w:eastAsia="Times New Roman" w:hint="default"/>
        </w:rPr>
        <w:t>2012</w:t>
      </w:r>
      <w:r>
        <w:rPr/>
        <w:t>年国家相继出台了一系列的政策法规，持续推动了信息安全产业的发展，如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月《国务院关于大力推进信息 化发展和切实保障信息安全的若干意见》发布，明确提出要大力推进信息化发展，切实保障信息安全。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spacing w:val="57"/>
        </w:rPr>
        <w:t> </w:t>
      </w:r>
      <w:r>
        <w:rPr/>
        <w:t>全国</w:t>
      </w:r>
      <w:r>
        <w:rPr/>
        <w:t> 人民代表大会常务委员会通过</w:t>
      </w:r>
      <w:r>
        <w:rPr>
          <w:rFonts w:ascii="Times New Roman" w:hAnsi="Times New Roman" w:cs="Times New Roman" w:eastAsia="Times New Roman" w:hint="default"/>
        </w:rPr>
        <w:t>“</w:t>
      </w:r>
      <w:r>
        <w:rPr/>
        <w:t>关于加强网络信息保护的决定</w:t>
      </w:r>
      <w:r>
        <w:rPr>
          <w:rFonts w:ascii="Times New Roman" w:hAnsi="Times New Roman" w:cs="Times New Roman" w:eastAsia="Times New Roman" w:hint="default"/>
        </w:rPr>
        <w:t>”</w:t>
      </w:r>
      <w:r>
        <w:rPr/>
        <w:t>。</w:t>
      </w:r>
    </w:p>
    <w:p>
      <w:pPr>
        <w:pStyle w:val="BodyText"/>
        <w:spacing w:line="316" w:lineRule="auto" w:before="133"/>
        <w:ind w:right="104" w:firstLine="419"/>
        <w:jc w:val="both"/>
      </w:pPr>
      <w:r>
        <w:rPr/>
        <w:t>在国家政策的推动下，在用户对于信息安全的不断重视下，信息安全市场将保持较快增长。而终端安全管理作为其中 </w:t>
      </w:r>
      <w:r>
        <w:rPr>
          <w:spacing w:val="-4"/>
        </w:rPr>
        <w:t>一个细分领域，起步较晚，市场渗透率仍然较低，随着用户对终端安全的重视程度日益提升，目前市场正进入加速成长阶段。</w:t>
      </w:r>
    </w:p>
    <w:p>
      <w:pPr>
        <w:pStyle w:val="BodyText"/>
        <w:spacing w:line="240" w:lineRule="auto" w:before="139"/>
        <w:ind w:right="6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公司经营情况</w:t>
      </w:r>
    </w:p>
    <w:p>
      <w:pPr>
        <w:pStyle w:val="BodyText"/>
        <w:spacing w:line="304" w:lineRule="auto" w:before="62"/>
        <w:ind w:right="192" w:firstLine="419"/>
        <w:jc w:val="both"/>
      </w:pPr>
      <w:r>
        <w:rPr/>
        <w:t>报告期内，公司主营业务为信息安全软件产品的研发、生产、销售及技术服务。主营产品为：终端安全管理产品、数 </w:t>
      </w:r>
      <w:r>
        <w:rPr>
          <w:spacing w:val="-1"/>
        </w:rPr>
        <w:t>据安全管理产品和安全管理平台产品等。</w:t>
      </w:r>
      <w:r>
        <w:rPr>
          <w:rFonts w:ascii="Times New Roman" w:hAnsi="Times New Roman" w:cs="Times New Roman" w:eastAsia="Times New Roman" w:hint="default"/>
          <w:spacing w:val="-1"/>
        </w:rPr>
        <w:t>2012</w:t>
      </w:r>
      <w:r>
        <w:rPr>
          <w:spacing w:val="-1"/>
        </w:rPr>
        <w:t>年公司实现营业收入</w:t>
      </w:r>
      <w:r>
        <w:rPr>
          <w:rFonts w:ascii="Times New Roman" w:hAnsi="Times New Roman" w:cs="Times New Roman" w:eastAsia="Times New Roman" w:hint="default"/>
          <w:spacing w:val="-1"/>
        </w:rPr>
        <w:t>18995.78</w:t>
      </w:r>
      <w:r>
        <w:rPr>
          <w:spacing w:val="-1"/>
        </w:rPr>
        <w:t>万元，同比增长</w:t>
      </w:r>
      <w:r>
        <w:rPr>
          <w:rFonts w:ascii="Times New Roman" w:hAnsi="Times New Roman" w:cs="Times New Roman" w:eastAsia="Times New Roman" w:hint="default"/>
          <w:spacing w:val="-1"/>
        </w:rPr>
        <w:t>49.63%</w:t>
      </w:r>
      <w:r>
        <w:rPr>
          <w:spacing w:val="-1"/>
        </w:rPr>
        <w:t>，其中母公司实现营业收</w:t>
      </w:r>
      <w:r>
        <w:rPr>
          <w:spacing w:val="-88"/>
        </w:rPr>
        <w:t> </w:t>
      </w:r>
      <w:r>
        <w:rPr>
          <w:spacing w:val="-88"/>
        </w:rPr>
      </w:r>
      <w:r>
        <w:rPr/>
        <w:t>入</w:t>
      </w:r>
      <w:r>
        <w:rPr>
          <w:rFonts w:ascii="Times New Roman" w:hAnsi="Times New Roman" w:cs="Times New Roman" w:eastAsia="Times New Roman" w:hint="default"/>
        </w:rPr>
        <w:t>16259.24</w:t>
      </w:r>
      <w:r>
        <w:rPr/>
        <w:t>万元，同比增长</w:t>
      </w:r>
      <w:r>
        <w:rPr>
          <w:rFonts w:ascii="Times New Roman" w:hAnsi="Times New Roman" w:cs="Times New Roman" w:eastAsia="Times New Roman" w:hint="default"/>
        </w:rPr>
        <w:t>54.31%</w:t>
      </w:r>
      <w:r>
        <w:rPr/>
        <w:t>；公司实现利润总额</w:t>
      </w:r>
      <w:r>
        <w:rPr>
          <w:rFonts w:ascii="Times New Roman" w:hAnsi="Times New Roman" w:cs="Times New Roman" w:eastAsia="Times New Roman" w:hint="default"/>
        </w:rPr>
        <w:t>6804.43</w:t>
      </w:r>
      <w:r>
        <w:rPr/>
        <w:t>万元，同比增长</w:t>
      </w:r>
      <w:r>
        <w:rPr>
          <w:rFonts w:ascii="Times New Roman" w:hAnsi="Times New Roman" w:cs="Times New Roman" w:eastAsia="Times New Roman" w:hint="default"/>
        </w:rPr>
        <w:t>36.94%</w:t>
      </w:r>
      <w:r>
        <w:rPr/>
        <w:t>，其中母公司实现利润总额</w:t>
      </w:r>
      <w:r>
        <w:rPr>
          <w:rFonts w:ascii="Times New Roman" w:hAnsi="Times New Roman" w:cs="Times New Roman" w:eastAsia="Times New Roman" w:hint="default"/>
        </w:rPr>
        <w:t>6918.05</w:t>
      </w:r>
      <w:r>
        <w:rPr/>
        <w:t>万 </w:t>
      </w:r>
      <w:r>
        <w:rPr>
          <w:spacing w:val="-1"/>
        </w:rPr>
        <w:t>元，同比增长</w:t>
      </w:r>
      <w:r>
        <w:rPr>
          <w:rFonts w:ascii="Times New Roman" w:hAnsi="Times New Roman" w:cs="Times New Roman" w:eastAsia="Times New Roman" w:hint="default"/>
          <w:spacing w:val="-1"/>
        </w:rPr>
        <w:t>41.89%</w:t>
      </w:r>
      <w:r>
        <w:rPr>
          <w:spacing w:val="-1"/>
        </w:rPr>
        <w:t>；公司实现归属于上市公司股东的净利润</w:t>
      </w:r>
      <w:r>
        <w:rPr>
          <w:rFonts w:ascii="Times New Roman" w:hAnsi="Times New Roman" w:cs="Times New Roman" w:eastAsia="Times New Roman" w:hint="default"/>
          <w:spacing w:val="-1"/>
        </w:rPr>
        <w:t>6010.75</w:t>
      </w:r>
      <w:r>
        <w:rPr>
          <w:spacing w:val="-1"/>
        </w:rPr>
        <w:t>万元，同比增长</w:t>
      </w:r>
      <w:r>
        <w:rPr>
          <w:rFonts w:ascii="Times New Roman" w:hAnsi="Times New Roman" w:cs="Times New Roman" w:eastAsia="Times New Roman" w:hint="default"/>
          <w:spacing w:val="-1"/>
        </w:rPr>
        <w:t>34.26%</w:t>
      </w:r>
      <w:r>
        <w:rPr>
          <w:spacing w:val="-1"/>
        </w:rPr>
        <w:t>，母公司实现净利润</w:t>
      </w:r>
      <w:r>
        <w:rPr>
          <w:rFonts w:ascii="Times New Roman" w:hAnsi="Times New Roman" w:cs="Times New Roman" w:eastAsia="Times New Roman" w:hint="default"/>
          <w:spacing w:val="-1"/>
        </w:rPr>
        <w:t>6114.66</w:t>
      </w:r>
      <w:r>
        <w:rPr>
          <w:spacing w:val="-1"/>
        </w:rPr>
        <w:t>万</w:t>
      </w:r>
      <w:r>
        <w:rPr>
          <w:spacing w:val="-57"/>
        </w:rPr>
        <w:t> </w:t>
      </w:r>
      <w:r>
        <w:rPr/>
        <w:t>元，同比增长</w:t>
      </w:r>
      <w:r>
        <w:rPr>
          <w:rFonts w:ascii="Times New Roman" w:hAnsi="Times New Roman" w:cs="Times New Roman" w:eastAsia="Times New Roman" w:hint="default"/>
        </w:rPr>
        <w:t>39.44%</w:t>
      </w:r>
      <w:r>
        <w:rPr/>
        <w:t>。</w:t>
      </w:r>
    </w:p>
    <w:p>
      <w:pPr>
        <w:pStyle w:val="BodyText"/>
        <w:spacing w:line="309" w:lineRule="auto" w:before="129"/>
        <w:ind w:left="153" w:right="88" w:firstLine="419"/>
        <w:jc w:val="left"/>
      </w:pPr>
      <w:r>
        <w:rPr>
          <w:rFonts w:ascii="Times New Roman" w:hAnsi="Times New Roman" w:cs="Times New Roman" w:eastAsia="Times New Roman" w:hint="default"/>
          <w:spacing w:val="-1"/>
        </w:rPr>
        <w:t>2012</w:t>
      </w:r>
      <w:r>
        <w:rPr>
          <w:spacing w:val="-1"/>
        </w:rPr>
        <w:t>年度公司继续采取重点开拓客户的总部机构、并由总部机构向其省、市、县级分支机构逐步推广的总部市场策略，</w:t>
      </w:r>
      <w:r>
        <w:rPr/>
        <w:t> </w:t>
      </w:r>
      <w:r>
        <w:rPr>
          <w:spacing w:val="-2"/>
        </w:rPr>
        <w:t>公司产品被广泛应用于数十个国家部委及省、市各级政府机关、军队及军工企业、能源、金融等国家骨干行业的大型国有企</w:t>
      </w:r>
      <w:r>
        <w:rPr>
          <w:spacing w:val="-66"/>
        </w:rPr>
        <w:t> </w:t>
      </w:r>
      <w:r>
        <w:rPr>
          <w:spacing w:val="-66"/>
        </w:rPr>
      </w:r>
      <w:r>
        <w:rPr/>
        <w:t>事业单位。目前客户端的用户数量已超过千万，管理的网络达数千个，涉及各行业上千家用户。</w:t>
      </w:r>
    </w:p>
    <w:p>
      <w:pPr>
        <w:pStyle w:val="BodyText"/>
        <w:spacing w:line="316" w:lineRule="auto" w:before="144"/>
        <w:ind w:left="153" w:right="190" w:firstLine="419"/>
        <w:jc w:val="both"/>
      </w:pPr>
      <w:r>
        <w:rPr/>
        <w:t>报告期内，为更好地实施公司产业发展战略，公司设立了广州分公司，主要职能是为公司各地的项目提供技术支持。 </w:t>
      </w:r>
      <w:r>
        <w:rPr>
          <w:spacing w:val="-2"/>
        </w:rPr>
        <w:t>广州分公司的成立，使得公司可以进行本地化的现场技术服务，使得公司的服务网络能够辐射到全国，同时能够大大提高客</w:t>
      </w:r>
      <w:r>
        <w:rPr>
          <w:spacing w:val="-63"/>
        </w:rPr>
        <w:t> </w:t>
      </w:r>
      <w:r>
        <w:rPr>
          <w:spacing w:val="-63"/>
        </w:rPr>
      </w:r>
      <w:r>
        <w:rPr/>
        <w:t>户的满意度和忠诚度，在信息安全领域中具备较强的竞争力。</w:t>
      </w:r>
    </w:p>
    <w:p>
      <w:pPr>
        <w:pStyle w:val="BodyText"/>
        <w:spacing w:line="300" w:lineRule="auto" w:before="139"/>
        <w:ind w:left="513" w:right="228" w:hanging="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募投项目进展情况 报告期内，公司积极推进募投项目的建设。截止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日，公司已累计使用募集资金</w:t>
      </w:r>
      <w:r>
        <w:rPr>
          <w:rFonts w:ascii="Times New Roman" w:hAnsi="Times New Roman" w:cs="Times New Roman" w:eastAsia="Times New Roman" w:hint="default"/>
        </w:rPr>
        <w:t>5374.38</w:t>
      </w:r>
      <w:r>
        <w:rPr/>
        <w:t>万元用于终端安全</w:t>
      </w:r>
    </w:p>
    <w:p>
      <w:pPr>
        <w:pStyle w:val="BodyText"/>
        <w:spacing w:line="316" w:lineRule="auto" w:before="13"/>
        <w:ind w:left="153" w:right="93"/>
        <w:jc w:val="left"/>
      </w:pPr>
      <w:r>
        <w:rPr/>
        <w:t>管理整体解决方案升级项目、数据安全管理整体解决方案研发项目、企业级云安全管理平台项目、营销服务体系建设项目、 </w:t>
      </w:r>
      <w:r>
        <w:rPr>
          <w:spacing w:val="-2"/>
        </w:rPr>
        <w:t>以及超募资金永久性补充流动资金。营销服务体系作用初步显现，广州等分中心已能够独立完成在当地的市场、客户服务工</w:t>
      </w:r>
      <w:r>
        <w:rPr>
          <w:spacing w:val="-63"/>
        </w:rPr>
        <w:t> </w:t>
      </w:r>
      <w:r>
        <w:rPr>
          <w:spacing w:val="-63"/>
        </w:rPr>
      </w:r>
      <w:r>
        <w:rPr/>
        <w:t>作。募集资金项目建设工作均按计划有序推进。</w:t>
      </w:r>
    </w:p>
    <w:p>
      <w:pPr>
        <w:pStyle w:val="BodyText"/>
        <w:spacing w:line="240" w:lineRule="auto" w:before="139"/>
        <w:ind w:left="225" w:right="6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科技创新情况</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3" w:firstLine="360"/>
        <w:jc w:val="left"/>
      </w:pPr>
      <w:r>
        <w:rPr>
          <w:spacing w:val="-2"/>
        </w:rPr>
        <w:t>公司一直重视产品的自主研发，本年度更是加大了技术研究力度。</w:t>
      </w:r>
      <w:r>
        <w:rPr>
          <w:rFonts w:ascii="Times New Roman" w:hAnsi="Times New Roman" w:cs="Times New Roman" w:eastAsia="Times New Roman" w:hint="default"/>
          <w:spacing w:val="-2"/>
        </w:rPr>
        <w:t>2012</w:t>
      </w:r>
      <w:r>
        <w:rPr>
          <w:spacing w:val="-2"/>
        </w:rPr>
        <w:t>年度，公司新取得专利</w:t>
      </w:r>
      <w:r>
        <w:rPr>
          <w:rFonts w:ascii="Times New Roman" w:hAnsi="Times New Roman" w:cs="Times New Roman" w:eastAsia="Times New Roman" w:hint="default"/>
          <w:spacing w:val="-2"/>
        </w:rPr>
        <w:t>2</w:t>
      </w:r>
      <w:r>
        <w:rPr>
          <w:spacing w:val="-2"/>
        </w:rPr>
        <w:t>项，累计取得</w:t>
      </w:r>
      <w:r>
        <w:rPr>
          <w:rFonts w:ascii="Times New Roman" w:hAnsi="Times New Roman" w:cs="Times New Roman" w:eastAsia="Times New Roman" w:hint="default"/>
          <w:spacing w:val="-2"/>
        </w:rPr>
        <w:t>4</w:t>
      </w:r>
      <w:r>
        <w:rPr>
          <w:spacing w:val="-2"/>
        </w:rPr>
        <w:t>项，且国</w:t>
      </w:r>
      <w:r>
        <w:rPr/>
        <w:t> 家知识产权局已受理了公司其他</w:t>
      </w:r>
      <w:r>
        <w:rPr>
          <w:rFonts w:ascii="Times New Roman" w:hAnsi="Times New Roman" w:cs="Times New Roman" w:eastAsia="Times New Roman" w:hint="default"/>
        </w:rPr>
        <w:t>6</w:t>
      </w:r>
      <w:r>
        <w:rPr/>
        <w:t>项专利申请。</w:t>
      </w:r>
      <w:r>
        <w:rPr>
          <w:rFonts w:ascii="Times New Roman" w:hAnsi="Times New Roman" w:cs="Times New Roman" w:eastAsia="Times New Roman" w:hint="default"/>
        </w:rPr>
        <w:t>2012</w:t>
      </w:r>
      <w:r>
        <w:rPr/>
        <w:t>年，公司新增取得了北信源虚拟终端管理系统</w:t>
      </w:r>
      <w:r>
        <w:rPr>
          <w:rFonts w:ascii="Times New Roman" w:hAnsi="Times New Roman" w:cs="Times New Roman" w:eastAsia="Times New Roman" w:hint="default"/>
        </w:rPr>
        <w:t>V2.0</w:t>
      </w:r>
      <w:r>
        <w:rPr/>
        <w:t>、北信源打印监控审 计系统</w:t>
      </w:r>
      <w:r>
        <w:rPr>
          <w:rFonts w:ascii="Times New Roman" w:hAnsi="Times New Roman" w:cs="Times New Roman" w:eastAsia="Times New Roman" w:hint="default"/>
        </w:rPr>
        <w:t>V2.6</w:t>
      </w:r>
      <w:r>
        <w:rPr/>
        <w:t>、北信源安全办公</w:t>
      </w:r>
      <w:r>
        <w:rPr>
          <w:rFonts w:ascii="Times New Roman" w:hAnsi="Times New Roman" w:cs="Times New Roman" w:eastAsia="Times New Roman" w:hint="default"/>
        </w:rPr>
        <w:t>U</w:t>
      </w:r>
      <w:r>
        <w:rPr/>
        <w:t>盘系统</w:t>
      </w:r>
      <w:r>
        <w:rPr>
          <w:rFonts w:ascii="Times New Roman" w:hAnsi="Times New Roman" w:cs="Times New Roman" w:eastAsia="Times New Roman" w:hint="default"/>
        </w:rPr>
        <w:t>2.0</w:t>
      </w:r>
      <w:r>
        <w:rPr/>
        <w:t>、北信源移动存储管理系统及安全</w:t>
      </w:r>
      <w:r>
        <w:rPr>
          <w:rFonts w:ascii="Times New Roman" w:hAnsi="Times New Roman" w:cs="Times New Roman" w:eastAsia="Times New Roman" w:hint="default"/>
        </w:rPr>
        <w:t>U</w:t>
      </w:r>
      <w:r>
        <w:rPr/>
        <w:t>盘系统</w:t>
      </w:r>
      <w:r>
        <w:rPr>
          <w:rFonts w:ascii="Times New Roman" w:hAnsi="Times New Roman" w:cs="Times New Roman" w:eastAsia="Times New Roman" w:hint="default"/>
        </w:rPr>
        <w:t>2.16.0</w:t>
      </w:r>
      <w:r>
        <w:rPr/>
        <w:t>、北信源虚拟化安全管理平台软 件</w:t>
      </w:r>
      <w:r>
        <w:rPr>
          <w:rFonts w:ascii="Times New Roman" w:hAnsi="Times New Roman" w:cs="Times New Roman" w:eastAsia="Times New Roman" w:hint="default"/>
        </w:rPr>
        <w:t>V2.0</w:t>
      </w:r>
      <w:r>
        <w:rPr/>
        <w:t>等</w:t>
      </w:r>
      <w:r>
        <w:rPr>
          <w:rFonts w:ascii="Times New Roman" w:hAnsi="Times New Roman" w:cs="Times New Roman" w:eastAsia="Times New Roman" w:hint="default"/>
        </w:rPr>
        <w:t>6</w:t>
      </w:r>
      <w:r>
        <w:rPr/>
        <w:t>项软件著作权，已累计取得软件著作权</w:t>
      </w:r>
      <w:r>
        <w:rPr>
          <w:rFonts w:ascii="Times New Roman" w:hAnsi="Times New Roman" w:cs="Times New Roman" w:eastAsia="Times New Roman" w:hint="default"/>
        </w:rPr>
        <w:t>67</w:t>
      </w:r>
      <w:r>
        <w:rPr/>
        <w:t>项。此外，公司产品北信源安全管理平台</w:t>
      </w:r>
      <w:r>
        <w:rPr>
          <w:rFonts w:ascii="Times New Roman" w:hAnsi="Times New Roman" w:cs="Times New Roman" w:eastAsia="Times New Roman" w:hint="default"/>
        </w:rPr>
        <w:t>V2.0</w:t>
      </w:r>
      <w:r>
        <w:rPr/>
        <w:t>、北信源数据库审计系统 </w:t>
      </w:r>
      <w:r>
        <w:rPr>
          <w:rFonts w:ascii="Times New Roman" w:hAnsi="Times New Roman" w:cs="Times New Roman" w:eastAsia="Times New Roman" w:hint="default"/>
        </w:rPr>
        <w:t>VRV-DBASV3.0</w:t>
      </w:r>
      <w:r>
        <w:rPr/>
        <w:t>还获得了由中国人民解放军信息安全测评中心颁发的军用信息安全产品认证证书；上海子公司及南京子公 司分别开发的北信源主机监控与补丁分发系统</w:t>
      </w:r>
      <w:r>
        <w:rPr>
          <w:rFonts w:ascii="Times New Roman" w:hAnsi="Times New Roman" w:cs="Times New Roman" w:eastAsia="Times New Roman" w:hint="default"/>
        </w:rPr>
        <w:t>V6.6.02.01</w:t>
      </w:r>
      <w:r>
        <w:rPr/>
        <w:t>和神州信源主机监控审计与补丁分发系统</w:t>
      </w:r>
      <w:r>
        <w:rPr>
          <w:rFonts w:ascii="Times New Roman" w:hAnsi="Times New Roman" w:cs="Times New Roman" w:eastAsia="Times New Roman" w:hint="default"/>
        </w:rPr>
        <w:t>V1.0</w:t>
      </w:r>
      <w:r>
        <w:rPr/>
        <w:t>均获得了由公安部公 共信息安全网络监察局颁发的销售许可证书。</w:t>
      </w:r>
    </w:p>
    <w:p>
      <w:pPr>
        <w:pStyle w:val="BodyText"/>
        <w:spacing w:line="300" w:lineRule="auto" w:before="151"/>
        <w:ind w:left="153" w:right="192" w:firstLine="405"/>
        <w:jc w:val="both"/>
      </w:pPr>
      <w:r>
        <w:rPr/>
        <w:t>另外，公司还在</w:t>
      </w:r>
      <w:r>
        <w:rPr>
          <w:rFonts w:ascii="Times New Roman" w:hAnsi="Times New Roman" w:cs="Times New Roman" w:eastAsia="Times New Roman" w:hint="default"/>
        </w:rPr>
        <w:t>2012</w:t>
      </w:r>
      <w:r>
        <w:rPr/>
        <w:t>年荣获中国网络主管调查最具影响力品牌</w:t>
      </w:r>
      <w:r>
        <w:rPr>
          <w:rFonts w:ascii="Times New Roman" w:hAnsi="Times New Roman" w:cs="Times New Roman" w:eastAsia="Times New Roman" w:hint="default"/>
        </w:rPr>
        <w:t>2012</w:t>
      </w:r>
      <w:r>
        <w:rPr/>
        <w:t>年度中国信息安全最具影响力企业奖、通信行业终 </w:t>
      </w:r>
      <w:r>
        <w:rPr>
          <w:spacing w:val="-2"/>
        </w:rPr>
        <w:t>端安全解决方案杰出贡献奖、</w:t>
      </w:r>
      <w:r>
        <w:rPr>
          <w:rFonts w:ascii="Times New Roman" w:hAnsi="Times New Roman" w:cs="Times New Roman" w:eastAsia="Times New Roman" w:hint="default"/>
          <w:spacing w:val="-2"/>
        </w:rPr>
        <w:t>2011</w:t>
      </w:r>
      <w:r>
        <w:rPr>
          <w:spacing w:val="-2"/>
        </w:rPr>
        <w:t>年度税务信息系统技术支持勤奋奖、</w:t>
      </w:r>
      <w:r>
        <w:rPr>
          <w:rFonts w:ascii="Times New Roman" w:hAnsi="Times New Roman" w:cs="Times New Roman" w:eastAsia="Times New Roman" w:hint="default"/>
          <w:spacing w:val="-2"/>
        </w:rPr>
        <w:t>2011</w:t>
      </w:r>
      <w:r>
        <w:rPr>
          <w:spacing w:val="-2"/>
        </w:rPr>
        <w:t>年度中国终端安全管理审计及移动存储介质管理</w:t>
      </w:r>
      <w:r>
        <w:rPr>
          <w:spacing w:val="-61"/>
        </w:rPr>
        <w:t> </w:t>
      </w:r>
      <w:r>
        <w:rPr>
          <w:spacing w:val="-61"/>
        </w:rPr>
      </w:r>
      <w:r>
        <w:rPr/>
        <w:t>市场占有率最高产品、</w:t>
      </w:r>
      <w:r>
        <w:rPr>
          <w:rFonts w:ascii="Times New Roman" w:hAnsi="Times New Roman" w:cs="Times New Roman" w:eastAsia="Times New Roman" w:hint="default"/>
        </w:rPr>
        <w:t>2011-2012</w:t>
      </w:r>
      <w:r>
        <w:rPr/>
        <w:t>中国终端安全管理审计及移动存储介质管理市场年度成功企业等一系列荣誉称号，进一步 提高了北信源产品的品牌效应。</w:t>
      </w:r>
    </w:p>
    <w:p>
      <w:pPr>
        <w:pStyle w:val="BodyText"/>
        <w:spacing w:line="300" w:lineRule="auto" w:before="151"/>
        <w:ind w:left="513" w:right="62" w:hanging="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人力资源情况 </w:t>
      </w:r>
      <w:r>
        <w:rPr>
          <w:spacing w:val="-2"/>
        </w:rPr>
        <w:t>为使公司的人力资源管理能够更好的适应和推动公司的快速发展，</w:t>
      </w:r>
      <w:r>
        <w:rPr>
          <w:rFonts w:ascii="Times New Roman" w:hAnsi="Times New Roman" w:cs="Times New Roman" w:eastAsia="Times New Roman" w:hint="default"/>
          <w:spacing w:val="-2"/>
        </w:rPr>
        <w:t>2012</w:t>
      </w:r>
      <w:r>
        <w:rPr>
          <w:spacing w:val="-2"/>
        </w:rPr>
        <w:t>年公司以成功在创业板上市为契机，重点加强了</w:t>
      </w:r>
    </w:p>
    <w:p>
      <w:pPr>
        <w:pStyle w:val="BodyText"/>
        <w:spacing w:line="316" w:lineRule="auto" w:before="13"/>
        <w:ind w:left="153" w:right="190"/>
        <w:jc w:val="both"/>
      </w:pPr>
      <w:r>
        <w:rPr>
          <w:spacing w:val="-2"/>
        </w:rPr>
        <w:t>人员招聘、强化了员工队伍培训。在人员招聘方面，公司一方面积极吸引各地高科技人才的加入，进一步扩充研发队伍，为</w:t>
      </w:r>
      <w:r>
        <w:rPr>
          <w:spacing w:val="-67"/>
        </w:rPr>
        <w:t> </w:t>
      </w:r>
      <w:r>
        <w:rPr>
          <w:spacing w:val="-67"/>
        </w:rPr>
      </w:r>
      <w:r>
        <w:rPr>
          <w:spacing w:val="-2"/>
        </w:rPr>
        <w:t>募投项目的研发逐步配备合理人才；另一方面加强区域营销服务人员力量，配合营销服务体系的建设计划，进一步增强了公</w:t>
      </w:r>
      <w:r>
        <w:rPr>
          <w:spacing w:val="-63"/>
        </w:rPr>
        <w:t> </w:t>
      </w:r>
      <w:r>
        <w:rPr>
          <w:spacing w:val="-63"/>
        </w:rPr>
      </w:r>
      <w:r>
        <w:rPr/>
        <w:t>司的本地化服务能力，提高了与客户的粘合度。</w:t>
      </w:r>
      <w:r>
        <w:rPr>
          <w:spacing w:val="-18"/>
        </w:rPr>
        <w:t> </w:t>
      </w:r>
      <w:r>
        <w:rPr/>
        <w:t>同时公司组织了多次专题的培训活动，下属各部门也需结合自身特点组织</w:t>
      </w:r>
      <w:r>
        <w:rPr/>
        <w:t> </w:t>
      </w:r>
      <w:r>
        <w:rPr>
          <w:spacing w:val="-2"/>
        </w:rPr>
        <w:t>起各种各样的岗位培训、技能培训、管理知识培训、质量管理培训等。通过各种各样的学习，提高了管理人员和基层员工的</w:t>
      </w:r>
      <w:r>
        <w:rPr>
          <w:spacing w:val="-67"/>
        </w:rPr>
        <w:t> </w:t>
      </w:r>
      <w:r>
        <w:rPr>
          <w:spacing w:val="-67"/>
        </w:rPr>
      </w:r>
      <w:r>
        <w:rPr/>
        <w:t>素质，保证公司经营和文化建设等各项工作的有效开展。</w:t>
      </w:r>
    </w:p>
    <w:p>
      <w:pPr>
        <w:pStyle w:val="BodyText"/>
        <w:spacing w:line="240" w:lineRule="auto" w:before="139"/>
        <w:ind w:left="153" w:right="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公司治理情况</w:t>
      </w:r>
    </w:p>
    <w:p>
      <w:pPr>
        <w:pStyle w:val="BodyText"/>
        <w:spacing w:line="316" w:lineRule="auto" w:before="62"/>
        <w:ind w:left="153" w:right="190" w:firstLine="360"/>
        <w:jc w:val="both"/>
      </w:pPr>
      <w:r>
        <w:rPr/>
        <w:t>公司继续加强内部控制制度的建设，公司按照创业板上市公司规范运作的要求，制订了相关内控制度，</w:t>
      </w:r>
      <w:r>
        <w:rPr>
          <w:spacing w:val="-18"/>
        </w:rPr>
        <w:t> </w:t>
      </w:r>
      <w:r>
        <w:rPr/>
        <w:t>主要新制订和</w:t>
      </w:r>
      <w:r>
        <w:rPr/>
        <w:t> </w:t>
      </w:r>
      <w:r>
        <w:rPr>
          <w:spacing w:val="-2"/>
        </w:rPr>
        <w:t>修改的制度有《重大事项信息内部报告制度》、《内幕信息知情人登记管理制度》、《外部信息使用人管理制度》、《年报</w:t>
      </w:r>
      <w:r>
        <w:rPr>
          <w:spacing w:val="-68"/>
        </w:rPr>
        <w:t> </w:t>
      </w:r>
      <w:r>
        <w:rPr>
          <w:spacing w:val="-68"/>
        </w:rPr>
      </w:r>
      <w:r>
        <w:rPr>
          <w:spacing w:val="-2"/>
        </w:rPr>
        <w:t>信息披露重大差错责任追究制度》、《财务负责人管理制度》和《董事、监事和高级管理人员所持公司股份及其变动管理制</w:t>
      </w:r>
      <w:r>
        <w:rPr>
          <w:spacing w:val="-67"/>
        </w:rPr>
        <w:t> </w:t>
      </w:r>
      <w:r>
        <w:rPr>
          <w:spacing w:val="-67"/>
        </w:rPr>
      </w:r>
      <w:r>
        <w:rPr/>
        <w:t>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both"/>
        <w:rPr>
          <w:b w:val="0"/>
          <w:bCs w:val="0"/>
        </w:rPr>
      </w:pPr>
      <w:bookmarkStart w:name="二、报告期内主要经营情况" w:id="23"/>
      <w:bookmarkEnd w:id="23"/>
      <w:r>
        <w:rPr>
          <w:b w:val="0"/>
          <w:bCs w:val="0"/>
        </w:rPr>
      </w:r>
      <w:r>
        <w:rPr/>
        <w:t>二、报告期内主要经营情况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both"/>
        <w:rPr>
          <w:b w:val="0"/>
          <w:bCs w:val="0"/>
        </w:rPr>
      </w:pPr>
      <w:bookmarkStart w:name="1、主营业务分析" w:id="24"/>
      <w:bookmarkEnd w:id="24"/>
      <w:r>
        <w:rPr>
          <w:b w:val="0"/>
          <w:bCs w:val="0"/>
        </w:rPr>
      </w:r>
      <w:r>
        <w:rPr>
          <w:rFonts w:ascii="Times New Roman" w:hAnsi="Times New Roman" w:cs="Times New Roman" w:eastAsia="Times New Roman" w:hint="default"/>
        </w:rPr>
        <w:t>1</w:t>
      </w:r>
      <w:r>
        <w:rPr/>
        <w:t>、主营业务分析</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both"/>
        <w:rPr>
          <w:b w:val="0"/>
          <w:bCs w:val="0"/>
        </w:rPr>
      </w:pPr>
      <w:bookmarkStart w:name="（1）收入" w:id="25"/>
      <w:bookmarkEnd w:id="25"/>
      <w:r>
        <w:rPr>
          <w:b w:val="0"/>
          <w:bCs w:val="0"/>
        </w:rPr>
      </w:r>
      <w:r>
        <w:rPr/>
        <w:t>（</w:t>
      </w:r>
      <w:r>
        <w:rPr>
          <w:rFonts w:ascii="Times New Roman" w:hAnsi="Times New Roman" w:cs="Times New Roman" w:eastAsia="Times New Roman" w:hint="default"/>
        </w:rPr>
        <w:t>1</w:t>
      </w:r>
      <w:r>
        <w:rPr/>
        <w:t>）收入</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t>说明</w:t>
      </w:r>
    </w:p>
    <w:p>
      <w:pPr>
        <w:pStyle w:val="BodyText"/>
        <w:spacing w:line="300" w:lineRule="auto" w:before="115"/>
        <w:ind w:left="512" w:right="62"/>
        <w:jc w:val="left"/>
      </w:pPr>
      <w:r>
        <w:rPr/>
        <w:t>报告期内，公司实现营业收入</w:t>
      </w:r>
      <w:r>
        <w:rPr>
          <w:rFonts w:ascii="Times New Roman" w:hAnsi="Times New Roman" w:cs="Times New Roman" w:eastAsia="Times New Roman" w:hint="default"/>
        </w:rPr>
        <w:t>18995.79</w:t>
      </w:r>
      <w:r>
        <w:rPr/>
        <w:t>万元，同比增长</w:t>
      </w:r>
      <w:r>
        <w:rPr>
          <w:rFonts w:ascii="Times New Roman" w:hAnsi="Times New Roman" w:cs="Times New Roman" w:eastAsia="Times New Roman" w:hint="default"/>
        </w:rPr>
        <w:t>49.63%</w:t>
      </w:r>
      <w:r>
        <w:rPr/>
        <w:t>。 </w:t>
      </w:r>
      <w:r>
        <w:rPr>
          <w:spacing w:val="-4"/>
        </w:rPr>
        <w:t>公司成功贯彻总部市场策略，取得很好的效果。其一，充分利用已形成的总部优势，沿着纵向管理层级体系向其下属省、</w:t>
      </w:r>
    </w:p>
    <w:p>
      <w:pPr>
        <w:pStyle w:val="BodyText"/>
        <w:spacing w:line="316" w:lineRule="auto" w:before="31"/>
        <w:ind w:right="62"/>
        <w:jc w:val="left"/>
      </w:pPr>
      <w:r>
        <w:rPr>
          <w:spacing w:val="-2"/>
        </w:rPr>
        <w:t>市、县级机构延伸，取得成效。其二，不断地拓展公司产品应用范围，在营销和解决方案设计方面，深入挖掘客户的需求和</w:t>
      </w:r>
      <w:r>
        <w:rPr>
          <w:spacing w:val="-68"/>
        </w:rPr>
        <w:t> </w:t>
      </w:r>
      <w:r>
        <w:rPr>
          <w:spacing w:val="-68"/>
        </w:rPr>
      </w:r>
      <w:r>
        <w:rPr/>
        <w:t>提供个性化的服务，取得销售业绩。</w:t>
      </w:r>
    </w:p>
    <w:p>
      <w:pPr>
        <w:pStyle w:val="BodyText"/>
        <w:spacing w:line="300" w:lineRule="auto" w:before="18"/>
        <w:ind w:left="512" w:right="259"/>
        <w:jc w:val="left"/>
      </w:pPr>
      <w:r>
        <w:rPr/>
        <w:t>公司主营业务突出，主营业务收入主要为产品销售及技术服务收入，占营业收入比重在</w:t>
      </w:r>
      <w:r>
        <w:rPr>
          <w:rFonts w:ascii="Times New Roman" w:hAnsi="Times New Roman" w:cs="Times New Roman" w:eastAsia="Times New Roman" w:hint="default"/>
        </w:rPr>
        <w:t>90%</w:t>
      </w:r>
      <w:r>
        <w:rPr/>
        <w:t>以上。 公司主营收入主要来源于软件产品，软件产品占收入比重</w:t>
      </w:r>
      <w:r>
        <w:rPr>
          <w:rFonts w:ascii="Times New Roman" w:hAnsi="Times New Roman" w:cs="Times New Roman" w:eastAsia="Times New Roman" w:hint="default"/>
        </w:rPr>
        <w:t>73.93%</w:t>
      </w:r>
      <w:r>
        <w:rPr/>
        <w:t>。 软件产品中的终端安全管理产品是公司收入的主要来源，占主营收入比重</w:t>
      </w:r>
      <w:r>
        <w:rPr>
          <w:rFonts w:ascii="Times New Roman" w:hAnsi="Times New Roman" w:cs="Times New Roman" w:eastAsia="Times New Roman" w:hint="default"/>
        </w:rPr>
        <w:t>47.45%</w:t>
      </w:r>
      <w:r>
        <w:rPr/>
        <w:t>。该产品多年保持市场占有率第一，</w:t>
      </w:r>
    </w:p>
    <w:p>
      <w:pPr>
        <w:pStyle w:val="BodyText"/>
        <w:spacing w:line="316" w:lineRule="auto" w:before="13"/>
        <w:ind w:right="62"/>
        <w:jc w:val="left"/>
      </w:pPr>
      <w:r>
        <w:rPr>
          <w:spacing w:val="-2"/>
        </w:rPr>
        <w:t>是公司的主要利润来源。而数据安全管理和安全管理平台比重与去年同比有所增加，主要是公司加大了这两类新增长业务的</w:t>
      </w:r>
      <w:r>
        <w:rPr>
          <w:spacing w:val="-64"/>
        </w:rPr>
        <w:t> </w:t>
      </w:r>
      <w:r>
        <w:rPr>
          <w:spacing w:val="-64"/>
        </w:rPr>
      </w:r>
      <w:r>
        <w:rPr/>
        <w:t>市场推广力度，取得成效所致。</w:t>
      </w:r>
    </w:p>
    <w:p>
      <w:pPr>
        <w:pStyle w:val="BodyText"/>
        <w:spacing w:line="240" w:lineRule="auto" w:before="18"/>
        <w:ind w:right="0"/>
        <w:jc w:val="both"/>
        <w:rPr>
          <w:rFonts w:ascii="Times New Roman" w:hAnsi="Times New Roman" w:cs="Times New Roman" w:eastAsia="Times New Roman" w:hint="default"/>
        </w:rPr>
      </w:pPr>
      <w:r>
        <w:rPr/>
        <w:t>公司收入分类情况如下表</w:t>
      </w:r>
      <w:r>
        <w:rPr>
          <w:rFonts w:ascii="Times New Roman" w:hAnsi="Times New Roman" w:cs="Times New Roman" w:eastAsia="Times New Roman" w:hint="default"/>
        </w:rPr>
        <w:t>:</w:t>
      </w:r>
    </w:p>
    <w:p>
      <w:pPr>
        <w:spacing w:after="0" w:line="240" w:lineRule="auto"/>
        <w:jc w:val="both"/>
        <w:rPr>
          <w:rFonts w:ascii="Times New Roman" w:hAnsi="Times New Roman" w:cs="Times New Roman" w:eastAsia="Times New Roman" w:hint="default"/>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81"/>
        <w:gridCol w:w="1306"/>
        <w:gridCol w:w="1308"/>
        <w:gridCol w:w="1430"/>
        <w:gridCol w:w="1181"/>
      </w:tblGrid>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b/>
                <w:bCs/>
                <w:sz w:val="18"/>
                <w:szCs w:val="18"/>
              </w:rPr>
              <w:t>同比增减额</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一、软件产品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13,873.44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9,652.98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4,220.46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43.72%</w:t>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其中：终端安全管理</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8,961.29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7,979.97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981.32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12.30%</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数据安全管理</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3,760.44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1,219.81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2,540.63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208.28%</w:t>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hAnsi="宋体" w:cs="宋体" w:eastAsia="宋体" w:hint="default"/>
                <w:sz w:val="18"/>
                <w:szCs w:val="18"/>
              </w:rPr>
              <w:t>安全管理平台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1,151.70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453.20</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698.50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154.13%</w:t>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二、技术服务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2,743.55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1,415.23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1,328.32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93.86%</w:t>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三、硬件及其他</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2,267.23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1,479.80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787.43</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53.21%</w:t>
            </w:r>
          </w:p>
        </w:tc>
      </w:tr>
      <w:tr>
        <w:trPr>
          <w:trHeight w:val="32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18,884.22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12,548.01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6,336.21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50.50%</w:t>
            </w:r>
          </w:p>
        </w:tc>
      </w:tr>
    </w:tbl>
    <w:p>
      <w:pPr>
        <w:pStyle w:val="BodyText"/>
        <w:spacing w:line="240" w:lineRule="auto" w:before="8"/>
        <w:ind w:left="212" w:right="94"/>
        <w:jc w:val="left"/>
      </w:pPr>
      <w:r>
        <w:rPr/>
        <w:t>随着数据安全管理产品、安全管理平台产品销售的逐步增长、技术服务收入的逐步增加，产品结构更趋合理。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316" w:lineRule="auto"/>
        <w:ind w:left="212" w:right="94"/>
        <w:jc w:val="left"/>
      </w:pPr>
      <w:r>
        <w:rPr>
          <w:spacing w:val="-4"/>
        </w:rPr>
        <w:t>注：公司应当说明驱动业务收入变化的产销量、订单或劳务的结算比例等因素。如果因子公司股权变动导致合并范围变化的，</w:t>
      </w:r>
      <w:r>
        <w:rPr>
          <w:spacing w:val="-44"/>
        </w:rPr>
        <w:t> </w:t>
      </w:r>
      <w:r>
        <w:rPr>
          <w:spacing w:val="-44"/>
        </w:rPr>
      </w:r>
      <w:r>
        <w:rPr/>
        <w:t>应当提供上年度同口径的数据；如无法取得，公司应当说明原因。</w:t>
      </w:r>
    </w:p>
    <w:p>
      <w:pPr>
        <w:pStyle w:val="BodyText"/>
        <w:spacing w:line="240" w:lineRule="auto" w:before="59"/>
        <w:ind w:left="212" w:right="94"/>
        <w:jc w:val="left"/>
      </w:pPr>
      <w:r>
        <w:rPr/>
        <w:t>公司实物销售收入是否大于劳务收入</w:t>
      </w:r>
    </w:p>
    <w:p>
      <w:pPr>
        <w:pStyle w:val="BodyText"/>
        <w:spacing w:line="240" w:lineRule="auto" w:before="115"/>
        <w:ind w:left="212"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1927"/>
        <w:gridCol w:w="1890"/>
        <w:gridCol w:w="1926"/>
        <w:gridCol w:w="1913"/>
        <w:gridCol w:w="1915"/>
      </w:tblGrid>
      <w:tr>
        <w:trPr>
          <w:trHeight w:val="403" w:hRule="exact"/>
        </w:trPr>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金融行业（元）</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11,016,556.88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3,872,404.96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184.49%</w:t>
            </w:r>
          </w:p>
        </w:tc>
      </w:tr>
      <w:tr>
        <w:trPr>
          <w:trHeight w:val="403" w:hRule="exact"/>
        </w:trPr>
        <w:tc>
          <w:tcPr>
            <w:tcW w:w="1927" w:type="dxa"/>
            <w:vMerge/>
            <w:tcBorders>
              <w:left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11,016,556.88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3,872,404.96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184.49%</w:t>
            </w:r>
          </w:p>
        </w:tc>
      </w:tr>
      <w:tr>
        <w:trPr>
          <w:trHeight w:val="401"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军工行业（元）</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7,603,130.61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2,870,764.9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164.85%</w:t>
            </w:r>
          </w:p>
        </w:tc>
      </w:tr>
      <w:tr>
        <w:trPr>
          <w:trHeight w:val="401" w:hRule="exact"/>
        </w:trPr>
        <w:tc>
          <w:tcPr>
            <w:tcW w:w="1927" w:type="dxa"/>
            <w:vMerge/>
            <w:tcBorders>
              <w:left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7,603,130.61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2,870,764.9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164.85%</w:t>
            </w:r>
          </w:p>
        </w:tc>
      </w:tr>
      <w:tr>
        <w:trPr>
          <w:trHeight w:val="403"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能源行业（元）</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41,043,398.44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26,722,044.55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53.59%</w:t>
            </w:r>
          </w:p>
        </w:tc>
      </w:tr>
      <w:tr>
        <w:trPr>
          <w:trHeight w:val="403" w:hRule="exact"/>
        </w:trPr>
        <w:tc>
          <w:tcPr>
            <w:tcW w:w="1927" w:type="dxa"/>
            <w:vMerge/>
            <w:tcBorders>
              <w:left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41,043,398.44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26,722,044.55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53.59%</w:t>
            </w:r>
          </w:p>
        </w:tc>
      </w:tr>
      <w:tr>
        <w:trPr>
          <w:trHeight w:val="401"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政府行业（元）</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10,063,886.5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17,614,892.18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-42.87%</w:t>
            </w:r>
          </w:p>
        </w:tc>
      </w:tr>
      <w:tr>
        <w:trPr>
          <w:trHeight w:val="401" w:hRule="exact"/>
        </w:trPr>
        <w:tc>
          <w:tcPr>
            <w:tcW w:w="1927" w:type="dxa"/>
            <w:vMerge/>
            <w:tcBorders>
              <w:left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10,063,886.5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17,614,892.18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-42.87%</w:t>
            </w:r>
          </w:p>
        </w:tc>
      </w:tr>
      <w:tr>
        <w:trPr>
          <w:trHeight w:val="403"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927"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其他行业（元）</w:t>
            </w: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119,115,252.62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74,400,008.93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1927" w:type="dxa"/>
            <w:vMerge/>
            <w:tcBorders>
              <w:left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119,115,252.62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74,400,008.93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r>
        <w:trPr>
          <w:trHeight w:val="401" w:hRule="exact"/>
        </w:trPr>
        <w:tc>
          <w:tcPr>
            <w:tcW w:w="1927" w:type="dxa"/>
            <w:vMerge/>
            <w:tcBorders>
              <w:left w:val="single" w:sz="4" w:space="0" w:color="000000"/>
              <w:bottom w:val="single" w:sz="4" w:space="0" w:color="000000"/>
              <w:right w:val="single" w:sz="13" w:space="0" w:color="D4D4D4"/>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212" w:right="0"/>
        <w:jc w:val="both"/>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38" w:lineRule="auto" w:before="103"/>
        <w:ind w:left="57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公司产品涵盖终端安全管理、数据安全管理和安全管理平台等多个方面，成功拓展了政府机关、金融机构、能源、军队、</w:t>
      </w:r>
    </w:p>
    <w:p>
      <w:pPr>
        <w:pStyle w:val="BodyText"/>
        <w:spacing w:line="316" w:lineRule="auto" w:before="2"/>
        <w:ind w:left="212" w:right="190"/>
        <w:jc w:val="both"/>
      </w:pPr>
      <w:r>
        <w:rPr>
          <w:spacing w:val="-2"/>
        </w:rPr>
        <w:t>军工等国家骨干大型企事业单位在内的客户群体，是国内终端安全领域的主要企业之一。产品涵盖范围广，性能良好。随着</w:t>
      </w:r>
      <w:r>
        <w:rPr>
          <w:spacing w:val="-64"/>
        </w:rPr>
        <w:t> </w:t>
      </w:r>
      <w:r>
        <w:rPr>
          <w:spacing w:val="-64"/>
        </w:rPr>
      </w:r>
      <w:r>
        <w:rPr>
          <w:spacing w:val="-2"/>
        </w:rPr>
        <w:t>近年信息安全市场的快速发展，公司的业务规模迅速扩大，盈利能力不断增强，进一步巩固了公司在该领域的核心竞争力和</w:t>
      </w:r>
      <w:r>
        <w:rPr>
          <w:spacing w:val="-65"/>
        </w:rPr>
        <w:t> </w:t>
      </w:r>
      <w:r>
        <w:rPr>
          <w:spacing w:val="-65"/>
        </w:rPr>
      </w:r>
      <w:r>
        <w:rPr/>
        <w:t>市场地位，营业收入持续增长。</w:t>
      </w:r>
    </w:p>
    <w:p>
      <w:pPr>
        <w:pStyle w:val="BodyText"/>
        <w:spacing w:line="316" w:lineRule="auto" w:before="18"/>
        <w:ind w:left="212" w:right="94" w:firstLine="379"/>
        <w:jc w:val="left"/>
      </w:pPr>
      <w:r>
        <w:rPr/>
        <w:t>公司基于终端安全管理产品掌握的核心技术持续开发出数据安全管理产品、安全管理平台等新产品，产品品种不断丰 富，应用领域得以有效拓展。公司凭借较为完整的终端安全管理产品线、紧贴国内用户需求的产品功能及较好的产品性能， </w:t>
      </w:r>
      <w:r>
        <w:rPr>
          <w:spacing w:val="-2"/>
        </w:rPr>
        <w:t>树立了良好的用户口碑及市场形象。随着用户对系统使用的深入，逐渐对公司产品产生了较强的依赖性。公司凭借多年在信</w:t>
      </w:r>
    </w:p>
    <w:p>
      <w:pPr>
        <w:spacing w:after="0" w:line="316" w:lineRule="auto"/>
        <w:jc w:val="left"/>
        <w:sectPr>
          <w:pgSz w:w="11910" w:h="16840"/>
          <w:pgMar w:header="745" w:footer="982" w:top="1060" w:bottom="1180" w:left="92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0" w:hanging="360"/>
        <w:jc w:val="left"/>
      </w:pPr>
      <w:r>
        <w:rPr/>
        <w:t>息安全领域的经验积累和较强的自主创新能力，获得了持续快速的成长。 </w:t>
      </w:r>
      <w:r>
        <w:rPr>
          <w:spacing w:val="-2"/>
        </w:rPr>
        <w:t>报告期内，公司继续深入挖掘能源行业客户的需求，从总部到分支机构，同时利用已有的客户群体进一步推进公司的新</w:t>
      </w:r>
    </w:p>
    <w:p>
      <w:pPr>
        <w:pStyle w:val="BodyText"/>
        <w:spacing w:line="316" w:lineRule="auto" w:before="18"/>
        <w:ind w:right="144"/>
        <w:jc w:val="left"/>
      </w:pPr>
      <w:r>
        <w:rPr/>
        <w:t>产品，进行二次、三次销售，在国家电网各网省公司、广东电网公司等，取得了持续的拓展。能源行业销售收入为</w:t>
      </w:r>
      <w:r>
        <w:rPr>
          <w:rFonts w:ascii="宋体" w:hAnsi="宋体" w:cs="宋体" w:eastAsia="宋体" w:hint="default"/>
        </w:rPr>
        <w:t>4104.34</w:t>
      </w:r>
      <w:r>
        <w:rPr>
          <w:rFonts w:ascii="宋体" w:hAnsi="宋体" w:cs="宋体" w:eastAsia="宋体" w:hint="default"/>
          <w:spacing w:val="1"/>
        </w:rPr>
        <w:t> </w:t>
      </w:r>
      <w:r>
        <w:rPr/>
        <w:t>万元，同比去年增长</w:t>
      </w:r>
      <w:r>
        <w:rPr>
          <w:rFonts w:ascii="宋体" w:hAnsi="宋体" w:cs="宋体" w:eastAsia="宋体" w:hint="default"/>
        </w:rPr>
        <w:t>53.59%</w:t>
      </w:r>
      <w:r>
        <w:rPr/>
        <w:t>。</w:t>
      </w:r>
    </w:p>
    <w:p>
      <w:pPr>
        <w:pStyle w:val="BodyText"/>
        <w:spacing w:line="316" w:lineRule="auto" w:before="18"/>
        <w:ind w:right="250" w:firstLine="360"/>
        <w:jc w:val="both"/>
      </w:pPr>
      <w:r>
        <w:rPr/>
        <w:t>在军工行业，公司不断有产品取得军用信息安全产品认证证书，适应军队军工客户的需求，本行业销售收入为</w:t>
      </w:r>
      <w:r>
        <w:rPr>
          <w:rFonts w:ascii="宋体" w:hAnsi="宋体" w:cs="宋体" w:eastAsia="宋体" w:hint="default"/>
        </w:rPr>
        <w:t>760.31 </w:t>
      </w:r>
      <w:r>
        <w:rPr/>
        <w:t>万元，同比增长</w:t>
      </w:r>
      <w:r>
        <w:rPr>
          <w:rFonts w:ascii="宋体" w:hAnsi="宋体" w:cs="宋体" w:eastAsia="宋体" w:hint="default"/>
        </w:rPr>
        <w:t>164.85%</w:t>
      </w:r>
      <w:r>
        <w:rPr/>
        <w:t>。</w:t>
      </w:r>
    </w:p>
    <w:p>
      <w:pPr>
        <w:pStyle w:val="BodyText"/>
        <w:spacing w:line="316" w:lineRule="auto" w:before="18"/>
        <w:ind w:right="150" w:firstLine="360"/>
        <w:jc w:val="both"/>
      </w:pPr>
      <w:r>
        <w:rPr>
          <w:spacing w:val="-2"/>
        </w:rPr>
        <w:t>金融行业作为公司</w:t>
      </w:r>
      <w:r>
        <w:rPr>
          <w:rFonts w:ascii="宋体" w:hAnsi="宋体" w:cs="宋体" w:eastAsia="宋体" w:hint="default"/>
          <w:spacing w:val="-2"/>
        </w:rPr>
        <w:t>2012</w:t>
      </w:r>
      <w:r>
        <w:rPr>
          <w:spacing w:val="-2"/>
        </w:rPr>
        <w:t>年重点开拓的行业之一，实现了公司产品在行业内的深入推广应用，同时成功在金融领域复制了</w:t>
      </w:r>
      <w:r>
        <w:rPr/>
        <w:t> </w:t>
      </w:r>
      <w:r>
        <w:rPr>
          <w:spacing w:val="-2"/>
        </w:rPr>
        <w:t>公司成熟的销售模式，取得了较好的效果，产品实际解决了华夏银行、柳州银行、新华人寿保险有限公司等客户的安全管理</w:t>
      </w:r>
      <w:r>
        <w:rPr>
          <w:spacing w:val="-64"/>
        </w:rPr>
        <w:t> </w:t>
      </w:r>
      <w:r>
        <w:rPr>
          <w:spacing w:val="-64"/>
        </w:rPr>
      </w:r>
      <w:r>
        <w:rPr/>
        <w:t>需求，得到了认可。本年度，金融行业销售收入</w:t>
      </w:r>
      <w:r>
        <w:rPr>
          <w:rFonts w:ascii="宋体" w:hAnsi="宋体" w:cs="宋体" w:eastAsia="宋体" w:hint="default"/>
        </w:rPr>
        <w:t>1101.66</w:t>
      </w:r>
      <w:r>
        <w:rPr/>
        <w:t>万元，同比增长</w:t>
      </w:r>
      <w:r>
        <w:rPr>
          <w:rFonts w:ascii="宋体" w:hAnsi="宋体" w:cs="宋体" w:eastAsia="宋体" w:hint="default"/>
        </w:rPr>
        <w:t>184.99%</w:t>
      </w:r>
      <w:r>
        <w:rPr/>
        <w:t>。</w:t>
      </w:r>
    </w:p>
    <w:p>
      <w:pPr>
        <w:pStyle w:val="BodyText"/>
        <w:spacing w:line="316" w:lineRule="auto" w:before="18"/>
        <w:ind w:right="153" w:firstLine="360"/>
        <w:jc w:val="both"/>
      </w:pPr>
      <w:r>
        <w:rPr>
          <w:spacing w:val="-2"/>
        </w:rPr>
        <w:t>公司客户群体主要为政府机关、央企、军队军工等大型企事业单位，政府行业一直是公司的重点开拓对象。但由于本年</w:t>
      </w:r>
      <w:r>
        <w:rPr/>
        <w:t> 度该行业客户采购计划有部分延期，故</w:t>
      </w:r>
      <w:r>
        <w:rPr>
          <w:rFonts w:ascii="宋体" w:hAnsi="宋体" w:cs="宋体" w:eastAsia="宋体" w:hint="default"/>
        </w:rPr>
        <w:t>2012</w:t>
      </w:r>
      <w:r>
        <w:rPr/>
        <w:t>年公司在该行业实现销售收入</w:t>
      </w:r>
      <w:r>
        <w:rPr>
          <w:rFonts w:ascii="宋体" w:hAnsi="宋体" w:cs="宋体" w:eastAsia="宋体" w:hint="default"/>
        </w:rPr>
        <w:t>1006.39</w:t>
      </w:r>
      <w:r>
        <w:rPr/>
        <w:t>万元，同比下降</w:t>
      </w:r>
      <w:r>
        <w:rPr>
          <w:rFonts w:ascii="宋体" w:hAnsi="宋体" w:cs="宋体" w:eastAsia="宋体" w:hint="default"/>
        </w:rPr>
        <w:t>42.87%</w:t>
      </w:r>
      <w:r>
        <w:rPr/>
        <w:t>。相信</w:t>
      </w:r>
      <w:r>
        <w:rPr>
          <w:rFonts w:ascii="宋体" w:hAnsi="宋体" w:cs="宋体" w:eastAsia="宋体" w:hint="default"/>
        </w:rPr>
        <w:t>2013</w:t>
      </w:r>
      <w:r>
        <w:rPr/>
        <w:t>年，随</w:t>
      </w:r>
      <w:r>
        <w:rPr>
          <w:spacing w:val="-3"/>
        </w:rPr>
        <w:t> </w:t>
      </w:r>
      <w:r>
        <w:rPr/>
        <w:t>着行业政策的落实，以及公司的战略部署到位，政府行业的销售将继续增长。</w:t>
      </w:r>
    </w:p>
    <w:p>
      <w:pPr>
        <w:pStyle w:val="BodyText"/>
        <w:spacing w:line="240" w:lineRule="auto" w:before="18"/>
        <w:ind w:left="512" w:right="0"/>
        <w:jc w:val="left"/>
      </w:pPr>
      <w:r>
        <w:rPr/>
        <w:t>其他行业：主要是指除以上四个行业以外的客户以及通过经销商购买产品的客户，该类用户报告期内实现销售收入</w:t>
      </w:r>
    </w:p>
    <w:p>
      <w:pPr>
        <w:pStyle w:val="BodyText"/>
        <w:spacing w:line="240" w:lineRule="auto" w:before="76"/>
        <w:ind w:right="0"/>
        <w:jc w:val="left"/>
      </w:pPr>
      <w:r>
        <w:rPr>
          <w:rFonts w:ascii="宋体" w:hAnsi="宋体" w:cs="宋体" w:eastAsia="宋体" w:hint="default"/>
        </w:rPr>
        <w:t>11911.53</w:t>
      </w:r>
      <w:r>
        <w:rPr/>
        <w:t>万元，同比增长</w:t>
      </w:r>
      <w:r>
        <w:rPr>
          <w:rFonts w:ascii="宋体" w:hAnsi="宋体" w:cs="宋体" w:eastAsia="宋体" w:hint="default"/>
        </w:rPr>
        <w:t>60.1%</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公司重大的在手订单情况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20"/>
        <w:jc w:val="left"/>
      </w:pPr>
      <w:r>
        <w:rPr/>
        <w:t>注：对于订单收入占比超过</w:t>
      </w:r>
      <w:r>
        <w:rPr>
          <w:spacing w:val="-46"/>
        </w:rPr>
        <w:t> </w:t>
      </w:r>
      <w:r>
        <w:rPr>
          <w:rFonts w:ascii="Times New Roman" w:hAnsi="Times New Roman" w:cs="Times New Roman" w:eastAsia="Times New Roman" w:hint="default"/>
        </w:rPr>
        <w:t>50%</w:t>
      </w:r>
      <w:r>
        <w:rPr/>
        <w:t>的公司，公司应当披露重大的在手订单情况，并披露前期订单在本年度进展和本年度新增 订单的完成比例。</w:t>
      </w:r>
    </w:p>
    <w:p>
      <w:pPr>
        <w:pStyle w:val="BodyText"/>
        <w:spacing w:line="240" w:lineRule="auto" w:before="70"/>
        <w:ind w:right="0"/>
        <w:jc w:val="left"/>
      </w:pPr>
      <w:r>
        <w:rPr/>
        <w:t>数量分散的订单情况</w:t>
      </w:r>
    </w:p>
    <w:p>
      <w:pPr>
        <w:pStyle w:val="BodyText"/>
        <w:spacing w:line="348" w:lineRule="auto" w:before="117"/>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注：对前期订单分散且数量较多，可以按行业口径归类披露。临时报告已经披露过的情况，公司应提供相关披露索引。 公司报告期内产品或服务发生重大变化或调整有关情况</w:t>
      </w:r>
    </w:p>
    <w:p>
      <w:pPr>
        <w:pStyle w:val="BodyText"/>
        <w:spacing w:line="328"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注：如报告期内产品或服务发生重大变化或调整，公司应当披露已提供或将提供的新产品及服务，并说明对公司经营及业绩</w:t>
      </w:r>
      <w:r>
        <w:rPr>
          <w:spacing w:val="-63"/>
        </w:rPr>
        <w:t> </w:t>
      </w:r>
      <w:r>
        <w:rPr>
          <w:spacing w:val="-63"/>
        </w:rPr>
      </w:r>
      <w:r>
        <w:rPr/>
        <w:t>的影响。</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成本" w:id="26"/>
      <w:bookmarkEnd w:id="26"/>
      <w:r>
        <w:rPr>
          <w:b w:val="0"/>
          <w:bCs w:val="0"/>
        </w:rPr>
      </w:r>
      <w:r>
        <w:rPr/>
        <w:t>（</w:t>
      </w:r>
      <w:r>
        <w:rPr>
          <w:rFonts w:ascii="Times New Roman" w:hAnsi="Times New Roman" w:cs="Times New Roman" w:eastAsia="Times New Roman" w:hint="default"/>
        </w:rPr>
        <w:t>2</w:t>
      </w:r>
      <w:r>
        <w:rPr/>
        <w:t>）成本</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527,587.87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221,802.89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1,810,308.53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269,567.59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571.56%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1,606,929.15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314,123.65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1,795,574.21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940,240.78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16,355,322.89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10,318,605.89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bl>
    <w:p>
      <w:pPr>
        <w:pStyle w:val="BodyText"/>
        <w:spacing w:line="316" w:lineRule="auto" w:before="49"/>
        <w:ind w:right="150"/>
        <w:jc w:val="both"/>
      </w:pPr>
      <w:r>
        <w:rPr>
          <w:spacing w:val="-2"/>
        </w:rPr>
        <w:t>注：公司应当按行业披露本年度成本的主要构成项目（如原材料、人工工资、折旧、能源等）占总成本的比例情况，并提供</w:t>
      </w:r>
      <w:r>
        <w:rPr>
          <w:spacing w:val="-66"/>
        </w:rPr>
        <w:t> </w:t>
      </w:r>
      <w:r>
        <w:rPr>
          <w:spacing w:val="-66"/>
        </w:rPr>
      </w:r>
      <w:r>
        <w:rPr>
          <w:spacing w:val="-2"/>
        </w:rPr>
        <w:t>上年同口径可比数据，如无法取得可比数据，公司应当说明原因。如果涉及商业秘密的，公司可仅披露占比最高或最主要的</w:t>
      </w:r>
      <w:r>
        <w:rPr>
          <w:spacing w:val="-64"/>
        </w:rPr>
        <w:t> </w:t>
      </w:r>
      <w:r>
        <w:rPr>
          <w:spacing w:val="-64"/>
        </w:rPr>
      </w:r>
      <w:r>
        <w:rPr/>
        <w:t>单个项目。</w:t>
      </w:r>
    </w:p>
    <w:p>
      <w:pPr>
        <w:spacing w:after="0" w:line="316" w:lineRule="auto"/>
        <w:jc w:val="both"/>
        <w:sectPr>
          <w:footerReference w:type="default" r:id="rId12"/>
          <w:pgSz w:w="11910" w:h="16840"/>
          <w:pgMar w:footer="982" w:header="745" w:top="1060" w:bottom="1180" w:left="980" w:right="980"/>
          <w:pgNumType w:start="19"/>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3）费用" w:id="27"/>
      <w:bookmarkEnd w:id="27"/>
      <w:r>
        <w:rPr>
          <w:b w:val="0"/>
          <w:bCs w:val="0"/>
        </w:rPr>
      </w:r>
      <w:r>
        <w:rPr/>
        <w:t>（</w:t>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60"/>
        <w:jc w:val="right"/>
      </w:pPr>
      <w:r>
        <w:rPr/>
        <w:pict>
          <v:shape style="position:absolute;margin-left:57pt;margin-top:-36.4893pt;width:478.6pt;height:18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2"/>
                    <w:gridCol w:w="1648"/>
                    <w:gridCol w:w="1637"/>
                    <w:gridCol w:w="1462"/>
                    <w:gridCol w:w="2918"/>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52,514,065.77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37,591,823.30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39.7%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公司加大了销售投入，导致人员费 </w:t>
                        </w:r>
                        <w:r>
                          <w:rPr>
                            <w:rFonts w:ascii="宋体" w:hAnsi="宋体" w:cs="宋体" w:eastAsia="宋体" w:hint="default"/>
                            <w:spacing w:val="-7"/>
                            <w:sz w:val="18"/>
                            <w:szCs w:val="18"/>
                          </w:rPr>
                          <w:t>用、差旅费用、市场费用等有所增加</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8"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8"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49,825,792.92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34,872,627.80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42.88%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公司规模增大，加大研发投入和管理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投入，研发与管理人员增加，研发支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出和人员工资费用上升所致。</w:t>
                        </w:r>
                      </w:p>
                    </w:tc>
                  </w:tr>
                  <w:tr>
                    <w:trPr>
                      <w:trHeight w:val="394"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8"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-2,611,174.08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-142,390.82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7" w:right="0"/>
                          <w:jc w:val="left"/>
                          <w:rPr>
                            <w:rFonts w:ascii="Times New Roman" w:hAnsi="Times New Roman" w:cs="Times New Roman" w:eastAsia="Times New Roman" w:hint="default"/>
                            <w:sz w:val="18"/>
                            <w:szCs w:val="18"/>
                          </w:rPr>
                        </w:pPr>
                        <w:r>
                          <w:rPr>
                            <w:rFonts w:ascii="Times New Roman"/>
                            <w:sz w:val="18"/>
                          </w:rPr>
                          <w:t>1,733.81%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公司募集资金到位，利息收入增加所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48"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7,936,749.30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4,920,614.90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61.3%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净利润增长所致。</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3"/>
        <w:spacing w:line="240" w:lineRule="auto" w:before="26"/>
        <w:ind w:right="0"/>
        <w:jc w:val="left"/>
        <w:rPr>
          <w:b w:val="0"/>
          <w:bCs w:val="0"/>
        </w:rPr>
      </w:pPr>
      <w:bookmarkStart w:name="（4）研发投入" w:id="28"/>
      <w:bookmarkEnd w:id="28"/>
      <w:r>
        <w:rPr>
          <w:b w:val="0"/>
          <w:bCs w:val="0"/>
        </w:rPr>
      </w:r>
      <w:r>
        <w:rPr/>
        <w:t>（</w:t>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0" w:firstLine="360"/>
        <w:jc w:val="left"/>
      </w:pPr>
      <w:r>
        <w:rPr>
          <w:spacing w:val="-2"/>
        </w:rPr>
        <w:t>作为高新技术企业和自主研发企业，公司一直高度重视产品的研发，每年都投入大量的资金进行自主知识产权的软件产</w:t>
      </w:r>
      <w:r>
        <w:rPr/>
        <w:t> 品研发，不断提高公司的解决方案能力，满足客户需求，提升市场占有率。</w:t>
      </w:r>
    </w:p>
    <w:p>
      <w:pPr>
        <w:pStyle w:val="BodyText"/>
        <w:spacing w:line="307" w:lineRule="auto" w:before="18"/>
        <w:ind w:right="150" w:firstLine="360"/>
        <w:jc w:val="both"/>
      </w:pPr>
      <w:r>
        <w:rPr>
          <w:rFonts w:ascii="Times New Roman" w:hAnsi="Times New Roman" w:cs="Times New Roman" w:eastAsia="Times New Roman" w:hint="default"/>
        </w:rPr>
        <w:t>2012</w:t>
      </w:r>
      <w:r>
        <w:rPr/>
        <w:t>年，随着公司上市成功，募集资金到位，</w:t>
      </w:r>
      <w:r>
        <w:rPr>
          <w:spacing w:val="-21"/>
        </w:rPr>
        <w:t> </w:t>
      </w:r>
      <w:r>
        <w:rPr/>
        <w:t>公司加大了研发投入，多方引进人才，在信息安全领域里不断创新，围</w:t>
      </w:r>
      <w:r>
        <w:rPr/>
        <w:t> </w:t>
      </w:r>
      <w:r>
        <w:rPr>
          <w:spacing w:val="-1"/>
        </w:rPr>
        <w:t>绕</w:t>
      </w:r>
      <w:r>
        <w:rPr>
          <w:rFonts w:ascii="Times New Roman" w:hAnsi="Times New Roman" w:cs="Times New Roman" w:eastAsia="Times New Roman" w:hint="default"/>
          <w:spacing w:val="-1"/>
        </w:rPr>
        <w:t>“</w:t>
      </w:r>
      <w:r>
        <w:rPr>
          <w:spacing w:val="-1"/>
        </w:rPr>
        <w:t>终端安全管理整体解决方案升级项目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数据安全管理整体解决方案研发项目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企业级云安全管理平台项目</w:t>
      </w:r>
      <w:r>
        <w:rPr>
          <w:rFonts w:ascii="Times New Roman" w:hAnsi="Times New Roman" w:cs="Times New Roman" w:eastAsia="Times New Roman" w:hint="default"/>
          <w:spacing w:val="-1"/>
        </w:rPr>
        <w:t>”</w:t>
      </w:r>
      <w:r>
        <w:rPr>
          <w:spacing w:val="-1"/>
        </w:rPr>
        <w:t>三个募投</w:t>
      </w:r>
      <w:r>
        <w:rPr>
          <w:spacing w:val="-59"/>
        </w:rPr>
        <w:t> </w:t>
      </w:r>
      <w:r>
        <w:rPr>
          <w:spacing w:val="-2"/>
        </w:rPr>
        <w:t>项目展开创新研发。在与客户的不断交互互动中实现创新，成功为客户提供个性化解决方案。并且将众多个性化方案给予总</w:t>
      </w:r>
      <w:r>
        <w:rPr>
          <w:spacing w:val="-63"/>
        </w:rPr>
        <w:t> </w:t>
      </w:r>
      <w:r>
        <w:rPr>
          <w:spacing w:val="-63"/>
        </w:rPr>
      </w:r>
      <w:r>
        <w:rPr/>
        <w:t>结综合，归纳需求，萃取精华，成功的应用于产品提升当中。</w:t>
      </w:r>
    </w:p>
    <w:p>
      <w:pPr>
        <w:pStyle w:val="BodyText"/>
        <w:spacing w:line="338" w:lineRule="auto" w:before="26"/>
        <w:ind w:right="0" w:firstLine="360"/>
        <w:jc w:val="left"/>
      </w:pPr>
      <w:r>
        <w:rPr/>
        <w:t>报告期内，公司研发投入</w:t>
      </w:r>
      <w:r>
        <w:rPr>
          <w:rFonts w:ascii="Times New Roman" w:hAnsi="Times New Roman" w:cs="Times New Roman" w:eastAsia="Times New Roman" w:hint="default"/>
        </w:rPr>
        <w:t>2194.78</w:t>
      </w:r>
      <w:r>
        <w:rPr/>
        <w:t>万元，同比增长</w:t>
      </w:r>
      <w:r>
        <w:rPr>
          <w:rFonts w:ascii="Times New Roman" w:hAnsi="Times New Roman" w:cs="Times New Roman" w:eastAsia="Times New Roman" w:hint="default"/>
        </w:rPr>
        <w:t>53.35%</w:t>
      </w:r>
      <w:r>
        <w:rPr/>
        <w:t>，占销售收入比重</w:t>
      </w:r>
      <w:r>
        <w:rPr>
          <w:rFonts w:ascii="Times New Roman" w:hAnsi="Times New Roman" w:cs="Times New Roman" w:eastAsia="Times New Roman" w:hint="default"/>
        </w:rPr>
        <w:t>11.55%</w:t>
      </w:r>
      <w:r>
        <w:rPr/>
        <w:t>。研发支出资本化比重目前为零。 </w:t>
      </w:r>
      <w:r>
        <w:rPr>
          <w:spacing w:val="-2"/>
        </w:rPr>
        <w:t>注：公司应说明本年度所进行研发项目的目的，项目进展和拟达到的目标，并预计对公司未来发展的影响。公司应说明本年</w:t>
      </w:r>
      <w:r>
        <w:rPr>
          <w:spacing w:val="-65"/>
        </w:rPr>
        <w:t> </w:t>
      </w:r>
      <w:r>
        <w:rPr>
          <w:spacing w:val="-65"/>
        </w:rPr>
      </w:r>
      <w:r>
        <w:rPr/>
        <w:t>度研发支出总额及资本化的比重、研发支出占营业收入的比重，如数据较上年发生显著变化，还应解释变化的原因。 近三年公司研发投入金额及占营业收入的比例</w:t>
      </w:r>
    </w:p>
    <w:p>
      <w:pPr>
        <w:spacing w:line="240" w:lineRule="auto" w:before="9"/>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950"/>
        <w:gridCol w:w="145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1329" w:right="0"/>
              <w:jc w:val="left"/>
              <w:rPr>
                <w:rFonts w:ascii="Times New Roman" w:hAnsi="Times New Roman" w:cs="Times New Roman" w:eastAsia="Times New Roman" w:hint="default"/>
                <w:sz w:val="18"/>
                <w:szCs w:val="18"/>
              </w:rPr>
            </w:pPr>
            <w:r>
              <w:rPr>
                <w:rFonts w:ascii="Times New Roman"/>
                <w:sz w:val="18"/>
              </w:rPr>
              <w:t>21,947,795.50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14,312,360.62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8,890,076.18</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50"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8" w:right="0"/>
              <w:jc w:val="left"/>
              <w:rPr>
                <w:rFonts w:ascii="Times New Roman" w:hAnsi="Times New Roman" w:cs="Times New Roman" w:eastAsia="Times New Roman" w:hint="default"/>
                <w:sz w:val="18"/>
                <w:szCs w:val="18"/>
              </w:rPr>
            </w:pPr>
            <w:r>
              <w:rPr>
                <w:rFonts w:ascii="Times New Roman"/>
                <w:sz w:val="18"/>
              </w:rPr>
              <w:t>11.55%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w:t>
            </w:r>
          </w:p>
        </w:tc>
      </w:tr>
    </w:tbl>
    <w:p>
      <w:pPr>
        <w:pStyle w:val="BodyText"/>
        <w:spacing w:line="240" w:lineRule="auto" w:before="49"/>
        <w:ind w:right="0"/>
        <w:jc w:val="left"/>
      </w:pPr>
      <w:r>
        <w:rPr/>
        <w:pict>
          <v:group style="position:absolute;margin-left:176.520004pt;margin-top:-20.758289pt;width:118pt;height:20.8pt;mso-position-horizontal-relative:page;mso-position-vertical-relative:paragraph;z-index:-1101640" coordorigin="3530,-415" coordsize="2360,416">
            <v:group style="position:absolute;left:3542;top:-403;width:2;height:392" coordorigin="3542,-403" coordsize="2,392">
              <v:shape style="position:absolute;left:3542;top:-403;width:2;height:392" coordorigin="3542,-403" coordsize="0,392" path="m3542,-403l3542,-12e" filled="false" stroked="true" strokeweight="1.2pt" strokecolor="#ffffff">
                <v:path arrowok="t"/>
              </v:shape>
            </v:group>
            <v:group style="position:absolute;left:3554;top:-403;width:2336;height:392" coordorigin="3554,-403" coordsize="2336,392">
              <v:shape style="position:absolute;left:3554;top:-403;width:2336;height:392" coordorigin="3554,-403" coordsize="2336,392" path="m3554,-12l5890,-12,5890,-403,3554,-403,3554,-12xe" filled="true" fillcolor="#ffffff" stroked="false">
                <v:path arrowok="t"/>
                <v:fill type="solid"/>
              </v:shape>
            </v:group>
            <w10:wrap type="none"/>
          </v:group>
        </w:pict>
      </w:r>
      <w:r>
        <w:rPr/>
        <w:t>注：研发投入金额是以合并报表为口径。</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现金流" w:id="29"/>
      <w:bookmarkEnd w:id="29"/>
      <w:r>
        <w:rPr>
          <w:b w:val="0"/>
          <w:bCs w:val="0"/>
        </w:rPr>
      </w:r>
      <w:r>
        <w:rPr/>
        <w:t>（</w:t>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136,140,010.73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138,952,985.71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147,521,244.81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110,555,434.72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33.44%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-11,381,234.08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28,397,550.99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-140.08%</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17,264.38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14,585,378.45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5,149,467.76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-14,583,367.66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-5,132,203.38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184.15%</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388,518,900.00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77,603.78%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42,282,716.85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-79.98%</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380,052,545.20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-41,782,716.85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-1,009.59%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354,087,943.46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-18,517,369.24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2,012.19%</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43" w:firstLine="72"/>
        <w:jc w:val="left"/>
      </w:pPr>
      <w:r>
        <w:rPr/>
        <w:t>经营活动现金流出同比增长</w:t>
      </w:r>
      <w:r>
        <w:rPr>
          <w:spacing w:val="-42"/>
        </w:rPr>
        <w:t> </w:t>
      </w:r>
      <w:r>
        <w:rPr>
          <w:rFonts w:ascii="Times New Roman" w:hAnsi="Times New Roman" w:cs="Times New Roman" w:eastAsia="Times New Roman" w:hint="default"/>
          <w:spacing w:val="-1"/>
        </w:rPr>
        <w:t>33.44%</w:t>
      </w:r>
      <w:r>
        <w:rPr>
          <w:spacing w:val="-1"/>
        </w:rPr>
        <w:t>，主要系公司规模加大，公司加大了投入，导致人员费用、差旅费用、市场费用、研发</w:t>
      </w:r>
      <w:r>
        <w:rPr/>
        <w:t> 投入等有所增加所致。</w:t>
      </w:r>
    </w:p>
    <w:p>
      <w:pPr>
        <w:pStyle w:val="BodyText"/>
        <w:spacing w:line="300" w:lineRule="auto" w:before="72"/>
        <w:ind w:right="0"/>
        <w:jc w:val="left"/>
      </w:pPr>
      <w:r>
        <w:rPr>
          <w:spacing w:val="-1"/>
        </w:rPr>
        <w:t>投资活动现金流出同比增长</w:t>
      </w:r>
      <w:r>
        <w:rPr>
          <w:rFonts w:ascii="Times New Roman" w:hAnsi="Times New Roman" w:cs="Times New Roman" w:eastAsia="Times New Roman" w:hint="default"/>
          <w:spacing w:val="-1"/>
        </w:rPr>
        <w:t>183.24%</w:t>
      </w:r>
      <w:r>
        <w:rPr>
          <w:spacing w:val="-1"/>
        </w:rPr>
        <w:t>，主要系公司为改善西安研发平台、营销和技术服务平台的办公环境，购买办公场所支</w:t>
      </w:r>
      <w:r>
        <w:rPr>
          <w:spacing w:val="-45"/>
        </w:rPr>
        <w:t> </w:t>
      </w:r>
      <w:r>
        <w:rPr>
          <w:spacing w:val="-45"/>
        </w:rPr>
      </w:r>
      <w:r>
        <w:rPr/>
        <w:t>出</w:t>
      </w:r>
      <w:r>
        <w:rPr>
          <w:rFonts w:ascii="Times New Roman" w:hAnsi="Times New Roman" w:cs="Times New Roman" w:eastAsia="Times New Roman" w:hint="default"/>
        </w:rPr>
        <w:t>1154.59</w:t>
      </w:r>
      <w:r>
        <w:rPr/>
        <w:t>万元影响所致。</w:t>
      </w:r>
    </w:p>
    <w:p>
      <w:pPr>
        <w:pStyle w:val="BodyText"/>
        <w:spacing w:line="300" w:lineRule="auto" w:before="13"/>
        <w:ind w:right="3564"/>
        <w:jc w:val="left"/>
      </w:pPr>
      <w:r>
        <w:rPr/>
        <w:t>筹资活动现金流入大幅增加，主要系公司于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月成功上市募集资金所致。 报告期内公司经营活动的现金流量与本年度净利润存在重大差异的原因说明</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6）公司主要供应商、客户情况" w:id="30"/>
      <w:bookmarkEnd w:id="30"/>
      <w:r>
        <w:rPr>
          <w:b w:val="0"/>
          <w:bCs w:val="0"/>
        </w:rPr>
      </w: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33,069,921.48</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17.41%</w:t>
            </w:r>
          </w:p>
        </w:tc>
      </w:tr>
    </w:tbl>
    <w:p>
      <w:pPr>
        <w:pStyle w:val="BodyText"/>
        <w:spacing w:line="240" w:lineRule="auto" w:before="49"/>
        <w:ind w:right="0"/>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2083"/>
        <w:gridCol w:w="2820"/>
        <w:gridCol w:w="2820"/>
      </w:tblGrid>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6" w:right="53" w:hanging="812"/>
              <w:jc w:val="left"/>
              <w:rPr>
                <w:rFonts w:ascii="宋体" w:hAnsi="宋体" w:cs="宋体" w:eastAsia="宋体" w:hint="default"/>
                <w:sz w:val="18"/>
                <w:szCs w:val="18"/>
              </w:rPr>
            </w:pPr>
            <w:r>
              <w:rPr>
                <w:rFonts w:ascii="宋体" w:hAnsi="宋体" w:cs="宋体" w:eastAsia="宋体" w:hint="default"/>
                <w:sz w:val="18"/>
                <w:szCs w:val="18"/>
              </w:rPr>
              <w:t>销售金额或比例与以前年度相比变 化情况的说明</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3"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7,852,912.72</w:t>
            </w:r>
            <w:r>
              <w:rPr>
                <w:rFonts w:ascii="Times New Roman"/>
                <w:sz w:val="18"/>
              </w:rPr>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tabs>
                <w:tab w:pos="4725" w:val="left" w:leader="none"/>
              </w:tabs>
              <w:spacing w:line="240" w:lineRule="auto" w:before="50"/>
              <w:ind w:left="-125"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38.39%</w:t>
            </w:r>
          </w:p>
        </w:tc>
      </w:tr>
    </w:tbl>
    <w:p>
      <w:pPr>
        <w:pStyle w:val="BodyText"/>
        <w:spacing w:line="240" w:lineRule="auto" w:before="49"/>
        <w:ind w:right="0"/>
        <w:jc w:val="left"/>
      </w:pPr>
      <w:r>
        <w:rPr/>
        <w:pict>
          <v:group style="position:absolute;margin-left:269.760010pt;margin-top:-20.638287pt;width:263.9pt;height:20.8pt;mso-position-horizontal-relative:page;mso-position-vertical-relative:paragraph;z-index:-1101592" coordorigin="5395,-413" coordsize="5278,416">
            <v:group style="position:absolute;left:5407;top:-401;width:2;height:392" coordorigin="5407,-401" coordsize="2,392">
              <v:shape style="position:absolute;left:5407;top:-401;width:2;height:392" coordorigin="5407,-401" coordsize="0,392" path="m5407,-401l5407,-10e" filled="false" stroked="true" strokeweight="1.2pt" strokecolor="#ffffff">
                <v:path arrowok="t"/>
              </v:shape>
            </v:group>
            <v:group style="position:absolute;left:5419;top:-401;width:5254;height:392" coordorigin="5419,-401" coordsize="5254,392">
              <v:shape style="position:absolute;left:5419;top:-401;width:5254;height:392" coordorigin="5419,-401" coordsize="5254,392" path="m5419,-10l10673,-10,10673,-401,5419,-401,5419,-10xe" filled="true" fillcolor="#ffffff" stroked="false">
                <v:path arrowok="t"/>
                <v:fill type="solid"/>
              </v:shape>
            </v:group>
            <w10:wrap type="none"/>
          </v:group>
        </w:pict>
      </w:r>
      <w:r>
        <w:rPr/>
        <w:t>向单一供应商采购比例超过</w:t>
      </w:r>
      <w:r>
        <w:rPr>
          <w:spacing w:val="-48"/>
        </w:rPr>
        <w:t> </w:t>
      </w:r>
      <w:r>
        <w:rPr>
          <w:rFonts w:ascii="Times New Roman" w:hAnsi="Times New Roman" w:cs="Times New Roman" w:eastAsia="Times New Roman" w:hint="default"/>
        </w:rPr>
        <w:t>30%</w:t>
      </w:r>
      <w:r>
        <w:rPr/>
        <w:t>的客户资料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2083"/>
        <w:gridCol w:w="2820"/>
        <w:gridCol w:w="2820"/>
      </w:tblGrid>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0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66" w:right="53" w:hanging="812"/>
              <w:jc w:val="left"/>
              <w:rPr>
                <w:rFonts w:ascii="宋体" w:hAnsi="宋体" w:cs="宋体" w:eastAsia="宋体" w:hint="default"/>
                <w:sz w:val="18"/>
                <w:szCs w:val="18"/>
              </w:rPr>
            </w:pPr>
            <w:r>
              <w:rPr>
                <w:rFonts w:ascii="宋体" w:hAnsi="宋体" w:cs="宋体" w:eastAsia="宋体" w:hint="default"/>
                <w:sz w:val="18"/>
                <w:szCs w:val="18"/>
              </w:rPr>
              <w:t>采购金额或比例与以前年度相比变 化情况的说明</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3"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bookmarkStart w:name="（7）公司未来发展与规划延续至报告期的说明" w:id="31"/>
      <w:bookmarkEnd w:id="31"/>
      <w:r>
        <w:rPr/>
      </w:r>
      <w:r>
        <w:rPr/>
        <w:t>首次公开发行招股说明书中披露的未来发展与规划在本报告期的实施情况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6" w:lineRule="auto"/>
        <w:ind w:left="532" w:right="254" w:hanging="20"/>
        <w:jc w:val="left"/>
      </w:pPr>
      <w:r>
        <w:rPr/>
        <w:t>公司在招股书明书中披露的未来三年发展规划及目标如下： 未来三年内，公司将实现以下目标：首先，主要围绕终端安全管理、数据安全管理及安全管理平台三大产品体系，在</w:t>
      </w:r>
    </w:p>
    <w:p>
      <w:pPr>
        <w:pStyle w:val="BodyText"/>
        <w:spacing w:line="316" w:lineRule="auto" w:before="18"/>
        <w:ind w:right="94"/>
        <w:jc w:val="left"/>
      </w:pPr>
      <w:r>
        <w:rPr/>
        <w:t>巩固和扩大面向国家部委、大型企事业单位的信息安全产品的同时，积极发展面向中小企业及个人客户的单机版安全产品， </w:t>
      </w:r>
      <w:r>
        <w:rPr>
          <w:spacing w:val="-2"/>
        </w:rPr>
        <w:t>为公司创造新的利润增长点；其次，在进一步完善国内营销服务体系的基础上，逐步建立并完善国际营销网络，全面提升公</w:t>
      </w:r>
      <w:r>
        <w:rPr>
          <w:spacing w:val="-65"/>
        </w:rPr>
        <w:t> </w:t>
      </w:r>
      <w:r>
        <w:rPr>
          <w:spacing w:val="-65"/>
        </w:rPr>
      </w:r>
      <w:r>
        <w:rPr/>
        <w:t>司的技术服务能力和应急响应能力。</w:t>
      </w:r>
    </w:p>
    <w:p>
      <w:pPr>
        <w:pStyle w:val="BodyText"/>
        <w:spacing w:line="316" w:lineRule="auto" w:before="18"/>
        <w:ind w:right="193" w:firstLine="360"/>
        <w:jc w:val="both"/>
      </w:pPr>
      <w:r>
        <w:rPr>
          <w:spacing w:val="-2"/>
        </w:rPr>
        <w:t>围绕公司未来三年发展规划及发展战略，公司在增强成长性、提高自主创新能力和核心竞争优势等方面拟采取的具体措</w:t>
      </w:r>
      <w:r>
        <w:rPr/>
        <w:t> 施如下：</w:t>
      </w:r>
    </w:p>
    <w:p>
      <w:pPr>
        <w:pStyle w:val="BodyText"/>
        <w:spacing w:line="432" w:lineRule="exact" w:before="3"/>
        <w:ind w:left="512" w:right="62"/>
        <w:jc w:val="left"/>
      </w:pPr>
      <w:r>
        <w:rPr>
          <w:rFonts w:ascii="Times New Roman" w:hAnsi="Times New Roman" w:cs="Times New Roman" w:eastAsia="Times New Roman" w:hint="default"/>
        </w:rPr>
        <w:t>1</w:t>
      </w:r>
      <w:r>
        <w:rPr/>
        <w:t>、产品开发计划 本公司将利用本次发行募集资金重点投资于</w:t>
      </w:r>
      <w:r>
        <w:rPr>
          <w:rFonts w:ascii="Times New Roman" w:hAnsi="Times New Roman" w:cs="Times New Roman" w:eastAsia="Times New Roman" w:hint="default"/>
        </w:rPr>
        <w:t>“</w:t>
      </w:r>
      <w:r>
        <w:rPr/>
        <w:t>终端安全管理整体解决方案升级项目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数据安全管理整体解决方案研发</w:t>
      </w:r>
    </w:p>
    <w:p>
      <w:pPr>
        <w:pStyle w:val="BodyText"/>
        <w:spacing w:line="312" w:lineRule="auto" w:before="15"/>
        <w:ind w:right="190"/>
        <w:jc w:val="both"/>
      </w:pPr>
      <w:r>
        <w:rPr/>
        <w:t>项目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企业级云安全管理平台项目</w:t>
      </w:r>
      <w:r>
        <w:rPr>
          <w:rFonts w:ascii="Times New Roman" w:hAnsi="Times New Roman" w:cs="Times New Roman" w:eastAsia="Times New Roman" w:hint="default"/>
        </w:rPr>
        <w:t>”</w:t>
      </w:r>
      <w:r>
        <w:rPr/>
        <w:t>等三个项目的产品开发和建设，不断完善和丰富企业级信息安全产品的功能和品种。</w:t>
      </w:r>
      <w:r>
        <w:rPr>
          <w:spacing w:val="-58"/>
        </w:rPr>
        <w:t> </w:t>
      </w:r>
      <w:r>
        <w:rPr>
          <w:spacing w:val="-58"/>
        </w:rPr>
      </w:r>
      <w:r>
        <w:rPr>
          <w:spacing w:val="-2"/>
        </w:rPr>
        <w:t>同时，公司不断开发适合中小企业及个人用户的单机版信息安全产品。根据行业发展的具体情况和趋势，公司还将加大对网</w:t>
      </w:r>
      <w:r>
        <w:rPr>
          <w:spacing w:val="-63"/>
        </w:rPr>
        <w:t> </w:t>
      </w:r>
      <w:r>
        <w:rPr>
          <w:spacing w:val="-63"/>
        </w:rPr>
      </w:r>
      <w:r>
        <w:rPr>
          <w:spacing w:val="-2"/>
        </w:rPr>
        <w:t>络文件保险箱、安全虚拟办公系统等产品和相关技术的研发投入，并密切关注移动终端、物联网的发展状况，保持产品和技</w:t>
      </w:r>
      <w:r>
        <w:rPr>
          <w:spacing w:val="-64"/>
        </w:rPr>
        <w:t> </w:t>
      </w:r>
      <w:r>
        <w:rPr>
          <w:spacing w:val="-64"/>
        </w:rPr>
      </w:r>
      <w:r>
        <w:rPr/>
        <w:t>术的创新性和前瞻性。</w:t>
      </w:r>
    </w:p>
    <w:p>
      <w:pPr>
        <w:pStyle w:val="BodyText"/>
        <w:spacing w:line="432" w:lineRule="exact" w:before="7"/>
        <w:ind w:left="512" w:right="62"/>
        <w:jc w:val="left"/>
      </w:pPr>
      <w:r>
        <w:rPr>
          <w:rFonts w:ascii="Times New Roman" w:hAnsi="Times New Roman" w:cs="Times New Roman" w:eastAsia="Times New Roman" w:hint="default"/>
        </w:rPr>
        <w:t>2</w:t>
      </w:r>
      <w:r>
        <w:rPr/>
        <w:t>、市场开发与营销服务网络建设计划 </w:t>
      </w:r>
      <w:r>
        <w:rPr>
          <w:spacing w:val="-2"/>
        </w:rPr>
        <w:t>本公司企业级信息安全产品被广泛运用于政府部门、军工以及金融和能源等国家重点行业的大中型骨干企业，由于这些</w:t>
      </w:r>
    </w:p>
    <w:p>
      <w:pPr>
        <w:pStyle w:val="BodyText"/>
        <w:spacing w:line="316" w:lineRule="auto" w:before="15"/>
        <w:ind w:right="190"/>
        <w:jc w:val="both"/>
      </w:pPr>
      <w:r>
        <w:rPr>
          <w:spacing w:val="-2"/>
        </w:rPr>
        <w:t>主要客户一般具有较典型的层级结构，对数量庞大的分支机构采取垂直的纵向管理模式，为保持整个系统运行的效率并保证</w:t>
      </w:r>
      <w:r>
        <w:rPr>
          <w:spacing w:val="-64"/>
        </w:rPr>
        <w:t> </w:t>
      </w:r>
      <w:r>
        <w:rPr>
          <w:spacing w:val="-64"/>
        </w:rPr>
      </w:r>
      <w:r>
        <w:rPr>
          <w:spacing w:val="-2"/>
        </w:rPr>
        <w:t>安全性，分支机构在采购信息安全产品时经常与总部保持一致，因此公司采取重点开拓客户的总部机构、并由总部机构向其</w:t>
      </w:r>
      <w:r>
        <w:rPr>
          <w:spacing w:val="-63"/>
        </w:rPr>
        <w:t> </w:t>
      </w:r>
      <w:r>
        <w:rPr>
          <w:spacing w:val="-63"/>
        </w:rPr>
      </w:r>
      <w:r>
        <w:rPr/>
        <w:t>省、市、县级分支机构逐步推广的总部市场策略。</w:t>
      </w:r>
    </w:p>
    <w:p>
      <w:pPr>
        <w:pStyle w:val="BodyText"/>
        <w:spacing w:line="316" w:lineRule="auto" w:before="139"/>
        <w:ind w:right="190" w:firstLine="360"/>
        <w:jc w:val="both"/>
      </w:pPr>
      <w:r>
        <w:rPr>
          <w:spacing w:val="-2"/>
        </w:rPr>
        <w:t>为配合公司总部市场策略的实施，公司设立了政府军工事业部、金融能源事业部、营销中心、渠道管理部和大区营销事</w:t>
      </w:r>
      <w:r>
        <w:rPr/>
        <w:t> </w:t>
      </w:r>
      <w:r>
        <w:rPr>
          <w:spacing w:val="-2"/>
        </w:rPr>
        <w:t>业部，深入挖掘客户的需求和提供个性化的服务。随着总部市场策略的成功推行，公司客户群迅速扩大。目前，公司的主要</w:t>
      </w:r>
      <w:r>
        <w:rPr>
          <w:spacing w:val="-67"/>
        </w:rPr>
        <w:t> </w:t>
      </w:r>
      <w:r>
        <w:rPr>
          <w:spacing w:val="-67"/>
        </w:rPr>
      </w:r>
      <w:r>
        <w:rPr>
          <w:spacing w:val="-2"/>
        </w:rPr>
        <w:t>客户包括政府部门、军队军工以及金融、能源等重要领域的大型国有企业和事业单位。这些总部客户的良好积累为公司深入</w:t>
      </w:r>
      <w:r>
        <w:rPr>
          <w:spacing w:val="-63"/>
        </w:rPr>
        <w:t> </w:t>
      </w:r>
      <w:r>
        <w:rPr>
          <w:spacing w:val="-63"/>
        </w:rPr>
      </w:r>
      <w:r>
        <w:rPr/>
        <w:t>实施市场销售策略奠定了深厚的基础。</w:t>
      </w:r>
    </w:p>
    <w:p>
      <w:pPr>
        <w:pStyle w:val="BodyText"/>
        <w:spacing w:line="314" w:lineRule="auto" w:before="139"/>
        <w:ind w:right="190" w:firstLine="360"/>
        <w:jc w:val="both"/>
      </w:pPr>
      <w:r>
        <w:rPr>
          <w:spacing w:val="-2"/>
        </w:rPr>
        <w:t>为进一步开拓市场，保持销售增长的可持续性，公司将继续强化总部市场策略。一方面公司将深度挖掘已开发的政府部</w:t>
      </w:r>
      <w:r>
        <w:rPr/>
        <w:t> </w:t>
      </w:r>
      <w:r>
        <w:rPr>
          <w:spacing w:val="-2"/>
        </w:rPr>
        <w:t>门、军工、金融以及能源客户总部机构的需求，适时推广公司的新产品及服务；另一方面，公司将充分利用已形成的总部优</w:t>
      </w:r>
      <w:r>
        <w:rPr>
          <w:spacing w:val="-67"/>
        </w:rPr>
        <w:t> </w:t>
      </w:r>
      <w:r>
        <w:rPr>
          <w:spacing w:val="-67"/>
        </w:rPr>
      </w:r>
      <w:r>
        <w:rPr>
          <w:spacing w:val="-2"/>
        </w:rPr>
        <w:t>势，沿着纵向管理层级体系向其下属省、市、县级机构延伸，不断地拓展公司产品应用范围。在国家公安系统、国家税务系</w:t>
      </w:r>
      <w:r>
        <w:rPr>
          <w:spacing w:val="-68"/>
        </w:rPr>
        <w:t> </w:t>
      </w:r>
      <w:r>
        <w:rPr>
          <w:spacing w:val="-68"/>
        </w:rPr>
      </w:r>
      <w:r>
        <w:rPr>
          <w:spacing w:val="-2"/>
        </w:rPr>
        <w:t>统中，公司已成功将终端安全管理产品由其总部推广至全系统广泛应用；在能源客户中，公司深入开发了国家电网及其下属</w:t>
      </w:r>
      <w:r>
        <w:rPr>
          <w:spacing w:val="-65"/>
        </w:rPr>
        <w:t> </w:t>
      </w:r>
      <w:r>
        <w:rPr>
          <w:spacing w:val="-65"/>
        </w:rPr>
      </w:r>
      <w:r>
        <w:rPr>
          <w:rFonts w:ascii="Times New Roman" w:hAnsi="Times New Roman" w:cs="Times New Roman" w:eastAsia="Times New Roman" w:hint="default"/>
          <w:spacing w:val="-2"/>
        </w:rPr>
        <w:t>26</w:t>
      </w:r>
      <w:r>
        <w:rPr>
          <w:spacing w:val="-2"/>
        </w:rPr>
        <w:t>个省电力公司、几十个直属单位，以及中国石油天然气集团公司及其直属的多个二级企业。公司从以上市场推广项目中积</w:t>
      </w:r>
      <w:r>
        <w:rPr>
          <w:spacing w:val="-62"/>
        </w:rPr>
        <w:t> </w:t>
      </w:r>
      <w:r>
        <w:rPr>
          <w:spacing w:val="-62"/>
        </w:rPr>
      </w:r>
      <w:r>
        <w:rPr>
          <w:spacing w:val="-2"/>
        </w:rPr>
        <w:t>累了丰富经验和成熟的市场策略，亦使得公司更容易将成熟的市场销售模式向国家部委客户、大型金融机构客户、军工企业</w:t>
      </w:r>
      <w:r>
        <w:rPr>
          <w:spacing w:val="-66"/>
        </w:rPr>
        <w:t> </w:t>
      </w:r>
      <w:r>
        <w:rPr>
          <w:spacing w:val="-66"/>
        </w:rPr>
      </w:r>
      <w:r>
        <w:rPr/>
        <w:t>集团客户进行复制，以保持公司良好的后续客户的深度开发能力。</w:t>
      </w:r>
    </w:p>
    <w:p>
      <w:pPr>
        <w:pStyle w:val="BodyText"/>
        <w:spacing w:line="316" w:lineRule="auto" w:before="140"/>
        <w:ind w:right="104" w:firstLine="360"/>
        <w:jc w:val="both"/>
      </w:pPr>
      <w:r>
        <w:rPr>
          <w:spacing w:val="-4"/>
        </w:rPr>
        <w:t>对适用于个人用户的信息安全产品，公司将通过行业主流媒体、报纸、专业网站以及用户亲身体验等多种方式大力推广，</w:t>
      </w:r>
      <w:r>
        <w:rPr/>
        <w:t> 培育和壮大个人信息安全产品市场，树立良好的企业品牌形象，为未来公司个人信息安全产品的研发和市场推广奠定基础。</w:t>
      </w:r>
    </w:p>
    <w:p>
      <w:pPr>
        <w:pStyle w:val="BodyText"/>
        <w:spacing w:line="316" w:lineRule="auto" w:before="139"/>
        <w:ind w:right="62" w:firstLine="360"/>
        <w:jc w:val="left"/>
      </w:pPr>
      <w:r>
        <w:rPr>
          <w:spacing w:val="-2"/>
        </w:rPr>
        <w:t>本次募集资金到位后，公司还将进一步加强营销服务体系建设，逐步形成以北京为中心、广州、上海、西安、成都、沈</w:t>
      </w:r>
      <w:r>
        <w:rPr/>
        <w:t> </w:t>
      </w:r>
      <w:r>
        <w:rPr>
          <w:spacing w:val="-2"/>
        </w:rPr>
        <w:t>阳和武汉为区域中心，辐射各城市营销服务网点的三级联动管理的营销服务网络。营销服务体系的建成，将降低公司技术服</w:t>
      </w:r>
      <w:r>
        <w:rPr>
          <w:spacing w:val="-63"/>
        </w:rPr>
        <w:t> </w:t>
      </w:r>
      <w:r>
        <w:rPr>
          <w:spacing w:val="-63"/>
        </w:rPr>
      </w:r>
      <w:r>
        <w:rPr>
          <w:spacing w:val="-4"/>
        </w:rPr>
        <w:t>务的成本，提高公司对用户需求响应的及时性，不但有利于公司总部市场策略的实施，有利于个人信息安全产品的市场推广，</w:t>
      </w:r>
      <w:r>
        <w:rPr>
          <w:spacing w:val="-44"/>
        </w:rPr>
        <w:t> </w:t>
      </w:r>
      <w:r>
        <w:rPr>
          <w:spacing w:val="-44"/>
        </w:rPr>
      </w:r>
      <w:r>
        <w:rPr/>
        <w:t>而且可以加强公司与各地渠道商的合作，拓宽公司产品市场覆盖率。</w:t>
      </w:r>
    </w:p>
    <w:p>
      <w:pPr>
        <w:pStyle w:val="BodyText"/>
        <w:spacing w:line="240" w:lineRule="auto" w:before="139"/>
        <w:ind w:left="620" w:right="62"/>
        <w:jc w:val="left"/>
      </w:pPr>
      <w:r>
        <w:rPr>
          <w:rFonts w:ascii="Times New Roman" w:hAnsi="Times New Roman" w:cs="Times New Roman" w:eastAsia="Times New Roman" w:hint="default"/>
        </w:rPr>
        <w:t>3</w:t>
      </w:r>
      <w:r>
        <w:rPr/>
        <w:t>、人才扩充及培养计划</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7" w:lineRule="auto" w:before="44"/>
        <w:ind w:right="91" w:firstLine="360"/>
        <w:jc w:val="left"/>
      </w:pPr>
      <w:r>
        <w:rPr>
          <w:spacing w:val="-4"/>
        </w:rPr>
        <w:t>本次募集资金到位后，随着募集资金投资项目的实施，公司将加大对中层以上管理人员和后台支持人员、技术研发人员、</w:t>
      </w:r>
      <w:r>
        <w:rPr/>
        <w:t> 业务营销人员的需求，员工总数将从目前的</w:t>
      </w:r>
      <w:r>
        <w:rPr>
          <w:rFonts w:ascii="Times New Roman" w:hAnsi="Times New Roman" w:cs="Times New Roman" w:eastAsia="Times New Roman" w:hint="default"/>
        </w:rPr>
        <w:t>500</w:t>
      </w:r>
      <w:r>
        <w:rPr/>
        <w:t>多人增加至</w:t>
      </w:r>
      <w:r>
        <w:rPr>
          <w:rFonts w:ascii="Times New Roman" w:hAnsi="Times New Roman" w:cs="Times New Roman" w:eastAsia="Times New Roman" w:hint="default"/>
        </w:rPr>
        <w:t>600</w:t>
      </w:r>
      <w:r>
        <w:rPr/>
        <w:t>余人。其中，</w:t>
      </w:r>
      <w:r>
        <w:rPr>
          <w:rFonts w:ascii="Times New Roman" w:hAnsi="Times New Roman" w:cs="Times New Roman" w:eastAsia="Times New Roman" w:hint="default"/>
        </w:rPr>
        <w:t>“</w:t>
      </w:r>
      <w:r>
        <w:rPr/>
        <w:t>终端安全管理整体解决方案升级项目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数据</w:t>
      </w:r>
      <w:r>
        <w:rPr>
          <w:spacing w:val="-59"/>
        </w:rPr>
        <w:t> </w:t>
      </w:r>
      <w:r>
        <w:rPr>
          <w:spacing w:val="-1"/>
        </w:rPr>
        <w:t>安全管理整体解决方案研发项目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企业级云安全管理平台项目</w:t>
      </w:r>
      <w:r>
        <w:rPr>
          <w:rFonts w:ascii="Times New Roman" w:hAnsi="Times New Roman" w:cs="Times New Roman" w:eastAsia="Times New Roman" w:hint="default"/>
          <w:spacing w:val="-1"/>
        </w:rPr>
        <w:t>”</w:t>
      </w:r>
      <w:r>
        <w:rPr>
          <w:spacing w:val="-1"/>
        </w:rPr>
        <w:t>分别需要开发工程师、测试工程师等技术研发人员</w:t>
      </w:r>
      <w:r>
        <w:rPr>
          <w:rFonts w:ascii="Times New Roman" w:hAnsi="Times New Roman" w:cs="Times New Roman" w:eastAsia="Times New Roman" w:hint="default"/>
          <w:spacing w:val="-1"/>
        </w:rPr>
        <w:t>50</w:t>
      </w:r>
      <w:r>
        <w:rPr>
          <w:spacing w:val="-1"/>
        </w:rPr>
        <w:t>余人、</w:t>
      </w:r>
      <w:r>
        <w:rPr>
          <w:spacing w:val="-86"/>
        </w:rPr>
        <w:t> </w:t>
      </w:r>
      <w:r>
        <w:rPr>
          <w:spacing w:val="-86"/>
        </w:rPr>
      </w:r>
      <w:r>
        <w:rPr>
          <w:rFonts w:ascii="Times New Roman" w:hAnsi="Times New Roman" w:cs="Times New Roman" w:eastAsia="Times New Roman" w:hint="default"/>
        </w:rPr>
        <w:t>40</w:t>
      </w:r>
      <w:r>
        <w:rPr/>
        <w:t>余人和</w:t>
      </w:r>
      <w:r>
        <w:rPr>
          <w:rFonts w:ascii="Times New Roman" w:hAnsi="Times New Roman" w:cs="Times New Roman" w:eastAsia="Times New Roman" w:hint="default"/>
        </w:rPr>
        <w:t>20</w:t>
      </w:r>
      <w:r>
        <w:rPr/>
        <w:t>余人，</w:t>
      </w:r>
      <w:r>
        <w:rPr>
          <w:rFonts w:ascii="Times New Roman" w:hAnsi="Times New Roman" w:cs="Times New Roman" w:eastAsia="Times New Roman" w:hint="default"/>
        </w:rPr>
        <w:t>“</w:t>
      </w:r>
      <w:r>
        <w:rPr/>
        <w:t>营销服务体系建设项目</w:t>
      </w:r>
      <w:r>
        <w:rPr>
          <w:rFonts w:ascii="Times New Roman" w:hAnsi="Times New Roman" w:cs="Times New Roman" w:eastAsia="Times New Roman" w:hint="default"/>
        </w:rPr>
        <w:t>”</w:t>
      </w:r>
      <w:r>
        <w:rPr/>
        <w:t>需要技术支持人员和业务营销人员约</w:t>
      </w:r>
      <w:r>
        <w:rPr>
          <w:rFonts w:ascii="Times New Roman" w:hAnsi="Times New Roman" w:cs="Times New Roman" w:eastAsia="Times New Roman" w:hint="default"/>
        </w:rPr>
        <w:t>300</w:t>
      </w:r>
      <w:r>
        <w:rPr/>
        <w:t>人。</w:t>
      </w:r>
    </w:p>
    <w:p>
      <w:pPr>
        <w:pStyle w:val="BodyText"/>
        <w:spacing w:line="316" w:lineRule="auto" w:before="127"/>
        <w:ind w:right="190" w:firstLine="360"/>
        <w:jc w:val="both"/>
      </w:pPr>
      <w:r>
        <w:rPr>
          <w:spacing w:val="-2"/>
        </w:rPr>
        <w:t>为适应业务的快速发展，公司将实施积极的人才管理战略，坚持引进高素质人才的策略，不断充实和壮大公司的研发能</w:t>
      </w:r>
      <w:r>
        <w:rPr/>
        <w:t> </w:t>
      </w:r>
      <w:r>
        <w:rPr>
          <w:spacing w:val="-2"/>
        </w:rPr>
        <w:t>力、市场拓展能力和管理能力。同时，公司将不断加强对现有员工特别是骨干员工的岗位培训，根据不同岗位的要求，制定</w:t>
      </w:r>
      <w:r>
        <w:rPr>
          <w:spacing w:val="-67"/>
        </w:rPr>
        <w:t> </w:t>
      </w:r>
      <w:r>
        <w:rPr>
          <w:spacing w:val="-67"/>
        </w:rPr>
      </w:r>
      <w:r>
        <w:rPr>
          <w:spacing w:val="-2"/>
        </w:rPr>
        <w:t>详细的培训计划。内部业务骨干、核心技术人员以讲座和研讨形式与其他员工进行经常性的交流，并且公司定期邀请业内专</w:t>
      </w:r>
      <w:r>
        <w:rPr>
          <w:spacing w:val="-63"/>
        </w:rPr>
        <w:t> </w:t>
      </w:r>
      <w:r>
        <w:rPr>
          <w:spacing w:val="-63"/>
        </w:rPr>
      </w:r>
      <w:r>
        <w:rPr>
          <w:spacing w:val="-2"/>
        </w:rPr>
        <w:t>家、高校名师及科研院所研究人员进行专题讲座，以进一步提高员工的整体素质，使公司的研发人员能够紧跟国内外最新技</w:t>
      </w:r>
      <w:r>
        <w:rPr>
          <w:spacing w:val="-63"/>
        </w:rPr>
        <w:t> </w:t>
      </w:r>
      <w:r>
        <w:rPr>
          <w:spacing w:val="-63"/>
        </w:rPr>
      </w:r>
      <w:r>
        <w:rPr/>
        <w:t>术的发展动态，确保公司的技术和管理水平保持优势地位。</w:t>
      </w:r>
    </w:p>
    <w:p>
      <w:pPr>
        <w:pStyle w:val="BodyText"/>
        <w:spacing w:line="432" w:lineRule="exact" w:before="3"/>
        <w:ind w:left="512" w:right="62"/>
        <w:jc w:val="left"/>
      </w:pPr>
      <w:r>
        <w:rPr>
          <w:rFonts w:ascii="Times New Roman" w:hAnsi="Times New Roman" w:cs="Times New Roman" w:eastAsia="Times New Roman" w:hint="default"/>
        </w:rPr>
        <w:t>4</w:t>
      </w:r>
      <w:r>
        <w:rPr/>
        <w:t>、改革和结构调整规划 </w:t>
      </w:r>
      <w:r>
        <w:rPr>
          <w:spacing w:val="-2"/>
        </w:rPr>
        <w:t>公司将进一步强化科学合理的法人治理结构，健全重大决策的程序和规则，确保公司的经营管理和投资决策的科学性和</w:t>
      </w:r>
    </w:p>
    <w:p>
      <w:pPr>
        <w:pStyle w:val="BodyText"/>
        <w:spacing w:line="316" w:lineRule="auto" w:before="15"/>
        <w:ind w:right="190"/>
        <w:jc w:val="both"/>
      </w:pPr>
      <w:r>
        <w:rPr>
          <w:spacing w:val="-2"/>
        </w:rPr>
        <w:t>准确性；进一步深化企业内部改革，强化科学管理，根据公司发展的需要，不断地优化公司的内部组织和管理，适时增加和</w:t>
      </w:r>
      <w:r>
        <w:rPr>
          <w:spacing w:val="-67"/>
        </w:rPr>
        <w:t> </w:t>
      </w:r>
      <w:r>
        <w:rPr>
          <w:spacing w:val="-67"/>
        </w:rPr>
      </w:r>
      <w:r>
        <w:rPr>
          <w:spacing w:val="-2"/>
        </w:rPr>
        <w:t>调整公司的事业部、大区营销服务中心和营销服务网点；进一步完善公司管理层与其他核心人员的激励和约束机制，保持公</w:t>
      </w:r>
      <w:r>
        <w:rPr>
          <w:spacing w:val="-63"/>
        </w:rPr>
        <w:t> </w:t>
      </w:r>
      <w:r>
        <w:rPr>
          <w:spacing w:val="-63"/>
        </w:rPr>
      </w:r>
      <w:r>
        <w:rPr/>
        <w:t>司管理层与其他核心人员队伍的稳定。</w:t>
      </w:r>
    </w:p>
    <w:p>
      <w:pPr>
        <w:pStyle w:val="BodyText"/>
        <w:spacing w:line="432" w:lineRule="exact" w:before="3"/>
        <w:ind w:left="512" w:right="62"/>
        <w:jc w:val="left"/>
      </w:pPr>
      <w:r>
        <w:rPr>
          <w:rFonts w:ascii="Times New Roman" w:hAnsi="Times New Roman" w:cs="Times New Roman" w:eastAsia="Times New Roman" w:hint="default"/>
        </w:rPr>
        <w:t>5</w:t>
      </w:r>
      <w:r>
        <w:rPr/>
        <w:t>、收购兼并计划 </w:t>
      </w:r>
      <w:r>
        <w:rPr>
          <w:spacing w:val="-2"/>
        </w:rPr>
        <w:t>目前，我国信息安全行业正处于快速成长期，市场需求稳定增长。然而由于国内信息安全行业企业规模普遍偏小，主要</w:t>
      </w:r>
    </w:p>
    <w:p>
      <w:pPr>
        <w:pStyle w:val="BodyText"/>
        <w:spacing w:line="316" w:lineRule="auto" w:before="15"/>
        <w:ind w:right="104"/>
        <w:jc w:val="both"/>
      </w:pPr>
      <w:r>
        <w:rPr>
          <w:spacing w:val="-2"/>
        </w:rPr>
        <w:t>信息安全企业的市场定位都为单一或少数几个行业细分市场，因此企业的抗风险能力仍然有待提高。为增强抗风险能力并巩</w:t>
      </w:r>
      <w:r>
        <w:rPr>
          <w:spacing w:val="-64"/>
        </w:rPr>
        <w:t> </w:t>
      </w:r>
      <w:r>
        <w:rPr>
          <w:spacing w:val="-64"/>
        </w:rPr>
      </w:r>
      <w:r>
        <w:rPr>
          <w:spacing w:val="-2"/>
        </w:rPr>
        <w:t>固公司在行业内的优势地位，本公司将根据自身在资金、技术和管理等方面的实际情况，围绕主营业务，有选择地适时并购</w:t>
      </w:r>
      <w:r>
        <w:rPr>
          <w:spacing w:val="-65"/>
        </w:rPr>
        <w:t> </w:t>
      </w:r>
      <w:r>
        <w:rPr>
          <w:spacing w:val="-65"/>
        </w:rPr>
      </w:r>
      <w:r>
        <w:rPr>
          <w:spacing w:val="-4"/>
        </w:rPr>
        <w:t>一些与自身发展目标相符合，具有一定的技术互补性或具有上下游关系的企业，逐步提升公司产品在信息安全领域的覆盖面。</w:t>
      </w:r>
    </w:p>
    <w:p>
      <w:pPr>
        <w:pStyle w:val="BodyText"/>
        <w:spacing w:line="432" w:lineRule="exact" w:before="3"/>
        <w:ind w:left="512" w:right="62"/>
        <w:jc w:val="left"/>
      </w:pPr>
      <w:r>
        <w:rPr>
          <w:rFonts w:ascii="Times New Roman" w:hAnsi="Times New Roman" w:cs="Times New Roman" w:eastAsia="Times New Roman" w:hint="default"/>
        </w:rPr>
        <w:t>6</w:t>
      </w:r>
      <w:r>
        <w:rPr/>
        <w:t>、国际化经营规划 </w:t>
      </w:r>
      <w:r>
        <w:rPr>
          <w:spacing w:val="-2"/>
        </w:rPr>
        <w:t>公司将抓住本次公开发行的有利时机，完成募集资金投资项目建设，全面提升公司的核心技术水平和技术服务能力。目</w:t>
      </w:r>
    </w:p>
    <w:p>
      <w:pPr>
        <w:pStyle w:val="BodyText"/>
        <w:spacing w:line="316" w:lineRule="auto" w:before="15"/>
        <w:ind w:right="190"/>
        <w:jc w:val="both"/>
      </w:pPr>
      <w:r>
        <w:rPr>
          <w:spacing w:val="-2"/>
        </w:rPr>
        <w:t>前，公司正在积极准备对已有优势产品进行二次研发，推出面向海外市场的多语言版本产品。公司将加强对外战略合作，并</w:t>
      </w:r>
      <w:r>
        <w:rPr>
          <w:spacing w:val="-64"/>
        </w:rPr>
        <w:t> </w:t>
      </w:r>
      <w:r>
        <w:rPr>
          <w:spacing w:val="-64"/>
        </w:rPr>
      </w:r>
      <w:r>
        <w:rPr>
          <w:spacing w:val="-2"/>
        </w:rPr>
        <w:t>考虑适时在当地设立代理机构甚至分支机构，逐步建立并完善国际营销网络，走国际化经营之路，力争成为国际著名的大型</w:t>
      </w:r>
      <w:r>
        <w:rPr>
          <w:spacing w:val="-63"/>
        </w:rPr>
        <w:t> </w:t>
      </w:r>
      <w:r>
        <w:rPr>
          <w:spacing w:val="-63"/>
        </w:rPr>
      </w:r>
      <w:r>
        <w:rPr/>
        <w:t>信息安全领导企业。</w:t>
      </w:r>
    </w:p>
    <w:p>
      <w:pPr>
        <w:pStyle w:val="BodyText"/>
        <w:spacing w:line="240" w:lineRule="auto" w:before="139"/>
        <w:ind w:left="512" w:right="62"/>
        <w:jc w:val="left"/>
      </w:pPr>
      <w:r>
        <w:rPr/>
        <w:t>报告期内的实施情况如下：</w:t>
      </w:r>
    </w:p>
    <w:p>
      <w:pPr>
        <w:spacing w:line="240" w:lineRule="auto" w:before="0"/>
        <w:rPr>
          <w:rFonts w:ascii="宋体" w:hAnsi="宋体" w:cs="宋体" w:eastAsia="宋体" w:hint="default"/>
          <w:sz w:val="15"/>
          <w:szCs w:val="15"/>
        </w:rPr>
      </w:pPr>
    </w:p>
    <w:p>
      <w:pPr>
        <w:pStyle w:val="BodyText"/>
        <w:spacing w:line="415" w:lineRule="auto"/>
        <w:ind w:left="512" w:right="62"/>
        <w:jc w:val="left"/>
      </w:pPr>
      <w:r>
        <w:rPr>
          <w:rFonts w:ascii="Times New Roman" w:hAnsi="Times New Roman" w:cs="Times New Roman" w:eastAsia="Times New Roman" w:hint="default"/>
        </w:rPr>
        <w:t>1</w:t>
      </w:r>
      <w:r>
        <w:rPr/>
        <w:t>、产品开发情况 </w:t>
      </w:r>
      <w:r>
        <w:rPr>
          <w:spacing w:val="-2"/>
        </w:rPr>
        <w:t>公司上市后按募投项目的计划推进募投项目的建设，以终端安全管理、数据安全管理及企业级云安全管理三个方向为主</w:t>
      </w:r>
    </w:p>
    <w:p>
      <w:pPr>
        <w:pStyle w:val="BodyText"/>
        <w:spacing w:line="194" w:lineRule="exact"/>
        <w:ind w:right="0"/>
        <w:jc w:val="both"/>
      </w:pPr>
      <w:r>
        <w:rPr/>
        <w:t>导，加快创新研发力度，报告期内公司共投入研发费用</w:t>
      </w:r>
      <w:r>
        <w:rPr>
          <w:rFonts w:ascii="Times New Roman" w:hAnsi="Times New Roman" w:cs="Times New Roman" w:eastAsia="Times New Roman" w:hint="default"/>
        </w:rPr>
        <w:t>2194.78</w:t>
      </w:r>
      <w:r>
        <w:rPr/>
        <w:t>万元，进行自主知识产权的终端安全管理相关产品的研发，</w:t>
      </w:r>
    </w:p>
    <w:p>
      <w:pPr>
        <w:pStyle w:val="BodyText"/>
        <w:spacing w:line="240" w:lineRule="auto" w:before="62"/>
        <w:ind w:right="0"/>
        <w:jc w:val="both"/>
      </w:pPr>
      <w:r>
        <w:rPr/>
        <w:t>不断提高公司的解决方案能力，保持产品的创新性，满足客户需求。</w:t>
      </w:r>
    </w:p>
    <w:p>
      <w:pPr>
        <w:pStyle w:val="BodyText"/>
        <w:spacing w:line="420" w:lineRule="atLeast" w:before="25"/>
        <w:ind w:left="512" w:right="62"/>
        <w:jc w:val="left"/>
      </w:pPr>
      <w:r>
        <w:rPr>
          <w:rFonts w:ascii="Times New Roman" w:hAnsi="Times New Roman" w:cs="Times New Roman" w:eastAsia="Times New Roman" w:hint="default"/>
        </w:rPr>
        <w:t>2</w:t>
      </w:r>
      <w:r>
        <w:rPr/>
        <w:t>、市场开发与营销服务网络建设情况 </w:t>
      </w:r>
      <w:r>
        <w:rPr>
          <w:spacing w:val="-2"/>
        </w:rPr>
        <w:t>本年度内，公司将继续强化总部市场策略：一方面公司将深度挖掘已开发的政府部门、军工、金融以及能源客户总部机</w:t>
      </w:r>
    </w:p>
    <w:p>
      <w:pPr>
        <w:pStyle w:val="BodyText"/>
        <w:spacing w:line="309" w:lineRule="auto" w:before="76"/>
        <w:ind w:right="190"/>
        <w:jc w:val="both"/>
      </w:pPr>
      <w:r>
        <w:rPr>
          <w:spacing w:val="-2"/>
        </w:rPr>
        <w:t>构的需求，适时推广公司的新产品及服务；另一方面，公司将充分利用已形成的总部优势，沿着纵向管理层级体系向其下属</w:t>
      </w:r>
      <w:r>
        <w:rPr>
          <w:spacing w:val="-64"/>
        </w:rPr>
        <w:t> </w:t>
      </w:r>
      <w:r>
        <w:rPr>
          <w:spacing w:val="-64"/>
        </w:rPr>
      </w:r>
      <w:r>
        <w:rPr/>
        <w:t>省、市、县级机构延伸，不断地拓展公司产品应用范围；同时公司利用丰富的经验和成熟的市场策略</w:t>
      </w:r>
      <w:r>
        <w:rPr>
          <w:rFonts w:ascii="Times New Roman" w:hAnsi="Times New Roman" w:cs="Times New Roman" w:eastAsia="Times New Roman" w:hint="default"/>
        </w:rPr>
        <w:t>,</w:t>
      </w:r>
      <w:r>
        <w:rPr/>
        <w:t>将成熟的销售模式向</w:t>
      </w:r>
      <w:r>
        <w:rPr>
          <w:spacing w:val="-48"/>
        </w:rPr>
        <w:t> </w:t>
      </w:r>
      <w:r>
        <w:rPr>
          <w:spacing w:val="-48"/>
        </w:rPr>
      </w:r>
      <w:r>
        <w:rPr/>
        <w:t>其他行业和客户进行复制，不断开拓出优质的新客户，如华夏银行、广东电网等；</w:t>
      </w:r>
    </w:p>
    <w:p>
      <w:pPr>
        <w:pStyle w:val="BodyText"/>
        <w:spacing w:line="316" w:lineRule="auto" w:before="144"/>
        <w:ind w:right="193" w:firstLine="360"/>
        <w:jc w:val="both"/>
      </w:pPr>
      <w:r>
        <w:rPr>
          <w:spacing w:val="-2"/>
        </w:rPr>
        <w:t>募集资金到位后，公司按照营销服务体系建设的规划，进一步完善已有的西安分公司，扩大人员规模，提高对西北地区</w:t>
      </w:r>
      <w:r>
        <w:rPr/>
        <w:t> </w:t>
      </w:r>
      <w:r>
        <w:rPr>
          <w:spacing w:val="-2"/>
        </w:rPr>
        <w:t>的营销服务力量；同时公司在广州成功注册分公司，将以广州为中心，辐射华南区域，提高对用户需求响应的及时性，拓宽</w:t>
      </w:r>
      <w:r>
        <w:rPr>
          <w:spacing w:val="-67"/>
        </w:rPr>
        <w:t> </w:t>
      </w:r>
      <w:r>
        <w:rPr>
          <w:spacing w:val="-67"/>
        </w:rPr>
      </w:r>
      <w:r>
        <w:rPr/>
        <w:t>了公司产品的市场覆盖率。</w:t>
      </w:r>
    </w:p>
    <w:p>
      <w:pPr>
        <w:pStyle w:val="BodyText"/>
        <w:spacing w:line="240" w:lineRule="auto" w:before="139"/>
        <w:ind w:left="512" w:right="62"/>
        <w:jc w:val="left"/>
      </w:pPr>
      <w:r>
        <w:rPr>
          <w:rFonts w:ascii="Times New Roman" w:hAnsi="Times New Roman" w:cs="Times New Roman" w:eastAsia="Times New Roman" w:hint="default"/>
        </w:rPr>
        <w:t>3</w:t>
      </w:r>
      <w:r>
        <w:rPr/>
        <w:t>、人才扩充和培养情况</w:t>
      </w:r>
    </w:p>
    <w:p>
      <w:pPr>
        <w:spacing w:line="240" w:lineRule="auto" w:before="13"/>
        <w:rPr>
          <w:rFonts w:ascii="宋体" w:hAnsi="宋体" w:cs="宋体" w:eastAsia="宋体" w:hint="default"/>
          <w:sz w:val="13"/>
          <w:szCs w:val="13"/>
        </w:rPr>
      </w:pPr>
    </w:p>
    <w:p>
      <w:pPr>
        <w:pStyle w:val="BodyText"/>
        <w:spacing w:line="240" w:lineRule="auto"/>
        <w:ind w:left="512" w:right="62"/>
        <w:jc w:val="left"/>
      </w:pPr>
      <w:r>
        <w:rPr>
          <w:rFonts w:ascii="Times New Roman" w:hAnsi="Times New Roman" w:cs="Times New Roman" w:eastAsia="Times New Roman" w:hint="default"/>
        </w:rPr>
        <w:t>2012</w:t>
      </w:r>
      <w:r>
        <w:rPr/>
        <w:t>年公司以成功在创业板上市为契机，重点加强了人员招聘、强化了员工队伍培训。在人员招聘方面，公司一方面积</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62"/>
        <w:jc w:val="left"/>
      </w:pPr>
      <w:r>
        <w:rPr>
          <w:spacing w:val="-2"/>
        </w:rPr>
        <w:t>极吸引各地高科技人才的加入，进一步扩充研发队伍，为募投项目的研发逐步配备合理人才；另一方面加强区域营销服务人</w:t>
      </w:r>
      <w:r>
        <w:rPr>
          <w:spacing w:val="-66"/>
        </w:rPr>
        <w:t> </w:t>
      </w:r>
      <w:r>
        <w:rPr>
          <w:spacing w:val="-66"/>
        </w:rPr>
      </w:r>
      <w:r>
        <w:rPr/>
        <w:t>员力量，配合营销服务体系的建设计划，进一步增强了公司的本地化服务能力，提高了与客户的粘合度。</w:t>
      </w:r>
    </w:p>
    <w:p>
      <w:pPr>
        <w:pStyle w:val="BodyText"/>
        <w:spacing w:line="316" w:lineRule="auto" w:before="139"/>
        <w:ind w:right="190" w:firstLine="360"/>
        <w:jc w:val="both"/>
      </w:pPr>
      <w:r>
        <w:rPr>
          <w:spacing w:val="-2"/>
        </w:rPr>
        <w:t>同时公司组织了多次专题的培训活动，下属各部门也需结合自身特点组织起各种各样的岗位培训、技能培训、管理知识</w:t>
      </w:r>
      <w:r>
        <w:rPr/>
        <w:t> </w:t>
      </w:r>
      <w:r>
        <w:rPr>
          <w:spacing w:val="-2"/>
        </w:rPr>
        <w:t>培训、质量管理培训等。通过各种各样的学习，提高了管理人员和基层员工的素质，保证公司经营和文化建设等各项工作的</w:t>
      </w:r>
      <w:r>
        <w:rPr>
          <w:spacing w:val="-64"/>
        </w:rPr>
        <w:t> </w:t>
      </w:r>
      <w:r>
        <w:rPr>
          <w:spacing w:val="-64"/>
        </w:rPr>
      </w:r>
      <w:r>
        <w:rPr/>
        <w:t>有效开展。</w:t>
      </w:r>
    </w:p>
    <w:p>
      <w:pPr>
        <w:pStyle w:val="BodyText"/>
        <w:spacing w:line="432" w:lineRule="exact" w:before="3"/>
        <w:ind w:left="512" w:right="62"/>
        <w:jc w:val="left"/>
      </w:pPr>
      <w:r>
        <w:rPr>
          <w:rFonts w:ascii="Times New Roman" w:hAnsi="Times New Roman" w:cs="Times New Roman" w:eastAsia="Times New Roman" w:hint="default"/>
        </w:rPr>
        <w:t>4</w:t>
      </w:r>
      <w:r>
        <w:rPr/>
        <w:t>、内部治理情况 </w:t>
      </w:r>
      <w:r>
        <w:rPr>
          <w:spacing w:val="-7"/>
        </w:rPr>
        <w:t>公司按照创业板上市公司规范运作的要求，制订了如《重大事项信息内部报告制度》、《内幕信息知情人登记管理制度》、</w:t>
      </w:r>
    </w:p>
    <w:p>
      <w:pPr>
        <w:pStyle w:val="BodyText"/>
        <w:spacing w:line="316" w:lineRule="auto" w:before="15"/>
        <w:ind w:right="190"/>
        <w:jc w:val="both"/>
      </w:pPr>
      <w:r>
        <w:rPr>
          <w:spacing w:val="-2"/>
        </w:rPr>
        <w:t>《外部信息使用人管理制度》、《年报信息披露重大差错责任追究制度》、《财务负责人管理制度》和《董事、监事和高级</w:t>
      </w:r>
      <w:r>
        <w:rPr>
          <w:spacing w:val="-68"/>
        </w:rPr>
        <w:t> </w:t>
      </w:r>
      <w:r>
        <w:rPr>
          <w:spacing w:val="-68"/>
        </w:rPr>
      </w:r>
      <w:r>
        <w:rPr>
          <w:spacing w:val="-2"/>
        </w:rPr>
        <w:t>管理人员所持公司股份及其变动管理制度》等相关内控制度；进一步深化了企业内部改革，优化内部组织和管理，提高了工</w:t>
      </w:r>
      <w:r>
        <w:rPr>
          <w:spacing w:val="-64"/>
        </w:rPr>
        <w:t> </w:t>
      </w:r>
      <w:r>
        <w:rPr>
          <w:spacing w:val="-64"/>
        </w:rPr>
      </w:r>
      <w:r>
        <w:rPr/>
        <w:t>作效率，确保了公司管理层和核心人员的稳定。</w:t>
      </w:r>
    </w:p>
    <w:p>
      <w:pPr>
        <w:pStyle w:val="BodyText"/>
        <w:spacing w:line="316" w:lineRule="auto" w:before="139"/>
        <w:ind w:right="62"/>
        <w:jc w:val="left"/>
      </w:pPr>
      <w:r>
        <w:rPr>
          <w:spacing w:val="-2"/>
        </w:rPr>
        <w:t>注：公司首次公开发行招股说明书中披露的未来发展与规划延续至报告期的，公司应对规划目标的实施进度进行分析，实施</w:t>
      </w:r>
      <w:r>
        <w:rPr>
          <w:spacing w:val="-63"/>
        </w:rPr>
        <w:t> </w:t>
      </w:r>
      <w:r>
        <w:rPr>
          <w:spacing w:val="-63"/>
        </w:rPr>
      </w:r>
      <w:r>
        <w:rPr/>
        <w:t>进度与规划不符的，应详细说明原因。</w:t>
      </w:r>
    </w:p>
    <w:p>
      <w:pPr>
        <w:pStyle w:val="BodyText"/>
        <w:spacing w:line="357" w:lineRule="auto" w:before="59"/>
        <w:ind w:right="4414"/>
        <w:jc w:val="left"/>
      </w:pPr>
      <w:r>
        <w:rPr/>
        <w:t>公司回顾总结前期披露的发展战略和经营计划在报告期内的进展情况 无</w:t>
      </w:r>
    </w:p>
    <w:p>
      <w:pPr>
        <w:pStyle w:val="BodyText"/>
        <w:spacing w:line="360" w:lineRule="auto" w:before="29"/>
        <w:ind w:right="814"/>
        <w:jc w:val="left"/>
      </w:pPr>
      <w:r>
        <w:rPr/>
        <w:t>注：公司应当回顾总结前期披露的发展战略和经营计划在报告期内的进展，并对未达到计划目标的情况进行解释。 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340" w:lineRule="auto" w:before="1"/>
        <w:ind w:right="4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注：应从收入、成本、费用、税负等相关方面说明造成差异的原因。</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2、主营业务分部报告" w:id="32"/>
      <w:bookmarkEnd w:id="32"/>
      <w:r>
        <w:rPr>
          <w:b w:val="0"/>
          <w:bCs w:val="0"/>
        </w:rPr>
      </w:r>
      <w:r>
        <w:rPr>
          <w:rFonts w:ascii="Times New Roman" w:hAnsi="Times New Roman" w:cs="Times New Roman" w:eastAsia="Times New Roman" w:hint="default"/>
        </w:rPr>
        <w:t>2</w:t>
      </w:r>
      <w:r>
        <w:rPr/>
        <w:t>、主营业务分部报告</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9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11,016,556.88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527,587.87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7,603,130.61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1,810,308.53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41,043,398.44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1,606,929.15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10,063,886.50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1,795,574.21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119,115,252.62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16,355,322.88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138,734,369.64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4,715,143.83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27,435,513.65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2,530,911.43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22,672,341.76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14,849,667.38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1.15%</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45,311,733.23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11,212,089.15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21,422,665.77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162,673.75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19,707,792.05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232,486.11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1,873.17%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65,058,390.23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3,387,345.48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5,534,594.69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133,470.47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17,467,928.95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214,196.59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14,339,120.13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6,753,461.09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-93.17%</w:t>
            </w:r>
          </w:p>
        </w:tc>
      </w:tr>
    </w:tbl>
    <w:p>
      <w:pPr>
        <w:spacing w:line="240" w:lineRule="auto" w:before="2"/>
        <w:rPr>
          <w:rFonts w:ascii="宋体" w:hAnsi="宋体" w:cs="宋体" w:eastAsia="宋体" w:hint="default"/>
          <w:sz w:val="27"/>
          <w:szCs w:val="27"/>
        </w:rPr>
      </w:pPr>
    </w:p>
    <w:p>
      <w:pPr>
        <w:pStyle w:val="BodyText"/>
        <w:spacing w:line="300" w:lineRule="auto" w:before="44"/>
        <w:ind w:right="222"/>
        <w:jc w:val="left"/>
      </w:pPr>
      <w:r>
        <w:rPr/>
        <w:t>注：对于占公司营业收入或营业利润</w:t>
      </w:r>
      <w:r>
        <w:rPr>
          <w:spacing w:val="-48"/>
        </w:rPr>
        <w:t> </w:t>
      </w:r>
      <w:r>
        <w:rPr>
          <w:rFonts w:ascii="Times New Roman" w:hAnsi="Times New Roman" w:cs="Times New Roman" w:eastAsia="Times New Roman" w:hint="default"/>
        </w:rPr>
        <w:t>10%</w:t>
      </w:r>
      <w:r>
        <w:rPr/>
        <w:t>以上的行业、产品或地区，应分项列示其营业收入、营业成本、营业利润率，并 分析其变动情况。公司应当保持业务数据统计口径的一致性，如确需调整的，公司应提供调整后的过去</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年数据。</w:t>
      </w:r>
    </w:p>
    <w:p>
      <w:pPr>
        <w:pStyle w:val="BodyText"/>
        <w:spacing w:line="240" w:lineRule="auto" w:before="53"/>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401" w:hRule="exact"/>
        </w:trPr>
        <w:tc>
          <w:tcPr>
            <w:tcW w:w="960" w:type="dxa"/>
            <w:vMerge w:val="restart"/>
            <w:tcBorders>
              <w:top w:val="single" w:sz="4" w:space="0" w:color="000000"/>
              <w:left w:val="single" w:sz="4" w:space="0" w:color="000000"/>
              <w:right w:val="single" w:sz="4" w:space="0" w:color="000000"/>
            </w:tcBorders>
            <w:shd w:val="clear" w:color="auto" w:fill="D4D4D4"/>
          </w:tcPr>
          <w:p>
            <w:pPr/>
          </w:p>
        </w:tc>
        <w:tc>
          <w:tcPr>
            <w:tcW w:w="286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r>
      <w:tr>
        <w:trPr>
          <w:trHeight w:val="403" w:hRule="exact"/>
        </w:trPr>
        <w:tc>
          <w:tcPr>
            <w:tcW w:w="960" w:type="dxa"/>
            <w:vMerge/>
            <w:tcBorders>
              <w:left w:val="single" w:sz="4" w:space="0" w:color="000000"/>
              <w:bottom w:val="single" w:sz="4" w:space="0" w:color="000000"/>
              <w:right w:val="single" w:sz="4" w:space="0" w:color="000000"/>
            </w:tcBorders>
            <w:shd w:val="clear" w:color="auto" w:fill="D4D4D4"/>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资产、负债状况分析" w:id="33"/>
      <w:bookmarkEnd w:id="33"/>
      <w:r>
        <w:rPr>
          <w:b w:val="0"/>
          <w:bCs w:val="0"/>
        </w:rPr>
      </w: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资产项目重大变动情况" w:id="34"/>
      <w:bookmarkEnd w:id="34"/>
      <w:r>
        <w:rPr>
          <w:b w:val="0"/>
          <w:bCs w:val="0"/>
        </w:rPr>
      </w: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7"/>
        <w:gridCol w:w="900"/>
        <w:gridCol w:w="1195"/>
        <w:gridCol w:w="1063"/>
        <w:gridCol w:w="797"/>
        <w:gridCol w:w="2918"/>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8" w:type="dxa"/>
            <w:vMerge w:val="restart"/>
            <w:tcBorders>
              <w:top w:val="single" w:sz="4" w:space="0" w:color="000000"/>
              <w:left w:val="single" w:sz="4" w:space="0" w:color="000000"/>
              <w:right w:val="single" w:sz="4" w:space="0" w:color="000000"/>
            </w:tcBorders>
            <w:shd w:val="clear" w:color="auto" w:fill="D4D4D4"/>
          </w:tcPr>
          <w:p>
            <w:pPr/>
          </w:p>
        </w:tc>
      </w:tr>
      <w:tr>
        <w:trPr>
          <w:trHeight w:val="176"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2227"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327" w:type="dxa"/>
            <w:tcBorders>
              <w:top w:val="single" w:sz="4" w:space="0" w:color="000000"/>
              <w:left w:val="single" w:sz="4" w:space="0" w:color="000000"/>
              <w:bottom w:val="nil" w:sz="6" w:space="0" w:color="auto"/>
              <w:right w:val="single" w:sz="4" w:space="0" w:color="000000"/>
            </w:tcBorders>
            <w:shd w:val="clear" w:color="auto" w:fill="D4D4D4"/>
          </w:tcPr>
          <w:p>
            <w:pPr/>
          </w:p>
        </w:tc>
        <w:tc>
          <w:tcPr>
            <w:tcW w:w="90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0"/>
              <w:ind w:left="24"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327" w:type="dxa"/>
            <w:vMerge/>
            <w:tcBorders>
              <w:left w:val="single" w:sz="4" w:space="0" w:color="000000"/>
              <w:bottom w:val="nil" w:sz="6" w:space="0" w:color="auto"/>
              <w:right w:val="single" w:sz="4" w:space="0" w:color="000000"/>
            </w:tcBorders>
            <w:shd w:val="clear" w:color="auto" w:fill="D4D4D4"/>
          </w:tcPr>
          <w:p>
            <w:pPr/>
          </w:p>
        </w:tc>
        <w:tc>
          <w:tcPr>
            <w:tcW w:w="900"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327" w:type="dxa"/>
            <w:tcBorders>
              <w:top w:val="nil" w:sz="6" w:space="0" w:color="auto"/>
              <w:left w:val="single" w:sz="4" w:space="0" w:color="000000"/>
              <w:bottom w:val="single" w:sz="4" w:space="0" w:color="000000"/>
              <w:right w:val="single" w:sz="4" w:space="0" w:color="000000"/>
            </w:tcBorders>
            <w:shd w:val="clear" w:color="auto" w:fill="D4D4D4"/>
          </w:tcPr>
          <w:p>
            <w:pPr/>
          </w:p>
        </w:tc>
        <w:tc>
          <w:tcPr>
            <w:tcW w:w="900"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433,283,917.03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68.2%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79,236,283.57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24.05%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月公司成功上市，募集资金</w:t>
            </w:r>
            <w:r>
              <w:rPr>
                <w:rFonts w:ascii="宋体" w:hAnsi="宋体" w:cs="宋体" w:eastAsia="宋体" w:hint="default"/>
                <w:sz w:val="18"/>
                <w:szCs w:val="18"/>
              </w:rPr>
              <w:t> 成功。</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vMerge/>
            <w:tcBorders>
              <w:left w:val="single" w:sz="9" w:space="0" w:color="D4D4D4"/>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9" w:space="0" w:color="D4D4D4"/>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155,445,282.25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24.47%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64,314,072.56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35.83%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-11.36%</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成功上市导致资产总额加大；销售增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加导致应收增加。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vMerge/>
            <w:tcBorders>
              <w:left w:val="single" w:sz="9" w:space="0" w:color="D4D4D4"/>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9" w:space="0" w:color="D4D4D4"/>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4,309,216.00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4,405,033.98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13,777,188.93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14,248,784.67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2）负债项目重大变动情况" w:id="35"/>
      <w:bookmarkEnd w:id="35"/>
      <w:r>
        <w:rPr/>
      </w: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227"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2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8" w:type="dxa"/>
            <w:vMerge w:val="restart"/>
            <w:tcBorders>
              <w:top w:val="single" w:sz="4" w:space="0" w:color="000000"/>
              <w:left w:val="single" w:sz="4" w:space="0" w:color="000000"/>
              <w:right w:val="single" w:sz="4" w:space="0" w:color="000000"/>
            </w:tcBorders>
            <w:shd w:val="clear" w:color="auto" w:fill="D4D4D4"/>
          </w:tcPr>
          <w:p>
            <w:pPr/>
          </w:p>
        </w:tc>
      </w:tr>
      <w:tr>
        <w:trPr>
          <w:trHeight w:val="154"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2227"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84" w:hRule="exact"/>
        </w:trPr>
        <w:tc>
          <w:tcPr>
            <w:tcW w:w="1368" w:type="dxa"/>
            <w:vMerge/>
            <w:tcBorders>
              <w:left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160" w:hRule="exact"/>
        </w:trPr>
        <w:tc>
          <w:tcPr>
            <w:tcW w:w="1368" w:type="dxa"/>
            <w:vMerge/>
            <w:tcBorders>
              <w:left w:val="single" w:sz="4" w:space="0" w:color="000000"/>
              <w:bottom w:val="single" w:sz="20" w:space="0" w:color="FFFFFF"/>
              <w:right w:val="single" w:sz="4" w:space="0" w:color="000000"/>
            </w:tcBorders>
            <w:shd w:val="clear" w:color="auto" w:fill="D4D4D4"/>
          </w:tcPr>
          <w:p>
            <w:pPr/>
          </w:p>
        </w:tc>
        <w:tc>
          <w:tcPr>
            <w:tcW w:w="1164" w:type="dxa"/>
            <w:vMerge/>
            <w:tcBorders>
              <w:left w:val="single" w:sz="4" w:space="0" w:color="000000"/>
              <w:bottom w:val="single" w:sz="20" w:space="0" w:color="FFFFFF"/>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77" w:hRule="exact"/>
        </w:trPr>
        <w:tc>
          <w:tcPr>
            <w:tcW w:w="1368" w:type="dxa"/>
            <w:tcBorders>
              <w:top w:val="single" w:sz="20" w:space="0" w:color="FFFFFF"/>
              <w:left w:val="single" w:sz="4" w:space="0" w:color="000000"/>
              <w:bottom w:val="single" w:sz="4" w:space="0" w:color="000000"/>
              <w:right w:val="single" w:sz="4" w:space="0" w:color="000000"/>
            </w:tcBorders>
            <w:shd w:val="clear" w:color="auto" w:fill="D4D4D4"/>
          </w:tcPr>
          <w:p>
            <w:pPr/>
          </w:p>
        </w:tc>
        <w:tc>
          <w:tcPr>
            <w:tcW w:w="1164" w:type="dxa"/>
            <w:tcBorders>
              <w:top w:val="single" w:sz="20" w:space="0" w:color="FFFFFF"/>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20"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12" w:space="0" w:color="D4D4D4"/>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2918" w:type="dxa"/>
            <w:vMerge w:val="restart"/>
            <w:tcBorders>
              <w:top w:val="single" w:sz="4" w:space="0" w:color="000000"/>
              <w:left w:val="single" w:sz="4" w:space="0" w:color="000000"/>
              <w:right w:val="single" w:sz="4" w:space="0" w:color="000000"/>
            </w:tcBorders>
          </w:tcPr>
          <w:p>
            <w:pPr/>
          </w:p>
        </w:tc>
      </w:tr>
      <w:tr>
        <w:trPr>
          <w:trHeight w:val="51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20"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12" w:space="0" w:color="D4D4D4"/>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
        </w:tc>
        <w:tc>
          <w:tcPr>
            <w:tcW w:w="2918" w:type="dxa"/>
            <w:vMerge w:val="restart"/>
            <w:tcBorders>
              <w:top w:val="single" w:sz="4" w:space="0" w:color="000000"/>
              <w:left w:val="single" w:sz="4" w:space="0" w:color="000000"/>
              <w:right w:val="single" w:sz="4" w:space="0" w:color="000000"/>
            </w:tcBorders>
          </w:tcPr>
          <w:p>
            <w:pPr/>
          </w:p>
        </w:tc>
      </w:tr>
      <w:tr>
        <w:trPr>
          <w:trHeight w:val="51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以公允价值计量的资产和负债" w:id="36"/>
      <w:bookmarkEnd w:id="36"/>
      <w:r>
        <w:rPr>
          <w:b w:val="0"/>
          <w:bCs w:val="0"/>
        </w:rPr>
      </w: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523"/>
        <w:gridCol w:w="1507"/>
        <w:gridCol w:w="1505"/>
        <w:gridCol w:w="1520"/>
        <w:gridCol w:w="1512"/>
      </w:tblGrid>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0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0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03" w:right="2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51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4D4D4"/>
          </w:tcPr>
          <w:p>
            <w:pPr/>
          </w:p>
        </w:tc>
        <w:tc>
          <w:tcPr>
            <w:tcW w:w="1505" w:type="dxa"/>
            <w:vMerge/>
            <w:tcBorders>
              <w:left w:val="single" w:sz="4" w:space="0" w:color="000000"/>
              <w:right w:val="single" w:sz="4" w:space="0" w:color="000000"/>
            </w:tcBorders>
            <w:shd w:val="clear" w:color="auto" w:fill="D4D4D4"/>
          </w:tcPr>
          <w:p>
            <w:pPr/>
          </w:p>
        </w:tc>
        <w:tc>
          <w:tcPr>
            <w:tcW w:w="15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7"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07" w:type="dxa"/>
            <w:vMerge/>
            <w:tcBorders>
              <w:left w:val="single" w:sz="4" w:space="0" w:color="000000"/>
              <w:bottom w:val="single" w:sz="4" w:space="0" w:color="000000"/>
              <w:right w:val="single" w:sz="4" w:space="0" w:color="000000"/>
            </w:tcBorders>
            <w:shd w:val="clear" w:color="auto" w:fill="D4D4D4"/>
          </w:tcPr>
          <w:p>
            <w:pPr/>
          </w:p>
        </w:tc>
        <w:tc>
          <w:tcPr>
            <w:tcW w:w="1505" w:type="dxa"/>
            <w:vMerge/>
            <w:tcBorders>
              <w:left w:val="single" w:sz="4" w:space="0" w:color="000000"/>
              <w:bottom w:val="single" w:sz="4" w:space="0" w:color="000000"/>
              <w:right w:val="single" w:sz="4" w:space="0" w:color="000000"/>
            </w:tcBorders>
            <w:shd w:val="clear" w:color="auto" w:fill="D4D4D4"/>
          </w:tcPr>
          <w:p>
            <w:pPr/>
          </w:p>
        </w:tc>
        <w:tc>
          <w:tcPr>
            <w:tcW w:w="152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1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1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3" w:type="dxa"/>
            <w:tcBorders>
              <w:top w:val="single" w:sz="4" w:space="0" w:color="000000"/>
              <w:left w:val="single" w:sz="9" w:space="0" w:color="D4D4D4"/>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340" w:lineRule="auto" w:before="49"/>
        <w:ind w:left="424" w:right="5292" w:hanging="272"/>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1</w:t>
      </w:r>
      <w:r>
        <w:rPr/>
        <w:t>、上表中的</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w:t>
      </w:r>
      <w:r>
        <w:rPr/>
        <w:t>应统一折算成人民币列示； </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中金额重大的项目，可以在表中单独列示；</w:t>
      </w:r>
    </w:p>
    <w:p>
      <w:pPr>
        <w:pStyle w:val="BodyText"/>
        <w:spacing w:line="240" w:lineRule="auto" w:before="17"/>
        <w:ind w:left="424" w:right="0"/>
        <w:jc w:val="left"/>
      </w:pPr>
      <w:r>
        <w:rPr>
          <w:rFonts w:ascii="Times New Roman" w:hAnsi="Times New Roman" w:cs="Times New Roman" w:eastAsia="Times New Roman" w:hint="default"/>
        </w:rPr>
        <w:t>3</w:t>
      </w:r>
      <w:r>
        <w:rPr/>
        <w:t>、直接计入权益的累计公允价值变动；</w:t>
      </w:r>
    </w:p>
    <w:p>
      <w:pPr>
        <w:pStyle w:val="BodyText"/>
        <w:spacing w:line="240" w:lineRule="auto" w:before="103"/>
        <w:ind w:left="424" w:right="0"/>
        <w:jc w:val="left"/>
      </w:pPr>
      <w:r>
        <w:rPr>
          <w:rFonts w:ascii="Times New Roman" w:hAnsi="Times New Roman" w:cs="Times New Roman" w:eastAsia="Times New Roman" w:hint="default"/>
        </w:rPr>
        <w:t>4</w:t>
      </w:r>
      <w:r>
        <w:rPr/>
        <w:t>、上表不存在必然的勾稽关系。</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报告期内公司主要资产计量属性是否发生重大变化</w:t>
      </w:r>
    </w:p>
    <w:p>
      <w:pPr>
        <w:pStyle w:val="BodyText"/>
        <w:spacing w:line="340" w:lineRule="auto" w:before="117"/>
        <w:ind w:right="29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公司报告期内主要资产计量属性发生重大变化的原因及其对经营成果和财务状况的影响</w:t>
      </w:r>
    </w:p>
    <w:p>
      <w:pPr>
        <w:spacing w:after="0" w:line="3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4、公司竞争能力重大变化分析" w:id="37"/>
      <w:bookmarkEnd w:id="37"/>
      <w:r>
        <w:rPr>
          <w:b w:val="0"/>
          <w:bCs w:val="0"/>
        </w:rPr>
      </w:r>
      <w:r>
        <w:rPr>
          <w:rFonts w:ascii="Times New Roman" w:hAnsi="Times New Roman" w:cs="Times New Roman" w:eastAsia="Times New Roman" w:hint="default"/>
        </w:rPr>
        <w:t>4</w:t>
      </w:r>
      <w:r>
        <w:rPr/>
        <w:t>、公司竞争能力重大变化分析</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0" w:firstLine="360"/>
        <w:jc w:val="left"/>
      </w:pPr>
      <w:r>
        <w:rPr>
          <w:spacing w:val="-2"/>
        </w:rPr>
        <w:t>报告期内公司未发生因技术升级换代、核心技术人员辞职、产品质量问题、特许经营权丧失等导致公司核心竞争力受到</w:t>
      </w:r>
      <w:r>
        <w:rPr/>
        <w:t> 严重影响的情况。</w:t>
      </w:r>
    </w:p>
    <w:p>
      <w:pPr>
        <w:pStyle w:val="BodyText"/>
        <w:spacing w:line="316" w:lineRule="auto" w:before="59"/>
        <w:ind w:right="150"/>
        <w:jc w:val="both"/>
      </w:pPr>
      <w:r>
        <w:rPr>
          <w:spacing w:val="-2"/>
        </w:rPr>
        <w:t>注：公司应分析说明报告期内公司核心竞争能力（如设备、专利、非专利技术、特许经营权、土地使用权、水面养殖权、探</w:t>
      </w:r>
      <w:r>
        <w:rPr>
          <w:spacing w:val="-64"/>
        </w:rPr>
        <w:t> </w:t>
      </w:r>
      <w:r>
        <w:rPr>
          <w:spacing w:val="-64"/>
        </w:rPr>
      </w:r>
      <w:r>
        <w:rPr>
          <w:spacing w:val="-2"/>
        </w:rPr>
        <w:t>矿权、采矿权、核心技术人员、独特经营方式和盈利模式、允许他人使用自己拥有的资源要素或作为被许可方使用他人资源</w:t>
      </w:r>
      <w:r>
        <w:rPr>
          <w:spacing w:val="-66"/>
        </w:rPr>
        <w:t> </w:t>
      </w:r>
      <w:r>
        <w:rPr>
          <w:spacing w:val="-66"/>
        </w:rPr>
      </w:r>
      <w:r>
        <w:rPr>
          <w:spacing w:val="-2"/>
        </w:rPr>
        <w:t>要素等）方面的重要变化及对公司所产生的影响。如果发生因设备或技术升级换代、核心技术人员辞职、特许经营权丧失等</w:t>
      </w:r>
      <w:r>
        <w:rPr>
          <w:spacing w:val="-65"/>
        </w:rPr>
        <w:t> </w:t>
      </w:r>
      <w:r>
        <w:rPr>
          <w:spacing w:val="-65"/>
        </w:rPr>
      </w:r>
      <w:r>
        <w:rPr/>
        <w:t>导致公司核心竞争能力受到严重影响的，应详细说明具体情况及公司拟采取的措施。</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5、投资状况分析" w:id="38"/>
      <w:bookmarkEnd w:id="38"/>
      <w:r>
        <w:rPr>
          <w:b w:val="0"/>
          <w:bCs w:val="0"/>
        </w:rPr>
      </w: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1）募集资金总体使用情况" w:id="39"/>
      <w:bookmarkEnd w:id="3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6"/>
        <w:gridCol w:w="5480"/>
      </w:tblGrid>
      <w:tr>
        <w:trPr>
          <w:trHeight w:val="402"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37,700.86</w:t>
            </w:r>
          </w:p>
        </w:tc>
      </w:tr>
      <w:tr>
        <w:trPr>
          <w:trHeight w:val="402"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5,374.4</w:t>
            </w:r>
          </w:p>
        </w:tc>
      </w:tr>
      <w:tr>
        <w:trPr>
          <w:trHeight w:val="402"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5,374.4</w:t>
            </w:r>
          </w:p>
        </w:tc>
      </w:tr>
      <w:tr>
        <w:trPr>
          <w:trHeight w:val="402"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日，公司已累计使用募集资金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13,743,876.57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元用于终端安全管理整体解决方案升级项目、数据安</w:t>
            </w:r>
          </w:p>
          <w:p>
            <w:pPr>
              <w:pStyle w:val="TableParagraph"/>
              <w:spacing w:line="309" w:lineRule="auto" w:before="60"/>
              <w:ind w:left="12" w:right="35"/>
              <w:jc w:val="left"/>
              <w:rPr>
                <w:rFonts w:ascii="宋体" w:hAnsi="宋体" w:cs="宋体" w:eastAsia="宋体" w:hint="default"/>
                <w:sz w:val="18"/>
                <w:szCs w:val="18"/>
              </w:rPr>
            </w:pPr>
            <w:r>
              <w:rPr>
                <w:rFonts w:ascii="宋体" w:hAnsi="宋体" w:cs="宋体" w:eastAsia="宋体" w:hint="default"/>
                <w:sz w:val="18"/>
                <w:szCs w:val="18"/>
              </w:rPr>
              <w:t>全管理整体解决方案研发项目、企业级云安全管理平台项目、营销服务体系建设项目。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日，公司第一 </w:t>
            </w:r>
            <w:r>
              <w:rPr>
                <w:rFonts w:ascii="宋体" w:hAnsi="宋体" w:cs="宋体" w:eastAsia="宋体" w:hint="default"/>
                <w:spacing w:val="-2"/>
                <w:sz w:val="18"/>
                <w:szCs w:val="18"/>
              </w:rPr>
              <w:t>届董事会第九次临时会议审议通过了《关于使用部分超募资金永久性补充流动资金的议案》，使用超募资金人民币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元永久性补充流动资金。截止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日，公司募集资金专户余额为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323,460,861.50 </w:t>
            </w:r>
            <w:r>
              <w:rPr>
                <w:rFonts w:ascii="宋体" w:hAnsi="宋体" w:cs="宋体" w:eastAsia="宋体" w:hint="default"/>
                <w:sz w:val="18"/>
                <w:szCs w:val="18"/>
              </w:rPr>
              <w:t>元。</w:t>
            </w:r>
          </w:p>
        </w:tc>
      </w:tr>
    </w:tbl>
    <w:p>
      <w:pPr>
        <w:pStyle w:val="BodyText"/>
        <w:spacing w:line="240" w:lineRule="auto" w:before="49"/>
        <w:ind w:right="0"/>
        <w:jc w:val="left"/>
      </w:pPr>
      <w:r>
        <w:rPr/>
        <w:t>注：报告期募集公司债的也是用相关披露。</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募集资金承诺项目情况" w:id="40"/>
      <w:bookmarkEnd w:id="4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、终端安全管理整体 解决方案升级项目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582.86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582.86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、数据安全管理整体 解决方案升级项目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468.43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468.43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00002pt;margin-top:71.998985pt;width:479.2pt;height:692.6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2"/>
                    <w:gridCol w:w="785"/>
                    <w:gridCol w:w="780"/>
                    <w:gridCol w:w="780"/>
                    <w:gridCol w:w="780"/>
                    <w:gridCol w:w="786"/>
                    <w:gridCol w:w="768"/>
                    <w:gridCol w:w="792"/>
                    <w:gridCol w:w="774"/>
                    <w:gridCol w:w="780"/>
                  </w:tblGrid>
                  <w:tr>
                    <w:trPr>
                      <w:trHeight w:val="362" w:hRule="exact"/>
                    </w:trPr>
                    <w:tc>
                      <w:tcPr>
                        <w:tcW w:w="1771"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、云安全管理整体解 决方案升级项目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163.36</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7.28%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、营销服务体系建设 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159.75</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5.96%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1,374.4</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1,374.4</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其他与主营业务相关 的营运资金</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20,356.66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20,356.66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tabs>
                            <w:tab w:pos="323" w:val="left" w:leader="none"/>
                          </w:tabs>
                          <w:spacing w:line="240" w:lineRule="auto" w:before="49"/>
                          <w:ind w:left="-128" w:right="3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5" w:type="dxa"/>
                        <w:tcBorders>
                          <w:top w:val="single" w:sz="4" w:space="0" w:color="000000"/>
                          <w:left w:val="single" w:sz="9" w:space="0" w:color="D4D4D4"/>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10" w:space="0" w:color="D4D4D4"/>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tabs>
                            <w:tab w:pos="323" w:val="left" w:leader="none"/>
                          </w:tabs>
                          <w:spacing w:line="240" w:lineRule="auto" w:before="49"/>
                          <w:ind w:left="-128" w:right="3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6" w:type="dxa"/>
                        <w:tcBorders>
                          <w:top w:val="single" w:sz="4" w:space="0" w:color="000000"/>
                          <w:left w:val="single" w:sz="4" w:space="0" w:color="000000"/>
                          <w:bottom w:val="single" w:sz="4" w:space="0" w:color="000000"/>
                          <w:right w:val="single" w:sz="10" w:space="0" w:color="D4D4D4"/>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4,000</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21,344.2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5,374.4</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5,374.4</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08" w:right="0"/>
                          <w:jc w:val="both"/>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203,566,600.00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元，主要用于其它与主营业务相关的营运资金。截止到本报告期末</w:t>
                        </w:r>
                      </w:p>
                      <w:p>
                        <w:pPr>
                          <w:pStyle w:val="TableParagraph"/>
                          <w:spacing w:line="309" w:lineRule="auto" w:before="63"/>
                          <w:ind w:left="16" w:right="19"/>
                          <w:jc w:val="both"/>
                          <w:rPr>
                            <w:rFonts w:ascii="宋体" w:hAnsi="宋体" w:cs="宋体" w:eastAsia="宋体" w:hint="default"/>
                            <w:sz w:val="18"/>
                            <w:szCs w:val="18"/>
                          </w:rPr>
                        </w:pPr>
                        <w:r>
                          <w:rPr>
                            <w:rFonts w:ascii="宋体" w:hAnsi="宋体" w:cs="宋体" w:eastAsia="宋体" w:hint="default"/>
                            <w:sz w:val="18"/>
                            <w:szCs w:val="18"/>
                          </w:rPr>
                          <w:t>具体使用情况如下：</w:t>
                        </w:r>
                        <w:r>
                          <w:rPr>
                            <w:rFonts w:ascii="宋体" w:hAnsi="宋体" w:cs="宋体" w:eastAsia="宋体" w:hint="default"/>
                            <w:spacing w:val="29"/>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日，公司第一届董事会第九次临时会议审议通过了《关</w:t>
                        </w:r>
                        <w:r>
                          <w:rPr>
                            <w:rFonts w:ascii="宋体" w:hAnsi="宋体" w:cs="宋体" w:eastAsia="宋体" w:hint="default"/>
                            <w:sz w:val="18"/>
                            <w:szCs w:val="18"/>
                          </w:rPr>
                          <w:t> </w:t>
                        </w:r>
                        <w:r>
                          <w:rPr>
                            <w:rFonts w:ascii="宋体" w:hAnsi="宋体" w:cs="宋体" w:eastAsia="宋体" w:hint="default"/>
                            <w:spacing w:val="-5"/>
                            <w:sz w:val="18"/>
                            <w:szCs w:val="18"/>
                          </w:rPr>
                          <w:t>于使用部分超募资金永久性补充流动资金的议案》，同意公司使用超募资金（其他与主营业务相关的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营运资金）人民币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万元永久性补充与主营业务相关的流动资金。</w:t>
                        </w:r>
                      </w:p>
                    </w:tc>
                  </w:tr>
                  <w:tr>
                    <w:trPr>
                      <w:trHeight w:val="706"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10" w:space="0" w:color="D4D4D4"/>
                          <w:right w:val="single" w:sz="4" w:space="0" w:color="000000"/>
                        </w:tcBorders>
                      </w:tcPr>
                      <w:p>
                        <w:pPr/>
                      </w:p>
                    </w:tc>
                  </w:tr>
                  <w:tr>
                    <w:trPr>
                      <w:trHeight w:val="516"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252"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1"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10" w:space="0" w:color="D4D4D4"/>
                          <w:bottom w:val="single" w:sz="4" w:space="0" w:color="000000"/>
                          <w:right w:val="single" w:sz="4" w:space="0" w:color="000000"/>
                        </w:tcBorders>
                      </w:tcPr>
                      <w:p>
                        <w:pPr/>
                      </w:p>
                    </w:tc>
                  </w:tr>
                  <w:tr>
                    <w:trPr>
                      <w:trHeight w:val="401" w:hRule="exact"/>
                    </w:trPr>
                    <w:tc>
                      <w:tcPr>
                        <w:tcW w:w="1771" w:type="dxa"/>
                        <w:vMerge/>
                        <w:tcBorders>
                          <w:left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52"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250"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1"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10" w:space="0" w:color="D4D4D4"/>
                          <w:bottom w:val="single" w:sz="4" w:space="0" w:color="000000"/>
                          <w:right w:val="single" w:sz="4" w:space="0" w:color="000000"/>
                        </w:tcBorders>
                      </w:tcPr>
                      <w:p>
                        <w:pPr/>
                      </w:p>
                    </w:tc>
                  </w:tr>
                  <w:tr>
                    <w:trPr>
                      <w:trHeight w:val="403" w:hRule="exact"/>
                    </w:trPr>
                    <w:tc>
                      <w:tcPr>
                        <w:tcW w:w="1771" w:type="dxa"/>
                        <w:vMerge/>
                        <w:tcBorders>
                          <w:left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
                    </w:tc>
                  </w:tr>
                  <w:tr>
                    <w:trPr>
                      <w:trHeight w:val="151"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50"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24"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58"/>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尚未使用的募集资金（包括超募资金）全部存放在募集资金银行专户中，按募集资金管理办法严格 管理和使用。</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公司已披露的相关信息不存在未及时、真实、准确、完整披露的情况。</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募集资金变更项目情况" w:id="41"/>
      <w:bookmarkEnd w:id="4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4"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8" w:lineRule="auto" w:before="50"/>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left="4"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10" w:space="0" w:color="D4D4D4"/>
              <w:bottom w:val="single" w:sz="4" w:space="0" w:color="000000"/>
              <w:right w:val="single" w:sz="4" w:space="0" w:color="000000"/>
            </w:tcBorders>
          </w:tcPr>
          <w:p>
            <w:pP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10" w:space="0" w:color="D4D4D4"/>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非募集资金投资的重大项目情况" w:id="42"/>
      <w:bookmarkEnd w:id="42"/>
      <w:r>
        <w:rPr>
          <w:b w:val="0"/>
          <w:bCs w:val="0"/>
        </w:rPr>
      </w: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2"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证券投资情况" w:id="43"/>
      <w:bookmarkEnd w:id="43"/>
      <w:r>
        <w:rPr>
          <w:b w:val="0"/>
          <w:bCs w:val="0"/>
        </w:rPr>
      </w:r>
      <w:r>
        <w:rPr/>
        <w:t>（</w:t>
      </w:r>
      <w:r>
        <w:rPr>
          <w:rFonts w:ascii="Times New Roman" w:hAnsi="Times New Roman" w:cs="Times New Roman" w:eastAsia="Times New Roman" w:hint="default"/>
        </w:rPr>
        <w:t>5</w:t>
      </w:r>
      <w:r>
        <w:rPr/>
        <w:t>）证券投资情况</w:t>
      </w:r>
      <w:r>
        <w:rPr>
          <w:b w:val="0"/>
          <w:bCs w:val="0"/>
        </w:rPr>
      </w: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658"/>
        <w:gridCol w:w="1195"/>
        <w:gridCol w:w="1198"/>
        <w:gridCol w:w="1210"/>
        <w:gridCol w:w="1068"/>
        <w:gridCol w:w="1063"/>
        <w:gridCol w:w="1066"/>
        <w:gridCol w:w="1063"/>
        <w:gridCol w:w="1042"/>
      </w:tblGrid>
      <w:tr>
        <w:trPr>
          <w:trHeight w:val="161" w:hRule="exact"/>
        </w:trPr>
        <w:tc>
          <w:tcPr>
            <w:tcW w:w="658" w:type="dxa"/>
            <w:vMerge w:val="restart"/>
            <w:tcBorders>
              <w:top w:val="single" w:sz="4" w:space="0" w:color="000000"/>
              <w:left w:val="single" w:sz="4" w:space="0" w:color="000000"/>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
        </w:tc>
        <w:tc>
          <w:tcPr>
            <w:tcW w:w="1210" w:type="dxa"/>
            <w:vMerge w:val="restart"/>
            <w:tcBorders>
              <w:top w:val="single" w:sz="4" w:space="0" w:color="000000"/>
              <w:left w:val="single" w:sz="4" w:space="0" w:color="000000"/>
              <w:right w:val="single" w:sz="4" w:space="0" w:color="000000"/>
            </w:tcBorders>
            <w:shd w:val="clear" w:color="auto" w:fill="D4D4D4"/>
          </w:tcPr>
          <w:p>
            <w:pPr/>
          </w:p>
        </w:tc>
        <w:tc>
          <w:tcPr>
            <w:tcW w:w="10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658" w:type="dxa"/>
            <w:vMerge/>
            <w:tcBorders>
              <w:left w:val="single" w:sz="4" w:space="0" w:color="000000"/>
              <w:bottom w:val="nil" w:sz="6" w:space="0" w:color="auto"/>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67" w:right="74"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67" w:right="77"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63" w:type="dxa"/>
            <w:vMerge/>
            <w:tcBorders>
              <w:left w:val="single" w:sz="4" w:space="0" w:color="000000"/>
              <w:right w:val="single" w:sz="4" w:space="0" w:color="000000"/>
            </w:tcBorders>
            <w:shd w:val="clear" w:color="auto" w:fill="D4D4D4"/>
          </w:tcPr>
          <w:p>
            <w:pPr/>
          </w:p>
        </w:tc>
        <w:tc>
          <w:tcPr>
            <w:tcW w:w="10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1" w:hRule="exact"/>
        </w:trPr>
        <w:tc>
          <w:tcPr>
            <w:tcW w:w="65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66" w:type="dxa"/>
            <w:vMerge/>
            <w:tcBorders>
              <w:left w:val="single" w:sz="4" w:space="0" w:color="000000"/>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42" w:type="dxa"/>
            <w:vMerge/>
            <w:tcBorders>
              <w:left w:val="single" w:sz="4" w:space="0" w:color="000000"/>
              <w:right w:val="single" w:sz="4" w:space="0" w:color="000000"/>
            </w:tcBorders>
            <w:shd w:val="clear" w:color="auto" w:fill="D4D4D4"/>
          </w:tcPr>
          <w:p>
            <w:pPr/>
          </w:p>
        </w:tc>
      </w:tr>
      <w:tr>
        <w:trPr>
          <w:trHeight w:val="156" w:hRule="exact"/>
        </w:trPr>
        <w:tc>
          <w:tcPr>
            <w:tcW w:w="658" w:type="dxa"/>
            <w:vMerge w:val="restart"/>
            <w:tcBorders>
              <w:top w:val="nil" w:sz="6" w:space="0" w:color="auto"/>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c>
          <w:tcPr>
            <w:tcW w:w="1066"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04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65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210" w:type="dxa"/>
            <w:vMerge/>
            <w:tcBorders>
              <w:left w:val="single" w:sz="4" w:space="0" w:color="000000"/>
              <w:bottom w:val="single" w:sz="4" w:space="0" w:color="000000"/>
              <w:right w:val="single" w:sz="4" w:space="0" w:color="000000"/>
            </w:tcBorders>
            <w:shd w:val="clear" w:color="auto" w:fill="D4D4D4"/>
          </w:tcPr>
          <w:p>
            <w:pPr/>
          </w:p>
        </w:tc>
        <w:tc>
          <w:tcPr>
            <w:tcW w:w="10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4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1195" w:type="dxa"/>
            <w:tcBorders>
              <w:top w:val="single" w:sz="4" w:space="0" w:color="000000"/>
              <w:left w:val="single" w:sz="12" w:space="0" w:color="D4D4D4"/>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068" w:type="dxa"/>
            <w:tcBorders>
              <w:top w:val="single" w:sz="4" w:space="0" w:color="000000"/>
              <w:left w:val="single" w:sz="13" w:space="0" w:color="D4D4D4"/>
              <w:bottom w:val="single" w:sz="4" w:space="0" w:color="000000"/>
              <w:right w:val="single" w:sz="13" w:space="0" w:color="D4D4D4"/>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4D4D4"/>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248"/>
        <w:gridCol w:w="1092"/>
        <w:gridCol w:w="1040"/>
        <w:gridCol w:w="1088"/>
        <w:gridCol w:w="1040"/>
        <w:gridCol w:w="1052"/>
      </w:tblGrid>
      <w:tr>
        <w:trPr>
          <w:trHeight w:val="402" w:hRule="exact"/>
        </w:trPr>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52" w:type="dxa"/>
            <w:tcBorders>
              <w:top w:val="single" w:sz="4" w:space="0" w:color="000000"/>
              <w:left w:val="single" w:sz="12" w:space="0" w:color="D4D4D4"/>
              <w:bottom w:val="single" w:sz="4" w:space="0" w:color="000000"/>
              <w:right w:val="single" w:sz="4" w:space="0" w:color="000000"/>
            </w:tcBorders>
          </w:tcPr>
          <w:p>
            <w:pPr/>
          </w:p>
        </w:tc>
      </w:tr>
      <w:tr>
        <w:trPr>
          <w:trHeight w:val="402" w:hRule="exact"/>
        </w:trPr>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88"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100%</w:t>
            </w:r>
          </w:p>
        </w:tc>
        <w:tc>
          <w:tcPr>
            <w:tcW w:w="105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5314" w:type="dxa"/>
            <w:gridSpan w:val="5"/>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tc>
        <w:tc>
          <w:tcPr>
            <w:tcW w:w="5314" w:type="dxa"/>
            <w:gridSpan w:val="5"/>
            <w:tcBorders>
              <w:top w:val="single" w:sz="4" w:space="0" w:color="000000"/>
              <w:left w:val="single" w:sz="13" w:space="0" w:color="D4D4D4"/>
              <w:bottom w:val="single" w:sz="4" w:space="0" w:color="000000"/>
              <w:right w:val="single" w:sz="4" w:space="0" w:color="000000"/>
            </w:tcBorders>
          </w:tcPr>
          <w:p>
            <w:pP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、本表要求按期末账面价值占公司期末证券投资总额的比例排序，填列公司期末所持前十只证券情况；</w:t>
      </w:r>
    </w:p>
    <w:p>
      <w:pPr>
        <w:pStyle w:val="BodyText"/>
        <w:spacing w:line="300" w:lineRule="auto" w:before="101"/>
        <w:ind w:right="144" w:firstLine="360"/>
        <w:jc w:val="left"/>
      </w:pPr>
      <w:r>
        <w:rPr>
          <w:rFonts w:ascii="Times New Roman" w:hAnsi="Times New Roman" w:cs="Times New Roman" w:eastAsia="Times New Roman" w:hint="default"/>
        </w:rPr>
        <w:t>2</w:t>
      </w:r>
      <w:r>
        <w:rPr/>
        <w:t>、本表所述证券投资是指股票、权证、可转换债券等投资。其中，股票投资只需填列公司在交易性金融资产中核算的 部分；</w:t>
      </w:r>
    </w:p>
    <w:p>
      <w:pPr>
        <w:pStyle w:val="BodyText"/>
        <w:spacing w:line="240" w:lineRule="auto" w:before="72"/>
        <w:ind w:left="512" w:right="0"/>
        <w:jc w:val="left"/>
      </w:pPr>
      <w:r>
        <w:rPr>
          <w:rFonts w:ascii="Times New Roman" w:hAnsi="Times New Roman" w:cs="Times New Roman" w:eastAsia="Times New Roman" w:hint="default"/>
        </w:rPr>
        <w:t>3</w:t>
      </w:r>
      <w:r>
        <w:rPr/>
        <w:t>、其他证券投资指：除前十只证券以外的其他证券投资；</w:t>
      </w:r>
    </w:p>
    <w:p>
      <w:pPr>
        <w:pStyle w:val="BodyText"/>
        <w:spacing w:line="338" w:lineRule="auto" w:before="103"/>
        <w:ind w:left="512" w:right="2664"/>
        <w:jc w:val="left"/>
      </w:pPr>
      <w:r>
        <w:rPr>
          <w:rFonts w:ascii="Times New Roman" w:hAnsi="Times New Roman" w:cs="Times New Roman" w:eastAsia="Times New Roman" w:hint="default"/>
        </w:rPr>
        <w:t>4</w:t>
      </w:r>
      <w:r>
        <w:rPr/>
        <w:t>、报告期损益，包括报告期公司因持有该证券取得的投资收益及公允价值变动损益。 证券投资情况的说明</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6）持有其他上市公司股权情况" w:id="44"/>
      <w:bookmarkEnd w:id="44"/>
      <w:r>
        <w:rPr>
          <w:b w:val="0"/>
          <w:bCs w:val="0"/>
        </w:rPr>
      </w: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4"/>
      </w:tblGrid>
      <w:tr>
        <w:trPr>
          <w:trHeight w:val="715" w:hRule="exact"/>
        </w:trPr>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87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left="512" w:right="1764" w:hanging="360"/>
        <w:jc w:val="left"/>
      </w:pPr>
      <w:r>
        <w:rPr/>
        <w:t>注：</w:t>
      </w:r>
      <w:r>
        <w:rPr>
          <w:rFonts w:ascii="Times New Roman" w:hAnsi="Times New Roman" w:cs="Times New Roman" w:eastAsia="Times New Roman" w:hint="default"/>
        </w:rPr>
        <w:t>1</w:t>
      </w:r>
      <w:r>
        <w:rPr/>
        <w:t>、本表要求填列公司在长期股权投资、可供出售金融资产中核算的持有其他上市公司股权情况； </w:t>
      </w:r>
      <w:r>
        <w:rPr>
          <w:rFonts w:ascii="Times New Roman" w:hAnsi="Times New Roman" w:cs="Times New Roman" w:eastAsia="Times New Roman" w:hint="default"/>
        </w:rPr>
        <w:t>2</w:t>
      </w:r>
      <w:r>
        <w:rPr/>
        <w:t>、报告期损益指：该项投资对公司本报告期合并净利润的影响。 持有其他上市公司股权情况的说明</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7）持有非上市金融企业股权情况" w:id="45"/>
      <w:bookmarkEnd w:id="45"/>
      <w:r>
        <w:rPr>
          <w:b w:val="0"/>
          <w:bCs w:val="0"/>
        </w:rPr>
      </w: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967"/>
        <w:gridCol w:w="960"/>
        <w:gridCol w:w="960"/>
        <w:gridCol w:w="955"/>
        <w:gridCol w:w="958"/>
        <w:gridCol w:w="958"/>
        <w:gridCol w:w="958"/>
        <w:gridCol w:w="955"/>
        <w:gridCol w:w="958"/>
        <w:gridCol w:w="941"/>
      </w:tblGrid>
      <w:tr>
        <w:trPr>
          <w:trHeight w:val="715" w:hRule="exact"/>
        </w:trPr>
        <w:tc>
          <w:tcPr>
            <w:tcW w:w="9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8" w:right="26"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5" w:right="24"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19"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9"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1" w:hRule="exact"/>
        </w:trPr>
        <w:tc>
          <w:tcPr>
            <w:tcW w:w="96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、金融企业包括商业银行、证券公司、保险公司、信托公司、期货公司等；</w:t>
      </w:r>
    </w:p>
    <w:p>
      <w:pPr>
        <w:pStyle w:val="BodyText"/>
        <w:spacing w:line="240" w:lineRule="auto" w:before="101"/>
        <w:ind w:left="512" w:right="0"/>
        <w:jc w:val="left"/>
      </w:pPr>
      <w:r>
        <w:rPr>
          <w:rFonts w:ascii="Times New Roman" w:hAnsi="Times New Roman" w:cs="Times New Roman" w:eastAsia="Times New Roman" w:hint="default"/>
        </w:rPr>
        <w:t>2</w:t>
      </w:r>
      <w:r>
        <w:rPr/>
        <w:t>、期末账面价值应当扣除已计提的减值准备；</w:t>
      </w:r>
    </w:p>
    <w:p>
      <w:pPr>
        <w:pStyle w:val="BodyText"/>
        <w:spacing w:line="340" w:lineRule="auto" w:before="103"/>
        <w:ind w:left="512" w:right="4284"/>
        <w:jc w:val="left"/>
      </w:pPr>
      <w:r>
        <w:rPr>
          <w:rFonts w:ascii="Times New Roman" w:hAnsi="Times New Roman" w:cs="Times New Roman" w:eastAsia="Times New Roman" w:hint="default"/>
        </w:rPr>
        <w:t>3</w:t>
      </w:r>
      <w:r>
        <w:rPr/>
        <w:t>、报告期损益指：该项投资对公司本报告期合并净利润的影响。 持有非上市金融企业股权情况的说明</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8）买卖其他上市公司股份的情况" w:id="46"/>
      <w:bookmarkEnd w:id="46"/>
      <w:r>
        <w:rPr>
          <w:b w:val="0"/>
          <w:bCs w:val="0"/>
        </w:rPr>
      </w: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39" w:right="48"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454"/>
        <w:jc w:val="left"/>
      </w:pPr>
      <w:r>
        <w:rPr/>
        <w:t>报告期内卖出申购取得的新股产生的投资收益总额元。 注：公司卖出申购的新股可以汇总披露。</w:t>
      </w:r>
    </w:p>
    <w:p>
      <w:pPr>
        <w:spacing w:after="0" w:line="36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62"/>
        <w:jc w:val="left"/>
      </w:pPr>
      <w:r>
        <w:rPr/>
        <w:t>买卖其他上市公司股份的情况的说明</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9）外币金融资产和外币金融负债" w:id="47"/>
      <w:bookmarkEnd w:id="47"/>
      <w:r>
        <w:rPr>
          <w:b w:val="0"/>
          <w:bCs w:val="0"/>
        </w:rPr>
      </w: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9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5"/>
        <w:gridCol w:w="1668"/>
        <w:gridCol w:w="1586"/>
        <w:gridCol w:w="1588"/>
        <w:gridCol w:w="1599"/>
        <w:gridCol w:w="1589"/>
      </w:tblGrid>
      <w:tr>
        <w:trPr>
          <w:trHeight w:val="161" w:hRule="exact"/>
        </w:trPr>
        <w:tc>
          <w:tcPr>
            <w:tcW w:w="152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5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05"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40" w:right="64"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158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152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6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4D4D4"/>
          </w:tcPr>
          <w:p>
            <w:pPr/>
          </w:p>
        </w:tc>
        <w:tc>
          <w:tcPr>
            <w:tcW w:w="1588" w:type="dxa"/>
            <w:vMerge/>
            <w:tcBorders>
              <w:left w:val="single" w:sz="4" w:space="0" w:color="000000"/>
              <w:right w:val="single" w:sz="4" w:space="0" w:color="000000"/>
            </w:tcBorders>
            <w:shd w:val="clear" w:color="auto" w:fill="D4D4D4"/>
          </w:tcPr>
          <w:p>
            <w:pPr/>
          </w:p>
        </w:tc>
        <w:tc>
          <w:tcPr>
            <w:tcW w:w="1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586"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8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1"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4"/>
              <w:ind w:left="12" w:right="61"/>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 产</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62"/>
        <w:jc w:val="left"/>
      </w:pPr>
      <w:r>
        <w:rPr/>
        <w:t>注：</w:t>
      </w:r>
      <w:r>
        <w:rPr>
          <w:rFonts w:ascii="Times New Roman" w:hAnsi="Times New Roman" w:cs="Times New Roman" w:eastAsia="Times New Roman" w:hint="default"/>
        </w:rPr>
        <w:t>1</w:t>
      </w:r>
      <w:r>
        <w:rPr/>
        <w:t>、上表中的</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w:t>
      </w:r>
      <w:r>
        <w:rPr/>
        <w:t>统一折算成人民币列示；</w:t>
      </w:r>
    </w:p>
    <w:p>
      <w:pPr>
        <w:pStyle w:val="BodyText"/>
        <w:spacing w:line="240" w:lineRule="auto" w:before="101"/>
        <w:ind w:left="512" w:right="62"/>
        <w:jc w:val="left"/>
      </w:pPr>
      <w:r>
        <w:rPr>
          <w:rFonts w:ascii="Times New Roman" w:hAnsi="Times New Roman" w:cs="Times New Roman" w:eastAsia="Times New Roman" w:hint="default"/>
        </w:rPr>
        <w:t>2</w:t>
      </w:r>
      <w:r>
        <w:rPr/>
        <w:t>、不按公允价值计量的金融资产无需填写第</w:t>
      </w:r>
      <w:r>
        <w:rPr>
          <w:spacing w:val="-44"/>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两列；</w:t>
      </w:r>
    </w:p>
    <w:p>
      <w:pPr>
        <w:pStyle w:val="BodyText"/>
        <w:spacing w:line="240" w:lineRule="auto" w:before="103"/>
        <w:ind w:left="512" w:right="62"/>
        <w:jc w:val="left"/>
      </w:pPr>
      <w:r>
        <w:rPr>
          <w:rFonts w:ascii="Times New Roman" w:hAnsi="Times New Roman" w:cs="Times New Roman" w:eastAsia="Times New Roman" w:hint="default"/>
        </w:rPr>
        <w:t>3</w:t>
      </w:r>
      <w:r>
        <w:rPr/>
        <w:t>、直接计入权益的累计公允价值变动；</w:t>
      </w:r>
    </w:p>
    <w:p>
      <w:pPr>
        <w:pStyle w:val="BodyText"/>
        <w:spacing w:line="240" w:lineRule="auto" w:before="103"/>
        <w:ind w:left="512" w:right="62"/>
        <w:jc w:val="left"/>
      </w:pPr>
      <w:r>
        <w:rPr>
          <w:rFonts w:ascii="Times New Roman" w:hAnsi="Times New Roman" w:cs="Times New Roman" w:eastAsia="Times New Roman" w:hint="default"/>
        </w:rPr>
        <w:t>4</w:t>
      </w:r>
      <w:r>
        <w:rPr/>
        <w:t>、上表不存在必然的勾稽关系。</w:t>
      </w:r>
    </w:p>
    <w:p>
      <w:pPr>
        <w:spacing w:line="240" w:lineRule="auto" w:before="0"/>
        <w:rPr>
          <w:rFonts w:ascii="宋体" w:hAnsi="宋体" w:cs="宋体" w:eastAsia="宋体" w:hint="default"/>
          <w:sz w:val="24"/>
          <w:szCs w:val="24"/>
        </w:rPr>
      </w:pPr>
    </w:p>
    <w:p>
      <w:pPr>
        <w:pStyle w:val="Heading3"/>
        <w:spacing w:line="240" w:lineRule="auto"/>
        <w:ind w:right="62"/>
        <w:jc w:val="left"/>
        <w:rPr>
          <w:b w:val="0"/>
          <w:bCs w:val="0"/>
        </w:rPr>
      </w:pPr>
      <w:bookmarkStart w:name="6、主要控股参股公司分析" w:id="48"/>
      <w:bookmarkEnd w:id="48"/>
      <w:r>
        <w:rPr>
          <w:b w:val="0"/>
          <w:bCs w:val="0"/>
        </w:rPr>
      </w:r>
      <w:r>
        <w:rPr>
          <w:rFonts w:ascii="Times New Roman" w:hAnsi="Times New Roman" w:cs="Times New Roman" w:eastAsia="Times New Roman" w:hint="default"/>
        </w:rPr>
        <w:t>6</w:t>
      </w:r>
      <w:r>
        <w:rPr/>
        <w:t>、主要控股参股公司分析</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86" w:firstLine="360"/>
        <w:jc w:val="left"/>
      </w:pP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5</w:t>
      </w:r>
      <w:r>
        <w:rPr>
          <w:spacing w:val="-5"/>
        </w:rPr>
        <w:t>月公司新设成立上海北信源信息技术有限公司，注册资本：</w:t>
      </w:r>
      <w:r>
        <w:rPr>
          <w:rFonts w:ascii="Times New Roman" w:hAnsi="Times New Roman" w:cs="Times New Roman" w:eastAsia="Times New Roman" w:hint="default"/>
          <w:spacing w:val="-5"/>
        </w:rPr>
        <w:t>500</w:t>
      </w:r>
      <w:r>
        <w:rPr>
          <w:spacing w:val="-5"/>
        </w:rPr>
        <w:t>万元人民币，注册地址：上海市延长路 </w:t>
      </w:r>
      <w:r>
        <w:rPr>
          <w:rFonts w:ascii="Times New Roman" w:hAnsi="Times New Roman" w:cs="Times New Roman" w:eastAsia="Times New Roman" w:hint="default"/>
        </w:rPr>
        <w:t>149 </w:t>
      </w:r>
      <w:r>
        <w:rPr/>
        <w:t>号</w:t>
      </w:r>
      <w:r>
        <w:rPr>
          <w:spacing w:val="-19"/>
        </w:rPr>
        <w:t> </w:t>
      </w:r>
      <w:r>
        <w:rPr>
          <w:rFonts w:ascii="Times New Roman" w:hAnsi="Times New Roman" w:cs="Times New Roman" w:eastAsia="Times New Roman" w:hint="default"/>
        </w:rPr>
        <w:t>94</w:t>
      </w:r>
      <w:r>
        <w:rPr>
          <w:rFonts w:ascii="Times New Roman" w:hAnsi="Times New Roman" w:cs="Times New Roman" w:eastAsia="Times New Roman" w:hint="default"/>
          <w:spacing w:val="-2"/>
        </w:rPr>
        <w:t> </w:t>
      </w:r>
      <w:r>
        <w:rPr/>
        <w:t>幢</w:t>
      </w:r>
      <w:r>
        <w:rPr>
          <w:spacing w:val="-38"/>
        </w:rPr>
        <w:t> </w:t>
      </w:r>
      <w:r>
        <w:rPr>
          <w:rFonts w:ascii="Times New Roman" w:hAnsi="Times New Roman" w:cs="Times New Roman" w:eastAsia="Times New Roman" w:hint="default"/>
        </w:rPr>
        <w:t>512</w:t>
      </w:r>
      <w:r>
        <w:rPr>
          <w:rFonts w:ascii="Times New Roman" w:hAnsi="Times New Roman" w:cs="Times New Roman" w:eastAsia="Times New Roman" w:hint="default"/>
          <w:spacing w:val="7"/>
        </w:rPr>
        <w:t> </w:t>
      </w:r>
      <w:r>
        <w:rPr/>
        <w:t>室。经营范围：在信息、计算机软硬件、通信设备科技专业领域内从事技术开发、</w:t>
      </w:r>
      <w:r>
        <w:rPr>
          <w:spacing w:val="-51"/>
        </w:rPr>
        <w:t> </w:t>
      </w:r>
      <w:r>
        <w:rPr>
          <w:spacing w:val="-3"/>
        </w:rPr>
        <w:t>技术咨询、技术服务、技术转让，</w:t>
      </w:r>
      <w:r>
        <w:rPr/>
        <w:t> </w:t>
      </w:r>
      <w:r>
        <w:rPr>
          <w:spacing w:val="-5"/>
        </w:rPr>
        <w:t>网络工程，电子商务（不得从事增值电信、金 </w:t>
      </w:r>
      <w:r>
        <w:rPr>
          <w:spacing w:val="-3"/>
        </w:rPr>
        <w:t>融业务），计算机软硬件的销售。截至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日，该公司总资产</w:t>
      </w:r>
      <w:r>
        <w:rPr>
          <w:rFonts w:ascii="Times New Roman" w:hAnsi="Times New Roman" w:cs="Times New Roman" w:eastAsia="Times New Roman" w:hint="default"/>
          <w:spacing w:val="-3"/>
        </w:rPr>
        <w:t>1966.51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万元，净资产</w:t>
      </w:r>
      <w:r>
        <w:rPr>
          <w:rFonts w:ascii="Times New Roman" w:hAnsi="Times New Roman" w:cs="Times New Roman" w:eastAsia="Times New Roman" w:hint="default"/>
        </w:rPr>
        <w:t>824.48</w:t>
      </w:r>
      <w:r>
        <w:rPr/>
        <w:t>万元，净利润</w:t>
      </w:r>
      <w:r>
        <w:rPr>
          <w:rFonts w:ascii="Times New Roman" w:hAnsi="Times New Roman" w:cs="Times New Roman" w:eastAsia="Times New Roman" w:hint="default"/>
        </w:rPr>
        <w:t>112.70</w:t>
      </w:r>
      <w:r>
        <w:rPr/>
        <w:t>万元。</w:t>
      </w:r>
    </w:p>
    <w:p>
      <w:pPr>
        <w:pStyle w:val="BodyText"/>
        <w:spacing w:line="304" w:lineRule="auto" w:before="13"/>
        <w:ind w:right="190" w:firstLine="37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月公司新设成立江苏神州信源系统工程有限公司，注册资本：</w:t>
      </w:r>
      <w:r>
        <w:rPr>
          <w:rFonts w:ascii="Times New Roman" w:hAnsi="Times New Roman" w:cs="Times New Roman" w:eastAsia="Times New Roman" w:hint="default"/>
          <w:spacing w:val="-2"/>
        </w:rPr>
        <w:t>500</w:t>
      </w:r>
      <w:r>
        <w:rPr>
          <w:spacing w:val="-2"/>
        </w:rPr>
        <w:t>万元人民币，注册地址：南京市宁南大道</w:t>
      </w:r>
      <w:r>
        <w:rPr>
          <w:spacing w:val="-4"/>
        </w:rPr>
        <w:t> </w:t>
      </w:r>
      <w:r>
        <w:rPr>
          <w:rFonts w:ascii="Times New Roman" w:hAnsi="Times New Roman" w:cs="Times New Roman" w:eastAsia="Times New Roman" w:hint="default"/>
          <w:spacing w:val="1"/>
        </w:rPr>
        <w:t>310 </w:t>
      </w:r>
      <w:r>
        <w:rPr/>
        <w:t>号 </w:t>
      </w:r>
      <w:r>
        <w:rPr>
          <w:rFonts w:ascii="Times New Roman" w:hAnsi="Times New Roman" w:cs="Times New Roman" w:eastAsia="Times New Roman" w:hint="default"/>
        </w:rPr>
        <w:t>A </w:t>
      </w:r>
      <w:r>
        <w:rPr/>
        <w:t>幢 </w:t>
      </w:r>
      <w:r>
        <w:rPr>
          <w:rFonts w:ascii="Times New Roman" w:hAnsi="Times New Roman" w:cs="Times New Roman" w:eastAsia="Times New Roman" w:hint="default"/>
        </w:rPr>
        <w:t>702 </w:t>
      </w:r>
      <w:r>
        <w:rPr/>
        <w:t>室，经营范围：软件开发，计算机系统服务，数据处理，计算机维修，基础软件</w:t>
      </w:r>
      <w:r>
        <w:rPr>
          <w:spacing w:val="-46"/>
        </w:rPr>
        <w:t> </w:t>
      </w:r>
      <w:r>
        <w:rPr/>
        <w:t>服务，应用软件服务，计算</w:t>
      </w:r>
      <w:r>
        <w:rPr/>
        <w:t> 机硬件、通信设备的研发、技术推广、技术转让、维</w:t>
      </w:r>
      <w:r>
        <w:rPr>
          <w:spacing w:val="-18"/>
        </w:rPr>
        <w:t> </w:t>
      </w:r>
      <w:r>
        <w:rPr/>
        <w:t>修、咨询、服务，国内贸易，计算机软、硬件的生产，计算机网络工</w:t>
      </w:r>
      <w:r>
        <w:rPr/>
        <w:t> 程的设计、</w:t>
      </w:r>
      <w:r>
        <w:rPr>
          <w:spacing w:val="-45"/>
        </w:rPr>
        <w:t> </w:t>
      </w:r>
      <w:r>
        <w:rPr/>
        <w:t>施工、建筑安装，室内外装饰，经济信息咨询，自营和代理各类商品及技术的进</w:t>
      </w:r>
      <w:r>
        <w:rPr>
          <w:spacing w:val="-39"/>
        </w:rPr>
        <w:t> </w:t>
      </w:r>
      <w:r>
        <w:rPr/>
        <w:t>出口业务。截至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日，该公司总资产</w:t>
      </w:r>
      <w:r>
        <w:rPr>
          <w:rFonts w:ascii="Times New Roman" w:hAnsi="Times New Roman" w:cs="Times New Roman" w:eastAsia="Times New Roman" w:hint="default"/>
        </w:rPr>
        <w:t>2742.91</w:t>
      </w:r>
      <w:r>
        <w:rPr/>
        <w:t>万元，净资产</w:t>
      </w:r>
      <w:r>
        <w:rPr>
          <w:rFonts w:ascii="Times New Roman" w:hAnsi="Times New Roman" w:cs="Times New Roman" w:eastAsia="Times New Roman" w:hint="default"/>
        </w:rPr>
        <w:t>408.64</w:t>
      </w:r>
      <w:r>
        <w:rPr/>
        <w:t>万元，净利润</w:t>
      </w:r>
      <w:r>
        <w:rPr>
          <w:rFonts w:ascii="Times New Roman" w:hAnsi="Times New Roman" w:cs="Times New Roman" w:eastAsia="Times New Roman" w:hint="default"/>
        </w:rPr>
        <w:t>10.14</w:t>
      </w:r>
      <w:r>
        <w:rPr/>
        <w:t>万元。</w:t>
      </w:r>
    </w:p>
    <w:p>
      <w:pPr>
        <w:spacing w:line="240" w:lineRule="auto" w:before="0"/>
        <w:rPr>
          <w:rFonts w:ascii="宋体" w:hAnsi="宋体" w:cs="宋体" w:eastAsia="宋体" w:hint="default"/>
          <w:sz w:val="18"/>
          <w:szCs w:val="18"/>
        </w:rPr>
      </w:pPr>
    </w:p>
    <w:p>
      <w:pPr>
        <w:pStyle w:val="BodyText"/>
        <w:spacing w:line="307" w:lineRule="auto" w:before="126"/>
        <w:ind w:right="184"/>
        <w:jc w:val="left"/>
      </w:pPr>
      <w:r>
        <w:rPr/>
        <w:t>注：</w:t>
      </w:r>
      <w:r>
        <w:rPr>
          <w:rFonts w:ascii="Times New Roman" w:hAnsi="Times New Roman" w:cs="Times New Roman" w:eastAsia="Times New Roman" w:hint="default"/>
        </w:rPr>
        <w:t>1</w:t>
      </w:r>
      <w:r>
        <w:rPr/>
        <w:t>、公司应详细介绍主要子公司的主要业务、注册资本、总资产、净资产、净利润，本年度取得和处置子公司的情况， </w:t>
      </w:r>
      <w:r>
        <w:rPr>
          <w:spacing w:val="-2"/>
        </w:rPr>
        <w:t>包括取得和处置的方式及对公司整体生产经营和业绩的影响。如来源于单个子公司的净利润或单个参股公司的投资收益对公</w:t>
      </w:r>
      <w:r>
        <w:rPr>
          <w:spacing w:val="-64"/>
        </w:rPr>
        <w:t> </w:t>
      </w:r>
      <w:r>
        <w:rPr>
          <w:spacing w:val="-64"/>
        </w:rPr>
      </w:r>
      <w:r>
        <w:rPr/>
        <w:t>司净利润影响达到</w:t>
      </w:r>
      <w:r>
        <w:rPr>
          <w:spacing w:val="-46"/>
        </w:rPr>
        <w:t> </w:t>
      </w:r>
      <w:r>
        <w:rPr>
          <w:rFonts w:ascii="Times New Roman" w:hAnsi="Times New Roman" w:cs="Times New Roman" w:eastAsia="Times New Roman" w:hint="default"/>
        </w:rPr>
        <w:t>10%</w:t>
      </w:r>
      <w:r>
        <w:rPr/>
        <w:t>以上，还应介绍该公司主营业务收入、主营业务利润等数据。若单个子公司或参股公司的经营业绩 同比出现大幅波动，且对公司合并经营业绩造成重大影响的，公司应当对其业绩波动情况及其变动原因进行分析。</w:t>
      </w:r>
    </w:p>
    <w:p>
      <w:pPr>
        <w:spacing w:after="0" w:line="307"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4" w:firstLine="360"/>
        <w:jc w:val="left"/>
      </w:pPr>
      <w:r>
        <w:rPr>
          <w:rFonts w:ascii="Times New Roman" w:hAnsi="Times New Roman" w:cs="Times New Roman" w:eastAsia="Times New Roman" w:hint="default"/>
        </w:rPr>
        <w:t>2</w:t>
      </w:r>
      <w:r>
        <w:rPr/>
        <w:t>、主要子公司或参股公司的经营情况的披露应参照上市公司董事会报告的要求。对于与公司主业关联较小的子公司， 应披露持有目的和未来经营计划；对本年度内投资收益占净利润比例达</w:t>
      </w:r>
      <w:r>
        <w:rPr>
          <w:spacing w:val="-47"/>
        </w:rPr>
        <w:t> </w:t>
      </w:r>
      <w:r>
        <w:rPr>
          <w:rFonts w:ascii="Times New Roman" w:hAnsi="Times New Roman" w:cs="Times New Roman" w:eastAsia="Times New Roman" w:hint="default"/>
        </w:rPr>
        <w:t>50%</w:t>
      </w:r>
      <w:r>
        <w:rPr/>
        <w:t>以上的公司，应披露投资收益中占比在</w:t>
      </w:r>
      <w:r>
        <w:rPr>
          <w:spacing w:val="-47"/>
        </w:rPr>
        <w:t> </w:t>
      </w:r>
      <w:r>
        <w:rPr>
          <w:rFonts w:ascii="Times New Roman" w:hAnsi="Times New Roman" w:cs="Times New Roman" w:eastAsia="Times New Roman" w:hint="default"/>
        </w:rPr>
        <w:t>10%</w:t>
      </w:r>
      <w:r>
        <w:rPr/>
        <w:t>以 上的股权投资项目。</w:t>
      </w:r>
    </w:p>
    <w:p>
      <w:pPr>
        <w:pStyle w:val="BodyText"/>
        <w:spacing w:line="300" w:lineRule="auto" w:before="72"/>
        <w:ind w:right="200" w:firstLine="360"/>
        <w:jc w:val="both"/>
      </w:pPr>
      <w:r>
        <w:rPr>
          <w:rFonts w:ascii="Times New Roman" w:hAnsi="Times New Roman" w:cs="Times New Roman" w:eastAsia="Times New Roman" w:hint="default"/>
        </w:rPr>
        <w:t>3</w:t>
      </w:r>
      <w:r>
        <w:rPr/>
        <w:t>、若主要子公司或参股公司的经营业绩未出现大幅波动，但其资产方面或其他主要财务指标出现显著变化，并可能在 将来对公司业绩造成影响，也应对变化情况和原因予以说明。</w:t>
      </w:r>
    </w:p>
    <w:p>
      <w:pPr>
        <w:spacing w:line="240" w:lineRule="auto" w:before="8"/>
        <w:rPr>
          <w:rFonts w:ascii="宋体" w:hAnsi="宋体" w:cs="宋体" w:eastAsia="宋体" w:hint="default"/>
          <w:sz w:val="21"/>
          <w:szCs w:val="21"/>
        </w:rPr>
      </w:pPr>
    </w:p>
    <w:p>
      <w:pPr>
        <w:pStyle w:val="Heading3"/>
        <w:spacing w:line="240" w:lineRule="auto"/>
        <w:ind w:right="62"/>
        <w:jc w:val="left"/>
        <w:rPr>
          <w:b w:val="0"/>
          <w:bCs w:val="0"/>
        </w:rPr>
      </w:pPr>
      <w:bookmarkStart w:name="7、公司控制的特殊目的主体情况" w:id="49"/>
      <w:bookmarkEnd w:id="49"/>
      <w:r>
        <w:rPr>
          <w:b w:val="0"/>
          <w:bCs w:val="0"/>
        </w:rPr>
      </w:r>
      <w:r>
        <w:rPr>
          <w:rFonts w:ascii="Times New Roman" w:hAnsi="Times New Roman" w:cs="Times New Roman" w:eastAsia="Times New Roman" w:hint="default"/>
        </w:rPr>
        <w:t>7</w:t>
      </w:r>
      <w:r>
        <w:rPr/>
        <w:t>、公司控制的特殊目的主体情况</w:t>
      </w:r>
      <w:r>
        <w:rPr>
          <w:b w:val="0"/>
          <w:bCs w:val="0"/>
        </w:rPr>
      </w:r>
    </w:p>
    <w:p>
      <w:pPr>
        <w:spacing w:line="240" w:lineRule="auto" w:before="1"/>
        <w:rPr>
          <w:rFonts w:ascii="宋体" w:hAnsi="宋体" w:cs="宋体" w:eastAsia="宋体" w:hint="default"/>
          <w:b/>
          <w:bCs/>
          <w:sz w:val="25"/>
          <w:szCs w:val="25"/>
        </w:rPr>
      </w:pPr>
    </w:p>
    <w:p>
      <w:pPr>
        <w:pStyle w:val="BodyText"/>
        <w:spacing w:line="338" w:lineRule="auto"/>
        <w:ind w:right="62"/>
        <w:jc w:val="left"/>
      </w:pPr>
      <w:r>
        <w:rPr/>
        <w:t>无 </w:t>
      </w:r>
      <w:r>
        <w:rPr>
          <w:spacing w:val="-2"/>
        </w:rPr>
        <w:t>注：公司存在其控制下的特殊目的主体时，应介绍公司对其控制权方式和控制权内容，并说明公司从中可以获取的利益和对</w:t>
      </w:r>
      <w:r>
        <w:rPr>
          <w:spacing w:val="-63"/>
        </w:rPr>
        <w:t> </w:t>
      </w:r>
      <w:r>
        <w:rPr>
          <w:spacing w:val="-63"/>
        </w:rPr>
      </w:r>
      <w:r>
        <w:rPr>
          <w:spacing w:val="-2"/>
        </w:rPr>
        <w:t>其所承担的风险。另外，公司还应介绍特殊目的主体对其提供融资、商品或劳务以支持自身主要经营活动的相关情况。公司</w:t>
      </w:r>
    </w:p>
    <w:p>
      <w:pPr>
        <w:pStyle w:val="BodyText"/>
        <w:spacing w:line="240" w:lineRule="auto" w:before="2"/>
        <w:ind w:right="62"/>
        <w:jc w:val="left"/>
      </w:pPr>
      <w:r>
        <w:rPr/>
        <w:t>控制的特殊目的主体为《企业会计准则第</w:t>
      </w:r>
      <w:r>
        <w:rPr>
          <w:spacing w:val="-47"/>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合并财务报表》应用指南</w:t>
      </w:r>
      <w:r>
        <w:rPr>
          <w:rFonts w:ascii="Times New Roman" w:hAnsi="Times New Roman" w:cs="Times New Roman" w:eastAsia="Times New Roman" w:hint="default"/>
        </w:rPr>
        <w:t>”</w:t>
      </w:r>
      <w:r>
        <w:rPr/>
        <w:t>中所规定的</w:t>
      </w:r>
      <w:r>
        <w:rPr>
          <w:rFonts w:ascii="Times New Roman" w:hAnsi="Times New Roman" w:cs="Times New Roman" w:eastAsia="Times New Roman" w:hint="default"/>
        </w:rPr>
        <w:t>“</w:t>
      </w:r>
      <w:r>
        <w:rPr/>
        <w:t>特殊目的主体</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3"/>
        <w:spacing w:line="240" w:lineRule="auto"/>
        <w:ind w:right="62"/>
        <w:jc w:val="left"/>
        <w:rPr>
          <w:b w:val="0"/>
          <w:bCs w:val="0"/>
        </w:rPr>
      </w:pPr>
      <w:bookmarkStart w:name="三、公司未来发展的展望" w:id="50"/>
      <w:bookmarkEnd w:id="50"/>
      <w:r>
        <w:rPr>
          <w:b w:val="0"/>
          <w:bCs w:val="0"/>
        </w:rPr>
      </w:r>
      <w:r>
        <w:rPr/>
        <w:t>三、公司未来发展的展望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62"/>
        <w:jc w:val="left"/>
      </w:pPr>
      <w:r>
        <w:rPr/>
        <w:t>（一）行业格局和趋势</w:t>
      </w:r>
    </w:p>
    <w:p>
      <w:pPr>
        <w:pStyle w:val="BodyText"/>
        <w:spacing w:line="300" w:lineRule="auto" w:before="76"/>
        <w:ind w:left="512" w:right="62" w:hanging="360"/>
        <w:jc w:val="left"/>
      </w:pPr>
      <w:r>
        <w:rPr>
          <w:rFonts w:ascii="Times New Roman" w:hAnsi="Times New Roman" w:cs="Times New Roman" w:eastAsia="Times New Roman" w:hint="default"/>
        </w:rPr>
        <w:t>1</w:t>
      </w:r>
      <w:r>
        <w:rPr/>
        <w:t>、信息安全市场的行业格局和趋势 </w:t>
      </w:r>
      <w:r>
        <w:rPr>
          <w:spacing w:val="-2"/>
        </w:rPr>
        <w:t>随着信息技术和信息产业的迅猛发展，信息技术的应用领域逐渐从小型业务系统向大型、关键业务系统扩展，越来越多</w:t>
      </w:r>
    </w:p>
    <w:p>
      <w:pPr>
        <w:pStyle w:val="BodyText"/>
        <w:spacing w:line="307" w:lineRule="auto" w:before="31"/>
        <w:ind w:right="62"/>
        <w:jc w:val="left"/>
      </w:pPr>
      <w:r>
        <w:rPr/>
        <w:t>的政府机关和企事业单位建立了自己的信息网络，并与</w:t>
      </w:r>
      <w:r>
        <w:rPr>
          <w:rFonts w:ascii="Times New Roman" w:hAnsi="Times New Roman" w:cs="Times New Roman" w:eastAsia="Times New Roman" w:hint="default"/>
        </w:rPr>
        <w:t>Internet</w:t>
      </w:r>
      <w:r>
        <w:rPr/>
        <w:t>相联，信息系统的基础性、全局性作用日益增强。作为保障</w:t>
      </w:r>
      <w:r>
        <w:rPr>
          <w:spacing w:val="-26"/>
        </w:rPr>
        <w:t> </w:t>
      </w:r>
      <w:r>
        <w:rPr>
          <w:spacing w:val="-26"/>
        </w:rPr>
      </w:r>
      <w:r>
        <w:rPr>
          <w:spacing w:val="-4"/>
        </w:rPr>
        <w:t>和维护信息系统安全的重要工具和手段，信息安全产品在信息系统的地位越来越重要。然而由于信息安全产品的普及率不足、</w:t>
      </w:r>
      <w:r>
        <w:rPr>
          <w:spacing w:val="-44"/>
        </w:rPr>
        <w:t> </w:t>
      </w:r>
      <w:r>
        <w:rPr>
          <w:spacing w:val="-44"/>
        </w:rPr>
      </w:r>
      <w:r>
        <w:rPr/>
        <w:t>信息安全意识薄弱等原因，信息安全事件屡有发生。造成美国历史上最大规模泄密的</w:t>
      </w:r>
      <w:r>
        <w:rPr>
          <w:rFonts w:ascii="Times New Roman" w:hAnsi="Times New Roman" w:cs="Times New Roman" w:eastAsia="Times New Roman" w:hint="default"/>
        </w:rPr>
        <w:t>“</w:t>
      </w:r>
      <w:r>
        <w:rPr/>
        <w:t>维基解密</w:t>
      </w:r>
      <w:r>
        <w:rPr>
          <w:rFonts w:ascii="Times New Roman" w:hAnsi="Times New Roman" w:cs="Times New Roman" w:eastAsia="Times New Roman" w:hint="default"/>
        </w:rPr>
        <w:t>”</w:t>
      </w:r>
      <w:r>
        <w:rPr/>
        <w:t>以及使我国整个钢铁行业利 益受到巨大威胁的</w:t>
      </w:r>
      <w:r>
        <w:rPr>
          <w:rFonts w:ascii="Times New Roman" w:hAnsi="Times New Roman" w:cs="Times New Roman" w:eastAsia="Times New Roman" w:hint="default"/>
        </w:rPr>
        <w:t>“</w:t>
      </w:r>
      <w:r>
        <w:rPr/>
        <w:t>力拓案</w:t>
      </w:r>
      <w:r>
        <w:rPr>
          <w:rFonts w:ascii="Times New Roman" w:hAnsi="Times New Roman" w:cs="Times New Roman" w:eastAsia="Times New Roman" w:hint="default"/>
        </w:rPr>
        <w:t>”</w:t>
      </w:r>
      <w:r>
        <w:rPr/>
        <w:t>等重大信息安全事件表明全球信息安全形势依旧严峻。</w:t>
      </w:r>
    </w:p>
    <w:p>
      <w:pPr>
        <w:pStyle w:val="BodyText"/>
        <w:spacing w:line="309" w:lineRule="auto" w:before="7"/>
        <w:ind w:right="190" w:firstLine="360"/>
        <w:jc w:val="both"/>
      </w:pPr>
      <w:r>
        <w:rPr>
          <w:spacing w:val="-2"/>
        </w:rPr>
        <w:t>信息安全威胁的持续性、造成破坏的严重性和广泛性引起全球关注，各国纷纷加大对信息安全行业的投资，带动了全球</w:t>
      </w:r>
      <w:r>
        <w:rPr/>
        <w:t> </w:t>
      </w:r>
      <w:r>
        <w:rPr>
          <w:spacing w:val="-3"/>
        </w:rPr>
        <w:t>信息安全产品市场的持续发展。根据赛迪顾问的统计数据，</w:t>
      </w:r>
      <w:r>
        <w:rPr>
          <w:rFonts w:ascii="Times New Roman" w:hAnsi="Times New Roman" w:cs="Times New Roman" w:eastAsia="Times New Roman" w:hint="default"/>
          <w:spacing w:val="-3"/>
        </w:rPr>
        <w:t>2006</w:t>
      </w:r>
      <w:r>
        <w:rPr>
          <w:spacing w:val="-3"/>
        </w:rPr>
        <w:t>年至</w:t>
      </w:r>
      <w:r>
        <w:rPr>
          <w:rFonts w:ascii="Times New Roman" w:hAnsi="Times New Roman" w:cs="Times New Roman" w:eastAsia="Times New Roman" w:hint="default"/>
          <w:spacing w:val="-3"/>
        </w:rPr>
        <w:t>2010</w:t>
      </w:r>
      <w:r>
        <w:rPr>
          <w:spacing w:val="-3"/>
        </w:rPr>
        <w:t>年全球信息安全市场规模从</w:t>
      </w:r>
      <w:r>
        <w:rPr>
          <w:rFonts w:ascii="Times New Roman" w:hAnsi="Times New Roman" w:cs="Times New Roman" w:eastAsia="Times New Roman" w:hint="default"/>
          <w:spacing w:val="-3"/>
        </w:rPr>
        <w:t>440.71</w:t>
      </w:r>
      <w:r>
        <w:rPr>
          <w:spacing w:val="-3"/>
        </w:rPr>
        <w:t>亿美元增至</w:t>
      </w:r>
      <w:r>
        <w:rPr>
          <w:rFonts w:ascii="Times New Roman" w:hAnsi="Times New Roman" w:cs="Times New Roman" w:eastAsia="Times New Roman" w:hint="default"/>
          <w:spacing w:val="-3"/>
        </w:rPr>
        <w:t>695.31</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亿美元，年均复合增长率为</w:t>
      </w:r>
      <w:r>
        <w:rPr>
          <w:rFonts w:ascii="Times New Roman" w:hAnsi="Times New Roman" w:cs="Times New Roman" w:eastAsia="Times New Roman" w:hint="default"/>
        </w:rPr>
        <w:t>12.07%</w:t>
      </w:r>
      <w:r>
        <w:rPr/>
        <w:t>。</w:t>
      </w:r>
    </w:p>
    <w:p>
      <w:pPr>
        <w:pStyle w:val="BodyText"/>
        <w:spacing w:line="309" w:lineRule="auto" w:before="5"/>
        <w:ind w:right="190" w:firstLine="360"/>
        <w:jc w:val="both"/>
      </w:pPr>
      <w:r>
        <w:rPr>
          <w:spacing w:val="-2"/>
        </w:rPr>
        <w:t>与全球信息安全市场相比，我国信息安全行业正处于快速成长期，信息安全需求层次逐步从中央向省级、地市甚至县级</w:t>
      </w:r>
      <w:r>
        <w:rPr/>
        <w:t> </w:t>
      </w:r>
      <w:r>
        <w:rPr>
          <w:spacing w:val="-2"/>
        </w:rPr>
        <w:t>渗透，从核心业务安全监控向全面业务安全保护扩展，从网络实施阶段的安全布置到网络运行过程的安全维护，安全需求正</w:t>
      </w:r>
      <w:r>
        <w:rPr>
          <w:spacing w:val="-63"/>
        </w:rPr>
        <w:t> </w:t>
      </w:r>
      <w:r>
        <w:rPr>
          <w:spacing w:val="-63"/>
        </w:rPr>
      </w:r>
      <w:r>
        <w:rPr>
          <w:spacing w:val="-2"/>
        </w:rPr>
        <w:t>在向更高层次、更广范围延伸，安全产品的市场需求不断扩大。根据赛迪顾问的统计数据，</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2010</w:t>
      </w:r>
      <w:r>
        <w:rPr>
          <w:spacing w:val="-2"/>
        </w:rPr>
        <w:t>年我国信息安全产</w:t>
      </w:r>
      <w:r>
        <w:rPr>
          <w:spacing w:val="-60"/>
        </w:rPr>
        <w:t> </w:t>
      </w:r>
      <w:r>
        <w:rPr>
          <w:spacing w:val="-60"/>
        </w:rPr>
      </w:r>
      <w:r>
        <w:rPr/>
        <w:t>品市场规模从</w:t>
      </w:r>
      <w:r>
        <w:rPr>
          <w:rFonts w:ascii="Times New Roman" w:hAnsi="Times New Roman" w:cs="Times New Roman" w:eastAsia="Times New Roman" w:hint="default"/>
        </w:rPr>
        <w:t>55.38</w:t>
      </w:r>
      <w:r>
        <w:rPr/>
        <w:t>亿元成长为</w:t>
      </w:r>
      <w:r>
        <w:rPr>
          <w:rFonts w:ascii="Times New Roman" w:hAnsi="Times New Roman" w:cs="Times New Roman" w:eastAsia="Times New Roman" w:hint="default"/>
        </w:rPr>
        <w:t>109.63</w:t>
      </w:r>
      <w:r>
        <w:rPr/>
        <w:t>亿元，年均复合增长率高达</w:t>
      </w:r>
      <w:r>
        <w:rPr>
          <w:rFonts w:ascii="Times New Roman" w:hAnsi="Times New Roman" w:cs="Times New Roman" w:eastAsia="Times New Roman" w:hint="default"/>
        </w:rPr>
        <w:t>18.62%</w:t>
      </w:r>
      <w:r>
        <w:rPr/>
        <w:t>。未来，我国信息安全市场仍将保持快速增长，根</w:t>
      </w:r>
      <w:r>
        <w:rPr>
          <w:spacing w:val="-29"/>
        </w:rPr>
        <w:t> </w:t>
      </w:r>
      <w:r>
        <w:rPr>
          <w:spacing w:val="-29"/>
        </w:rPr>
      </w:r>
      <w:r>
        <w:rPr/>
        <w:t>据赛迪顾问的预测数据，</w:t>
      </w:r>
      <w:r>
        <w:rPr>
          <w:rFonts w:ascii="Times New Roman" w:hAnsi="Times New Roman" w:cs="Times New Roman" w:eastAsia="Times New Roman" w:hint="default"/>
        </w:rPr>
        <w:t>2013</w:t>
      </w:r>
      <w:r>
        <w:rPr/>
        <w:t>年我国信息安全产品的市场规模将进一步增长至</w:t>
      </w:r>
      <w:r>
        <w:rPr>
          <w:rFonts w:ascii="Times New Roman" w:hAnsi="Times New Roman" w:cs="Times New Roman" w:eastAsia="Times New Roman" w:hint="default"/>
        </w:rPr>
        <w:t>186.51</w:t>
      </w:r>
      <w:r>
        <w:rPr/>
        <w:t>亿元。</w:t>
      </w:r>
    </w:p>
    <w:p>
      <w:pPr>
        <w:pStyle w:val="BodyText"/>
        <w:spacing w:line="240" w:lineRule="auto" w:before="5"/>
        <w:ind w:left="512" w:right="62"/>
        <w:jc w:val="left"/>
      </w:pPr>
      <w:r>
        <w:rPr/>
        <w:t>我国信息安全行业的市场需求具有以下特点：</w:t>
      </w:r>
    </w:p>
    <w:p>
      <w:pPr>
        <w:pStyle w:val="BodyText"/>
        <w:spacing w:line="300" w:lineRule="auto" w:before="76"/>
        <w:ind w:left="512" w:right="62" w:hanging="46"/>
        <w:jc w:val="left"/>
      </w:pPr>
      <w:r>
        <w:rPr/>
        <w:t>（</w:t>
      </w:r>
      <w:r>
        <w:rPr>
          <w:rFonts w:ascii="Times New Roman" w:hAnsi="Times New Roman" w:cs="Times New Roman" w:eastAsia="Times New Roman" w:hint="default"/>
        </w:rPr>
        <w:t>1</w:t>
      </w:r>
      <w:r>
        <w:rPr/>
        <w:t>）安全威胁是市场需求快速增长的主要驱动力 </w:t>
      </w:r>
      <w:r>
        <w:rPr>
          <w:spacing w:val="-2"/>
        </w:rPr>
        <w:t>信息安全最大的特点即</w:t>
      </w:r>
      <w:r>
        <w:rPr>
          <w:rFonts w:ascii="Times New Roman" w:hAnsi="Times New Roman" w:cs="Times New Roman" w:eastAsia="Times New Roman" w:hint="default"/>
          <w:spacing w:val="-2"/>
        </w:rPr>
        <w:t>“</w:t>
      </w:r>
      <w:r>
        <w:rPr>
          <w:spacing w:val="-2"/>
        </w:rPr>
        <w:t>问题就是机会</w:t>
      </w:r>
      <w:r>
        <w:rPr>
          <w:rFonts w:ascii="Times New Roman" w:hAnsi="Times New Roman" w:cs="Times New Roman" w:eastAsia="Times New Roman" w:hint="default"/>
          <w:spacing w:val="-2"/>
        </w:rPr>
        <w:t>”</w:t>
      </w:r>
      <w:r>
        <w:rPr>
          <w:spacing w:val="-2"/>
        </w:rPr>
        <w:t>。目前网络安全威胁仍然严峻，以获利为目的的网络犯罪行为日益增多，网络罪</w:t>
      </w:r>
    </w:p>
    <w:p>
      <w:pPr>
        <w:pStyle w:val="BodyText"/>
        <w:spacing w:line="240" w:lineRule="auto" w:before="13"/>
        <w:ind w:right="62"/>
        <w:jc w:val="left"/>
      </w:pPr>
      <w:r>
        <w:rPr/>
        <w:t>犯愈发趋于专业化，目的愈发商业化。信息安全形势日益严峻，进一步推动了用户内在的信息安全建设需求。</w:t>
      </w:r>
    </w:p>
    <w:p>
      <w:pPr>
        <w:pStyle w:val="BodyText"/>
        <w:spacing w:line="300" w:lineRule="auto" w:before="76"/>
        <w:ind w:left="512" w:right="62" w:hanging="46"/>
        <w:jc w:val="left"/>
      </w:pPr>
      <w:r>
        <w:rPr/>
        <w:t>（</w:t>
      </w:r>
      <w:r>
        <w:rPr>
          <w:rFonts w:ascii="Times New Roman" w:hAnsi="Times New Roman" w:cs="Times New Roman" w:eastAsia="Times New Roman" w:hint="default"/>
        </w:rPr>
        <w:t>2</w:t>
      </w:r>
      <w:r>
        <w:rPr/>
        <w:t>）国家政策要求是市场需求增长的重要推动力 </w:t>
      </w:r>
      <w:r>
        <w:rPr>
          <w:spacing w:val="-2"/>
        </w:rPr>
        <w:t>在信息安全建设方面，国家一直予以高度重视，近年来各类政策不断，显著推动了国内信息安全产业的发展。</w:t>
      </w:r>
      <w:r>
        <w:rPr>
          <w:rFonts w:ascii="Times New Roman" w:hAnsi="Times New Roman" w:cs="Times New Roman" w:eastAsia="Times New Roman" w:hint="default"/>
          <w:spacing w:val="-2"/>
        </w:rPr>
        <w:t>2007</w:t>
      </w:r>
      <w:r>
        <w:rPr>
          <w:spacing w:val="-2"/>
        </w:rPr>
        <w:t>年公</w:t>
      </w:r>
      <w:r>
        <w:rPr/>
      </w:r>
    </w:p>
    <w:p>
      <w:pPr>
        <w:pStyle w:val="BodyText"/>
        <w:spacing w:line="316" w:lineRule="auto" w:before="13"/>
        <w:ind w:right="62"/>
        <w:jc w:val="left"/>
      </w:pPr>
      <w:r>
        <w:rPr>
          <w:spacing w:val="-2"/>
        </w:rPr>
        <w:t>安部、国家保密局、国家密码管理局、国务院信息工作办公室联合制定了《信息安全等级保护管理办法》。在《信息安全产</w:t>
      </w:r>
      <w:r>
        <w:rPr>
          <w:spacing w:val="-66"/>
        </w:rPr>
        <w:t> </w:t>
      </w:r>
      <w:r>
        <w:rPr>
          <w:spacing w:val="-66"/>
        </w:rPr>
      </w:r>
      <w:r>
        <w:rPr/>
        <w:t>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发展规划》发布后，</w:t>
      </w:r>
      <w:r>
        <w:rPr>
          <w:rFonts w:ascii="Times New Roman" w:hAnsi="Times New Roman" w:cs="Times New Roman" w:eastAsia="Times New Roman" w:hint="default"/>
        </w:rPr>
        <w:t>2012</w:t>
      </w:r>
      <w:r>
        <w:rPr/>
        <w:t>年国家相继出台了一系列的政策法规，持续推动了信息安全产业的发展，如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p>
    <w:p>
      <w:pPr>
        <w:pStyle w:val="BodyText"/>
        <w:spacing w:line="309" w:lineRule="auto"/>
        <w:ind w:right="193"/>
        <w:jc w:val="both"/>
      </w:pPr>
      <w:r>
        <w:rPr>
          <w:spacing w:val="-2"/>
        </w:rPr>
        <w:t>《国务院关于大力推进信息化发展和切实保障信息安全的若干意见》发布，明确提出要大力推进信息化发展，切实保障信息</w:t>
      </w:r>
      <w:r>
        <w:rPr>
          <w:spacing w:val="-66"/>
        </w:rPr>
        <w:t> </w:t>
      </w:r>
      <w:r>
        <w:rPr>
          <w:spacing w:val="-66"/>
        </w:rPr>
      </w:r>
      <w:r>
        <w:rPr>
          <w:spacing w:val="-2"/>
        </w:rPr>
        <w:t>安全。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月全国人民代表大会常务委员会通过</w:t>
      </w:r>
      <w:r>
        <w:rPr>
          <w:rFonts w:ascii="Times New Roman" w:hAnsi="Times New Roman" w:cs="Times New Roman" w:eastAsia="Times New Roman" w:hint="default"/>
          <w:spacing w:val="-2"/>
        </w:rPr>
        <w:t>“</w:t>
      </w:r>
      <w:r>
        <w:rPr>
          <w:spacing w:val="-2"/>
        </w:rPr>
        <w:t>关于加强网络信息保护的决定</w:t>
      </w:r>
      <w:r>
        <w:rPr>
          <w:rFonts w:ascii="Times New Roman" w:hAnsi="Times New Roman" w:cs="Times New Roman" w:eastAsia="Times New Roman" w:hint="default"/>
          <w:spacing w:val="-2"/>
        </w:rPr>
        <w:t>”</w:t>
      </w:r>
      <w:r>
        <w:rPr>
          <w:spacing w:val="-2"/>
        </w:rPr>
        <w:t>。国家政策的不断加强成为信息安全行</w:t>
      </w:r>
      <w:r>
        <w:rPr>
          <w:spacing w:val="-43"/>
        </w:rPr>
        <w:t> </w:t>
      </w:r>
      <w:r>
        <w:rPr>
          <w:spacing w:val="-43"/>
        </w:rPr>
      </w:r>
      <w:r>
        <w:rPr/>
        <w:t>业发展的重要推动力量。</w:t>
      </w:r>
    </w:p>
    <w:p>
      <w:pPr>
        <w:pStyle w:val="BodyText"/>
        <w:spacing w:line="300" w:lineRule="auto" w:before="24"/>
        <w:ind w:left="558" w:right="62" w:firstLine="14"/>
        <w:jc w:val="left"/>
      </w:pPr>
      <w:r>
        <w:rPr/>
        <w:t>（</w:t>
      </w:r>
      <w:r>
        <w:rPr>
          <w:rFonts w:ascii="Times New Roman" w:hAnsi="Times New Roman" w:cs="Times New Roman" w:eastAsia="Times New Roman" w:hint="default"/>
        </w:rPr>
        <w:t>3</w:t>
      </w:r>
      <w:r>
        <w:rPr/>
        <w:t>）市场需求呈现多样化，客户关注重点不同 目前，信息安全产品正逐步由被动防御走向主动阻断，高精确、无打扰的主动性信息安全产品成为整个市场关注的热</w:t>
      </w:r>
    </w:p>
    <w:p>
      <w:pPr>
        <w:pStyle w:val="BodyText"/>
        <w:spacing w:line="240" w:lineRule="auto" w:before="31"/>
        <w:ind w:right="62"/>
        <w:jc w:val="left"/>
      </w:pPr>
      <w:r>
        <w:rPr/>
        <w:t>点。然而由于应用环境及关注点不同，不同用户对信息安全产品的需求显现不同的特点。政府用户对信息安全产品是否能满</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62"/>
        <w:jc w:val="left"/>
      </w:pPr>
      <w:r>
        <w:rPr>
          <w:spacing w:val="-2"/>
        </w:rPr>
        <w:t>足符合国家政策的合规性功能更加关注，同时亦关注信息安全产品生产企业的行业知名度、售后服务能力及应急响应能力等</w:t>
      </w:r>
      <w:r>
        <w:rPr>
          <w:spacing w:val="-64"/>
        </w:rPr>
        <w:t> </w:t>
      </w:r>
      <w:r>
        <w:rPr>
          <w:spacing w:val="-64"/>
        </w:rPr>
      </w:r>
      <w:r>
        <w:rPr>
          <w:spacing w:val="-4"/>
        </w:rPr>
        <w:t>方面；金融、能源、电信等重点行业的骨干企业用户对信息安全产品的要求更高，不仅关注企业品牌、产品功能、服务能力，</w:t>
      </w:r>
      <w:r>
        <w:rPr>
          <w:spacing w:val="-44"/>
        </w:rPr>
        <w:t> </w:t>
      </w:r>
      <w:r>
        <w:rPr>
          <w:spacing w:val="-44"/>
        </w:rPr>
      </w:r>
      <w:r>
        <w:rPr>
          <w:spacing w:val="-2"/>
        </w:rPr>
        <w:t>而且对各种信息安全产品防护能力的有效组合更为关注，这就要求信息安全企业具备较强的二次开发能力，提供的安全产品</w:t>
      </w:r>
      <w:r>
        <w:rPr>
          <w:spacing w:val="-64"/>
        </w:rPr>
        <w:t> </w:t>
      </w:r>
      <w:r>
        <w:rPr>
          <w:spacing w:val="-64"/>
        </w:rPr>
      </w:r>
      <w:r>
        <w:rPr>
          <w:spacing w:val="-2"/>
        </w:rPr>
        <w:t>和解决方案能够适应更加复杂的运行环境；普通中、小型企业由于资金实力较弱，信息安全投资有限，对实用性强且价格较</w:t>
      </w:r>
      <w:r>
        <w:rPr>
          <w:spacing w:val="-64"/>
        </w:rPr>
        <w:t> </w:t>
      </w:r>
      <w:r>
        <w:rPr>
          <w:spacing w:val="-64"/>
        </w:rPr>
      </w:r>
      <w:r>
        <w:rPr/>
        <w:t>便宜的信息安全产品更感兴趣。</w:t>
      </w:r>
    </w:p>
    <w:p>
      <w:pPr>
        <w:pStyle w:val="BodyText"/>
        <w:spacing w:line="300" w:lineRule="auto" w:before="18"/>
        <w:ind w:left="512" w:right="62" w:hanging="360"/>
        <w:jc w:val="left"/>
      </w:pPr>
      <w:r>
        <w:rPr>
          <w:rFonts w:ascii="Times New Roman" w:hAnsi="Times New Roman" w:cs="Times New Roman" w:eastAsia="Times New Roman" w:hint="default"/>
        </w:rPr>
        <w:t>2</w:t>
      </w:r>
      <w:r>
        <w:rPr/>
        <w:t>、终端安全管理市场需求状况 </w:t>
      </w:r>
      <w:r>
        <w:rPr>
          <w:spacing w:val="-2"/>
        </w:rPr>
        <w:t>终端安全管理市场，作为信息安全的细分领域，起步较晚，正处于高速发展的时期。目前，终端安全管理市场需求主要</w:t>
      </w:r>
    </w:p>
    <w:p>
      <w:pPr>
        <w:pStyle w:val="BodyText"/>
        <w:spacing w:line="316" w:lineRule="auto" w:before="31"/>
        <w:ind w:right="94"/>
        <w:jc w:val="left"/>
      </w:pPr>
      <w:r>
        <w:rPr>
          <w:spacing w:val="-2"/>
        </w:rPr>
        <w:t>来自于各级政府机关、军工、金融以及能源等国家重点行业的大中型企业。由于上述终端安全管理产品用户的大中型企业终</w:t>
      </w:r>
      <w:r>
        <w:rPr>
          <w:spacing w:val="-65"/>
        </w:rPr>
        <w:t> </w:t>
      </w:r>
      <w:r>
        <w:rPr>
          <w:spacing w:val="-65"/>
        </w:rPr>
      </w:r>
      <w:r>
        <w:rPr/>
        <w:t>端计算机数量众多，网络管理人员在安全保障工作中面临各种问题，难以有效了解集团内部终端资产的配置及其变化情况， </w:t>
      </w:r>
      <w:r>
        <w:rPr>
          <w:spacing w:val="-2"/>
        </w:rPr>
        <w:t>难以及时发现和控制终端软件的非法安装，难以通过人工手段实现对所有计算机终端的有效保护，因此，采取行之有效的措</w:t>
      </w:r>
      <w:r>
        <w:rPr>
          <w:spacing w:val="-66"/>
        </w:rPr>
        <w:t> </w:t>
      </w:r>
      <w:r>
        <w:rPr>
          <w:spacing w:val="-66"/>
        </w:rPr>
      </w:r>
      <w:r>
        <w:rPr>
          <w:spacing w:val="-2"/>
        </w:rPr>
        <w:t>施成为其迫切需求。由于终端安全管理产品具有集中化、自动化、主动性管理的特征，能够有效的对终端进行主动的安全防</w:t>
      </w:r>
      <w:r>
        <w:rPr>
          <w:spacing w:val="-64"/>
        </w:rPr>
        <w:t> </w:t>
      </w:r>
      <w:r>
        <w:rPr>
          <w:spacing w:val="-64"/>
        </w:rPr>
      </w:r>
      <w:r>
        <w:rPr/>
        <w:t>护和系统管理，因此成为上述部门和行业的必然选择。</w:t>
      </w:r>
    </w:p>
    <w:p>
      <w:pPr>
        <w:pStyle w:val="BodyText"/>
        <w:spacing w:line="309" w:lineRule="auto" w:before="18"/>
        <w:ind w:right="96" w:firstLine="360"/>
        <w:jc w:val="left"/>
      </w:pPr>
      <w:r>
        <w:rPr>
          <w:spacing w:val="-2"/>
        </w:rPr>
        <w:t>终端安全管理产品的凸现是传统安全设施不满足日益严峻的安全形势的必然，是信息安全技术发展的趋势。终端安全管</w:t>
      </w:r>
      <w:r>
        <w:rPr/>
        <w:t> </w:t>
      </w:r>
      <w:r>
        <w:rPr>
          <w:spacing w:val="-2"/>
        </w:rPr>
        <w:t>理产品独立于防火墙、防病毒、</w:t>
      </w:r>
      <w:r>
        <w:rPr>
          <w:rFonts w:ascii="Times New Roman" w:hAnsi="Times New Roman" w:cs="Times New Roman" w:eastAsia="Times New Roman" w:hint="default"/>
          <w:spacing w:val="-2"/>
        </w:rPr>
        <w:t>IDS</w:t>
      </w:r>
      <w:r>
        <w:rPr>
          <w:spacing w:val="-2"/>
        </w:rPr>
        <w:t>、身份认证等信息安全产品所部署的网络防御层次，提供其所不能提供的安全防护功能，</w:t>
      </w:r>
      <w:r>
        <w:rPr>
          <w:spacing w:val="-86"/>
        </w:rPr>
        <w:t> </w:t>
      </w:r>
      <w:r>
        <w:rPr>
          <w:spacing w:val="-86"/>
        </w:rPr>
      </w:r>
      <w:r>
        <w:rPr/>
        <w:t>对它们管理的盲区进行防护和监控，构筑了信息安全体系终端层次的安全防护与管理。</w:t>
      </w:r>
    </w:p>
    <w:p>
      <w:pPr>
        <w:pStyle w:val="BodyText"/>
        <w:spacing w:line="316" w:lineRule="auto" w:before="24"/>
        <w:ind w:right="111" w:firstLine="360"/>
        <w:jc w:val="both"/>
      </w:pPr>
      <w:r>
        <w:rPr>
          <w:spacing w:val="-2"/>
        </w:rPr>
        <w:t>公司作为一家拥有自主知识产权的信息安全企业，经过多年的发展，通过不断地技术创新，在终端安全管理产品、数据</w:t>
      </w:r>
      <w:r>
        <w:rPr/>
        <w:t> </w:t>
      </w:r>
      <w:r>
        <w:rPr>
          <w:spacing w:val="-2"/>
        </w:rPr>
        <w:t>安全管理产品、安全管理平台产品及安全服务整体解决方案等方面形成多项核心技术，已成为国内最具技术创新和产品开发</w:t>
      </w:r>
      <w:r>
        <w:rPr>
          <w:spacing w:val="-64"/>
        </w:rPr>
        <w:t> </w:t>
      </w:r>
      <w:r>
        <w:rPr>
          <w:spacing w:val="-64"/>
        </w:rPr>
      </w:r>
      <w:r>
        <w:rPr/>
        <w:t>实力的信息安全主要厂商之一，根据赛迪顾问的统计，公司终端安全管理产品的国内同类市场占有率已连续多年保持第一。</w:t>
      </w:r>
    </w:p>
    <w:p>
      <w:pPr>
        <w:pStyle w:val="BodyText"/>
        <w:spacing w:line="240" w:lineRule="auto" w:before="18"/>
        <w:ind w:right="62"/>
        <w:jc w:val="left"/>
      </w:pPr>
      <w:r>
        <w:rPr/>
        <w:t>（二）公司发展战略和经营计划</w:t>
      </w:r>
    </w:p>
    <w:p>
      <w:pPr>
        <w:pStyle w:val="BodyText"/>
        <w:spacing w:line="300" w:lineRule="auto" w:before="76"/>
        <w:ind w:right="187" w:firstLine="405"/>
        <w:jc w:val="both"/>
      </w:pPr>
      <w:r>
        <w:rPr>
          <w:rFonts w:ascii="Times New Roman" w:hAnsi="Times New Roman" w:cs="Times New Roman" w:eastAsia="Times New Roman" w:hint="default"/>
        </w:rPr>
        <w:t>1</w:t>
      </w:r>
      <w:r>
        <w:rPr/>
        <w:t>、公司的战略目标是：</w:t>
      </w:r>
      <w:r>
        <w:rPr>
          <w:rFonts w:ascii="Times New Roman" w:hAnsi="Times New Roman" w:cs="Times New Roman" w:eastAsia="Times New Roman" w:hint="default"/>
        </w:rPr>
        <w:t>“</w:t>
      </w:r>
      <w:r>
        <w:rPr/>
        <w:t>以总部经营战略为点，总部向各分支机构不断延伸的发展模式为线，发展中小企业和个人客</w:t>
      </w:r>
      <w:r>
        <w:rPr>
          <w:spacing w:val="2"/>
        </w:rPr>
        <w:t> </w:t>
      </w:r>
      <w:r>
        <w:rPr/>
        <w:t>户的经营模式为面</w:t>
      </w:r>
      <w:r>
        <w:rPr>
          <w:rFonts w:ascii="Times New Roman" w:hAnsi="Times New Roman" w:cs="Times New Roman" w:eastAsia="Times New Roman" w:hint="default"/>
        </w:rPr>
        <w:t>”</w:t>
      </w:r>
      <w:r>
        <w:rPr/>
        <w:t>，力争使得本公司经营理念上的</w:t>
      </w:r>
      <w:r>
        <w:rPr>
          <w:rFonts w:ascii="Times New Roman" w:hAnsi="Times New Roman" w:cs="Times New Roman" w:eastAsia="Times New Roman" w:hint="default"/>
        </w:rPr>
        <w:t>“</w:t>
      </w:r>
      <w:r>
        <w:rPr/>
        <w:t>点、线、面</w:t>
      </w:r>
      <w:r>
        <w:rPr>
          <w:rFonts w:ascii="Times New Roman" w:hAnsi="Times New Roman" w:cs="Times New Roman" w:eastAsia="Times New Roman" w:hint="default"/>
        </w:rPr>
        <w:t>”</w:t>
      </w:r>
      <w:r>
        <w:rPr/>
        <w:t>有机结合，相辅相成，不断地提升核心竞争力和市场占有</w:t>
      </w:r>
      <w:r>
        <w:rPr>
          <w:spacing w:val="-60"/>
        </w:rPr>
        <w:t> </w:t>
      </w:r>
      <w:r>
        <w:rPr>
          <w:spacing w:val="-60"/>
        </w:rPr>
      </w:r>
      <w:r>
        <w:rPr/>
        <w:t>率，将公司发展成为国内、国际一流的信息安全行业的大型企业。</w:t>
      </w:r>
    </w:p>
    <w:p>
      <w:pPr>
        <w:pStyle w:val="BodyText"/>
        <w:spacing w:line="316" w:lineRule="auto" w:before="31"/>
        <w:ind w:right="94" w:firstLine="405"/>
        <w:jc w:val="left"/>
      </w:pPr>
      <w:r>
        <w:rPr/>
        <w:t>首先，主要围绕终端安全管理、数据安全管理及安全管理平台三大产品体系，在巩固和扩大面向国家部委、大型企事 业单位的信息安全产品的同时，积极发展面向中小企业及个人客户的单机版安全产品，为公司创造新的利润增长点；其次， 在进一步完善国内营销服务体系的基础上，逐步建立并完善国际营销网络，全面提升公司的技术服务能力和应急响应能力。</w:t>
      </w:r>
    </w:p>
    <w:p>
      <w:pPr>
        <w:pStyle w:val="BodyText"/>
        <w:spacing w:line="312" w:lineRule="auto" w:before="18"/>
        <w:ind w:left="153" w:right="190" w:firstLine="405"/>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2013</w:t>
      </w:r>
      <w:r>
        <w:rPr>
          <w:spacing w:val="-1"/>
        </w:rPr>
        <w:t>年，公司将通过加大技术创新力度、加深行业渗透和业务扩展，持续巩固并提升公司核心竞争力，促进公司快</w:t>
      </w:r>
      <w:r>
        <w:rPr/>
        <w:t> </w:t>
      </w:r>
      <w:r>
        <w:rPr>
          <w:spacing w:val="-2"/>
        </w:rPr>
        <w:t>速发展和业务目标的实现。进一步提高公司知名度和市场影响力，增强公司对优秀人才的吸引力，积极把握信息技术的发展</w:t>
      </w:r>
      <w:r>
        <w:rPr>
          <w:spacing w:val="-63"/>
        </w:rPr>
        <w:t> </w:t>
      </w:r>
      <w:r>
        <w:rPr>
          <w:spacing w:val="-63"/>
        </w:rPr>
      </w:r>
      <w:r>
        <w:rPr>
          <w:spacing w:val="-2"/>
        </w:rPr>
        <w:t>新趋势，通过核心技术研究和资本运作等多种途径领航终端安全管理，持续改善公司治理结构、提升公司管理水平和重大决</w:t>
      </w:r>
      <w:r>
        <w:rPr>
          <w:spacing w:val="-63"/>
        </w:rPr>
        <w:t> </w:t>
      </w:r>
      <w:r>
        <w:rPr>
          <w:spacing w:val="-63"/>
        </w:rPr>
      </w:r>
      <w:r>
        <w:rPr/>
        <w:t>策的科学化水平，具体措施如下：</w:t>
      </w:r>
    </w:p>
    <w:p>
      <w:pPr>
        <w:pStyle w:val="BodyText"/>
        <w:spacing w:line="309" w:lineRule="auto" w:before="22"/>
        <w:ind w:left="153" w:right="192" w:firstLine="360"/>
        <w:jc w:val="both"/>
      </w:pPr>
      <w:r>
        <w:rPr/>
        <w:t>（</w:t>
      </w:r>
      <w:r>
        <w:rPr>
          <w:rFonts w:ascii="Times New Roman" w:hAnsi="Times New Roman" w:cs="Times New Roman" w:eastAsia="Times New Roman" w:hint="default"/>
        </w:rPr>
        <w:t>1</w:t>
      </w:r>
      <w:r>
        <w:rPr/>
        <w:t>）公司将进一步加大核心技术研发力度和研发创新的投入。不断提高研发人员素质，完善研发环境。密切关注云安 </w:t>
      </w:r>
      <w:r>
        <w:rPr>
          <w:spacing w:val="-2"/>
        </w:rPr>
        <w:t>全、物联网安全、大数据、虚拟化、移动终端等新技术发展趋势发展状况，积极探索最佳切入点及业务模式保持产品和技术</w:t>
      </w:r>
      <w:r>
        <w:rPr>
          <w:spacing w:val="-65"/>
        </w:rPr>
        <w:t> </w:t>
      </w:r>
      <w:r>
        <w:rPr>
          <w:spacing w:val="-65"/>
        </w:rPr>
      </w:r>
      <w:r>
        <w:rPr/>
        <w:t>的创新性和前瞻性。</w:t>
      </w:r>
    </w:p>
    <w:p>
      <w:pPr>
        <w:pStyle w:val="BodyText"/>
        <w:spacing w:line="300" w:lineRule="auto" w:before="24"/>
        <w:ind w:right="190" w:firstLine="360"/>
        <w:jc w:val="both"/>
      </w:pPr>
      <w:r>
        <w:rPr>
          <w:spacing w:val="-1"/>
        </w:rPr>
        <w:t>（</w:t>
      </w:r>
      <w:r>
        <w:rPr>
          <w:rFonts w:ascii="Times New Roman" w:hAnsi="Times New Roman" w:cs="Times New Roman" w:eastAsia="Times New Roman" w:hint="default"/>
          <w:spacing w:val="-1"/>
        </w:rPr>
        <w:t>2</w:t>
      </w:r>
      <w:r>
        <w:rPr>
          <w:spacing w:val="-1"/>
        </w:rPr>
        <w:t>）继续推动募投项目的建设和产出，为公司提供新的增长。以</w:t>
      </w:r>
      <w:r>
        <w:rPr>
          <w:rFonts w:ascii="Times New Roman" w:hAnsi="Times New Roman" w:cs="Times New Roman" w:eastAsia="Times New Roman" w:hint="default"/>
          <w:spacing w:val="-1"/>
        </w:rPr>
        <w:t>“</w:t>
      </w:r>
      <w:r>
        <w:rPr>
          <w:spacing w:val="-1"/>
        </w:rPr>
        <w:t>终端安全管理整体解决方案升级项目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数据安全管</w:t>
      </w:r>
      <w:r>
        <w:rPr/>
        <w:t> 理整体解决方案研发项目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企业级云安全管理平台项目</w:t>
      </w:r>
      <w:r>
        <w:rPr>
          <w:rFonts w:ascii="Times New Roman" w:hAnsi="Times New Roman" w:cs="Times New Roman" w:eastAsia="Times New Roman" w:hint="default"/>
        </w:rPr>
        <w:t>”</w:t>
      </w:r>
      <w:r>
        <w:rPr/>
        <w:t>等三个项目的产品开发和建设为核心，不断完善和丰富企业级信</w:t>
      </w:r>
      <w:r>
        <w:rPr>
          <w:spacing w:val="-58"/>
        </w:rPr>
        <w:t> </w:t>
      </w:r>
      <w:r>
        <w:rPr>
          <w:spacing w:val="-58"/>
        </w:rPr>
      </w:r>
      <w:r>
        <w:rPr/>
        <w:t>息安全产品的功能和品种，及时把握行业性产品需求的差异化，提高客户对于产品的满意度。</w:t>
      </w:r>
    </w:p>
    <w:p>
      <w:pPr>
        <w:pStyle w:val="BodyText"/>
        <w:spacing w:line="314" w:lineRule="auto" w:before="31"/>
        <w:ind w:right="62" w:firstLine="360"/>
        <w:jc w:val="left"/>
      </w:pPr>
      <w:r>
        <w:rPr/>
        <w:t>（</w:t>
      </w:r>
      <w:r>
        <w:rPr>
          <w:rFonts w:ascii="Times New Roman" w:hAnsi="Times New Roman" w:cs="Times New Roman" w:eastAsia="Times New Roman" w:hint="default"/>
        </w:rPr>
        <w:t>3</w:t>
      </w:r>
      <w:r>
        <w:rPr/>
        <w:t>）为适应业务的快速发展，公司将实施积极的人才管理战略，坚持引进高素质人才的策略，不断充实和壮大公司的 </w:t>
      </w:r>
      <w:r>
        <w:rPr>
          <w:spacing w:val="-4"/>
        </w:rPr>
        <w:t>研发能力、市场拓展能力和管理能力。同时，公司将不断加强对现有员工特别是骨干员工的岗位培训，根据不同岗位的要求，</w:t>
      </w:r>
      <w:r>
        <w:rPr>
          <w:spacing w:val="-46"/>
        </w:rPr>
        <w:t> </w:t>
      </w:r>
      <w:r>
        <w:rPr>
          <w:spacing w:val="-46"/>
        </w:rPr>
      </w:r>
      <w:r>
        <w:rPr>
          <w:spacing w:val="-2"/>
        </w:rPr>
        <w:t>制定详细的培训计划。内部业务骨干、核心技术人员以讲座和研讨形式与其他员工进行经常性的交流，并且公司定期邀请业</w:t>
      </w:r>
      <w:r>
        <w:rPr>
          <w:spacing w:val="-63"/>
        </w:rPr>
        <w:t> </w:t>
      </w:r>
      <w:r>
        <w:rPr>
          <w:spacing w:val="-63"/>
        </w:rPr>
      </w:r>
      <w:r>
        <w:rPr>
          <w:spacing w:val="-2"/>
        </w:rPr>
        <w:t>内专家、高校名师及科研院所研究人员进行专题讲座，以进一步提高员工的整体素质，使公司的研发人员能够紧跟国内外最</w:t>
      </w:r>
      <w:r>
        <w:rPr>
          <w:spacing w:val="-63"/>
        </w:rPr>
        <w:t> </w:t>
      </w:r>
      <w:r>
        <w:rPr>
          <w:spacing w:val="-63"/>
        </w:rPr>
      </w:r>
      <w:r>
        <w:rPr/>
        <w:t>新技术的发展动态，确保公司的技术和管理水平保持优势地位。</w:t>
      </w:r>
    </w:p>
    <w:p>
      <w:pPr>
        <w:pStyle w:val="BodyText"/>
        <w:spacing w:line="316" w:lineRule="auto" w:before="20"/>
        <w:ind w:right="192" w:firstLine="360"/>
        <w:jc w:val="both"/>
      </w:pPr>
      <w:r>
        <w:rPr/>
        <w:t>（</w:t>
      </w:r>
      <w:r>
        <w:rPr>
          <w:rFonts w:ascii="宋体" w:hAnsi="宋体" w:cs="宋体" w:eastAsia="宋体" w:hint="default"/>
        </w:rPr>
        <w:t>4</w:t>
      </w:r>
      <w:r>
        <w:rPr/>
        <w:t>）为进一步开拓市场，保持销售增长的可持续性，公司将继续强化总部市场策略。一方面公司将深度挖掘已开发的 </w:t>
      </w:r>
      <w:r>
        <w:rPr>
          <w:spacing w:val="-2"/>
        </w:rPr>
        <w:t>政府部门、军工、金融以及能源客户总部机构的需求，适时推广公司的新产品及服务；另一方面，公司将充分利用已形成的</w:t>
      </w:r>
      <w:r>
        <w:rPr>
          <w:spacing w:val="-67"/>
        </w:rPr>
        <w:t> </w:t>
      </w:r>
      <w:r>
        <w:rPr>
          <w:spacing w:val="-67"/>
        </w:rPr>
      </w:r>
      <w:r>
        <w:rPr>
          <w:spacing w:val="-2"/>
        </w:rPr>
        <w:t>总部优势，沿着纵向管理层级体系向其下属省、市、县级机构延伸，不断地拓展公司产品应用范围。同时，公司还将进一步</w:t>
      </w:r>
      <w:r>
        <w:rPr>
          <w:spacing w:val="-68"/>
        </w:rPr>
        <w:t> </w:t>
      </w:r>
      <w:r>
        <w:rPr>
          <w:spacing w:val="-68"/>
        </w:rPr>
      </w:r>
      <w:r>
        <w:rPr/>
        <w:t>细化行业事业部的运营管理，使产品开发和专业服务更加贴近重点行业用户的需求，加强纵深行业市场拓展力度。</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firstLine="360"/>
        <w:jc w:val="both"/>
      </w:pPr>
      <w:r>
        <w:rPr>
          <w:spacing w:val="-2"/>
        </w:rPr>
        <w:t>公司还将进一步加强营销服务体系建设，今年争取建设成都、武汉等大区营销服务中心，逐步完成辐射各城市营销服务</w:t>
      </w:r>
      <w:r>
        <w:rPr/>
        <w:t> </w:t>
      </w:r>
      <w:r>
        <w:rPr>
          <w:spacing w:val="-2"/>
        </w:rPr>
        <w:t>网点的三级联动管理的营销服务网络初步布局。降低公司技术服务的成本，提高公司对用户需求响应的及时性，拓宽公司产</w:t>
      </w:r>
      <w:r>
        <w:rPr>
          <w:spacing w:val="-63"/>
        </w:rPr>
        <w:t> </w:t>
      </w:r>
      <w:r>
        <w:rPr>
          <w:spacing w:val="-63"/>
        </w:rPr>
      </w:r>
      <w:r>
        <w:rPr/>
        <w:t>品市场覆盖率。</w:t>
      </w:r>
    </w:p>
    <w:p>
      <w:pPr>
        <w:pStyle w:val="BodyText"/>
        <w:spacing w:line="314" w:lineRule="auto" w:before="18"/>
        <w:ind w:right="62" w:firstLine="360"/>
        <w:jc w:val="left"/>
      </w:pPr>
      <w:r>
        <w:rPr>
          <w:rFonts w:ascii="Times New Roman" w:hAnsi="Times New Roman" w:cs="Times New Roman" w:eastAsia="Times New Roman" w:hint="default"/>
          <w:spacing w:val="-2"/>
        </w:rPr>
        <w:t>2013</w:t>
      </w:r>
      <w:r>
        <w:rPr>
          <w:spacing w:val="-2"/>
        </w:rPr>
        <w:t>年，通过实施上述计划，公司在产品开发、人力资源扩充、技术创新、市场开发和营销网络建设等方面均将比目前</w:t>
      </w:r>
      <w:r>
        <w:rPr/>
        <w:t> </w:t>
      </w:r>
      <w:r>
        <w:rPr>
          <w:spacing w:val="-2"/>
        </w:rPr>
        <w:t>有进一步提高，从而在总体上提高公司的经营管理水平和核心竞争力，进一步巩固和加强公司在终端安全管理行业的领先地</w:t>
      </w:r>
      <w:r>
        <w:rPr>
          <w:spacing w:val="-64"/>
        </w:rPr>
        <w:t> </w:t>
      </w:r>
      <w:r>
        <w:rPr>
          <w:spacing w:val="-64"/>
        </w:rPr>
      </w:r>
      <w:r>
        <w:rPr>
          <w:spacing w:val="-2"/>
        </w:rPr>
        <w:t>位。同时，随着公司业务的快速发展及公司规模的迅速扩大，公司将进一步完善科学合理的法人治理结构，确保公司的经营</w:t>
      </w:r>
      <w:r>
        <w:rPr>
          <w:spacing w:val="-64"/>
        </w:rPr>
        <w:t> </w:t>
      </w:r>
      <w:r>
        <w:rPr>
          <w:spacing w:val="-64"/>
        </w:rPr>
      </w:r>
      <w:r>
        <w:rPr>
          <w:spacing w:val="-4"/>
        </w:rPr>
        <w:t>管理和投资决策的科学性和准确性。继续优化公司员工激励机制并辅以科学、合理的管理考核机制。根据公司业务发展需要，</w:t>
      </w:r>
      <w:r>
        <w:rPr>
          <w:spacing w:val="-44"/>
        </w:rPr>
        <w:t> </w:t>
      </w:r>
      <w:r>
        <w:rPr>
          <w:spacing w:val="-44"/>
        </w:rPr>
      </w:r>
      <w:r>
        <w:rPr/>
        <w:t>不断及时调整和优化公司组织机构和职能设置，提高效率，适应市场的持续挑战。</w:t>
      </w:r>
    </w:p>
    <w:p>
      <w:pPr>
        <w:pStyle w:val="BodyText"/>
        <w:spacing w:line="240" w:lineRule="auto" w:before="20"/>
        <w:ind w:right="62"/>
        <w:jc w:val="left"/>
      </w:pPr>
      <w:r>
        <w:rPr/>
        <w:t>（三）可能的风险</w:t>
      </w:r>
    </w:p>
    <w:p>
      <w:pPr>
        <w:pStyle w:val="BodyText"/>
        <w:spacing w:line="300" w:lineRule="auto" w:before="76"/>
        <w:ind w:left="512" w:right="62" w:hanging="361"/>
        <w:jc w:val="left"/>
      </w:pPr>
      <w:r>
        <w:rPr>
          <w:rFonts w:ascii="Times New Roman" w:hAnsi="Times New Roman" w:cs="Times New Roman" w:eastAsia="Times New Roman" w:hint="default"/>
        </w:rPr>
        <w:t>1</w:t>
      </w:r>
      <w:r>
        <w:rPr/>
        <w:t>、 产品销售季节性不均衡的风险 </w:t>
      </w:r>
      <w:r>
        <w:rPr>
          <w:spacing w:val="-2"/>
        </w:rPr>
        <w:t>公司作为专业的信息安全软件的提供商，主要客户为政府部门、军队及军工企业、能源、金融等重要领域的大型国有企</w:t>
      </w:r>
    </w:p>
    <w:p>
      <w:pPr>
        <w:pStyle w:val="BodyText"/>
        <w:spacing w:line="314" w:lineRule="auto" w:before="31"/>
        <w:ind w:right="62"/>
        <w:jc w:val="left"/>
      </w:pPr>
      <w:r>
        <w:rPr>
          <w:spacing w:val="-2"/>
        </w:rPr>
        <w:t>业和事业单位，这些客户通常采取预算管理制度和产品集中采购制度，一般下半年制定次年年度预算和投资计划，审批通常</w:t>
      </w:r>
      <w:r>
        <w:rPr>
          <w:spacing w:val="-63"/>
        </w:rPr>
        <w:t> </w:t>
      </w:r>
      <w:r>
        <w:rPr>
          <w:spacing w:val="-63"/>
        </w:rPr>
      </w:r>
      <w:r>
        <w:rPr>
          <w:spacing w:val="-2"/>
        </w:rPr>
        <w:t>集中在次年的上半年，采购招标则安排在次年年中或下半年。因此，公司每年上半年销售较少，销售主要集中在下半年尤其</w:t>
      </w:r>
      <w:r>
        <w:rPr>
          <w:spacing w:val="-64"/>
        </w:rPr>
        <w:t> </w:t>
      </w:r>
      <w:r>
        <w:rPr>
          <w:spacing w:val="-64"/>
        </w:rPr>
      </w:r>
      <w:r>
        <w:rPr>
          <w:spacing w:val="-2"/>
        </w:rPr>
        <w:t>是第四季度，公司销售呈现较明显的季节性分布，并由此使得公司营业收入在第四季度集中实现。从公司近三年各季度营业</w:t>
      </w:r>
      <w:r>
        <w:rPr>
          <w:spacing w:val="-63"/>
        </w:rPr>
        <w:t> </w:t>
      </w:r>
      <w:r>
        <w:rPr>
          <w:spacing w:val="-63"/>
        </w:rPr>
      </w:r>
      <w:r>
        <w:rPr>
          <w:spacing w:val="-3"/>
        </w:rPr>
        <w:t>收入统计来看，第四季度营业收入占全年收入</w:t>
      </w:r>
      <w:r>
        <w:rPr>
          <w:rFonts w:ascii="Times New Roman" w:hAnsi="Times New Roman" w:cs="Times New Roman" w:eastAsia="Times New Roman" w:hint="default"/>
          <w:spacing w:val="-3"/>
        </w:rPr>
        <w:t>40%</w:t>
      </w:r>
      <w:r>
        <w:rPr>
          <w:spacing w:val="-3"/>
        </w:rPr>
        <w:t>以上；由于费用在年度内较为均衡地发生，因而可能会造成公司第一季度、</w:t>
      </w:r>
      <w:r>
        <w:rPr>
          <w:spacing w:val="-66"/>
        </w:rPr>
        <w:t> </w:t>
      </w:r>
      <w:r>
        <w:rPr>
          <w:spacing w:val="-66"/>
        </w:rPr>
      </w:r>
      <w:r>
        <w:rPr/>
        <w:t>半年度或第三季度出现季节性亏损，投资者不宜以半年度或季度的数据推算公司全年的经营成果。</w:t>
      </w:r>
    </w:p>
    <w:p>
      <w:pPr>
        <w:pStyle w:val="BodyText"/>
        <w:spacing w:line="300" w:lineRule="auto" w:before="20"/>
        <w:ind w:left="513" w:right="62" w:hanging="361"/>
        <w:jc w:val="left"/>
      </w:pPr>
      <w:r>
        <w:rPr>
          <w:rFonts w:ascii="Times New Roman" w:hAnsi="Times New Roman" w:cs="Times New Roman" w:eastAsia="Times New Roman" w:hint="default"/>
        </w:rPr>
        <w:t>2</w:t>
      </w:r>
      <w:r>
        <w:rPr/>
        <w:t>、 核心技术人员流失和核心技术泄露的风险 </w:t>
      </w:r>
      <w:r>
        <w:rPr>
          <w:spacing w:val="-2"/>
        </w:rPr>
        <w:t>公司作为自主创新的高新技术企业，主营产品科技含量较高，在核心技术上拥有自主知识产权，目前，公司有多项产品</w:t>
      </w:r>
    </w:p>
    <w:p>
      <w:pPr>
        <w:pStyle w:val="BodyText"/>
        <w:spacing w:line="316" w:lineRule="auto" w:before="31"/>
        <w:ind w:left="153" w:right="190"/>
        <w:jc w:val="both"/>
      </w:pPr>
      <w:r>
        <w:rPr>
          <w:spacing w:val="-2"/>
        </w:rPr>
        <w:t>和技术处于研发阶段，需要依赖专业人才尤其是核心技术人员，因此这些核心技术人员正是公司保持市场竞争优势和持续创</w:t>
      </w:r>
      <w:r>
        <w:rPr>
          <w:spacing w:val="-64"/>
        </w:rPr>
        <w:t> </w:t>
      </w:r>
      <w:r>
        <w:rPr>
          <w:spacing w:val="-64"/>
        </w:rPr>
      </w:r>
      <w:r>
        <w:rPr>
          <w:spacing w:val="-2"/>
        </w:rPr>
        <w:t>新的关键因素。为防止技术泄露和核心技术人员的流失，公司一方面通过规范研发过程，健全保密制度，申请相关专利等方</w:t>
      </w:r>
      <w:r>
        <w:rPr>
          <w:spacing w:val="-65"/>
        </w:rPr>
        <w:t> </w:t>
      </w:r>
      <w:r>
        <w:rPr>
          <w:spacing w:val="-65"/>
        </w:rPr>
      </w:r>
      <w:r>
        <w:rPr>
          <w:spacing w:val="-2"/>
        </w:rPr>
        <w:t>式保护核心技术；另一方面，通过向核心技术人员转让股权、建立完善良好的企业文化和有竞争性的薪酬奖励机制等措施提</w:t>
      </w:r>
      <w:r>
        <w:rPr>
          <w:spacing w:val="-65"/>
        </w:rPr>
        <w:t> </w:t>
      </w:r>
      <w:r>
        <w:rPr>
          <w:spacing w:val="-65"/>
        </w:rPr>
      </w:r>
      <w:r>
        <w:rPr/>
        <w:t>升内部凝聚力，吸引和稳定核心技术人员。</w:t>
      </w:r>
    </w:p>
    <w:p>
      <w:pPr>
        <w:pStyle w:val="BodyText"/>
        <w:spacing w:line="316" w:lineRule="auto" w:before="18"/>
        <w:ind w:left="153" w:right="192" w:firstLine="360"/>
        <w:jc w:val="both"/>
      </w:pPr>
      <w:r>
        <w:rPr>
          <w:spacing w:val="-2"/>
        </w:rPr>
        <w:t>当前市场对于技术和人才竞争日益激烈，如果出现核心技术泄露或核心技术人员大量流失的现象，可能会在一定程度上</w:t>
      </w:r>
      <w:r>
        <w:rPr/>
        <w:t> 影响公司的市场竞争力和技术创新能力。</w:t>
      </w:r>
    </w:p>
    <w:p>
      <w:pPr>
        <w:pStyle w:val="BodyText"/>
        <w:spacing w:line="300" w:lineRule="auto" w:before="18"/>
        <w:ind w:left="513" w:right="62" w:hanging="361"/>
        <w:jc w:val="left"/>
      </w:pPr>
      <w:r>
        <w:rPr>
          <w:rFonts w:ascii="Times New Roman" w:hAnsi="Times New Roman" w:cs="Times New Roman" w:eastAsia="Times New Roman" w:hint="default"/>
        </w:rPr>
        <w:t>3</w:t>
      </w:r>
      <w:r>
        <w:rPr/>
        <w:t>、 应收账款余额较大及增幅较大的风险 </w:t>
      </w:r>
      <w:r>
        <w:rPr>
          <w:spacing w:val="-2"/>
        </w:rPr>
        <w:t>随着近年信息安全市场的快速发展，公司的业务规模迅速扩大，盈利能力不断增强，营业收入持续增长，应收账款也相</w:t>
      </w:r>
    </w:p>
    <w:p>
      <w:pPr>
        <w:pStyle w:val="BodyText"/>
        <w:spacing w:line="309" w:lineRule="auto" w:before="31"/>
        <w:ind w:left="153" w:right="93"/>
        <w:jc w:val="left"/>
      </w:pPr>
      <w:r>
        <w:rPr>
          <w:spacing w:val="-2"/>
        </w:rPr>
        <w:t>应增加。</w:t>
      </w:r>
      <w:r>
        <w:rPr>
          <w:rFonts w:ascii="Times New Roman" w:hAnsi="Times New Roman" w:cs="Times New Roman" w:eastAsia="Times New Roman" w:hint="default"/>
          <w:spacing w:val="-2"/>
        </w:rPr>
        <w:t>2010</w:t>
      </w:r>
      <w:r>
        <w:rPr>
          <w:spacing w:val="-2"/>
        </w:rPr>
        <w:t>年末至</w:t>
      </w:r>
      <w:r>
        <w:rPr>
          <w:rFonts w:ascii="Times New Roman" w:hAnsi="Times New Roman" w:cs="Times New Roman" w:eastAsia="Times New Roman" w:hint="default"/>
          <w:spacing w:val="-2"/>
        </w:rPr>
        <w:t>2012</w:t>
      </w:r>
      <w:r>
        <w:rPr>
          <w:spacing w:val="-2"/>
        </w:rPr>
        <w:t>年末，应收账款余额分别为</w:t>
      </w:r>
      <w:r>
        <w:rPr>
          <w:rFonts w:ascii="Times New Roman" w:hAnsi="Times New Roman" w:cs="Times New Roman" w:eastAsia="Times New Roman" w:hint="default"/>
          <w:spacing w:val="-2"/>
        </w:rPr>
        <w:t>4,346.92</w:t>
      </w:r>
      <w:r>
        <w:rPr>
          <w:spacing w:val="-2"/>
        </w:rPr>
        <w:t>万元、</w:t>
      </w:r>
      <w:r>
        <w:rPr>
          <w:rFonts w:ascii="Times New Roman" w:hAnsi="Times New Roman" w:cs="Times New Roman" w:eastAsia="Times New Roman" w:hint="default"/>
          <w:spacing w:val="-2"/>
        </w:rPr>
        <w:t>6,945.58</w:t>
      </w:r>
      <w:r>
        <w:rPr>
          <w:spacing w:val="-2"/>
        </w:rPr>
        <w:t>万元和</w:t>
      </w:r>
      <w:r>
        <w:rPr>
          <w:rFonts w:ascii="Times New Roman" w:hAnsi="Times New Roman" w:cs="Times New Roman" w:eastAsia="Times New Roman" w:hint="default"/>
          <w:spacing w:val="-2"/>
        </w:rPr>
        <w:t>15,544.53</w:t>
      </w:r>
      <w:r>
        <w:rPr>
          <w:spacing w:val="-2"/>
        </w:rPr>
        <w:t>万元。另外，公司营业收入具有</w:t>
      </w:r>
      <w:r>
        <w:rPr>
          <w:spacing w:val="-43"/>
        </w:rPr>
        <w:t> </w:t>
      </w:r>
      <w:r>
        <w:rPr>
          <w:spacing w:val="-43"/>
        </w:rPr>
      </w:r>
      <w:r>
        <w:rPr>
          <w:spacing w:val="4"/>
        </w:rPr>
        <w:t>季节性特征，销售集中在下半年尤其是第四季度，其中</w:t>
      </w:r>
      <w:r>
        <w:rPr>
          <w:rFonts w:ascii="Times New Roman" w:hAnsi="Times New Roman" w:cs="Times New Roman" w:eastAsia="Times New Roman" w:hint="default"/>
          <w:spacing w:val="4"/>
        </w:rPr>
        <w:t>2010</w:t>
      </w:r>
      <w:r>
        <w:rPr>
          <w:spacing w:val="4"/>
        </w:rPr>
        <w:t>年至</w:t>
      </w:r>
      <w:r>
        <w:rPr>
          <w:rFonts w:ascii="Times New Roman" w:hAnsi="Times New Roman" w:cs="Times New Roman" w:eastAsia="Times New Roman" w:hint="default"/>
          <w:spacing w:val="4"/>
        </w:rPr>
        <w:t>2012</w:t>
      </w:r>
      <w:r>
        <w:rPr>
          <w:spacing w:val="4"/>
        </w:rPr>
        <w:t>年的</w:t>
      </w:r>
      <w:r>
        <w:rPr>
          <w:rFonts w:ascii="Times New Roman" w:hAnsi="Times New Roman" w:cs="Times New Roman" w:eastAsia="Times New Roman" w:hint="default"/>
          <w:spacing w:val="4"/>
        </w:rPr>
        <w:t>12</w:t>
      </w:r>
      <w:r>
        <w:rPr>
          <w:spacing w:val="4"/>
        </w:rPr>
        <w:t>月份营业收入占全年营业收入的比重分别为</w:t>
      </w:r>
      <w:r>
        <w:rPr>
          <w:spacing w:val="-76"/>
        </w:rPr>
        <w:t> </w:t>
      </w:r>
      <w:r>
        <w:rPr>
          <w:spacing w:val="-76"/>
        </w:rPr>
      </w:r>
      <w:r>
        <w:rPr>
          <w:rFonts w:ascii="Times New Roman" w:hAnsi="Times New Roman" w:cs="Times New Roman" w:eastAsia="Times New Roman" w:hint="default"/>
        </w:rPr>
        <w:t>46.32%</w:t>
      </w:r>
      <w:r>
        <w:rPr/>
        <w:t>、</w:t>
      </w:r>
      <w:r>
        <w:rPr>
          <w:rFonts w:ascii="Times New Roman" w:hAnsi="Times New Roman" w:cs="Times New Roman" w:eastAsia="Times New Roman" w:hint="default"/>
        </w:rPr>
        <w:t>39.79%</w:t>
      </w:r>
      <w:r>
        <w:rPr/>
        <w:t>和</w:t>
      </w:r>
      <w:r>
        <w:rPr>
          <w:rFonts w:ascii="Times New Roman" w:hAnsi="Times New Roman" w:cs="Times New Roman" w:eastAsia="Times New Roman" w:hint="default"/>
        </w:rPr>
        <w:t>48.91%</w:t>
      </w:r>
      <w:r>
        <w:rPr/>
        <w:t>。由于第四季度销售的产品大部分尚在信用期，需要在次年进行收款，导致各年末的应收账款余</w:t>
      </w:r>
      <w:r>
        <w:rPr>
          <w:spacing w:val="-54"/>
        </w:rPr>
        <w:t> </w:t>
      </w:r>
      <w:r>
        <w:rPr>
          <w:spacing w:val="-54"/>
        </w:rPr>
      </w:r>
      <w:r>
        <w:rPr/>
        <w:t>额较大且增幅也较高。公司产品的主要客户为政府部门、军队及军工企业、能源、金融等重要领域的大型国有企事业单位， </w:t>
      </w:r>
      <w:r>
        <w:rPr>
          <w:spacing w:val="-2"/>
        </w:rPr>
        <w:t>信用状况良好，发生坏账的风险较小，报告期内公司应收账款的回款质量较好。随着公司经营规模的不断扩大，应收账款余</w:t>
      </w:r>
      <w:r>
        <w:rPr>
          <w:spacing w:val="-65"/>
        </w:rPr>
        <w:t> </w:t>
      </w:r>
      <w:r>
        <w:rPr>
          <w:spacing w:val="-65"/>
        </w:rPr>
      </w:r>
      <w:r>
        <w:rPr>
          <w:spacing w:val="-2"/>
        </w:rPr>
        <w:t>额仍可能保持在较高水平。由于应收账款是公司资产的重要组成部分，如果公司主要客户的财务经营状况发生恶化或公司收</w:t>
      </w:r>
      <w:r>
        <w:rPr>
          <w:spacing w:val="-64"/>
        </w:rPr>
        <w:t> </w:t>
      </w:r>
      <w:r>
        <w:rPr>
          <w:spacing w:val="-64"/>
        </w:rPr>
      </w:r>
      <w:r>
        <w:rPr/>
        <w:t>款措施不力，应收账款不能收回，将对公司资产质量以及财务状况产生较大不利影响，公司面临一定的呆、坏账风险。</w:t>
      </w:r>
    </w:p>
    <w:p>
      <w:pPr>
        <w:pStyle w:val="BodyText"/>
        <w:spacing w:line="240" w:lineRule="auto" w:before="24"/>
        <w:ind w:left="153" w:right="62"/>
        <w:jc w:val="left"/>
      </w:pPr>
      <w:r>
        <w:rPr>
          <w:rFonts w:ascii="Times New Roman" w:hAnsi="Times New Roman" w:cs="Times New Roman" w:eastAsia="Times New Roman" w:hint="default"/>
        </w:rPr>
        <w:t>4</w:t>
      </w:r>
      <w:r>
        <w:rPr/>
        <w:t>、</w:t>
      </w:r>
      <w:r>
        <w:rPr>
          <w:spacing w:val="2"/>
        </w:rPr>
        <w:t> </w:t>
      </w:r>
      <w:r>
        <w:rPr/>
        <w:t>人力成本上升的风险</w:t>
      </w:r>
    </w:p>
    <w:p>
      <w:pPr>
        <w:pStyle w:val="BodyText"/>
        <w:spacing w:line="300" w:lineRule="auto" w:before="62"/>
        <w:ind w:left="153" w:right="185" w:firstLine="360"/>
        <w:jc w:val="both"/>
      </w:pPr>
      <w:r>
        <w:rPr/>
        <w:t>报告期内，公司主营业务迅速发展，公司员工薪酬总体亦呈增长态势，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 </w:t>
      </w:r>
      <w:r>
        <w:rPr>
          <w:rFonts w:ascii="Times New Roman" w:hAnsi="Times New Roman" w:cs="Times New Roman" w:eastAsia="Times New Roman" w:hint="default"/>
        </w:rPr>
        <w:t>2012 </w:t>
      </w:r>
      <w:r>
        <w:rPr/>
        <w:t>年</w:t>
      </w:r>
      <w:r>
        <w:rPr>
          <w:spacing w:val="-5"/>
        </w:rPr>
        <w:t> </w:t>
      </w:r>
      <w:r>
        <w:rPr/>
        <w:t>，公司全部人员总</w:t>
      </w:r>
      <w:r>
        <w:rPr>
          <w:spacing w:val="2"/>
        </w:rPr>
        <w:t> </w:t>
      </w:r>
      <w:r>
        <w:rPr/>
        <w:t>成本分别为</w:t>
      </w:r>
      <w:r>
        <w:rPr>
          <w:rFonts w:ascii="Times New Roman" w:hAnsi="Times New Roman" w:cs="Times New Roman" w:eastAsia="Times New Roman" w:hint="default"/>
        </w:rPr>
        <w:t>2,408.28</w:t>
      </w:r>
      <w:r>
        <w:rPr>
          <w:rFonts w:ascii="Times New Roman" w:hAnsi="Times New Roman" w:cs="Times New Roman" w:eastAsia="Times New Roman" w:hint="default"/>
          <w:spacing w:val="40"/>
        </w:rPr>
        <w:t> </w:t>
      </w:r>
      <w:r>
        <w:rPr/>
        <w:t>万元、</w:t>
      </w:r>
      <w:r>
        <w:rPr>
          <w:rFonts w:ascii="Times New Roman" w:hAnsi="Times New Roman" w:cs="Times New Roman" w:eastAsia="Times New Roman" w:hint="default"/>
        </w:rPr>
        <w:t>3,844.09</w:t>
      </w:r>
      <w:r>
        <w:rPr>
          <w:rFonts w:ascii="Times New Roman" w:hAnsi="Times New Roman" w:cs="Times New Roman" w:eastAsia="Times New Roman" w:hint="default"/>
          <w:spacing w:val="36"/>
        </w:rPr>
        <w:t> </w:t>
      </w:r>
      <w:r>
        <w:rPr/>
        <w:t>万元和</w:t>
      </w:r>
      <w:r>
        <w:rPr>
          <w:spacing w:val="-6"/>
        </w:rPr>
        <w:t> </w:t>
      </w:r>
      <w:r>
        <w:rPr>
          <w:rFonts w:ascii="Times New Roman" w:hAnsi="Times New Roman" w:cs="Times New Roman" w:eastAsia="Times New Roman" w:hint="default"/>
        </w:rPr>
        <w:t>5,063.86</w:t>
      </w:r>
      <w:r>
        <w:rPr/>
        <w:t>万元，按月均人数加权计算的员工单位平均成本分别为每人</w:t>
      </w:r>
      <w:r>
        <w:rPr>
          <w:rFonts w:ascii="Times New Roman" w:hAnsi="Times New Roman" w:cs="Times New Roman" w:eastAsia="Times New Roman" w:hint="default"/>
        </w:rPr>
        <w:t>6.11</w:t>
      </w:r>
      <w:r>
        <w:rPr>
          <w:rFonts w:ascii="Times New Roman" w:hAnsi="Times New Roman" w:cs="Times New Roman" w:eastAsia="Times New Roman" w:hint="default"/>
          <w:spacing w:val="41"/>
        </w:rPr>
        <w:t> </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7.99  </w:t>
      </w:r>
      <w:r>
        <w:rPr/>
        <w:t>万元</w:t>
      </w:r>
      <w:r>
        <w:rPr>
          <w:rFonts w:ascii="Times New Roman" w:hAnsi="Times New Roman" w:cs="Times New Roman" w:eastAsia="Times New Roman" w:hint="default"/>
        </w:rPr>
        <w:t>/</w:t>
      </w:r>
      <w:r>
        <w:rPr/>
        <w:t>年</w:t>
      </w:r>
      <w:r>
        <w:rPr>
          <w:spacing w:val="-44"/>
        </w:rPr>
        <w:t> </w:t>
      </w:r>
      <w:r>
        <w:rPr>
          <w:rFonts w:ascii="Times New Roman" w:hAnsi="Times New Roman" w:cs="Times New Roman" w:eastAsia="Times New Roman" w:hint="default"/>
        </w:rPr>
        <w:t>9.21</w:t>
      </w:r>
      <w:r>
        <w:rPr/>
        <w:t>万元</w:t>
      </w:r>
      <w:r>
        <w:rPr>
          <w:rFonts w:ascii="Times New Roman" w:hAnsi="Times New Roman" w:cs="Times New Roman" w:eastAsia="Times New Roman" w:hint="default"/>
        </w:rPr>
        <w:t>/</w:t>
      </w:r>
      <w:r>
        <w:rPr/>
        <w:t>年。</w:t>
      </w:r>
    </w:p>
    <w:p>
      <w:pPr>
        <w:pStyle w:val="BodyText"/>
        <w:spacing w:line="300" w:lineRule="auto" w:before="13"/>
        <w:ind w:left="153" w:right="192" w:firstLine="360"/>
        <w:jc w:val="both"/>
      </w:pP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w:t>
      </w:r>
      <w:r>
        <w:rPr>
          <w:spacing w:val="-6"/>
        </w:rPr>
        <w:t> </w:t>
      </w:r>
      <w:r>
        <w:rPr/>
        <w:t>，公司加大技术研发投入以及市场开发力度，扩大员工规模，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年和</w:t>
      </w:r>
      <w:r>
        <w:rPr>
          <w:rFonts w:ascii="Times New Roman" w:hAnsi="Times New Roman" w:cs="Times New Roman" w:eastAsia="Times New Roman" w:hint="default"/>
        </w:rPr>
        <w:t>2012</w:t>
      </w:r>
      <w:r>
        <w:rPr/>
        <w:t>年，公司月均员 工人数分别为</w:t>
      </w:r>
      <w:r>
        <w:rPr>
          <w:rFonts w:ascii="Times New Roman" w:hAnsi="Times New Roman" w:cs="Times New Roman" w:eastAsia="Times New Roman" w:hint="default"/>
        </w:rPr>
        <w:t>394</w:t>
      </w:r>
      <w:r>
        <w:rPr/>
        <w:t>人、</w:t>
      </w:r>
      <w:r>
        <w:rPr>
          <w:rFonts w:ascii="Times New Roman" w:hAnsi="Times New Roman" w:cs="Times New Roman" w:eastAsia="Times New Roman" w:hint="default"/>
        </w:rPr>
        <w:t>481</w:t>
      </w:r>
      <w:r>
        <w:rPr/>
        <w:t>人和</w:t>
      </w:r>
      <w:r>
        <w:rPr>
          <w:rFonts w:ascii="Times New Roman" w:hAnsi="Times New Roman" w:cs="Times New Roman" w:eastAsia="Times New Roman" w:hint="default"/>
        </w:rPr>
        <w:t>550</w:t>
      </w:r>
      <w:r>
        <w:rPr/>
        <w:t>人。另外，公司提高了员工的薪酬待遇水平，有效提升了员工积极性，促进公司业务的快</w:t>
      </w:r>
      <w:r>
        <w:rPr>
          <w:spacing w:val="-86"/>
        </w:rPr>
        <w:t> </w:t>
      </w:r>
      <w:r>
        <w:rPr>
          <w:spacing w:val="-86"/>
        </w:rPr>
      </w:r>
      <w:r>
        <w:rPr/>
        <w:t>速发展。</w:t>
      </w:r>
    </w:p>
    <w:p>
      <w:pPr>
        <w:pStyle w:val="BodyText"/>
        <w:spacing w:line="316" w:lineRule="auto" w:before="31"/>
        <w:ind w:left="153" w:right="190" w:firstLine="360"/>
        <w:jc w:val="both"/>
      </w:pPr>
      <w:r>
        <w:rPr>
          <w:spacing w:val="-2"/>
        </w:rPr>
        <w:t>报告期内，公司处于快速发展阶段，并采取了适合现阶段公司特点的工资政策。随着公司员工队伍的扩大和员工薪酬待</w:t>
      </w:r>
      <w:r>
        <w:rPr/>
        <w:t> 遇水平的上升，如果公司全部人员总成本增幅与营业收入增幅不匹配，将可能对公司经营业绩产生一定影响。</w:t>
      </w:r>
    </w:p>
    <w:p>
      <w:pPr>
        <w:pStyle w:val="BodyText"/>
        <w:spacing w:line="300" w:lineRule="auto" w:before="18"/>
        <w:ind w:left="153" w:right="190" w:firstLine="360"/>
        <w:jc w:val="both"/>
      </w:pPr>
      <w:r>
        <w:rPr>
          <w:rFonts w:ascii="Times New Roman" w:hAnsi="Times New Roman" w:cs="Times New Roman" w:eastAsia="Times New Roman" w:hint="default"/>
          <w:spacing w:val="-2"/>
        </w:rPr>
        <w:t>2013</w:t>
      </w:r>
      <w:r>
        <w:rPr>
          <w:spacing w:val="-2"/>
        </w:rPr>
        <w:t>年随着公司主营业务不断拓展和经营规模的扩大，随着募集资金的使用和投资项目的实施，公司将进一步完善自身</w:t>
      </w:r>
      <w:r>
        <w:rPr/>
        <w:t> </w:t>
      </w:r>
      <w:r>
        <w:rPr>
          <w:spacing w:val="-2"/>
        </w:rPr>
        <w:t>治理结构，建立良好的企业文化和有竞争性的薪酬奖励机制来提升内部凝聚力；完善应收账款管理模式，强化客户信用调查</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62"/>
        <w:jc w:val="left"/>
      </w:pPr>
      <w:r>
        <w:rPr>
          <w:spacing w:val="-2"/>
        </w:rPr>
        <w:t>和评估制度，促进应收账款的回收，不断提高公司在战略规划、组织机构、内部控制、运营管理、财务管理、人员管理等方</w:t>
      </w:r>
      <w:r>
        <w:rPr>
          <w:spacing w:val="-66"/>
        </w:rPr>
        <w:t> </w:t>
      </w:r>
      <w:r>
        <w:rPr>
          <w:spacing w:val="-66"/>
        </w:rPr>
      </w:r>
      <w:r>
        <w:rPr/>
        <w:t>面的抗风险能力。</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四、董事会对会计师事务所本报告期“非标准审计报告”的说明" w:id="51"/>
      <w:bookmarkEnd w:id="51"/>
      <w:r>
        <w:rPr>
          <w:b w:val="0"/>
          <w:bCs w:val="0"/>
        </w:rPr>
      </w: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r>
        <w:rPr/>
        <w:t>无</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五、董事会关于报告期会计政策、会计估计变更或重要前期差错更正的说明" w:id="52"/>
      <w:bookmarkEnd w:id="52"/>
      <w:r>
        <w:rPr>
          <w:b w:val="0"/>
          <w:bCs w:val="0"/>
        </w:rPr>
      </w: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2"/>
        <w:jc w:val="left"/>
      </w:pPr>
      <w:r>
        <w:rPr/>
        <w:t>无 </w:t>
      </w:r>
      <w:r>
        <w:rPr>
          <w:spacing w:val="-2"/>
        </w:rPr>
        <w:t>注：报告期发生会计政策、会计估计变更或重要前期差错更正的，董事会应讨论、分析变更、更正的原因及影响。如涉及追</w:t>
      </w:r>
      <w:r>
        <w:rPr>
          <w:spacing w:val="-67"/>
        </w:rPr>
        <w:t> </w:t>
      </w:r>
      <w:r>
        <w:rPr>
          <w:spacing w:val="-67"/>
        </w:rPr>
      </w:r>
      <w:r>
        <w:rPr>
          <w:spacing w:val="-2"/>
        </w:rPr>
        <w:t>溯调整，应披露对以往各年度财务状况和经营成果的影响金额；如涉及更换会计师事务所，应披露是否就相关事项与前任会</w:t>
      </w:r>
    </w:p>
    <w:p>
      <w:pPr>
        <w:pStyle w:val="BodyText"/>
        <w:spacing w:line="240" w:lineRule="auto" w:before="2"/>
        <w:ind w:right="62"/>
        <w:jc w:val="left"/>
      </w:pPr>
      <w:r>
        <w:rPr/>
        <w:t>计师事务所进行了必要的沟通。</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六、公司利润分配及分红派息情况" w:id="53"/>
      <w:bookmarkEnd w:id="53"/>
      <w:r>
        <w:rPr>
          <w:b w:val="0"/>
          <w:bCs w:val="0"/>
        </w:rPr>
      </w: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2"/>
        <w:jc w:val="left"/>
      </w:pPr>
      <w:r>
        <w:rPr/>
        <w:t>报告期内利润分配政策特别是现金分红政策的制定、执行或调整情况</w:t>
      </w:r>
    </w:p>
    <w:p>
      <w:pPr>
        <w:pStyle w:val="BodyText"/>
        <w:spacing w:line="316" w:lineRule="auto" w:before="117"/>
        <w:ind w:left="512" w:right="62" w:hanging="360"/>
        <w:jc w:val="left"/>
      </w:pPr>
      <w:r>
        <w:rPr/>
        <w:t>（一）发行前滚存利润的分配 </w:t>
      </w:r>
      <w:r>
        <w:rPr>
          <w:spacing w:val="-2"/>
        </w:rPr>
        <w:t>根据公司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2011</w:t>
      </w:r>
      <w:r>
        <w:rPr>
          <w:spacing w:val="-2"/>
        </w:rPr>
        <w:t>年第一次临时股东大会决议、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日召开的</w:t>
      </w:r>
      <w:r>
        <w:rPr>
          <w:rFonts w:ascii="Times New Roman" w:hAnsi="Times New Roman" w:cs="Times New Roman" w:eastAsia="Times New Roman" w:hint="default"/>
          <w:spacing w:val="-2"/>
        </w:rPr>
        <w:t>2012</w:t>
      </w:r>
      <w:r>
        <w:rPr>
          <w:spacing w:val="-2"/>
        </w:rPr>
        <w:t>年第一次临时股东大会决议，</w:t>
      </w:r>
    </w:p>
    <w:p>
      <w:pPr>
        <w:pStyle w:val="BodyText"/>
        <w:spacing w:line="300" w:lineRule="auto"/>
        <w:ind w:left="153" w:right="62" w:hanging="1"/>
        <w:jc w:val="left"/>
      </w:pPr>
      <w:r>
        <w:rPr>
          <w:spacing w:val="-2"/>
        </w:rPr>
        <w:t>公司以</w:t>
      </w:r>
      <w:r>
        <w:rPr>
          <w:rFonts w:ascii="Times New Roman" w:hAnsi="Times New Roman" w:cs="Times New Roman" w:eastAsia="Times New Roman" w:hint="default"/>
          <w:spacing w:val="-2"/>
        </w:rPr>
        <w:t>2010</w:t>
      </w:r>
      <w:r>
        <w:rPr>
          <w:spacing w:val="-2"/>
        </w:rPr>
        <w:t>年度现金红利分配后剩余的可分配利润及</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日以后的新增利润作为滚存利润，于公司完成首次公开发行</w:t>
      </w:r>
      <w:r>
        <w:rPr>
          <w:spacing w:val="-56"/>
        </w:rPr>
        <w:t> </w:t>
      </w:r>
      <w:r>
        <w:rPr>
          <w:spacing w:val="-56"/>
        </w:rPr>
      </w:r>
      <w:r>
        <w:rPr/>
        <w:t>股票并上市后，由公司登记在册的新、老股东按持股比例共享。</w:t>
      </w:r>
    </w:p>
    <w:p>
      <w:pPr>
        <w:pStyle w:val="BodyText"/>
        <w:spacing w:line="240" w:lineRule="auto" w:before="31"/>
        <w:ind w:left="153" w:right="62"/>
        <w:jc w:val="left"/>
      </w:pPr>
      <w:r>
        <w:rPr/>
        <w:t>（二）发行上市后的股利分配政策</w:t>
      </w:r>
    </w:p>
    <w:p>
      <w:pPr>
        <w:pStyle w:val="BodyText"/>
        <w:spacing w:line="309" w:lineRule="auto" w:before="76"/>
        <w:ind w:left="153" w:right="62" w:firstLine="36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w:t>
      </w:r>
      <w:r>
        <w:rPr>
          <w:rFonts w:ascii="Times New Roman" w:hAnsi="Times New Roman" w:cs="Times New Roman" w:eastAsia="Times New Roman" w:hint="default"/>
          <w:spacing w:val="-2"/>
        </w:rPr>
        <w:t>2011</w:t>
      </w:r>
      <w:r>
        <w:rPr>
          <w:spacing w:val="-2"/>
        </w:rPr>
        <w:t>年第二次临时股东大会审议通过了上市后适用的《公司章程》，公司发行上市后的股利分配</w:t>
      </w:r>
      <w:r>
        <w:rPr/>
        <w:t> 政策主要内容如下： </w:t>
      </w:r>
      <w:r>
        <w:rPr>
          <w:rFonts w:ascii="Times New Roman" w:hAnsi="Times New Roman" w:cs="Times New Roman" w:eastAsia="Times New Roman" w:hint="default"/>
        </w:rPr>
        <w:t>1</w:t>
      </w:r>
      <w:r>
        <w:rPr/>
        <w:t>、公司实行连续、稳定的利润分配政策，公司的利润分配应重视对投资者的合理投资回报并兼顾公司的可持续发展。</w:t>
      </w:r>
    </w:p>
    <w:p>
      <w:pPr>
        <w:pStyle w:val="BodyText"/>
        <w:spacing w:line="309" w:lineRule="auto" w:before="5"/>
        <w:ind w:left="153" w:right="93"/>
        <w:jc w:val="left"/>
      </w:pPr>
      <w:r>
        <w:rPr>
          <w:rFonts w:ascii="Times New Roman" w:hAnsi="Times New Roman" w:cs="Times New Roman" w:eastAsia="Times New Roman" w:hint="default"/>
        </w:rPr>
        <w:t>2</w:t>
      </w:r>
      <w:r>
        <w:rPr/>
        <w:t>、公司可以根据实际经营情况采取现金、股票或现金与股票相结合的方式分配股利，利润分配不得超过累计可分配利润的 范围；公司董事会可以根据公司的资金需求状况提议公司进行中期现金分红。 </w:t>
      </w:r>
      <w:r>
        <w:rPr>
          <w:rFonts w:ascii="Times New Roman" w:hAnsi="Times New Roman" w:cs="Times New Roman" w:eastAsia="Times New Roman" w:hint="default"/>
        </w:rPr>
        <w:t>3</w:t>
      </w:r>
      <w:r>
        <w:rPr/>
        <w:t>、公司每年以现金形式分配的利润不少于当年实现的可供分配利润的</w:t>
      </w:r>
      <w:r>
        <w:rPr>
          <w:rFonts w:ascii="Times New Roman" w:hAnsi="Times New Roman" w:cs="Times New Roman" w:eastAsia="Times New Roman" w:hint="default"/>
        </w:rPr>
        <w:t>20%</w:t>
      </w:r>
      <w:r>
        <w:rPr/>
        <w:t>。根据公司经营情况，董事会认为公司股票价格 与公司股本规模不匹配时，可以在满足上述现金分红之余，提出并实施股票股利分配预案。 </w:t>
      </w:r>
      <w:r>
        <w:rPr>
          <w:rFonts w:ascii="Times New Roman" w:hAnsi="Times New Roman" w:cs="Times New Roman" w:eastAsia="Times New Roman" w:hint="default"/>
        </w:rPr>
        <w:t>4</w:t>
      </w:r>
      <w:r>
        <w:rPr/>
        <w:t>、公司董事会应在定期报告中披露利润分配方案及留存的未分配利润的使用计划安排或原则，公司当年利润分配完成后留 </w:t>
      </w:r>
      <w:r>
        <w:rPr>
          <w:spacing w:val="-2"/>
        </w:rPr>
        <w:t>存的未分配利润应用于发展公司主营业务。对于当年盈利但未提出现金利润分配预案或现金分红的利润少于当年实现的可供</w:t>
      </w:r>
      <w:r>
        <w:rPr>
          <w:spacing w:val="-64"/>
        </w:rPr>
        <w:t> </w:t>
      </w:r>
      <w:r>
        <w:rPr>
          <w:spacing w:val="-64"/>
        </w:rPr>
      </w:r>
      <w:r>
        <w:rPr/>
        <w:t>分配利润的</w:t>
      </w:r>
      <w:r>
        <w:rPr>
          <w:rFonts w:ascii="Times New Roman" w:hAnsi="Times New Roman" w:cs="Times New Roman" w:eastAsia="Times New Roman" w:hint="default"/>
        </w:rPr>
        <w:t>20%</w:t>
      </w:r>
      <w:r>
        <w:rPr/>
        <w:t>时，公司董事会应在定期报告中说明原因以及未分配利润的用途和使用计划，独立董事应当对此发表独立意 见。 </w:t>
      </w:r>
      <w:r>
        <w:rPr>
          <w:rFonts w:ascii="Times New Roman" w:hAnsi="Times New Roman" w:cs="Times New Roman" w:eastAsia="Times New Roman" w:hint="default"/>
        </w:rPr>
        <w:t>5</w:t>
      </w:r>
      <w:r>
        <w:rPr/>
        <w:t>、公司将保持利润分配政策的连续性、稳定性，根据生产经营情况、投资规划和长期发展的需要确需调整利润分配政策、 </w:t>
      </w:r>
      <w:r>
        <w:rPr>
          <w:spacing w:val="-2"/>
        </w:rPr>
        <w:t>利润分配规划和计划时，应以股东权益保护为出发点，充分考虑公司独立董事、监事和公众投资者的意见，有关利润分配政</w:t>
      </w:r>
      <w:r>
        <w:rPr>
          <w:spacing w:val="-65"/>
        </w:rPr>
        <w:t> </w:t>
      </w:r>
      <w:r>
        <w:rPr>
          <w:spacing w:val="-65"/>
        </w:rPr>
      </w:r>
      <w:r>
        <w:rPr/>
        <w:t>策、利润分配规划和计划调整的议案应详细论证和说明原因，并经公司董事会、监事会审议通过后提交公司股东大会批准， </w:t>
      </w:r>
      <w:r>
        <w:rPr>
          <w:spacing w:val="-2"/>
        </w:rPr>
        <w:t>经股东大会特别决议审议通过后方可生效；调整后的利润分配政策、利润分配规划和计划不得违反中国证监会和证券交易所</w:t>
      </w:r>
      <w:r>
        <w:rPr>
          <w:spacing w:val="-64"/>
        </w:rPr>
        <w:t> </w:t>
      </w:r>
      <w:r>
        <w:rPr>
          <w:spacing w:val="-64"/>
        </w:rPr>
      </w:r>
      <w:r>
        <w:rPr/>
        <w:t>的有关规定。</w:t>
      </w:r>
    </w:p>
    <w:p>
      <w:pPr>
        <w:pStyle w:val="BodyText"/>
        <w:spacing w:line="316" w:lineRule="auto" w:before="65"/>
        <w:ind w:left="153" w:right="62"/>
        <w:jc w:val="left"/>
      </w:pPr>
      <w:r>
        <w:rPr>
          <w:spacing w:val="-2"/>
        </w:rPr>
        <w:t>注：公司应当披露报告期内利润分配政策特别是现金分红政策的制定、执行或调整情况，说明利润分配政策是否符合公司章</w:t>
      </w:r>
      <w:r>
        <w:rPr>
          <w:spacing w:val="-65"/>
        </w:rPr>
        <w:t> </w:t>
      </w:r>
      <w:r>
        <w:rPr>
          <w:spacing w:val="-65"/>
        </w:rPr>
      </w:r>
      <w:r>
        <w:rPr>
          <w:spacing w:val="-4"/>
        </w:rPr>
        <w:t>程及审议程序的规定，是否充分保护中小投资者的合法权益，是否由独立董事发表意见，是否有明确的分红标准和分红比例；</w:t>
      </w:r>
      <w:r>
        <w:rPr>
          <w:spacing w:val="-44"/>
        </w:rPr>
        <w:t> </w:t>
      </w:r>
      <w:r>
        <w:rPr>
          <w:spacing w:val="-44"/>
        </w:rPr>
      </w:r>
      <w:r>
        <w:rPr/>
        <w:t>以及利润分配政策调整或变更的条件和程序是否合规、透明。</w:t>
      </w:r>
    </w:p>
    <w:p>
      <w:pPr>
        <w:pStyle w:val="BodyText"/>
        <w:spacing w:line="240" w:lineRule="auto" w:before="57"/>
        <w:ind w:left="153" w:right="62"/>
        <w:jc w:val="left"/>
      </w:pPr>
      <w:r>
        <w:rPr/>
        <w:t>公司报告期利润分配预案及资本公积金转增股本预案与公司章程和分红管理办法等的相关规定一致</w:t>
      </w:r>
    </w:p>
    <w:p>
      <w:pPr>
        <w:pStyle w:val="BodyText"/>
        <w:spacing w:line="340" w:lineRule="auto" w:before="117"/>
        <w:ind w:left="153" w:right="333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w:t>
      </w:r>
    </w:p>
    <w:p>
      <w:pPr>
        <w:spacing w:after="0" w:line="3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2934"/>
        <w:jc w:val="left"/>
      </w:pPr>
      <w:r>
        <w:rPr/>
        <w:t>公司报告期利润分配预案及资本公积金转增股本预案不符合公司章程等的相关规定。 公司报告期利润分配预案及资本公积金转增股本预案不符合公司章程等相关规定的原因</w:t>
      </w:r>
    </w:p>
    <w:p>
      <w:pPr>
        <w:spacing w:line="240" w:lineRule="auto" w:before="0"/>
        <w:rPr>
          <w:rFonts w:ascii="宋体" w:hAnsi="宋体" w:cs="宋体" w:eastAsia="宋体" w:hint="default"/>
          <w:sz w:val="18"/>
          <w:szCs w:val="18"/>
        </w:rPr>
      </w:pPr>
    </w:p>
    <w:p>
      <w:pPr>
        <w:pStyle w:val="BodyText"/>
        <w:spacing w:line="240" w:lineRule="auto" w:before="142"/>
        <w:ind w:right="0"/>
        <w:jc w:val="left"/>
      </w:pPr>
      <w:r>
        <w:rPr/>
        <w:t>本年度利润分配及资本公积金转增股本预案</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5"/>
        <w:gridCol w:w="586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66,700,000.00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129,635,116.53</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5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年度利润分配方案拟使用资本公积金每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股，不使用未分配利润进行送股，根据公司章程关于现金</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分红比例的规定</w:t>
            </w:r>
            <w:r>
              <w:rPr>
                <w:rFonts w:ascii="宋体" w:hAnsi="宋体" w:cs="宋体" w:eastAsia="宋体" w:hint="default"/>
                <w:spacing w:val="-87"/>
                <w:sz w:val="18"/>
                <w:szCs w:val="18"/>
              </w:rPr>
              <w:t>，</w:t>
            </w:r>
            <w:r>
              <w:rPr>
                <w:rFonts w:ascii="宋体" w:hAnsi="宋体" w:cs="宋体" w:eastAsia="宋体" w:hint="default"/>
                <w:sz w:val="18"/>
                <w:szCs w:val="18"/>
              </w:rPr>
              <w:t>拟以总股本</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宋体" w:hAnsi="宋体" w:cs="宋体" w:eastAsia="宋体" w:hint="default"/>
                <w:spacing w:val="-87"/>
                <w:sz w:val="18"/>
                <w:szCs w:val="18"/>
              </w:rPr>
              <w:t>，</w:t>
            </w:r>
            <w:r>
              <w:rPr>
                <w:rFonts w:ascii="宋体" w:hAnsi="宋体" w:cs="宋体" w:eastAsia="宋体" w:hint="default"/>
                <w:sz w:val="18"/>
                <w:szCs w:val="18"/>
              </w:rPr>
              <w:t>每</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派发现金股利</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pacing w:val="-8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共计派发现金股利</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元；公司剩余未分配利润留待以后年度分配。</w:t>
            </w:r>
          </w:p>
        </w:tc>
      </w:tr>
    </w:tbl>
    <w:p>
      <w:pPr>
        <w:pStyle w:val="BodyText"/>
        <w:spacing w:line="240" w:lineRule="auto" w:before="49"/>
        <w:ind w:left="512" w:right="0"/>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1"/>
        <w:ind w:right="150" w:firstLine="360"/>
        <w:jc w:val="both"/>
      </w:pP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年度利润分配方案拟使用资本公积金每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股，不使用未分配利润进行送股，根据公司章程关于现金 </w:t>
      </w:r>
      <w:r>
        <w:rPr>
          <w:spacing w:val="-3"/>
        </w:rPr>
        <w:t>分红比例的规定，拟以总股本 </w:t>
      </w:r>
      <w:r>
        <w:rPr>
          <w:rFonts w:ascii="Times New Roman" w:hAnsi="Times New Roman" w:cs="Times New Roman" w:eastAsia="Times New Roman" w:hint="default"/>
        </w:rPr>
        <w:t>66,700,000 </w:t>
      </w:r>
      <w:r>
        <w:rPr>
          <w:spacing w:val="-7"/>
        </w:rPr>
        <w:t>股为基数，每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2 </w:t>
      </w:r>
      <w:r>
        <w:rPr>
          <w:spacing w:val="-8"/>
        </w:rPr>
        <w:t>元（含税），共计派发现金股利</w:t>
      </w:r>
      <w:r>
        <w:rPr>
          <w:spacing w:val="22"/>
        </w:rPr>
        <w:t> </w:t>
      </w:r>
      <w:r>
        <w:rPr>
          <w:rFonts w:ascii="Times New Roman" w:hAnsi="Times New Roman" w:cs="Times New Roman" w:eastAsia="Times New Roman" w:hint="default"/>
        </w:rPr>
        <w:t>13,340,000.00</w:t>
      </w:r>
      <w:r>
        <w:rPr>
          <w:rFonts w:ascii="Times New Roman" w:hAnsi="Times New Roman" w:cs="Times New Roman" w:eastAsia="Times New Roman" w:hint="default"/>
          <w:spacing w:val="1"/>
        </w:rPr>
        <w:t> </w:t>
      </w:r>
      <w:r>
        <w:rPr/>
        <w:t>元；公司剩余未分配利润留待以后年度分配。</w:t>
      </w:r>
    </w:p>
    <w:p>
      <w:pPr>
        <w:pStyle w:val="BodyText"/>
        <w:spacing w:line="316" w:lineRule="auto" w:before="31"/>
        <w:ind w:left="512" w:right="1944"/>
        <w:jc w:val="left"/>
      </w:pPr>
      <w:r>
        <w:rPr/>
        <w:t>公司</w:t>
      </w:r>
      <w:r>
        <w:rPr>
          <w:rFonts w:ascii="宋体" w:hAnsi="宋体" w:cs="宋体" w:eastAsia="宋体" w:hint="default"/>
        </w:rPr>
        <w:t>2011</w:t>
      </w:r>
      <w:r>
        <w:rPr/>
        <w:t>年年度股东大会审议通过</w:t>
      </w:r>
      <w:r>
        <w:rPr>
          <w:rFonts w:ascii="宋体" w:hAnsi="宋体" w:cs="宋体" w:eastAsia="宋体" w:hint="default"/>
        </w:rPr>
        <w:t>2011</w:t>
      </w:r>
      <w:r>
        <w:rPr/>
        <w:t>年度利润分配方案为不分配。 公司</w:t>
      </w:r>
      <w:r>
        <w:rPr>
          <w:rFonts w:ascii="宋体" w:hAnsi="宋体" w:cs="宋体" w:eastAsia="宋体" w:hint="default"/>
        </w:rPr>
        <w:t>2010</w:t>
      </w:r>
      <w:r>
        <w:rPr/>
        <w:t>年年度股东大会审议通过</w:t>
      </w:r>
      <w:r>
        <w:rPr>
          <w:rFonts w:ascii="宋体" w:hAnsi="宋体" w:cs="宋体" w:eastAsia="宋体" w:hint="default"/>
        </w:rPr>
        <w:t>2010</w:t>
      </w:r>
      <w:r>
        <w:rPr/>
        <w:t>年度利润分配方案为每</w:t>
      </w:r>
      <w:r>
        <w:rPr>
          <w:rFonts w:ascii="宋体" w:hAnsi="宋体" w:cs="宋体" w:eastAsia="宋体" w:hint="default"/>
        </w:rPr>
        <w:t>10</w:t>
      </w:r>
      <w:r>
        <w:rPr/>
        <w:t>股派发现金股利</w:t>
      </w:r>
      <w:r>
        <w:rPr>
          <w:rFonts w:ascii="宋体" w:hAnsi="宋体" w:cs="宋体" w:eastAsia="宋体" w:hint="default"/>
        </w:rPr>
        <w:t>3</w:t>
      </w:r>
      <w:r>
        <w:rPr/>
        <w:t>元（含税）。</w:t>
      </w:r>
    </w:p>
    <w:p>
      <w:pPr>
        <w:pStyle w:val="BodyText"/>
        <w:spacing w:line="240" w:lineRule="auto" w:before="59"/>
        <w:ind w:right="0"/>
        <w:jc w:val="left"/>
      </w:pPr>
      <w:r>
        <w:rPr/>
        <w:t>公司近三年现金分红情况表</w:t>
      </w:r>
    </w:p>
    <w:p>
      <w:pPr>
        <w:pStyle w:val="BodyText"/>
        <w:spacing w:line="240" w:lineRule="auto" w:before="115"/>
        <w:ind w:left="0" w:right="152"/>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90" w:right="110"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4D4D4"/>
          </w:tcPr>
          <w:p>
            <w:pP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60,107,528.99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44,769,501.53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40,284,492.68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37.24%</w:t>
            </w:r>
          </w:p>
        </w:tc>
      </w:tr>
    </w:tbl>
    <w:p>
      <w:pPr>
        <w:pStyle w:val="BodyText"/>
        <w:spacing w:line="340" w:lineRule="auto" w:before="49"/>
        <w:ind w:right="1497"/>
        <w:jc w:val="left"/>
      </w:pPr>
      <w:r>
        <w:rPr/>
        <w:t>注：公司需列表披露近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年（含报告期）现金红利分配的金额及占归属于上市公司股东的净利润的比例。 公司报告期内盈利且母公司未分配利润为正但未提出现金红利分配预案</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785"/>
        <w:gridCol w:w="4786"/>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46" w:right="46"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49"/>
        <w:ind w:right="0"/>
        <w:jc w:val="left"/>
      </w:pPr>
      <w:r>
        <w:rPr>
          <w:spacing w:val="-2"/>
        </w:rPr>
        <w:t>注：对于报告期内盈利但未提出现金利润分配方案预案的公司，应详细说明原因，同时说明公司未分配利润的用途和使用计</w:t>
      </w:r>
      <w:r>
        <w:rPr>
          <w:spacing w:val="-66"/>
        </w:rPr>
        <w:t> </w:t>
      </w:r>
      <w:r>
        <w:rPr>
          <w:spacing w:val="-66"/>
        </w:rPr>
      </w:r>
      <w:r>
        <w:rPr/>
        <w:t>划。</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七、内幕信息知情人管理制度的建立和执行情况" w:id="54"/>
      <w:bookmarkEnd w:id="54"/>
      <w:r>
        <w:rPr>
          <w:b w:val="0"/>
          <w:bCs w:val="0"/>
        </w:rPr>
      </w: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w:t>
      </w:r>
      <w:r>
        <w:rPr>
          <w:spacing w:val="-18"/>
        </w:rPr>
        <w:t> </w:t>
      </w:r>
      <w:r>
        <w:rPr/>
        <w:t>内幕知情人登记管理制度建立情况</w:t>
      </w:r>
    </w:p>
    <w:p>
      <w:pPr>
        <w:spacing w:after="0" w:line="240" w:lineRule="auto"/>
        <w:jc w:val="left"/>
        <w:sectPr>
          <w:footerReference w:type="default" r:id="rId13"/>
          <w:pgSz w:w="11910" w:h="16840"/>
          <w:pgMar w:footer="982" w:header="745" w:top="1060" w:bottom="1180" w:left="980" w:right="980"/>
          <w:pgNumType w:start="36"/>
        </w:sectPr>
      </w:pPr>
    </w:p>
    <w:p>
      <w:pPr>
        <w:spacing w:line="240" w:lineRule="auto" w:before="9"/>
        <w:rPr>
          <w:rFonts w:ascii="宋体" w:hAnsi="宋体" w:cs="宋体" w:eastAsia="宋体" w:hint="default"/>
          <w:sz w:val="25"/>
          <w:szCs w:val="25"/>
        </w:rPr>
      </w:pPr>
    </w:p>
    <w:p>
      <w:pPr>
        <w:pStyle w:val="BodyText"/>
        <w:spacing w:line="316" w:lineRule="auto" w:before="44"/>
        <w:ind w:right="62" w:firstLine="360"/>
        <w:jc w:val="left"/>
      </w:pPr>
      <w:r>
        <w:rPr>
          <w:spacing w:val="-2"/>
        </w:rPr>
        <w:t>为规范公司内幕信息管理，加强保密工作维护披露的公开、公平、公正原则，保护广大投资者的合法权益，公司专门制</w:t>
      </w:r>
      <w:r>
        <w:rPr/>
        <w:t> 订了《内幕信息知情人管理制度》并经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日召开的公司第一届董事会第九次临时会议审议通过。</w:t>
      </w:r>
    </w:p>
    <w:p>
      <w:pPr>
        <w:pStyle w:val="BodyText"/>
        <w:spacing w:line="235" w:lineRule="exact"/>
        <w:ind w:right="62"/>
        <w:jc w:val="left"/>
      </w:pPr>
      <w:r>
        <w:rPr/>
        <w:t>（二）</w:t>
      </w:r>
      <w:r>
        <w:rPr>
          <w:spacing w:val="-18"/>
        </w:rPr>
        <w:t> </w:t>
      </w:r>
      <w:r>
        <w:rPr/>
        <w:t>内幕知情人登记管理制度执行情况</w:t>
      </w:r>
    </w:p>
    <w:p>
      <w:pPr>
        <w:pStyle w:val="BodyText"/>
        <w:spacing w:line="300" w:lineRule="auto" w:before="76"/>
        <w:ind w:left="512" w:right="94" w:hanging="361"/>
        <w:jc w:val="left"/>
      </w:pPr>
      <w:r>
        <w:rPr>
          <w:rFonts w:ascii="Times New Roman" w:hAnsi="Times New Roman" w:cs="Times New Roman" w:eastAsia="Times New Roman" w:hint="default"/>
          <w:b/>
          <w:bCs/>
        </w:rPr>
        <w:t>1</w:t>
      </w:r>
      <w:r>
        <w:rPr/>
        <w:t>、 公司重大事项的信息保密工作 报告期内，公司严格执行内幕信息登记管理制度，严格规范信息传递流程，在定期报告披露期间和临时公告披露期间，</w:t>
      </w:r>
    </w:p>
    <w:p>
      <w:pPr>
        <w:pStyle w:val="BodyText"/>
        <w:spacing w:line="316" w:lineRule="auto" w:before="31"/>
        <w:ind w:right="193"/>
        <w:jc w:val="both"/>
      </w:pPr>
      <w:r>
        <w:rPr>
          <w:spacing w:val="-2"/>
        </w:rPr>
        <w:t>对未公开信息，公司证券投资部都会严格控制知情人范围并组织相关内幕知情人填写《内幕信息知情人登记表》，如实、完</w:t>
      </w:r>
      <w:r>
        <w:rPr>
          <w:spacing w:val="-84"/>
        </w:rPr>
        <w:t> </w:t>
      </w:r>
      <w:r>
        <w:rPr>
          <w:spacing w:val="-84"/>
        </w:rPr>
      </w:r>
      <w:r>
        <w:rPr>
          <w:spacing w:val="-2"/>
        </w:rPr>
        <w:t>整记录上述信息在公开前的所有内幕信息知情人名单，以及知情人知悉内幕信息的时间等。按照相关法规规定向深圳证券交</w:t>
      </w:r>
      <w:r>
        <w:rPr>
          <w:spacing w:val="-64"/>
        </w:rPr>
        <w:t> </w:t>
      </w:r>
      <w:r>
        <w:rPr>
          <w:spacing w:val="-64"/>
        </w:rPr>
      </w:r>
      <w:r>
        <w:rPr/>
        <w:t>易所和证监局报送定期报告和临时报告相关资料的同时报备内幕信息知情人登记情况。</w:t>
      </w:r>
    </w:p>
    <w:p>
      <w:pPr>
        <w:pStyle w:val="BodyText"/>
        <w:spacing w:line="300" w:lineRule="auto" w:before="18"/>
        <w:ind w:left="513" w:right="813" w:hanging="361"/>
        <w:jc w:val="left"/>
      </w:pPr>
      <w:r>
        <w:rPr>
          <w:rFonts w:ascii="Times New Roman" w:hAnsi="Times New Roman" w:cs="Times New Roman" w:eastAsia="Times New Roman" w:hint="default"/>
          <w:b/>
          <w:bCs/>
        </w:rPr>
        <w:t>2</w:t>
      </w:r>
      <w:r>
        <w:rPr/>
        <w:t>、 内幕知情人在敏感期买卖本公司股票情况 报告期内，公司董事、监事和高管及其配偶、父母、子女等直系亲属未有在敏感期买卖公司股票的行为发生。</w:t>
      </w:r>
    </w:p>
    <w:p>
      <w:pPr>
        <w:pStyle w:val="BodyText"/>
        <w:spacing w:line="300" w:lineRule="auto" w:before="31"/>
        <w:ind w:left="153" w:right="95" w:hanging="1"/>
        <w:jc w:val="left"/>
      </w:pPr>
      <w:r>
        <w:rPr>
          <w:rFonts w:ascii="Times New Roman" w:hAnsi="Times New Roman" w:cs="Times New Roman" w:eastAsia="Times New Roman" w:hint="default"/>
          <w:b/>
          <w:bCs/>
        </w:rPr>
        <w:t>3</w:t>
      </w:r>
      <w:r>
        <w:rPr/>
        <w:t>、</w:t>
      </w:r>
      <w:r>
        <w:rPr>
          <w:spacing w:val="-1"/>
        </w:rPr>
        <w:t> </w:t>
      </w:r>
      <w:r>
        <w:rPr/>
        <w:t>对董事、监事、高级管理人进行内幕信息相关法律培训为了提高董事、监事、高级管理人员对内幕信息重要性的认识，</w:t>
      </w:r>
      <w:r>
        <w:rPr/>
        <w:t> 公司证券部组织董监高及相关人员进行内部培训并参加了证监局组织的内募交易警示录的参观学习。</w:t>
      </w:r>
    </w:p>
    <w:p>
      <w:pPr>
        <w:pStyle w:val="BodyText"/>
        <w:spacing w:line="300" w:lineRule="auto" w:before="31"/>
        <w:ind w:left="513" w:right="813" w:hanging="361"/>
        <w:jc w:val="left"/>
      </w:pPr>
      <w:r>
        <w:rPr>
          <w:rFonts w:ascii="Times New Roman" w:hAnsi="Times New Roman" w:cs="Times New Roman" w:eastAsia="Times New Roman" w:hint="default"/>
          <w:b/>
          <w:bCs/>
        </w:rPr>
        <w:t>4</w:t>
      </w:r>
      <w:r>
        <w:rPr/>
        <w:t>、 公司对外部信息管理的落实情况 报告期内，公司未对控股股东、实际控制人、政府及其它外部单位提供未经披露的财务报表和其它内幕信息。</w:t>
      </w:r>
    </w:p>
    <w:p>
      <w:pPr>
        <w:pStyle w:val="BodyText"/>
        <w:spacing w:line="300" w:lineRule="auto" w:before="31"/>
        <w:ind w:left="513" w:right="178" w:hanging="361"/>
        <w:jc w:val="left"/>
      </w:pPr>
      <w:r>
        <w:rPr>
          <w:rFonts w:ascii="Times New Roman" w:hAnsi="Times New Roman" w:cs="Times New Roman" w:eastAsia="Times New Roman" w:hint="default"/>
          <w:b/>
          <w:bCs/>
        </w:rPr>
        <w:t>5</w:t>
      </w:r>
      <w:r>
        <w:rPr/>
        <w:t>、 公司对调研（采访）信息管理的落实情况 </w:t>
      </w:r>
      <w:r>
        <w:rPr>
          <w:spacing w:val="-5"/>
        </w:rPr>
        <w:t>公司根据《深交所创业板上市公司信息披露指引》的规定，对来公司调研（或采访）的机构和人员均事先要求其签署《承</w:t>
      </w:r>
    </w:p>
    <w:p>
      <w:pPr>
        <w:pStyle w:val="BodyText"/>
        <w:spacing w:line="316" w:lineRule="auto" w:before="31"/>
        <w:ind w:left="153" w:right="62"/>
        <w:jc w:val="left"/>
      </w:pPr>
      <w:r>
        <w:rPr>
          <w:spacing w:val="-2"/>
        </w:rPr>
        <w:t>诺书》，并要求调研（或采访）的机构和人员在调研会议纪要上签字确认，以保证机构调研（或采访）人员能遵守相关规定</w:t>
      </w:r>
      <w:r>
        <w:rPr>
          <w:spacing w:val="-66"/>
        </w:rPr>
        <w:t> </w:t>
      </w:r>
      <w:r>
        <w:rPr>
          <w:spacing w:val="-66"/>
        </w:rPr>
      </w:r>
      <w:r>
        <w:rPr/>
        <w:t>和公司相关信息按规定渠道披露。</w:t>
      </w:r>
    </w:p>
    <w:p>
      <w:pPr>
        <w:pStyle w:val="BodyText"/>
        <w:spacing w:line="300" w:lineRule="auto" w:before="18"/>
        <w:ind w:left="513" w:right="62" w:hanging="361"/>
        <w:jc w:val="left"/>
      </w:pPr>
      <w:r>
        <w:rPr>
          <w:rFonts w:ascii="Times New Roman" w:hAnsi="Times New Roman" w:cs="Times New Roman" w:eastAsia="Times New Roman" w:hint="default"/>
          <w:b/>
          <w:bCs/>
        </w:rPr>
        <w:t>6</w:t>
      </w:r>
      <w:r>
        <w:rPr/>
        <w:t>、 对内幕信息资料的管理情况 </w:t>
      </w:r>
      <w:r>
        <w:rPr>
          <w:spacing w:val="-2"/>
        </w:rPr>
        <w:t>公司证券部门负责内幕信息管理，对内幕信息的使用进行登记、归档和备查，能够按照《内幕知情人登记管理制度》严</w:t>
      </w:r>
    </w:p>
    <w:p>
      <w:pPr>
        <w:pStyle w:val="BodyText"/>
        <w:spacing w:line="240" w:lineRule="auto" w:before="31"/>
        <w:ind w:left="153" w:right="62"/>
        <w:jc w:val="left"/>
      </w:pPr>
      <w:r>
        <w:rPr/>
        <w:t>格控制知情人范围。特别是定期报告中的内幕知情人都按要求向深交所和监管局报备。</w:t>
      </w:r>
    </w:p>
    <w:p>
      <w:pPr>
        <w:pStyle w:val="BodyText"/>
        <w:spacing w:line="240" w:lineRule="auto" w:before="76"/>
        <w:ind w:left="153" w:right="62"/>
        <w:jc w:val="left"/>
      </w:pPr>
      <w:r>
        <w:rPr>
          <w:rFonts w:ascii="Times New Roman" w:hAnsi="Times New Roman" w:cs="Times New Roman" w:eastAsia="Times New Roman" w:hint="default"/>
          <w:b/>
          <w:bCs/>
        </w:rPr>
        <w:t>7</w:t>
      </w:r>
      <w:r>
        <w:rPr/>
        <w:t>、</w:t>
      </w:r>
      <w:r>
        <w:rPr>
          <w:spacing w:val="-1"/>
        </w:rPr>
        <w:t> </w:t>
      </w:r>
      <w:r>
        <w:rPr/>
        <w:t>报告期内，公司未发生受到监管部门查处和整改的情形。</w:t>
      </w:r>
    </w:p>
    <w:p>
      <w:pPr>
        <w:pStyle w:val="BodyText"/>
        <w:spacing w:line="240" w:lineRule="auto" w:before="62"/>
        <w:ind w:left="154" w:right="62"/>
        <w:jc w:val="left"/>
      </w:pPr>
      <w:r>
        <w:rPr>
          <w:rFonts w:ascii="Times New Roman" w:hAnsi="Times New Roman" w:cs="Times New Roman" w:eastAsia="Times New Roman" w:hint="default"/>
          <w:b/>
          <w:bCs/>
        </w:rPr>
        <w:t>8</w:t>
      </w:r>
      <w:r>
        <w:rPr/>
        <w:t>、</w:t>
      </w:r>
      <w:r>
        <w:rPr>
          <w:spacing w:val="-1"/>
        </w:rPr>
        <w:t> </w:t>
      </w:r>
      <w:r>
        <w:rPr/>
        <w:t>报告期内，公司不存在向大股东、实际控股人提供未公开信息等公司治理非规范情况。</w:t>
      </w:r>
    </w:p>
    <w:p>
      <w:pPr>
        <w:spacing w:line="240" w:lineRule="auto" w:before="0"/>
        <w:rPr>
          <w:rFonts w:ascii="宋体" w:hAnsi="宋体" w:cs="宋体" w:eastAsia="宋体" w:hint="default"/>
          <w:sz w:val="18"/>
          <w:szCs w:val="18"/>
        </w:rPr>
      </w:pPr>
    </w:p>
    <w:p>
      <w:pPr>
        <w:pStyle w:val="BodyText"/>
        <w:spacing w:line="316" w:lineRule="auto" w:before="139"/>
        <w:ind w:left="514" w:right="62" w:hanging="360"/>
        <w:jc w:val="left"/>
      </w:pPr>
      <w:r>
        <w:rPr/>
        <w:t>（三）</w:t>
      </w:r>
      <w:r>
        <w:rPr>
          <w:spacing w:val="-18"/>
        </w:rPr>
        <w:t> </w:t>
      </w:r>
      <w:r>
        <w:rPr/>
        <w:t>报告期内，自查内幕信息知情人涉嫌内幕交易以及监管部门的查处和整改情况</w:t>
      </w:r>
      <w:r>
        <w:rPr/>
        <w:t> </w:t>
      </w:r>
      <w:r>
        <w:rPr>
          <w:spacing w:val="-2"/>
        </w:rPr>
        <w:t>报告期内，公司董事、监事、高级管理人员及其他相关人员严格遵守内幕信息知情人管理制度，未发现有内幕信息知情</w:t>
      </w:r>
    </w:p>
    <w:p>
      <w:pPr>
        <w:pStyle w:val="BodyText"/>
        <w:spacing w:line="338" w:lineRule="auto" w:before="18"/>
        <w:ind w:left="154" w:right="62"/>
        <w:jc w:val="left"/>
      </w:pPr>
      <w:r>
        <w:rPr/>
        <w:t>人利用内幕信息买卖公司股票的情况。报告期内，未发生因内幕信息知情人涉嫌内幕交易受到监管部门查处情况。 </w:t>
      </w:r>
      <w:r>
        <w:rPr>
          <w:spacing w:val="-2"/>
        </w:rPr>
        <w:t>注：公司应披露内幕信息知情人管理制度的建立和执行情况，报告期内自查内幕信息知情人涉嫌内幕交易的情况，以及监管</w:t>
      </w:r>
      <w:r>
        <w:rPr>
          <w:spacing w:val="-63"/>
        </w:rPr>
        <w:t> </w:t>
      </w:r>
      <w:r>
        <w:rPr>
          <w:spacing w:val="-63"/>
        </w:rPr>
      </w:r>
      <w:r>
        <w:rPr/>
        <w:t>部门的查处和整改情况。</w:t>
      </w:r>
    </w:p>
    <w:p>
      <w:pPr>
        <w:spacing w:line="240" w:lineRule="auto" w:before="7"/>
        <w:rPr>
          <w:rFonts w:ascii="宋体" w:hAnsi="宋体" w:cs="宋体" w:eastAsia="宋体" w:hint="default"/>
          <w:sz w:val="19"/>
          <w:szCs w:val="19"/>
        </w:rPr>
      </w:pPr>
    </w:p>
    <w:p>
      <w:pPr>
        <w:pStyle w:val="Heading3"/>
        <w:spacing w:line="240" w:lineRule="auto"/>
        <w:ind w:right="62"/>
        <w:jc w:val="left"/>
        <w:rPr>
          <w:b w:val="0"/>
          <w:bCs w:val="0"/>
        </w:rPr>
      </w:pPr>
      <w:bookmarkStart w:name="八、报告期内接待调研、沟通、采访等活动登记表" w:id="55"/>
      <w:bookmarkEnd w:id="55"/>
      <w:r>
        <w:rPr>
          <w:b w:val="0"/>
          <w:bCs w:val="0"/>
        </w:rPr>
      </w: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17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 w:pos="1106" w:val="left" w:leader="none"/>
              </w:tabs>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东方证券</w:t>
            </w:r>
            <w:r>
              <w:rPr>
                <w:rFonts w:ascii="宋体" w:hAnsi="宋体" w:cs="宋体" w:eastAsia="宋体" w:hint="default"/>
                <w:spacing w:val="2"/>
                <w:sz w:val="18"/>
                <w:szCs w:val="18"/>
              </w:rPr>
              <w:t> </w:t>
            </w:r>
            <w:r>
              <w:rPr>
                <w:rFonts w:ascii="宋体" w:hAnsi="宋体" w:cs="宋体" w:eastAsia="宋体" w:hint="default"/>
                <w:sz w:val="18"/>
                <w:szCs w:val="18"/>
              </w:rPr>
              <w:t>民族证</w:t>
            </w:r>
            <w:r>
              <w:rPr>
                <w:rFonts w:ascii="宋体" w:hAnsi="宋体" w:cs="宋体" w:eastAsia="宋体" w:hint="default"/>
                <w:sz w:val="18"/>
                <w:szCs w:val="18"/>
              </w:rPr>
              <w:t> 券 中信建投</w:t>
            </w:r>
            <w:r>
              <w:rPr>
                <w:rFonts w:ascii="宋体" w:hAnsi="宋体" w:cs="宋体" w:eastAsia="宋体" w:hint="default"/>
                <w:spacing w:val="1"/>
                <w:sz w:val="18"/>
                <w:szCs w:val="18"/>
              </w:rPr>
              <w:t> </w:t>
            </w:r>
            <w:r>
              <w:rPr>
                <w:rFonts w:ascii="宋体" w:hAnsi="宋体" w:cs="宋体" w:eastAsia="宋体" w:hint="default"/>
                <w:sz w:val="18"/>
                <w:szCs w:val="18"/>
              </w:rPr>
              <w:t>喜</w:t>
            </w:r>
            <w:r>
              <w:rPr>
                <w:rFonts w:ascii="宋体" w:hAnsi="宋体" w:cs="宋体" w:eastAsia="宋体" w:hint="default"/>
                <w:sz w:val="18"/>
                <w:szCs w:val="18"/>
              </w:rPr>
              <w:t> 马拉雅资产</w:t>
            </w:r>
            <w:r>
              <w:rPr>
                <w:rFonts w:ascii="宋体" w:hAnsi="宋体" w:cs="宋体" w:eastAsia="宋体" w:hint="default"/>
                <w:spacing w:val="1"/>
                <w:sz w:val="18"/>
                <w:szCs w:val="18"/>
              </w:rPr>
              <w:t> </w:t>
            </w:r>
            <w:r>
              <w:rPr>
                <w:rFonts w:ascii="宋体" w:hAnsi="宋体" w:cs="宋体" w:eastAsia="宋体" w:hint="default"/>
                <w:sz w:val="18"/>
                <w:szCs w:val="18"/>
              </w:rPr>
              <w:t>光大</w:t>
            </w:r>
            <w:r>
              <w:rPr>
                <w:rFonts w:ascii="宋体" w:hAnsi="宋体" w:cs="宋体" w:eastAsia="宋体" w:hint="default"/>
                <w:sz w:val="18"/>
                <w:szCs w:val="18"/>
              </w:rPr>
              <w:t> 证券</w:t>
            </w:r>
            <w:r>
              <w:rPr>
                <w:rFonts w:ascii="宋体" w:hAnsi="宋体" w:cs="宋体" w:eastAsia="宋体" w:hint="default"/>
                <w:spacing w:val="2"/>
                <w:sz w:val="18"/>
                <w:szCs w:val="18"/>
              </w:rPr>
              <w:t> </w:t>
            </w:r>
            <w:r>
              <w:rPr>
                <w:rFonts w:ascii="宋体" w:hAnsi="宋体" w:cs="宋体" w:eastAsia="宋体" w:hint="default"/>
                <w:sz w:val="18"/>
                <w:szCs w:val="18"/>
              </w:rPr>
              <w:t>远策投资</w:t>
            </w:r>
            <w:r>
              <w:rPr>
                <w:rFonts w:ascii="宋体" w:hAnsi="宋体" w:cs="宋体" w:eastAsia="宋体" w:hint="default"/>
                <w:sz w:val="18"/>
                <w:szCs w:val="18"/>
              </w:rPr>
              <w:t> 国都证券</w:t>
            </w:r>
            <w:r>
              <w:rPr>
                <w:rFonts w:ascii="宋体" w:hAnsi="宋体" w:cs="宋体" w:eastAsia="宋体" w:hint="default"/>
                <w:spacing w:val="1"/>
                <w:sz w:val="18"/>
                <w:szCs w:val="18"/>
              </w:rPr>
              <w:t> </w:t>
            </w:r>
            <w:r>
              <w:rPr>
                <w:rFonts w:ascii="宋体" w:hAnsi="宋体" w:cs="宋体" w:eastAsia="宋体" w:hint="default"/>
                <w:sz w:val="18"/>
                <w:szCs w:val="18"/>
              </w:rPr>
              <w:t>国海证</w:t>
            </w:r>
            <w:r>
              <w:rPr>
                <w:rFonts w:ascii="宋体" w:hAnsi="宋体" w:cs="宋体" w:eastAsia="宋体" w:hint="default"/>
                <w:sz w:val="18"/>
                <w:szCs w:val="18"/>
              </w:rPr>
              <w:t> 券</w:t>
              <w:tab/>
              <w:t>湘财证券 长安基金</w:t>
            </w:r>
            <w:r>
              <w:rPr>
                <w:rFonts w:ascii="宋体" w:hAnsi="宋体" w:cs="宋体" w:eastAsia="宋体" w:hint="default"/>
                <w:spacing w:val="2"/>
                <w:sz w:val="18"/>
                <w:szCs w:val="18"/>
              </w:rPr>
              <w:t> </w:t>
            </w:r>
            <w:r>
              <w:rPr>
                <w:rFonts w:ascii="宋体" w:hAnsi="宋体" w:cs="宋体" w:eastAsia="宋体" w:hint="default"/>
                <w:sz w:val="18"/>
                <w:szCs w:val="18"/>
              </w:rPr>
              <w:t>天弘基</w:t>
            </w:r>
            <w:r>
              <w:rPr>
                <w:rFonts w:ascii="宋体" w:hAnsi="宋体" w:cs="宋体" w:eastAsia="宋体" w:hint="default"/>
                <w:sz w:val="18"/>
                <w:szCs w:val="18"/>
              </w:rPr>
              <w:t> 金 日信证券</w:t>
            </w:r>
            <w:r>
              <w:rPr>
                <w:rFonts w:ascii="宋体" w:hAnsi="宋体" w:cs="宋体" w:eastAsia="宋体" w:hint="default"/>
                <w:spacing w:val="1"/>
                <w:sz w:val="18"/>
                <w:szCs w:val="18"/>
              </w:rPr>
              <w:t> </w:t>
            </w:r>
            <w:r>
              <w:rPr>
                <w:rFonts w:ascii="宋体" w:hAnsi="宋体" w:cs="宋体" w:eastAsia="宋体" w:hint="default"/>
                <w:sz w:val="18"/>
                <w:szCs w:val="18"/>
              </w:rPr>
              <w:t>嘉</w:t>
            </w:r>
            <w:r>
              <w:rPr>
                <w:rFonts w:ascii="宋体" w:hAnsi="宋体" w:cs="宋体" w:eastAsia="宋体" w:hint="default"/>
                <w:sz w:val="18"/>
                <w:szCs w:val="18"/>
              </w:rPr>
              <w:t> 实基金</w:t>
            </w:r>
            <w:r>
              <w:rPr>
                <w:rFonts w:ascii="宋体" w:hAnsi="宋体" w:cs="宋体" w:eastAsia="宋体" w:hint="default"/>
                <w:spacing w:val="2"/>
                <w:sz w:val="18"/>
                <w:szCs w:val="18"/>
              </w:rPr>
              <w:t> </w:t>
            </w:r>
            <w:r>
              <w:rPr>
                <w:rFonts w:ascii="宋体" w:hAnsi="宋体" w:cs="宋体" w:eastAsia="宋体" w:hint="default"/>
                <w:sz w:val="18"/>
                <w:szCs w:val="18"/>
              </w:rPr>
              <w:t>金元证券</w:t>
            </w:r>
            <w:r>
              <w:rPr>
                <w:rFonts w:ascii="宋体" w:hAnsi="宋体" w:cs="宋体" w:eastAsia="宋体" w:hint="default"/>
                <w:sz w:val="18"/>
                <w:szCs w:val="18"/>
              </w:rPr>
              <w:t> 民生证券</w:t>
              <w:tab/>
              <w:t>宏源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00" w:lineRule="auto"/>
              <w:ind w:left="23" w:right="149"/>
              <w:jc w:val="left"/>
              <w:rPr>
                <w:rFonts w:ascii="宋体" w:hAnsi="宋体" w:cs="宋体" w:eastAsia="宋体" w:hint="default"/>
                <w:sz w:val="18"/>
                <w:szCs w:val="18"/>
              </w:rPr>
            </w:pPr>
            <w:r>
              <w:rPr>
                <w:rFonts w:ascii="宋体" w:hAnsi="宋体" w:cs="宋体" w:eastAsia="宋体" w:hint="default"/>
                <w:sz w:val="18"/>
                <w:szCs w:val="18"/>
              </w:rPr>
              <w:t>公司概况</w:t>
            </w:r>
            <w:r>
              <w:rPr>
                <w:rFonts w:ascii="Times New Roman" w:hAnsi="Times New Roman" w:cs="Times New Roman" w:eastAsia="Times New Roman" w:hint="default"/>
                <w:sz w:val="18"/>
                <w:szCs w:val="18"/>
              </w:rPr>
              <w:t>/</w:t>
            </w:r>
            <w:r>
              <w:rPr>
                <w:rFonts w:ascii="宋体" w:hAnsi="宋体" w:cs="宋体" w:eastAsia="宋体" w:hint="default"/>
                <w:sz w:val="18"/>
                <w:szCs w:val="18"/>
              </w:rPr>
              <w:t>产品介绍</w:t>
            </w:r>
            <w:r>
              <w:rPr>
                <w:rFonts w:ascii="Times New Roman" w:hAnsi="Times New Roman" w:cs="Times New Roman" w:eastAsia="Times New Roman" w:hint="default"/>
                <w:sz w:val="18"/>
                <w:szCs w:val="18"/>
              </w:rPr>
              <w:t>/</w:t>
            </w:r>
            <w:r>
              <w:rPr>
                <w:rFonts w:ascii="宋体" w:hAnsi="宋体" w:cs="宋体" w:eastAsia="宋体" w:hint="default"/>
                <w:sz w:val="18"/>
                <w:szCs w:val="18"/>
              </w:rPr>
              <w:t>行业 状况等</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1298"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 w:pos="657" w:val="left" w:leader="none"/>
              </w:tabs>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证券</w:t>
              <w:tab/>
              <w:tab/>
              <w:t>银华基金 中信证券</w:t>
            </w:r>
            <w:r>
              <w:rPr>
                <w:rFonts w:ascii="宋体" w:hAnsi="宋体" w:cs="宋体" w:eastAsia="宋体" w:hint="default"/>
                <w:spacing w:val="2"/>
                <w:sz w:val="18"/>
                <w:szCs w:val="18"/>
              </w:rPr>
              <w:t> </w:t>
            </w:r>
            <w:r>
              <w:rPr>
                <w:rFonts w:ascii="宋体" w:hAnsi="宋体" w:cs="宋体" w:eastAsia="宋体" w:hint="default"/>
                <w:sz w:val="18"/>
                <w:szCs w:val="18"/>
              </w:rPr>
              <w:t>国泰证</w:t>
            </w:r>
            <w:r>
              <w:rPr>
                <w:rFonts w:ascii="宋体" w:hAnsi="宋体" w:cs="宋体" w:eastAsia="宋体" w:hint="default"/>
                <w:sz w:val="18"/>
                <w:szCs w:val="18"/>
              </w:rPr>
              <w:t> 券</w:t>
              <w:tab/>
              <w:t>博时基金 山西证券招商基金</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中信建投</w:t>
              <w:tab/>
              <w:t>融通 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公司概况</w:t>
            </w:r>
            <w:r>
              <w:rPr>
                <w:rFonts w:ascii="Times New Roman" w:hAnsi="Times New Roman" w:cs="Times New Roman" w:eastAsia="Times New Roman" w:hint="default"/>
                <w:sz w:val="18"/>
                <w:szCs w:val="18"/>
              </w:rPr>
              <w:t>/</w:t>
            </w:r>
            <w:r>
              <w:rPr>
                <w:rFonts w:ascii="宋体" w:hAnsi="宋体" w:cs="宋体" w:eastAsia="宋体" w:hint="default"/>
                <w:sz w:val="18"/>
                <w:szCs w:val="18"/>
              </w:rPr>
              <w:t>市场概况</w:t>
            </w:r>
            <w:r>
              <w:rPr>
                <w:rFonts w:ascii="Times New Roman" w:hAnsi="Times New Roman" w:cs="Times New Roman" w:eastAsia="Times New Roman" w:hint="default"/>
                <w:sz w:val="18"/>
                <w:szCs w:val="18"/>
              </w:rPr>
              <w:t>/</w:t>
            </w:r>
            <w:r>
              <w:rPr>
                <w:rFonts w:ascii="宋体" w:hAnsi="宋体" w:cs="宋体" w:eastAsia="宋体" w:hint="default"/>
                <w:sz w:val="18"/>
                <w:szCs w:val="18"/>
              </w:rPr>
              <w:t>产品 介绍等</w:t>
            </w:r>
          </w:p>
        </w:tc>
      </w:tr>
      <w:tr>
        <w:trPr>
          <w:trHeight w:val="133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建信基金</w:t>
            </w:r>
            <w:r>
              <w:rPr>
                <w:rFonts w:ascii="宋体" w:hAnsi="宋体" w:cs="宋体" w:eastAsia="宋体" w:hint="default"/>
                <w:spacing w:val="1"/>
                <w:sz w:val="18"/>
                <w:szCs w:val="18"/>
              </w:rPr>
              <w:t> </w:t>
            </w:r>
            <w:r>
              <w:rPr>
                <w:rFonts w:ascii="宋体" w:hAnsi="宋体" w:cs="宋体" w:eastAsia="宋体" w:hint="default"/>
                <w:sz w:val="18"/>
                <w:szCs w:val="18"/>
              </w:rPr>
              <w:t>中信证</w:t>
            </w:r>
            <w:r>
              <w:rPr>
                <w:rFonts w:ascii="宋体" w:hAnsi="宋体" w:cs="宋体" w:eastAsia="宋体" w:hint="default"/>
                <w:sz w:val="18"/>
                <w:szCs w:val="18"/>
              </w:rPr>
              <w:t> 券 银华基金</w:t>
            </w:r>
            <w:r>
              <w:rPr>
                <w:rFonts w:ascii="宋体" w:hAnsi="宋体" w:cs="宋体" w:eastAsia="宋体" w:hint="default"/>
                <w:spacing w:val="1"/>
                <w:sz w:val="18"/>
                <w:szCs w:val="18"/>
              </w:rPr>
              <w:t> </w:t>
            </w:r>
            <w:r>
              <w:rPr>
                <w:rFonts w:ascii="宋体" w:hAnsi="宋体" w:cs="宋体" w:eastAsia="宋体" w:hint="default"/>
                <w:sz w:val="18"/>
                <w:szCs w:val="18"/>
              </w:rPr>
              <w:t>民</w:t>
            </w:r>
            <w:r>
              <w:rPr>
                <w:rFonts w:ascii="宋体" w:hAnsi="宋体" w:cs="宋体" w:eastAsia="宋体" w:hint="default"/>
                <w:sz w:val="18"/>
                <w:szCs w:val="18"/>
              </w:rPr>
              <w:t> 生加银基金</w:t>
            </w:r>
            <w:r>
              <w:rPr>
                <w:rFonts w:ascii="宋体" w:hAnsi="宋体" w:cs="宋体" w:eastAsia="宋体" w:hint="default"/>
                <w:spacing w:val="2"/>
                <w:sz w:val="18"/>
                <w:szCs w:val="18"/>
              </w:rPr>
              <w:t> </w:t>
            </w:r>
            <w:r>
              <w:rPr>
                <w:rFonts w:ascii="宋体" w:hAnsi="宋体" w:cs="宋体" w:eastAsia="宋体" w:hint="default"/>
                <w:sz w:val="18"/>
                <w:szCs w:val="18"/>
              </w:rPr>
              <w:t>民生</w:t>
            </w:r>
            <w:r>
              <w:rPr>
                <w:rFonts w:ascii="宋体" w:hAnsi="宋体" w:cs="宋体" w:eastAsia="宋体" w:hint="default"/>
                <w:sz w:val="18"/>
                <w:szCs w:val="18"/>
              </w:rPr>
              <w:t> 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3" w:right="149"/>
              <w:jc w:val="left"/>
              <w:rPr>
                <w:rFonts w:ascii="宋体" w:hAnsi="宋体" w:cs="宋体" w:eastAsia="宋体" w:hint="default"/>
                <w:sz w:val="18"/>
                <w:szCs w:val="18"/>
              </w:rPr>
            </w:pPr>
            <w:r>
              <w:rPr>
                <w:rFonts w:ascii="宋体" w:hAnsi="宋体" w:cs="宋体" w:eastAsia="宋体" w:hint="default"/>
                <w:sz w:val="18"/>
                <w:szCs w:val="18"/>
              </w:rPr>
              <w:t>客户情况</w:t>
            </w:r>
            <w:r>
              <w:rPr>
                <w:rFonts w:ascii="Times New Roman" w:hAnsi="Times New Roman" w:cs="Times New Roman" w:eastAsia="Times New Roman" w:hint="default"/>
                <w:sz w:val="18"/>
                <w:szCs w:val="18"/>
              </w:rPr>
              <w:t>/</w:t>
            </w:r>
            <w:r>
              <w:rPr>
                <w:rFonts w:ascii="宋体" w:hAnsi="宋体" w:cs="宋体" w:eastAsia="宋体" w:hint="default"/>
                <w:sz w:val="18"/>
                <w:szCs w:val="18"/>
              </w:rPr>
              <w:t>销售状况</w:t>
            </w:r>
            <w:r>
              <w:rPr>
                <w:rFonts w:ascii="Times New Roman" w:hAnsi="Times New Roman" w:cs="Times New Roman" w:eastAsia="Times New Roman" w:hint="default"/>
                <w:sz w:val="18"/>
                <w:szCs w:val="18"/>
              </w:rPr>
              <w:t>/</w:t>
            </w:r>
            <w:r>
              <w:rPr>
                <w:rFonts w:ascii="宋体" w:hAnsi="宋体" w:cs="宋体" w:eastAsia="宋体" w:hint="default"/>
                <w:sz w:val="18"/>
                <w:szCs w:val="18"/>
              </w:rPr>
              <w:t>市场 及产品概况等</w:t>
            </w:r>
          </w:p>
        </w:tc>
      </w:tr>
      <w:tr>
        <w:trPr>
          <w:trHeight w:val="196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中信证券</w:t>
            </w:r>
            <w:r>
              <w:rPr>
                <w:rFonts w:ascii="宋体" w:hAnsi="宋体" w:cs="宋体" w:eastAsia="宋体" w:hint="default"/>
                <w:spacing w:val="2"/>
                <w:sz w:val="18"/>
                <w:szCs w:val="18"/>
              </w:rPr>
              <w:t> </w:t>
            </w:r>
            <w:r>
              <w:rPr>
                <w:rFonts w:ascii="宋体" w:hAnsi="宋体" w:cs="宋体" w:eastAsia="宋体" w:hint="default"/>
                <w:sz w:val="18"/>
                <w:szCs w:val="18"/>
              </w:rPr>
              <w:t>南方基</w:t>
            </w:r>
            <w:r>
              <w:rPr>
                <w:rFonts w:ascii="宋体" w:hAnsi="宋体" w:cs="宋体" w:eastAsia="宋体" w:hint="default"/>
                <w:sz w:val="18"/>
                <w:szCs w:val="18"/>
              </w:rPr>
              <w:t> 金 海通证券</w:t>
            </w:r>
            <w:r>
              <w:rPr>
                <w:rFonts w:ascii="宋体" w:hAnsi="宋体" w:cs="宋体" w:eastAsia="宋体" w:hint="default"/>
                <w:spacing w:val="1"/>
                <w:sz w:val="18"/>
                <w:szCs w:val="18"/>
              </w:rPr>
              <w:t> </w:t>
            </w:r>
            <w:r>
              <w:rPr>
                <w:rFonts w:ascii="宋体" w:hAnsi="宋体" w:cs="宋体" w:eastAsia="宋体" w:hint="default"/>
                <w:sz w:val="18"/>
                <w:szCs w:val="18"/>
              </w:rPr>
              <w:t>万</w:t>
            </w:r>
            <w:r>
              <w:rPr>
                <w:rFonts w:ascii="宋体" w:hAnsi="宋体" w:cs="宋体" w:eastAsia="宋体" w:hint="default"/>
                <w:sz w:val="18"/>
                <w:szCs w:val="18"/>
              </w:rPr>
              <w:t> 和投资</w:t>
            </w:r>
            <w:r>
              <w:rPr>
                <w:rFonts w:ascii="宋体" w:hAnsi="宋体" w:cs="宋体" w:eastAsia="宋体" w:hint="default"/>
                <w:spacing w:val="2"/>
                <w:sz w:val="18"/>
                <w:szCs w:val="18"/>
              </w:rPr>
              <w:t> </w:t>
            </w:r>
            <w:r>
              <w:rPr>
                <w:rFonts w:ascii="宋体" w:hAnsi="宋体" w:cs="宋体" w:eastAsia="宋体" w:hint="default"/>
                <w:sz w:val="18"/>
                <w:szCs w:val="18"/>
              </w:rPr>
              <w:t>日信证券</w:t>
            </w:r>
            <w:r>
              <w:rPr>
                <w:rFonts w:ascii="宋体" w:hAnsi="宋体" w:cs="宋体" w:eastAsia="宋体" w:hint="default"/>
                <w:sz w:val="18"/>
                <w:szCs w:val="18"/>
              </w:rPr>
              <w:t> 西部证券</w:t>
            </w:r>
            <w:r>
              <w:rPr>
                <w:rFonts w:ascii="宋体" w:hAnsi="宋体" w:cs="宋体" w:eastAsia="宋体" w:hint="default"/>
                <w:spacing w:val="2"/>
                <w:sz w:val="18"/>
                <w:szCs w:val="18"/>
              </w:rPr>
              <w:t> </w:t>
            </w:r>
            <w:r>
              <w:rPr>
                <w:rFonts w:ascii="宋体" w:hAnsi="宋体" w:cs="宋体" w:eastAsia="宋体" w:hint="default"/>
                <w:sz w:val="18"/>
                <w:szCs w:val="18"/>
              </w:rPr>
              <w:t>国海证</w:t>
            </w:r>
            <w:r>
              <w:rPr>
                <w:rFonts w:ascii="宋体" w:hAnsi="宋体" w:cs="宋体" w:eastAsia="宋体" w:hint="default"/>
                <w:sz w:val="18"/>
                <w:szCs w:val="18"/>
              </w:rPr>
              <w:t> 券 华商基金</w:t>
            </w:r>
            <w:r>
              <w:rPr>
                <w:rFonts w:ascii="宋体" w:hAnsi="宋体" w:cs="宋体" w:eastAsia="宋体" w:hint="default"/>
                <w:spacing w:val="1"/>
                <w:sz w:val="18"/>
                <w:szCs w:val="18"/>
              </w:rPr>
              <w:t> </w:t>
            </w:r>
            <w:r>
              <w:rPr>
                <w:rFonts w:ascii="宋体" w:hAnsi="宋体" w:cs="宋体" w:eastAsia="宋体" w:hint="default"/>
                <w:sz w:val="18"/>
                <w:szCs w:val="18"/>
              </w:rPr>
              <w:t>长</w:t>
            </w:r>
            <w:r>
              <w:rPr>
                <w:rFonts w:ascii="宋体" w:hAnsi="宋体" w:cs="宋体" w:eastAsia="宋体" w:hint="default"/>
                <w:sz w:val="18"/>
                <w:szCs w:val="18"/>
              </w:rPr>
              <w:t> 城证券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3" w:right="149"/>
              <w:jc w:val="left"/>
              <w:rPr>
                <w:rFonts w:ascii="宋体" w:hAnsi="宋体" w:cs="宋体" w:eastAsia="宋体" w:hint="default"/>
                <w:sz w:val="18"/>
                <w:szCs w:val="18"/>
              </w:rPr>
            </w:pPr>
            <w:r>
              <w:rPr>
                <w:rFonts w:ascii="宋体" w:hAnsi="宋体" w:cs="宋体" w:eastAsia="宋体" w:hint="default"/>
                <w:sz w:val="18"/>
                <w:szCs w:val="18"/>
              </w:rPr>
              <w:t>行业发展状况</w:t>
            </w:r>
            <w:r>
              <w:rPr>
                <w:rFonts w:ascii="Times New Roman" w:hAnsi="Times New Roman" w:cs="Times New Roman" w:eastAsia="Times New Roman" w:hint="default"/>
                <w:sz w:val="18"/>
                <w:szCs w:val="18"/>
              </w:rPr>
              <w:t>/</w:t>
            </w:r>
            <w:r>
              <w:rPr>
                <w:rFonts w:ascii="宋体" w:hAnsi="宋体" w:cs="宋体" w:eastAsia="宋体" w:hint="default"/>
                <w:sz w:val="18"/>
                <w:szCs w:val="18"/>
              </w:rPr>
              <w:t>产品介绍</w:t>
            </w:r>
            <w:r>
              <w:rPr>
                <w:rFonts w:ascii="Times New Roman" w:hAnsi="Times New Roman" w:cs="Times New Roman" w:eastAsia="Times New Roman" w:hint="default"/>
                <w:sz w:val="18"/>
                <w:szCs w:val="18"/>
              </w:rPr>
              <w:t>/ </w:t>
            </w:r>
            <w:r>
              <w:rPr>
                <w:rFonts w:ascii="宋体" w:hAnsi="宋体" w:cs="宋体" w:eastAsia="宋体" w:hint="default"/>
                <w:sz w:val="18"/>
                <w:szCs w:val="18"/>
              </w:rPr>
              <w:t>公司发展趋势</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国海证券</w:t>
            </w:r>
            <w:r>
              <w:rPr>
                <w:rFonts w:ascii="宋体" w:hAnsi="宋体" w:cs="宋体" w:eastAsia="宋体" w:hint="default"/>
                <w:spacing w:val="2"/>
                <w:sz w:val="18"/>
                <w:szCs w:val="18"/>
              </w:rPr>
              <w:t> </w:t>
            </w:r>
            <w:r>
              <w:rPr>
                <w:rFonts w:ascii="宋体" w:hAnsi="宋体" w:cs="宋体" w:eastAsia="宋体" w:hint="default"/>
                <w:sz w:val="18"/>
                <w:szCs w:val="18"/>
              </w:rPr>
              <w:t>嘉实基</w:t>
            </w:r>
            <w:r>
              <w:rPr>
                <w:rFonts w:ascii="宋体" w:hAnsi="宋体" w:cs="宋体" w:eastAsia="宋体" w:hint="default"/>
                <w:sz w:val="18"/>
                <w:szCs w:val="18"/>
              </w:rPr>
              <w:t> 金</w:t>
              <w:tab/>
              <w:t>汇添富基金 民族证券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149"/>
              <w:jc w:val="left"/>
              <w:rPr>
                <w:rFonts w:ascii="宋体" w:hAnsi="宋体" w:cs="宋体" w:eastAsia="宋体" w:hint="default"/>
                <w:sz w:val="18"/>
                <w:szCs w:val="18"/>
              </w:rPr>
            </w:pPr>
            <w:r>
              <w:rPr>
                <w:rFonts w:ascii="宋体" w:hAnsi="宋体" w:cs="宋体" w:eastAsia="宋体" w:hint="default"/>
                <w:sz w:val="18"/>
                <w:szCs w:val="18"/>
              </w:rPr>
              <w:t>战略发展规划</w:t>
            </w:r>
            <w:r>
              <w:rPr>
                <w:rFonts w:ascii="Times New Roman" w:hAnsi="Times New Roman" w:cs="Times New Roman" w:eastAsia="Times New Roman" w:hint="default"/>
                <w:sz w:val="18"/>
                <w:szCs w:val="18"/>
              </w:rPr>
              <w:t>/</w:t>
            </w:r>
            <w:r>
              <w:rPr>
                <w:rFonts w:ascii="宋体" w:hAnsi="宋体" w:cs="宋体" w:eastAsia="宋体" w:hint="default"/>
                <w:sz w:val="18"/>
                <w:szCs w:val="18"/>
              </w:rPr>
              <w:t>市场状况</w:t>
            </w:r>
            <w:r>
              <w:rPr>
                <w:rFonts w:ascii="Times New Roman" w:hAnsi="Times New Roman" w:cs="Times New Roman" w:eastAsia="Times New Roman" w:hint="default"/>
                <w:sz w:val="18"/>
                <w:szCs w:val="18"/>
              </w:rPr>
              <w:t>/ </w:t>
            </w:r>
            <w:r>
              <w:rPr>
                <w:rFonts w:ascii="宋体" w:hAnsi="宋体" w:cs="宋体" w:eastAsia="宋体" w:hint="default"/>
                <w:sz w:val="18"/>
                <w:szCs w:val="18"/>
              </w:rPr>
              <w:t>市场及销售状况</w:t>
            </w:r>
          </w:p>
        </w:tc>
      </w:tr>
      <w:tr>
        <w:trPr>
          <w:trHeight w:val="133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华泰资管</w:t>
            </w:r>
            <w:r>
              <w:rPr>
                <w:rFonts w:ascii="宋体" w:hAnsi="宋体" w:cs="宋体" w:eastAsia="宋体" w:hint="default"/>
                <w:spacing w:val="2"/>
                <w:sz w:val="18"/>
                <w:szCs w:val="18"/>
              </w:rPr>
              <w:t> </w:t>
            </w:r>
            <w:r>
              <w:rPr>
                <w:rFonts w:ascii="宋体" w:hAnsi="宋体" w:cs="宋体" w:eastAsia="宋体" w:hint="default"/>
                <w:sz w:val="18"/>
                <w:szCs w:val="18"/>
              </w:rPr>
              <w:t>易方达</w:t>
            </w:r>
            <w:r>
              <w:rPr>
                <w:rFonts w:ascii="宋体" w:hAnsi="宋体" w:cs="宋体" w:eastAsia="宋体" w:hint="default"/>
                <w:sz w:val="18"/>
                <w:szCs w:val="18"/>
              </w:rPr>
              <w:t> 基金</w:t>
            </w:r>
            <w:r>
              <w:rPr>
                <w:rFonts w:ascii="宋体" w:hAnsi="宋体" w:cs="宋体" w:eastAsia="宋体" w:hint="default"/>
                <w:spacing w:val="2"/>
                <w:sz w:val="18"/>
                <w:szCs w:val="18"/>
              </w:rPr>
              <w:t> </w:t>
            </w:r>
            <w:r>
              <w:rPr>
                <w:rFonts w:ascii="宋体" w:hAnsi="宋体" w:cs="宋体" w:eastAsia="宋体" w:hint="default"/>
                <w:sz w:val="18"/>
                <w:szCs w:val="18"/>
              </w:rPr>
              <w:t>太平资管</w:t>
            </w:r>
            <w:r>
              <w:rPr>
                <w:rFonts w:ascii="宋体" w:hAnsi="宋体" w:cs="宋体" w:eastAsia="宋体" w:hint="default"/>
                <w:sz w:val="18"/>
                <w:szCs w:val="18"/>
              </w:rPr>
              <w:t> 国金证券</w:t>
            </w:r>
            <w:r>
              <w:rPr>
                <w:rFonts w:ascii="宋体" w:hAnsi="宋体" w:cs="宋体" w:eastAsia="宋体" w:hint="default"/>
                <w:spacing w:val="2"/>
                <w:sz w:val="18"/>
                <w:szCs w:val="18"/>
              </w:rPr>
              <w:t> </w:t>
            </w:r>
            <w:r>
              <w:rPr>
                <w:rFonts w:ascii="宋体" w:hAnsi="宋体" w:cs="宋体" w:eastAsia="宋体" w:hint="default"/>
                <w:sz w:val="18"/>
                <w:szCs w:val="18"/>
              </w:rPr>
              <w:t>新华基</w:t>
            </w:r>
            <w:r>
              <w:rPr>
                <w:rFonts w:ascii="宋体" w:hAnsi="宋体" w:cs="宋体" w:eastAsia="宋体" w:hint="default"/>
                <w:sz w:val="18"/>
                <w:szCs w:val="18"/>
              </w:rPr>
              <w:t> 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公司概况</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行业发展等</w:t>
            </w:r>
          </w:p>
        </w:tc>
      </w:tr>
      <w:tr>
        <w:trPr>
          <w:trHeight w:val="133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837" w:val="left" w:leader="none"/>
              </w:tabs>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华泰证券</w:t>
            </w:r>
            <w:r>
              <w:rPr>
                <w:rFonts w:ascii="宋体" w:hAnsi="宋体" w:cs="宋体" w:eastAsia="宋体" w:hint="default"/>
                <w:spacing w:val="2"/>
                <w:sz w:val="18"/>
                <w:szCs w:val="18"/>
              </w:rPr>
              <w:t> </w:t>
            </w:r>
            <w:r>
              <w:rPr>
                <w:rFonts w:ascii="宋体" w:hAnsi="宋体" w:cs="宋体" w:eastAsia="宋体" w:hint="default"/>
                <w:sz w:val="18"/>
                <w:szCs w:val="18"/>
              </w:rPr>
              <w:t>光大资</w:t>
            </w:r>
            <w:r>
              <w:rPr>
                <w:rFonts w:ascii="宋体" w:hAnsi="宋体" w:cs="宋体" w:eastAsia="宋体" w:hint="default"/>
                <w:sz w:val="18"/>
                <w:szCs w:val="18"/>
              </w:rPr>
              <w:t> 管 安信证券</w:t>
            </w:r>
            <w:r>
              <w:rPr>
                <w:rFonts w:ascii="宋体" w:hAnsi="宋体" w:cs="宋体" w:eastAsia="宋体" w:hint="default"/>
                <w:spacing w:val="1"/>
                <w:sz w:val="18"/>
                <w:szCs w:val="18"/>
              </w:rPr>
              <w:t> </w:t>
            </w:r>
            <w:r>
              <w:rPr>
                <w:rFonts w:ascii="宋体" w:hAnsi="宋体" w:cs="宋体" w:eastAsia="宋体" w:hint="default"/>
                <w:sz w:val="18"/>
                <w:szCs w:val="18"/>
              </w:rPr>
              <w:t>长</w:t>
            </w:r>
            <w:r>
              <w:rPr>
                <w:rFonts w:ascii="宋体" w:hAnsi="宋体" w:cs="宋体" w:eastAsia="宋体" w:hint="default"/>
                <w:sz w:val="18"/>
                <w:szCs w:val="18"/>
              </w:rPr>
              <w:t> 盛基金</w:t>
              <w:tab/>
              <w:t>招商证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3" w:right="59"/>
              <w:jc w:val="left"/>
              <w:rPr>
                <w:rFonts w:ascii="宋体" w:hAnsi="宋体" w:cs="宋体" w:eastAsia="宋体" w:hint="default"/>
                <w:sz w:val="18"/>
                <w:szCs w:val="18"/>
              </w:rPr>
            </w:pPr>
            <w:r>
              <w:rPr>
                <w:rFonts w:ascii="宋体" w:hAnsi="宋体" w:cs="宋体" w:eastAsia="宋体" w:hint="default"/>
                <w:sz w:val="18"/>
                <w:szCs w:val="18"/>
              </w:rPr>
              <w:t>行业概况 </w:t>
            </w:r>
            <w:r>
              <w:rPr>
                <w:rFonts w:ascii="Times New Roman" w:hAnsi="Times New Roman" w:cs="Times New Roman" w:eastAsia="Times New Roman" w:hint="default"/>
                <w:sz w:val="18"/>
                <w:szCs w:val="18"/>
              </w:rPr>
              <w:t>/</w:t>
            </w:r>
            <w:r>
              <w:rPr>
                <w:rFonts w:ascii="宋体" w:hAnsi="宋体" w:cs="宋体" w:eastAsia="宋体" w:hint="default"/>
                <w:sz w:val="18"/>
                <w:szCs w:val="18"/>
              </w:rPr>
              <w:t>竞争情况</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产 品介绍等</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、接待方式指实地调研、电话沟通、书面问询等方式。</w:t>
      </w:r>
    </w:p>
    <w:p>
      <w:pPr>
        <w:pStyle w:val="BodyText"/>
        <w:spacing w:line="240" w:lineRule="auto" w:before="101"/>
        <w:ind w:left="512" w:right="0"/>
        <w:jc w:val="left"/>
      </w:pPr>
      <w:r>
        <w:rPr>
          <w:rFonts w:ascii="Times New Roman" w:hAnsi="Times New Roman" w:cs="Times New Roman" w:eastAsia="Times New Roman" w:hint="default"/>
        </w:rPr>
        <w:t>2</w:t>
      </w:r>
      <w:r>
        <w:rPr/>
        <w:t>、接待对象类型指机构、个人、其他。</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539" w:lineRule="exact"/>
        <w:ind w:right="118"/>
        <w:jc w:val="center"/>
        <w:rPr>
          <w:b w:val="0"/>
          <w:bCs w:val="0"/>
        </w:rPr>
      </w:pPr>
      <w:bookmarkStart w:name="_TOC_250005" w:id="56"/>
      <w:bookmarkStart w:name="第五节 重要事项" w:id="57"/>
      <w:r>
        <w:rPr>
          <w:b w:val="0"/>
          <w:bCs w:val="0"/>
        </w:rPr>
      </w:r>
      <w:r>
        <w:rPr/>
        <w:t>第五节</w:t>
      </w:r>
      <w:r>
        <w:rPr>
          <w:spacing w:val="-7"/>
        </w:rPr>
        <w:t> </w:t>
      </w:r>
      <w:r>
        <w:rPr/>
        <w:t>重要事项</w:t>
      </w:r>
      <w:bookmarkEnd w:id="56"/>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90"/>
        <w:ind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6"/>
        <w:gridCol w:w="876"/>
        <w:gridCol w:w="876"/>
        <w:gridCol w:w="874"/>
        <w:gridCol w:w="876"/>
        <w:gridCol w:w="874"/>
        <w:gridCol w:w="876"/>
        <w:gridCol w:w="862"/>
        <w:gridCol w:w="859"/>
        <w:gridCol w:w="859"/>
      </w:tblGrid>
      <w:tr>
        <w:trPr>
          <w:trHeight w:val="1025" w:hRule="exact"/>
        </w:trPr>
        <w:tc>
          <w:tcPr>
            <w:tcW w:w="8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7" w:right="125" w:hanging="92"/>
              <w:jc w:val="left"/>
              <w:rPr>
                <w:rFonts w:ascii="宋体" w:hAnsi="宋体" w:cs="宋体" w:eastAsia="宋体" w:hint="default"/>
                <w:sz w:val="18"/>
                <w:szCs w:val="18"/>
              </w:rPr>
            </w:pPr>
            <w:r>
              <w:rPr>
                <w:rFonts w:ascii="宋体" w:hAnsi="宋体" w:cs="宋体" w:eastAsia="宋体" w:hint="default"/>
                <w:sz w:val="18"/>
                <w:szCs w:val="18"/>
              </w:rPr>
              <w:t>起诉</w:t>
            </w:r>
            <w:r>
              <w:rPr>
                <w:rFonts w:ascii="Times New Roman" w:hAnsi="Times New Roman" w:cs="Times New Roman" w:eastAsia="Times New Roman" w:hint="default"/>
                <w:sz w:val="18"/>
                <w:szCs w:val="18"/>
              </w:rPr>
              <w:t>(</w:t>
            </w:r>
            <w:r>
              <w:rPr>
                <w:rFonts w:ascii="宋体" w:hAnsi="宋体" w:cs="宋体" w:eastAsia="宋体" w:hint="default"/>
                <w:sz w:val="18"/>
                <w:szCs w:val="18"/>
              </w:rPr>
              <w:t>申 请</w:t>
            </w:r>
            <w:r>
              <w:rPr>
                <w:rFonts w:ascii="Times New Roman" w:hAnsi="Times New Roman" w:cs="Times New Roman" w:eastAsia="Times New Roman" w:hint="default"/>
                <w:sz w:val="18"/>
                <w:szCs w:val="18"/>
              </w:rPr>
              <w:t>)</w:t>
            </w:r>
            <w:r>
              <w:rPr>
                <w:rFonts w:ascii="宋体" w:hAnsi="宋体" w:cs="宋体" w:eastAsia="宋体" w:hint="default"/>
                <w:sz w:val="18"/>
                <w:szCs w:val="18"/>
              </w:rPr>
              <w:t>方</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应诉</w:t>
            </w:r>
            <w:r>
              <w:rPr>
                <w:rFonts w:ascii="Times New Roman" w:hAnsi="Times New Roman" w:cs="Times New Roman" w:eastAsia="Times New Roman" w:hint="default"/>
                <w:sz w:val="18"/>
                <w:szCs w:val="18"/>
              </w:rPr>
              <w:t>(</w:t>
            </w:r>
            <w:r>
              <w:rPr>
                <w:rFonts w:ascii="宋体" w:hAnsi="宋体" w:cs="宋体" w:eastAsia="宋体" w:hint="default"/>
                <w:sz w:val="18"/>
                <w:szCs w:val="18"/>
              </w:rPr>
              <w:t>被申 请</w:t>
            </w:r>
            <w:r>
              <w:rPr>
                <w:rFonts w:ascii="Times New Roman" w:hAnsi="Times New Roman" w:cs="Times New Roman" w:eastAsia="Times New Roman" w:hint="default"/>
                <w:sz w:val="18"/>
                <w:szCs w:val="18"/>
              </w:rPr>
              <w:t>)</w:t>
            </w:r>
            <w:r>
              <w:rPr>
                <w:rFonts w:ascii="宋体" w:hAnsi="宋体" w:cs="宋体" w:eastAsia="宋体" w:hint="default"/>
                <w:sz w:val="18"/>
                <w:szCs w:val="18"/>
              </w:rPr>
              <w:t>方</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71" w:hanging="92"/>
              <w:jc w:val="left"/>
              <w:rPr>
                <w:rFonts w:ascii="宋体" w:hAnsi="宋体" w:cs="宋体" w:eastAsia="宋体" w:hint="default"/>
                <w:sz w:val="18"/>
                <w:szCs w:val="18"/>
              </w:rPr>
            </w:pPr>
            <w:r>
              <w:rPr>
                <w:rFonts w:ascii="宋体" w:hAnsi="宋体" w:cs="宋体" w:eastAsia="宋体" w:hint="default"/>
                <w:sz w:val="18"/>
                <w:szCs w:val="18"/>
              </w:rPr>
              <w:t>承担连带 责任方</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诉讼仲裁 类型</w:t>
            </w:r>
          </w:p>
        </w:tc>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3" w:right="38"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3" w:right="41" w:firstLine="10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涉及金 额（万元</w:t>
            </w:r>
          </w:p>
        </w:tc>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0" w:lineRule="atLeast" w:before="144"/>
              <w:ind w:left="131" w:right="13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p>
            <w:pPr>
              <w:pStyle w:val="TableParagraph"/>
              <w:spacing w:line="142"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3" w:right="41"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36" w:right="35" w:hanging="3"/>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 w:right="62"/>
              <w:jc w:val="center"/>
              <w:rPr>
                <w:rFonts w:ascii="宋体" w:hAnsi="宋体" w:cs="宋体" w:eastAsia="宋体" w:hint="default"/>
                <w:sz w:val="18"/>
                <w:szCs w:val="18"/>
              </w:rPr>
            </w:pPr>
            <w:r>
              <w:rPr>
                <w:rFonts w:ascii="宋体" w:hAnsi="宋体" w:cs="宋体" w:eastAsia="宋体" w:hint="default"/>
                <w:sz w:val="18"/>
                <w:szCs w:val="18"/>
              </w:rPr>
              <w:t>相关临时 公告披露 日期</w:t>
            </w:r>
          </w:p>
        </w:tc>
        <w:tc>
          <w:tcPr>
            <w:tcW w:w="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0"/>
              <w:jc w:val="left"/>
              <w:rPr>
                <w:rFonts w:ascii="宋体" w:hAnsi="宋体" w:cs="宋体" w:eastAsia="宋体" w:hint="default"/>
                <w:sz w:val="18"/>
                <w:szCs w:val="18"/>
              </w:rPr>
            </w:pPr>
            <w:r>
              <w:rPr>
                <w:rFonts w:ascii="宋体" w:hAnsi="宋体" w:cs="宋体" w:eastAsia="宋体" w:hint="default"/>
                <w:sz w:val="18"/>
                <w:szCs w:val="18"/>
              </w:rPr>
              <w:t>相关临时 公告编号</w:t>
            </w:r>
          </w:p>
        </w:tc>
      </w:tr>
      <w:tr>
        <w:trPr>
          <w:trHeight w:val="403" w:hRule="exact"/>
        </w:trPr>
        <w:tc>
          <w:tcPr>
            <w:tcW w:w="86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114"/>
        <w:jc w:val="left"/>
      </w:pPr>
      <w:r>
        <w:rPr/>
        <w:t>发生在编制上一期年度报告之后的涉及公司的重大诉讼、仲裁事项的涉及金额万元。 已编入上一期年度报告，但当时尚未结案的重大诉讼、仲裁事项的涉及金额万元。 因诉讼仲裁计提的预计负债万元。</w:t>
      </w:r>
    </w:p>
    <w:p>
      <w:pPr>
        <w:pStyle w:val="BodyText"/>
        <w:spacing w:line="338" w:lineRule="auto" w:before="29"/>
        <w:ind w:right="0"/>
        <w:jc w:val="left"/>
      </w:pPr>
      <w:r>
        <w:rPr/>
        <w:t>重大诉讼仲裁事项的详细说明 </w:t>
      </w:r>
      <w:r>
        <w:rPr>
          <w:spacing w:val="-2"/>
        </w:rPr>
        <w:t>注：公司应披露重大诉讼、仲裁事项。包括发生在编制本年度涉及公司的重大诉讼、仲裁事项，应陈述该事项基本情况、涉</w:t>
      </w:r>
      <w:r>
        <w:rPr>
          <w:spacing w:val="-70"/>
        </w:rPr>
        <w:t> </w:t>
      </w:r>
      <w:r>
        <w:rPr>
          <w:spacing w:val="-70"/>
        </w:rPr>
      </w:r>
      <w:r>
        <w:rPr>
          <w:spacing w:val="-2"/>
        </w:rPr>
        <w:t>及金额，是否存在预计负债。已在上年度年报报告中披露，但尚未结案的重大诉讼、仲裁事项，应陈述其进展情况或审理结</w:t>
      </w:r>
    </w:p>
    <w:p>
      <w:pPr>
        <w:pStyle w:val="BodyText"/>
        <w:spacing w:line="338" w:lineRule="auto" w:before="2"/>
        <w:ind w:right="0"/>
        <w:jc w:val="left"/>
      </w:pPr>
      <w:r>
        <w:rPr>
          <w:spacing w:val="-2"/>
        </w:rPr>
        <w:t>果及影响。对已经结案的重大诉讼、仲裁事项，还应说明其执行情况。如以上诉讼、仲裁事项已在临时报告披露且无后续进</w:t>
      </w:r>
      <w:r>
        <w:rPr>
          <w:spacing w:val="-67"/>
        </w:rPr>
        <w:t> </w:t>
      </w:r>
      <w:r>
        <w:rPr>
          <w:spacing w:val="-67"/>
        </w:rPr>
      </w:r>
      <w:r>
        <w:rPr/>
        <w:t>展的，则可只披露事项概述，并提供临时报告披露网站链接。 如报告期内公司无重大诉讼、仲裁事项，应明确陈述</w:t>
      </w:r>
      <w:r>
        <w:rPr>
          <w:rFonts w:ascii="Times New Roman" w:hAnsi="Times New Roman" w:cs="Times New Roman" w:eastAsia="Times New Roman" w:hint="default"/>
        </w:rPr>
        <w:t>“</w:t>
      </w:r>
      <w:r>
        <w:rPr/>
        <w:t>本年度公司无重大诉讼、仲裁事项</w:t>
      </w:r>
      <w:r>
        <w:rPr>
          <w:rFonts w:ascii="Times New Roman" w:hAnsi="Times New Roman" w:cs="Times New Roman" w:eastAsia="Times New Roman" w:hint="default"/>
        </w:rPr>
        <w:t>”</w:t>
      </w:r>
      <w:r>
        <w:rPr/>
        <w:t>。 本年度公司无重大诉讼、仲裁事项。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二、上市公司发生控股股东及其关联方非经营性占用资金情况" w:id="59"/>
      <w:bookmarkEnd w:id="59"/>
      <w:r>
        <w:rPr>
          <w:b w:val="0"/>
          <w:bCs w:val="0"/>
        </w:rPr>
      </w: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46"/>
        <w:gridCol w:w="970"/>
        <w:gridCol w:w="958"/>
        <w:gridCol w:w="955"/>
        <w:gridCol w:w="958"/>
        <w:gridCol w:w="955"/>
        <w:gridCol w:w="958"/>
        <w:gridCol w:w="958"/>
      </w:tblGrid>
      <w:tr>
        <w:trPr>
          <w:trHeight w:val="1025"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89"/>
                <w:sz w:val="18"/>
                <w:szCs w:val="18"/>
              </w:rPr>
              <w:t>初</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报告期新增</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占用金额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89"/>
                <w:sz w:val="18"/>
                <w:szCs w:val="18"/>
              </w:rPr>
              <w:t>末</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预计偿还方</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究及董事会拟定采取措施的情况说 明</w:t>
            </w:r>
          </w:p>
        </w:tc>
        <w:tc>
          <w:tcPr>
            <w:tcW w:w="6710" w:type="dxa"/>
            <w:gridSpan w:val="7"/>
            <w:tcBorders>
              <w:top w:val="single" w:sz="4" w:space="0" w:color="000000"/>
              <w:left w:val="single" w:sz="10" w:space="0" w:color="D4D4D4"/>
              <w:bottom w:val="single" w:sz="4" w:space="0" w:color="000000"/>
              <w:right w:val="single" w:sz="4" w:space="0" w:color="000000"/>
            </w:tcBorders>
          </w:tcPr>
          <w:p>
            <w:pPr/>
          </w:p>
        </w:tc>
      </w:tr>
      <w:tr>
        <w:trPr>
          <w:trHeight w:val="1027"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采取的措施说明</w:t>
            </w:r>
          </w:p>
        </w:tc>
        <w:tc>
          <w:tcPr>
            <w:tcW w:w="6710" w:type="dxa"/>
            <w:gridSpan w:val="7"/>
            <w:tcBorders>
              <w:top w:val="single" w:sz="4" w:space="0" w:color="000000"/>
              <w:left w:val="single" w:sz="10" w:space="0" w:color="D4D4D4"/>
              <w:bottom w:val="single" w:sz="4" w:space="0" w:color="000000"/>
              <w:right w:val="single" w:sz="4" w:space="0" w:color="000000"/>
            </w:tcBorders>
          </w:tcPr>
          <w:p>
            <w:pPr/>
          </w:p>
        </w:tc>
      </w:tr>
      <w:tr>
        <w:trPr>
          <w:trHeight w:val="401"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责任人</w:t>
            </w:r>
          </w:p>
        </w:tc>
        <w:tc>
          <w:tcPr>
            <w:tcW w:w="6710" w:type="dxa"/>
            <w:gridSpan w:val="7"/>
            <w:tcBorders>
              <w:top w:val="single" w:sz="4" w:space="0" w:color="000000"/>
              <w:left w:val="single" w:sz="10" w:space="0" w:color="D4D4D4"/>
              <w:bottom w:val="single" w:sz="4" w:space="0" w:color="000000"/>
              <w:right w:val="single" w:sz="4" w:space="0" w:color="000000"/>
            </w:tcBorders>
          </w:tcPr>
          <w:p>
            <w:pPr/>
          </w:p>
        </w:tc>
      </w:tr>
    </w:tbl>
    <w:p>
      <w:pPr>
        <w:pStyle w:val="BodyText"/>
        <w:spacing w:line="240" w:lineRule="auto" w:before="49"/>
        <w:ind w:right="0"/>
        <w:jc w:val="left"/>
      </w:pPr>
      <w:r>
        <w:rPr/>
        <w:t>会计师事务所对资金占用的专项审核意见</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408" w:lineRule="auto"/>
        <w:ind w:left="2581" w:right="2465"/>
        <w:jc w:val="left"/>
        <w:rPr>
          <w:b w:val="0"/>
          <w:bCs w:val="0"/>
        </w:rPr>
      </w:pPr>
      <w:r>
        <w:rPr/>
        <w:t>关于北京北信源软件股份有限公司关联方</w:t>
      </w:r>
      <w:r>
        <w:rPr>
          <w:w w:val="99"/>
        </w:rPr>
        <w:t> </w:t>
      </w:r>
      <w:r>
        <w:rPr/>
        <w:t>占用上市公司资金情况的专项审核报告</w:t>
      </w:r>
      <w:r>
        <w:rPr>
          <w:b w:val="0"/>
          <w:bCs w:val="0"/>
        </w:rPr>
      </w:r>
    </w:p>
    <w:p>
      <w:pPr>
        <w:spacing w:line="240" w:lineRule="auto" w:before="0"/>
        <w:rPr>
          <w:rFonts w:ascii="宋体" w:hAnsi="宋体" w:cs="宋体" w:eastAsia="宋体" w:hint="default"/>
          <w:b/>
          <w:bCs/>
          <w:sz w:val="28"/>
          <w:szCs w:val="28"/>
        </w:rPr>
      </w:pPr>
    </w:p>
    <w:p>
      <w:pPr>
        <w:pStyle w:val="Heading4"/>
        <w:spacing w:line="240" w:lineRule="auto" w:before="193"/>
        <w:ind w:left="6510" w:right="62"/>
        <w:jc w:val="left"/>
      </w:pPr>
      <w:r>
        <w:rPr/>
        <w:t>中瑞岳华专审字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0651</w:t>
      </w:r>
      <w:r>
        <w:rPr/>
        <w:t>号</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Heading3"/>
        <w:spacing w:line="240" w:lineRule="auto"/>
        <w:ind w:right="62"/>
        <w:jc w:val="left"/>
        <w:rPr>
          <w:b w:val="0"/>
          <w:bCs w:val="0"/>
        </w:rPr>
      </w:pPr>
      <w:r>
        <w:rPr/>
        <w:t>北京北信源软件股份有限公司全体股东：</w:t>
      </w:r>
      <w:r>
        <w:rPr>
          <w:b w:val="0"/>
          <w:bCs w:val="0"/>
        </w:rPr>
      </w:r>
    </w:p>
    <w:p>
      <w:pPr>
        <w:spacing w:line="240" w:lineRule="auto" w:before="5"/>
        <w:rPr>
          <w:rFonts w:ascii="宋体" w:hAnsi="宋体" w:cs="宋体" w:eastAsia="宋体" w:hint="default"/>
          <w:b/>
          <w:bCs/>
          <w:sz w:val="27"/>
          <w:szCs w:val="27"/>
        </w:rPr>
      </w:pPr>
    </w:p>
    <w:p>
      <w:pPr>
        <w:pStyle w:val="BodyText"/>
        <w:spacing w:line="300" w:lineRule="auto"/>
        <w:ind w:right="92" w:firstLine="480"/>
        <w:jc w:val="left"/>
      </w:pPr>
      <w:r>
        <w:rPr/>
        <w:t>我们接受委托，在审计了北京北信源软件股份有限公司（以下简称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）及其子公司（以下简称</w:t>
      </w:r>
      <w:r>
        <w:rPr>
          <w:rFonts w:ascii="Times New Roman" w:hAnsi="Times New Roman" w:cs="Times New Roman" w:eastAsia="Times New Roman" w:hint="default"/>
        </w:rPr>
        <w:t>“</w:t>
      </w:r>
      <w:r>
        <w:rPr/>
        <w:t>贵集团</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日合并及公司的资产负债表，</w:t>
      </w:r>
      <w:r>
        <w:rPr>
          <w:rFonts w:ascii="Times New Roman" w:hAnsi="Times New Roman" w:cs="Times New Roman" w:eastAsia="Times New Roman" w:hint="default"/>
          <w:spacing w:val="-2"/>
        </w:rPr>
        <w:t>2012</w:t>
      </w:r>
      <w:r>
        <w:rPr>
          <w:spacing w:val="-2"/>
        </w:rPr>
        <w:t>年度合并及公司的利润表、合并及公司的现金流量表和合并及公司的所有者权益</w:t>
      </w:r>
      <w:r>
        <w:rPr>
          <w:spacing w:val="-60"/>
        </w:rPr>
        <w:t> </w:t>
      </w:r>
      <w:r>
        <w:rPr>
          <w:spacing w:val="-60"/>
        </w:rPr>
      </w:r>
      <w:r>
        <w:rPr>
          <w:spacing w:val="-2"/>
        </w:rPr>
        <w:t>变动表以及财务报表附注的基础上，对后附的《上市公司</w:t>
      </w:r>
      <w:r>
        <w:rPr>
          <w:rFonts w:ascii="Times New Roman" w:hAnsi="Times New Roman" w:cs="Times New Roman" w:eastAsia="Times New Roman" w:hint="default"/>
          <w:spacing w:val="-2"/>
        </w:rPr>
        <w:t>2012</w:t>
      </w:r>
      <w:r>
        <w:rPr>
          <w:spacing w:val="-2"/>
        </w:rPr>
        <w:t>年度控股股东及其他关联方资金占用情况汇总表》（以下简称</w:t>
      </w:r>
      <w:r>
        <w:rPr>
          <w:spacing w:val="-63"/>
        </w:rPr>
        <w:t> </w:t>
      </w:r>
      <w:r>
        <w:rPr>
          <w:spacing w:val="-63"/>
        </w:rPr>
      </w:r>
      <w:r>
        <w:rPr>
          <w:rFonts w:ascii="Times New Roman" w:hAnsi="Times New Roman" w:cs="Times New Roman" w:eastAsia="Times New Roman" w:hint="default"/>
        </w:rPr>
        <w:t>“</w:t>
      </w:r>
      <w:r>
        <w:rPr/>
        <w:t>汇总表</w:t>
      </w:r>
      <w:r>
        <w:rPr>
          <w:rFonts w:ascii="Times New Roman" w:hAnsi="Times New Roman" w:cs="Times New Roman" w:eastAsia="Times New Roman" w:hint="default"/>
        </w:rPr>
        <w:t>”</w:t>
      </w:r>
      <w:r>
        <w:rPr/>
        <w:t>）进行了专项审核。按照中国证券监督管理委员会、国务院国有资产监督管理委员会印发的《关于规范上市公司与 </w:t>
      </w:r>
      <w:r>
        <w:rPr>
          <w:spacing w:val="-2"/>
        </w:rPr>
        <w:t>关联方资金往来及上市公司对外担保若干问题的通知》（证监发</w:t>
      </w:r>
      <w:r>
        <w:rPr>
          <w:rFonts w:ascii="Times New Roman" w:hAnsi="Times New Roman" w:cs="Times New Roman" w:eastAsia="Times New Roman" w:hint="default"/>
          <w:spacing w:val="-2"/>
        </w:rPr>
        <w:t>[2003]56</w:t>
      </w:r>
      <w:r>
        <w:rPr>
          <w:spacing w:val="-2"/>
        </w:rPr>
        <w:t>号）的规定，编制和披露汇总表、提供真实、合法、</w:t>
      </w:r>
      <w:r>
        <w:rPr/>
        <w:t> 完整的审核证据是贵公司管理层的责任，我们的责任是在执行审核工作的基础上对汇总表发表专项审核意见。</w:t>
      </w:r>
    </w:p>
    <w:p>
      <w:pPr>
        <w:pStyle w:val="BodyText"/>
        <w:spacing w:line="316" w:lineRule="auto" w:before="31"/>
        <w:ind w:right="111" w:firstLine="480"/>
        <w:jc w:val="both"/>
      </w:pPr>
      <w:r>
        <w:rPr/>
        <w:t>我们按照中国注册会计师审计准则的相关规定执行了审核工作。中国注册会计师审计准则要求我们遵守中国注册会计 </w:t>
      </w:r>
      <w:r>
        <w:rPr>
          <w:spacing w:val="-2"/>
        </w:rPr>
        <w:t>师职业道德守则，计划和执行审核工作以对汇总表是否不存在重大错报获取合理保证。在审核过程中，我们实施了包括检查</w:t>
      </w:r>
      <w:r>
        <w:rPr>
          <w:spacing w:val="-63"/>
        </w:rPr>
        <w:t> </w:t>
      </w:r>
      <w:r>
        <w:rPr>
          <w:spacing w:val="-63"/>
        </w:rPr>
      </w:r>
      <w:r>
        <w:rPr/>
        <w:t>会计记录、重新计算相关项目金额等我们认为必要的程序。我们相信，我们的审核工作为发表审核意见提供了合理的基础。</w:t>
      </w:r>
    </w:p>
    <w:p>
      <w:pPr>
        <w:pStyle w:val="BodyText"/>
        <w:spacing w:line="300" w:lineRule="auto" w:before="18"/>
        <w:ind w:right="62" w:firstLine="561"/>
        <w:jc w:val="left"/>
      </w:pPr>
      <w:r>
        <w:rPr/>
        <w:t>我们认为，后附汇总表所载资料与我们审计贵集团</w:t>
      </w:r>
      <w:r>
        <w:rPr>
          <w:rFonts w:ascii="Times New Roman" w:hAnsi="Times New Roman" w:cs="Times New Roman" w:eastAsia="Times New Roman" w:hint="default"/>
        </w:rPr>
        <w:t>2012</w:t>
      </w:r>
      <w:r>
        <w:rPr/>
        <w:t>年度财务报表时所复核的会计资料和经审计的财务报表的相</w:t>
      </w:r>
      <w:r>
        <w:rPr>
          <w:spacing w:val="2"/>
        </w:rPr>
        <w:t> </w:t>
      </w:r>
      <w:r>
        <w:rPr/>
        <w:t>关内容，在所有重大方面没有发现不一致。</w:t>
      </w:r>
    </w:p>
    <w:p>
      <w:pPr>
        <w:pStyle w:val="BodyText"/>
        <w:spacing w:line="240" w:lineRule="auto" w:before="31"/>
        <w:ind w:left="714" w:right="62"/>
        <w:jc w:val="left"/>
      </w:pPr>
      <w:r>
        <w:rPr/>
        <w:t>为了更好地理解贵集团</w:t>
      </w:r>
      <w:r>
        <w:rPr>
          <w:rFonts w:ascii="Times New Roman" w:hAnsi="Times New Roman" w:cs="Times New Roman" w:eastAsia="Times New Roman" w:hint="default"/>
        </w:rPr>
        <w:t>2012</w:t>
      </w:r>
      <w:r>
        <w:rPr/>
        <w:t>年度关联方占用上市公司资金情况，后附汇总表应当与已审的财务报表一并阅读。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714" w:right="62"/>
        <w:jc w:val="left"/>
      </w:pPr>
      <w:r>
        <w:rPr/>
        <w:t>本审核报告仅供北京北信源软件股份有限公司</w:t>
      </w:r>
      <w:r>
        <w:rPr>
          <w:rFonts w:ascii="Times New Roman" w:hAnsi="Times New Roman" w:cs="Times New Roman" w:eastAsia="Times New Roman" w:hint="default"/>
        </w:rPr>
        <w:t>2012</w:t>
      </w:r>
      <w:r>
        <w:rPr/>
        <w:t>年度年报披露之目的使用，不得用作任何其他目的。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tabs>
          <w:tab w:pos="4760" w:val="left" w:leader="none"/>
        </w:tabs>
        <w:spacing w:line="240" w:lineRule="auto"/>
        <w:ind w:right="62"/>
        <w:jc w:val="left"/>
      </w:pPr>
      <w:r>
        <w:rPr/>
        <w:t>中瑞岳华会计师事务所（特殊普通合伙）</w:t>
        <w:tab/>
        <w:t>中国注册会计师：黄峰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864" w:type="dxa"/>
        <w:tblLayout w:type="fixed"/>
        <w:tblCellMar>
          <w:top w:w="0" w:type="dxa"/>
          <w:left w:w="0" w:type="dxa"/>
          <w:bottom w:w="0" w:type="dxa"/>
          <w:right w:w="0" w:type="dxa"/>
        </w:tblCellMar>
        <w:tblLook w:val="01E0"/>
      </w:tblPr>
      <w:tblGrid>
        <w:gridCol w:w="2443"/>
        <w:gridCol w:w="4672"/>
      </w:tblGrid>
      <w:tr>
        <w:trPr>
          <w:trHeight w:val="739"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4672" w:type="dxa"/>
            <w:tcBorders>
              <w:top w:val="nil" w:sz="6" w:space="0" w:color="auto"/>
              <w:left w:val="nil" w:sz="6" w:space="0" w:color="auto"/>
              <w:bottom w:val="nil" w:sz="6" w:space="0" w:color="auto"/>
              <w:right w:val="nil" w:sz="6" w:space="0" w:color="auto"/>
            </w:tcBorders>
          </w:tcPr>
          <w:p>
            <w:pPr>
              <w:pStyle w:val="TableParagraph"/>
              <w:spacing w:line="180" w:lineRule="exact"/>
              <w:ind w:left="1462" w:right="0"/>
              <w:jc w:val="left"/>
              <w:rPr>
                <w:rFonts w:ascii="宋体" w:hAnsi="宋体" w:cs="宋体" w:eastAsia="宋体" w:hint="default"/>
                <w:sz w:val="18"/>
                <w:szCs w:val="18"/>
              </w:rPr>
            </w:pPr>
            <w:r>
              <w:rPr>
                <w:rFonts w:ascii="宋体" w:hAnsi="宋体" w:cs="宋体" w:eastAsia="宋体" w:hint="default"/>
                <w:sz w:val="18"/>
                <w:szCs w:val="18"/>
              </w:rPr>
              <w:t>中国注册会计师：张志明</w:t>
            </w:r>
          </w:p>
        </w:tc>
      </w:tr>
      <w:tr>
        <w:trPr>
          <w:trHeight w:val="739" w:hRule="exact"/>
        </w:trPr>
        <w:tc>
          <w:tcPr>
            <w:tcW w:w="2443" w:type="dxa"/>
            <w:tcBorders>
              <w:top w:val="nil" w:sz="6" w:space="0" w:color="auto"/>
              <w:left w:val="nil" w:sz="6" w:space="0" w:color="auto"/>
              <w:bottom w:val="nil" w:sz="6" w:space="0" w:color="auto"/>
              <w:right w:val="nil" w:sz="6" w:space="0" w:color="auto"/>
            </w:tcBorders>
          </w:tcPr>
          <w:p>
            <w:pPr/>
          </w:p>
        </w:tc>
        <w:tc>
          <w:tcPr>
            <w:tcW w:w="46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3"/>
        <w:spacing w:line="240" w:lineRule="auto" w:before="26"/>
        <w:ind w:right="62"/>
        <w:jc w:val="left"/>
        <w:rPr>
          <w:b w:val="0"/>
          <w:bCs w:val="0"/>
        </w:rPr>
      </w:pPr>
      <w:bookmarkStart w:name="三、破产重整相关事项" w:id="60"/>
      <w:bookmarkEnd w:id="60"/>
      <w:r>
        <w:rPr>
          <w:b w:val="0"/>
          <w:bCs w:val="0"/>
        </w:rPr>
      </w:r>
      <w:r>
        <w:rPr/>
        <w:t>三、破产重整相关事项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无 注：公司应披露报告期内发生的破产相关事项，包括向法院申请重整、和解或破产清算，法院受理重整、和解或破产清算， </w:t>
      </w:r>
      <w:r>
        <w:rPr>
          <w:spacing w:val="-2"/>
        </w:rPr>
        <w:t>公司重整期间等发生的法院裁定结果及其他重大事项。执行相关重整、和解等计划的公司还应说明计划的具体内容及执行情</w:t>
      </w:r>
    </w:p>
    <w:p>
      <w:pPr>
        <w:pStyle w:val="BodyText"/>
        <w:spacing w:line="360" w:lineRule="auto" w:before="2"/>
        <w:ind w:right="634"/>
        <w:jc w:val="left"/>
      </w:pPr>
      <w:r>
        <w:rPr/>
        <w:t>况。如相关破产事项已在临时报告披露且后续实施无变化的，则可只披露事项概述，并提供临时报告相关披露索引。 破产重整相关事项临时报告披露网站查询</w:t>
      </w:r>
    </w:p>
    <w:p>
      <w:pPr>
        <w:spacing w:after="0" w:line="360" w:lineRule="auto"/>
        <w:jc w:val="lef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四、资产交易事项" w:id="61"/>
      <w:bookmarkEnd w:id="61"/>
      <w:r>
        <w:rPr>
          <w:b w:val="0"/>
          <w:bCs w:val="0"/>
        </w:rPr>
      </w:r>
      <w:r>
        <w:rPr/>
        <w:t>四、资产交易事项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收购资产情况" w:id="62"/>
      <w:bookmarkEnd w:id="6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33"/>
        <w:gridCol w:w="737"/>
        <w:gridCol w:w="737"/>
        <w:gridCol w:w="737"/>
        <w:gridCol w:w="734"/>
        <w:gridCol w:w="737"/>
        <w:gridCol w:w="734"/>
        <w:gridCol w:w="737"/>
        <w:gridCol w:w="734"/>
        <w:gridCol w:w="734"/>
        <w:gridCol w:w="737"/>
        <w:gridCol w:w="734"/>
        <w:gridCol w:w="737"/>
      </w:tblGrid>
      <w:tr>
        <w:trPr>
          <w:trHeight w:val="4147" w:hRule="exact"/>
        </w:trPr>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2" w:right="-49"/>
              <w:jc w:val="both"/>
              <w:rPr>
                <w:rFonts w:ascii="宋体" w:hAnsi="宋体" w:cs="宋体" w:eastAsia="宋体" w:hint="default"/>
                <w:sz w:val="18"/>
                <w:szCs w:val="18"/>
              </w:rPr>
            </w:pPr>
            <w:r>
              <w:rPr>
                <w:rFonts w:ascii="宋体" w:hAnsi="宋体" w:cs="宋体" w:eastAsia="宋体" w:hint="default"/>
                <w:spacing w:val="46"/>
                <w:sz w:val="18"/>
                <w:szCs w:val="18"/>
              </w:rPr>
              <w:t>交易对</w:t>
            </w:r>
            <w:r>
              <w:rPr>
                <w:rFonts w:ascii="宋体" w:hAnsi="宋体" w:cs="宋体" w:eastAsia="宋体" w:hint="default"/>
                <w:spacing w:val="-21"/>
                <w:sz w:val="18"/>
                <w:szCs w:val="18"/>
              </w:rPr>
              <w:t> </w:t>
            </w:r>
            <w:r>
              <w:rPr>
                <w:rFonts w:ascii="宋体" w:hAnsi="宋体" w:cs="宋体" w:eastAsia="宋体" w:hint="default"/>
                <w:spacing w:val="46"/>
                <w:sz w:val="18"/>
                <w:szCs w:val="18"/>
              </w:rPr>
              <w:t>方或最</w:t>
            </w:r>
            <w:r>
              <w:rPr>
                <w:rFonts w:ascii="宋体" w:hAnsi="宋体" w:cs="宋体" w:eastAsia="宋体" w:hint="default"/>
                <w:spacing w:val="-21"/>
                <w:sz w:val="18"/>
                <w:szCs w:val="18"/>
              </w:rPr>
              <w:t> </w:t>
            </w:r>
            <w:r>
              <w:rPr>
                <w:rFonts w:ascii="宋体" w:hAnsi="宋体" w:cs="宋体" w:eastAsia="宋体" w:hint="default"/>
                <w:spacing w:val="46"/>
                <w:sz w:val="18"/>
                <w:szCs w:val="18"/>
              </w:rPr>
              <w:t>终控制</w:t>
            </w:r>
            <w:r>
              <w:rPr>
                <w:rFonts w:ascii="宋体" w:hAnsi="宋体" w:cs="宋体" w:eastAsia="宋体" w:hint="default"/>
                <w:spacing w:val="-21"/>
                <w:sz w:val="18"/>
                <w:szCs w:val="18"/>
              </w:rPr>
              <w:t> </w:t>
            </w:r>
            <w:r>
              <w:rPr>
                <w:rFonts w:ascii="宋体" w:hAnsi="宋体" w:cs="宋体" w:eastAsia="宋体" w:hint="default"/>
                <w:sz w:val="18"/>
                <w:szCs w:val="18"/>
              </w:rPr>
              <w:t>方</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被收购</w:t>
            </w:r>
            <w:r>
              <w:rPr>
                <w:rFonts w:ascii="宋体" w:hAnsi="宋体" w:cs="宋体" w:eastAsia="宋体" w:hint="default"/>
                <w:spacing w:val="-21"/>
                <w:sz w:val="18"/>
                <w:szCs w:val="18"/>
              </w:rPr>
              <w:t> </w:t>
            </w:r>
            <w:r>
              <w:rPr>
                <w:rFonts w:ascii="宋体" w:hAnsi="宋体" w:cs="宋体" w:eastAsia="宋体" w:hint="default"/>
                <w:spacing w:val="46"/>
                <w:sz w:val="18"/>
                <w:szCs w:val="18"/>
              </w:rPr>
              <w:t>或置入</w:t>
            </w:r>
            <w:r>
              <w:rPr>
                <w:rFonts w:ascii="宋体" w:hAnsi="宋体" w:cs="宋体" w:eastAsia="宋体" w:hint="default"/>
                <w:spacing w:val="-21"/>
                <w:sz w:val="18"/>
                <w:szCs w:val="18"/>
              </w:rPr>
              <w:t> </w:t>
            </w: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交易价</w:t>
            </w:r>
            <w:r>
              <w:rPr>
                <w:rFonts w:ascii="宋体" w:hAnsi="宋体" w:cs="宋体" w:eastAsia="宋体" w:hint="default"/>
                <w:spacing w:val="-21"/>
                <w:sz w:val="18"/>
                <w:szCs w:val="18"/>
              </w:rPr>
              <w:t> </w:t>
            </w:r>
            <w:r>
              <w:rPr>
                <w:rFonts w:ascii="宋体" w:hAnsi="宋体" w:cs="宋体" w:eastAsia="宋体" w:hint="default"/>
                <w:spacing w:val="46"/>
                <w:sz w:val="18"/>
                <w:szCs w:val="18"/>
              </w:rPr>
              <w:t>格（万</w:t>
            </w:r>
            <w:r>
              <w:rPr>
                <w:rFonts w:ascii="宋体" w:hAnsi="宋体" w:cs="宋体" w:eastAsia="宋体" w:hint="default"/>
                <w:spacing w:val="-21"/>
                <w:sz w:val="18"/>
                <w:szCs w:val="18"/>
              </w:rPr>
              <w:t> </w:t>
            </w:r>
            <w:r>
              <w:rPr>
                <w:rFonts w:ascii="宋体" w:hAnsi="宋体" w:cs="宋体" w:eastAsia="宋体" w:hint="default"/>
                <w:sz w:val="18"/>
                <w:szCs w:val="18"/>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49"/>
              <w:jc w:val="both"/>
              <w:rPr>
                <w:rFonts w:ascii="宋体" w:hAnsi="宋体" w:cs="宋体" w:eastAsia="宋体" w:hint="default"/>
                <w:sz w:val="18"/>
                <w:szCs w:val="18"/>
              </w:rPr>
            </w:pPr>
            <w:r>
              <w:rPr>
                <w:rFonts w:ascii="宋体" w:hAnsi="宋体" w:cs="宋体" w:eastAsia="宋体" w:hint="default"/>
                <w:spacing w:val="46"/>
                <w:sz w:val="18"/>
                <w:szCs w:val="18"/>
              </w:rPr>
              <w:t>自购买</w:t>
            </w:r>
            <w:r>
              <w:rPr>
                <w:rFonts w:ascii="宋体" w:hAnsi="宋体" w:cs="宋体" w:eastAsia="宋体" w:hint="default"/>
                <w:spacing w:val="-21"/>
                <w:sz w:val="18"/>
                <w:szCs w:val="18"/>
              </w:rPr>
              <w:t> </w:t>
            </w:r>
            <w:r>
              <w:rPr>
                <w:rFonts w:ascii="宋体" w:hAnsi="宋体" w:cs="宋体" w:eastAsia="宋体" w:hint="default"/>
                <w:sz w:val="18"/>
                <w:szCs w:val="18"/>
              </w:rPr>
              <w:t>日</w:t>
            </w:r>
            <w:r>
              <w:rPr>
                <w:rFonts w:ascii="宋体" w:hAnsi="宋体" w:cs="宋体" w:eastAsia="宋体" w:hint="default"/>
                <w:spacing w:val="-21"/>
                <w:sz w:val="18"/>
                <w:szCs w:val="18"/>
              </w:rPr>
              <w:t> </w:t>
            </w:r>
            <w:r>
              <w:rPr>
                <w:rFonts w:ascii="宋体" w:hAnsi="宋体" w:cs="宋体" w:eastAsia="宋体" w:hint="default"/>
                <w:spacing w:val="34"/>
                <w:sz w:val="18"/>
                <w:szCs w:val="18"/>
              </w:rPr>
              <w:t>起至</w:t>
            </w:r>
            <w:r>
              <w:rPr>
                <w:rFonts w:ascii="宋体" w:hAnsi="宋体" w:cs="宋体" w:eastAsia="宋体" w:hint="default"/>
                <w:spacing w:val="-21"/>
                <w:sz w:val="18"/>
                <w:szCs w:val="18"/>
              </w:rPr>
              <w:t> </w:t>
            </w:r>
            <w:r>
              <w:rPr>
                <w:rFonts w:ascii="宋体" w:hAnsi="宋体" w:cs="宋体" w:eastAsia="宋体" w:hint="default"/>
                <w:spacing w:val="46"/>
                <w:sz w:val="18"/>
                <w:szCs w:val="18"/>
              </w:rPr>
              <w:t>报告期</w:t>
            </w:r>
            <w:r>
              <w:rPr>
                <w:rFonts w:ascii="宋体" w:hAnsi="宋体" w:cs="宋体" w:eastAsia="宋体" w:hint="default"/>
                <w:spacing w:val="-21"/>
                <w:sz w:val="18"/>
                <w:szCs w:val="18"/>
              </w:rPr>
              <w:t> </w:t>
            </w:r>
            <w:r>
              <w:rPr>
                <w:rFonts w:ascii="宋体" w:hAnsi="宋体" w:cs="宋体" w:eastAsia="宋体" w:hint="default"/>
                <w:spacing w:val="46"/>
                <w:sz w:val="18"/>
                <w:szCs w:val="18"/>
              </w:rPr>
              <w:t>末为上</w:t>
            </w:r>
            <w:r>
              <w:rPr>
                <w:rFonts w:ascii="宋体" w:hAnsi="宋体" w:cs="宋体" w:eastAsia="宋体" w:hint="default"/>
                <w:spacing w:val="-21"/>
                <w:sz w:val="18"/>
                <w:szCs w:val="18"/>
              </w:rPr>
              <w:t> </w:t>
            </w:r>
            <w:r>
              <w:rPr>
                <w:rFonts w:ascii="宋体" w:hAnsi="宋体" w:cs="宋体" w:eastAsia="宋体" w:hint="default"/>
                <w:spacing w:val="46"/>
                <w:sz w:val="18"/>
                <w:szCs w:val="18"/>
              </w:rPr>
              <w:t>市公司</w:t>
            </w:r>
            <w:r>
              <w:rPr>
                <w:rFonts w:ascii="宋体" w:hAnsi="宋体" w:cs="宋体" w:eastAsia="宋体" w:hint="default"/>
                <w:spacing w:val="-21"/>
                <w:sz w:val="18"/>
                <w:szCs w:val="18"/>
              </w:rPr>
              <w:t> </w:t>
            </w:r>
            <w:r>
              <w:rPr>
                <w:rFonts w:ascii="宋体" w:hAnsi="宋体" w:cs="宋体" w:eastAsia="宋体" w:hint="default"/>
                <w:spacing w:val="46"/>
                <w:sz w:val="18"/>
                <w:szCs w:val="18"/>
              </w:rPr>
              <w:t>贡献的</w:t>
            </w:r>
            <w:r>
              <w:rPr>
                <w:rFonts w:ascii="宋体" w:hAnsi="宋体" w:cs="宋体" w:eastAsia="宋体" w:hint="default"/>
                <w:spacing w:val="-21"/>
                <w:sz w:val="18"/>
                <w:szCs w:val="18"/>
              </w:rPr>
              <w:t> </w:t>
            </w:r>
            <w:r>
              <w:rPr>
                <w:rFonts w:ascii="宋体" w:hAnsi="宋体" w:cs="宋体" w:eastAsia="宋体" w:hint="default"/>
                <w:spacing w:val="46"/>
                <w:sz w:val="18"/>
                <w:szCs w:val="18"/>
              </w:rPr>
              <w:t>净利润</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pacing w:val="10"/>
                <w:sz w:val="18"/>
                <w:szCs w:val="18"/>
              </w:rPr>
              <w:t>（万元</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316" w:lineRule="auto" w:before="76"/>
              <w:ind w:left="23" w:right="-49"/>
              <w:jc w:val="both"/>
              <w:rPr>
                <w:rFonts w:ascii="宋体" w:hAnsi="宋体" w:cs="宋体" w:eastAsia="宋体" w:hint="default"/>
                <w:sz w:val="18"/>
                <w:szCs w:val="18"/>
              </w:rPr>
            </w:pPr>
            <w:r>
              <w:rPr>
                <w:rFonts w:ascii="宋体" w:hAnsi="宋体" w:cs="宋体" w:eastAsia="宋体" w:hint="default"/>
                <w:spacing w:val="46"/>
                <w:sz w:val="18"/>
                <w:szCs w:val="18"/>
              </w:rPr>
              <w:t>（适用</w:t>
            </w:r>
            <w:r>
              <w:rPr>
                <w:rFonts w:ascii="宋体" w:hAnsi="宋体" w:cs="宋体" w:eastAsia="宋体" w:hint="default"/>
                <w:spacing w:val="-21"/>
                <w:sz w:val="18"/>
                <w:szCs w:val="18"/>
              </w:rPr>
              <w:t> </w:t>
            </w:r>
            <w:r>
              <w:rPr>
                <w:rFonts w:ascii="宋体" w:hAnsi="宋体" w:cs="宋体" w:eastAsia="宋体" w:hint="default"/>
                <w:spacing w:val="46"/>
                <w:sz w:val="18"/>
                <w:szCs w:val="18"/>
              </w:rPr>
              <w:t>于非同</w:t>
            </w:r>
            <w:r>
              <w:rPr>
                <w:rFonts w:ascii="宋体" w:hAnsi="宋体" w:cs="宋体" w:eastAsia="宋体" w:hint="default"/>
                <w:spacing w:val="-21"/>
                <w:sz w:val="18"/>
                <w:szCs w:val="18"/>
              </w:rPr>
              <w:t> </w:t>
            </w:r>
            <w:r>
              <w:rPr>
                <w:rFonts w:ascii="宋体" w:hAnsi="宋体" w:cs="宋体" w:eastAsia="宋体" w:hint="default"/>
                <w:spacing w:val="46"/>
                <w:sz w:val="18"/>
                <w:szCs w:val="18"/>
              </w:rPr>
              <w:t>一控制</w:t>
            </w:r>
            <w:r>
              <w:rPr>
                <w:rFonts w:ascii="宋体" w:hAnsi="宋体" w:cs="宋体" w:eastAsia="宋体" w:hint="default"/>
                <w:spacing w:val="-21"/>
                <w:sz w:val="18"/>
                <w:szCs w:val="18"/>
              </w:rPr>
              <w:t> </w:t>
            </w:r>
            <w:r>
              <w:rPr>
                <w:rFonts w:ascii="宋体" w:hAnsi="宋体" w:cs="宋体" w:eastAsia="宋体" w:hint="default"/>
                <w:spacing w:val="46"/>
                <w:sz w:val="18"/>
                <w:szCs w:val="18"/>
              </w:rPr>
              <w:t>下的企</w:t>
            </w:r>
            <w:r>
              <w:rPr>
                <w:rFonts w:ascii="宋体" w:hAnsi="宋体" w:cs="宋体" w:eastAsia="宋体" w:hint="default"/>
                <w:spacing w:val="-21"/>
                <w:sz w:val="18"/>
                <w:szCs w:val="18"/>
              </w:rPr>
              <w:t> </w:t>
            </w:r>
            <w:r>
              <w:rPr>
                <w:rFonts w:ascii="宋体" w:hAnsi="宋体" w:cs="宋体" w:eastAsia="宋体" w:hint="default"/>
                <w:sz w:val="18"/>
                <w:szCs w:val="18"/>
              </w:rPr>
              <w:t>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0" w:lineRule="atLeast" w:before="130"/>
              <w:ind w:left="23" w:right="-46"/>
              <w:jc w:val="both"/>
              <w:rPr>
                <w:rFonts w:ascii="宋体" w:hAnsi="宋体" w:cs="宋体" w:eastAsia="宋体" w:hint="default"/>
                <w:sz w:val="18"/>
                <w:szCs w:val="18"/>
              </w:rPr>
            </w:pPr>
            <w:r>
              <w:rPr>
                <w:rFonts w:ascii="宋体" w:hAnsi="宋体" w:cs="宋体" w:eastAsia="宋体" w:hint="default"/>
                <w:spacing w:val="46"/>
                <w:sz w:val="18"/>
                <w:szCs w:val="18"/>
              </w:rPr>
              <w:t>自本期</w:t>
            </w:r>
            <w:r>
              <w:rPr>
                <w:rFonts w:ascii="宋体" w:hAnsi="宋体" w:cs="宋体" w:eastAsia="宋体" w:hint="default"/>
                <w:spacing w:val="-21"/>
                <w:sz w:val="18"/>
                <w:szCs w:val="18"/>
              </w:rPr>
              <w:t> </w:t>
            </w:r>
            <w:r>
              <w:rPr>
                <w:rFonts w:ascii="宋体" w:hAnsi="宋体" w:cs="宋体" w:eastAsia="宋体" w:hint="default"/>
                <w:spacing w:val="46"/>
                <w:sz w:val="18"/>
                <w:szCs w:val="18"/>
              </w:rPr>
              <w:t>初至报</w:t>
            </w:r>
            <w:r>
              <w:rPr>
                <w:rFonts w:ascii="宋体" w:hAnsi="宋体" w:cs="宋体" w:eastAsia="宋体" w:hint="default"/>
                <w:spacing w:val="-21"/>
                <w:sz w:val="18"/>
                <w:szCs w:val="18"/>
              </w:rPr>
              <w:t> </w:t>
            </w:r>
            <w:r>
              <w:rPr>
                <w:rFonts w:ascii="宋体" w:hAnsi="宋体" w:cs="宋体" w:eastAsia="宋体" w:hint="default"/>
                <w:spacing w:val="46"/>
                <w:sz w:val="18"/>
                <w:szCs w:val="18"/>
              </w:rPr>
              <w:t>告期末</w:t>
            </w:r>
            <w:r>
              <w:rPr>
                <w:rFonts w:ascii="宋体" w:hAnsi="宋体" w:cs="宋体" w:eastAsia="宋体" w:hint="default"/>
                <w:spacing w:val="-21"/>
                <w:sz w:val="18"/>
                <w:szCs w:val="18"/>
              </w:rPr>
              <w:t> </w:t>
            </w:r>
            <w:r>
              <w:rPr>
                <w:rFonts w:ascii="宋体" w:hAnsi="宋体" w:cs="宋体" w:eastAsia="宋体" w:hint="default"/>
                <w:spacing w:val="46"/>
                <w:sz w:val="18"/>
                <w:szCs w:val="18"/>
              </w:rPr>
              <w:t>为上市</w:t>
            </w:r>
            <w:r>
              <w:rPr>
                <w:rFonts w:ascii="宋体" w:hAnsi="宋体" w:cs="宋体" w:eastAsia="宋体" w:hint="default"/>
                <w:spacing w:val="-21"/>
                <w:sz w:val="18"/>
                <w:szCs w:val="18"/>
              </w:rPr>
              <w:t> </w:t>
            </w:r>
            <w:r>
              <w:rPr>
                <w:rFonts w:ascii="宋体" w:hAnsi="宋体" w:cs="宋体" w:eastAsia="宋体" w:hint="default"/>
                <w:spacing w:val="46"/>
                <w:sz w:val="18"/>
                <w:szCs w:val="18"/>
              </w:rPr>
              <w:t>公司贡</w:t>
            </w:r>
            <w:r>
              <w:rPr>
                <w:rFonts w:ascii="宋体" w:hAnsi="宋体" w:cs="宋体" w:eastAsia="宋体" w:hint="default"/>
                <w:spacing w:val="-21"/>
                <w:sz w:val="18"/>
                <w:szCs w:val="18"/>
              </w:rPr>
              <w:t> </w:t>
            </w:r>
            <w:r>
              <w:rPr>
                <w:rFonts w:ascii="宋体" w:hAnsi="宋体" w:cs="宋体" w:eastAsia="宋体" w:hint="default"/>
                <w:spacing w:val="46"/>
                <w:sz w:val="18"/>
                <w:szCs w:val="18"/>
              </w:rPr>
              <w:t>献的净</w:t>
            </w:r>
            <w:r>
              <w:rPr>
                <w:rFonts w:ascii="宋体" w:hAnsi="宋体" w:cs="宋体" w:eastAsia="宋体" w:hint="default"/>
                <w:spacing w:val="-21"/>
                <w:sz w:val="18"/>
                <w:szCs w:val="18"/>
              </w:rPr>
              <w:t> </w:t>
            </w:r>
            <w:r>
              <w:rPr>
                <w:rFonts w:ascii="宋体" w:hAnsi="宋体" w:cs="宋体" w:eastAsia="宋体" w:hint="default"/>
                <w:spacing w:val="-11"/>
                <w:sz w:val="18"/>
                <w:szCs w:val="18"/>
              </w:rPr>
              <w:t>利润（万</w:t>
            </w:r>
          </w:p>
          <w:p>
            <w:pPr>
              <w:pStyle w:val="TableParagraph"/>
              <w:spacing w:line="11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74"/>
                <w:sz w:val="18"/>
                <w:szCs w:val="18"/>
              </w:rPr>
              <w:t> </w:t>
            </w:r>
            <w:r>
              <w:rPr>
                <w:rFonts w:ascii="宋体" w:hAnsi="宋体" w:cs="宋体" w:eastAsia="宋体" w:hint="default"/>
                <w:spacing w:val="-75"/>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适</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316" w:lineRule="auto" w:before="76"/>
              <w:ind w:left="23" w:right="-46"/>
              <w:jc w:val="both"/>
              <w:rPr>
                <w:rFonts w:ascii="宋体" w:hAnsi="宋体" w:cs="宋体" w:eastAsia="宋体" w:hint="default"/>
                <w:sz w:val="18"/>
                <w:szCs w:val="18"/>
              </w:rPr>
            </w:pPr>
            <w:r>
              <w:rPr>
                <w:rFonts w:ascii="宋体" w:hAnsi="宋体" w:cs="宋体" w:eastAsia="宋体" w:hint="default"/>
                <w:spacing w:val="46"/>
                <w:sz w:val="18"/>
                <w:szCs w:val="18"/>
              </w:rPr>
              <w:t>用于同</w:t>
            </w:r>
            <w:r>
              <w:rPr>
                <w:rFonts w:ascii="宋体" w:hAnsi="宋体" w:cs="宋体" w:eastAsia="宋体" w:hint="default"/>
                <w:spacing w:val="-21"/>
                <w:sz w:val="18"/>
                <w:szCs w:val="18"/>
              </w:rPr>
              <w:t> </w:t>
            </w:r>
            <w:r>
              <w:rPr>
                <w:rFonts w:ascii="宋体" w:hAnsi="宋体" w:cs="宋体" w:eastAsia="宋体" w:hint="default"/>
                <w:spacing w:val="46"/>
                <w:sz w:val="18"/>
                <w:szCs w:val="18"/>
              </w:rPr>
              <w:t>一控制</w:t>
            </w:r>
            <w:r>
              <w:rPr>
                <w:rFonts w:ascii="宋体" w:hAnsi="宋体" w:cs="宋体" w:eastAsia="宋体" w:hint="default"/>
                <w:spacing w:val="-21"/>
                <w:sz w:val="18"/>
                <w:szCs w:val="18"/>
              </w:rPr>
              <w:t> </w:t>
            </w:r>
            <w:r>
              <w:rPr>
                <w:rFonts w:ascii="宋体" w:hAnsi="宋体" w:cs="宋体" w:eastAsia="宋体" w:hint="default"/>
                <w:spacing w:val="46"/>
                <w:sz w:val="18"/>
                <w:szCs w:val="18"/>
              </w:rPr>
              <w:t>下的企</w:t>
            </w:r>
            <w:r>
              <w:rPr>
                <w:rFonts w:ascii="宋体" w:hAnsi="宋体" w:cs="宋体" w:eastAsia="宋体" w:hint="default"/>
                <w:spacing w:val="-21"/>
                <w:sz w:val="18"/>
                <w:szCs w:val="18"/>
              </w:rPr>
              <w:t> </w:t>
            </w:r>
            <w:r>
              <w:rPr>
                <w:rFonts w:ascii="宋体" w:hAnsi="宋体" w:cs="宋体" w:eastAsia="宋体" w:hint="default"/>
                <w:sz w:val="18"/>
                <w:szCs w:val="18"/>
              </w:rPr>
              <w:t>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49"/>
              <w:jc w:val="both"/>
              <w:rPr>
                <w:rFonts w:ascii="宋体" w:hAnsi="宋体" w:cs="宋体" w:eastAsia="宋体" w:hint="default"/>
                <w:sz w:val="18"/>
                <w:szCs w:val="18"/>
              </w:rPr>
            </w:pPr>
            <w:r>
              <w:rPr>
                <w:rFonts w:ascii="宋体" w:hAnsi="宋体" w:cs="宋体" w:eastAsia="宋体" w:hint="default"/>
                <w:spacing w:val="46"/>
                <w:sz w:val="18"/>
                <w:szCs w:val="18"/>
              </w:rPr>
              <w:t>是否为</w:t>
            </w:r>
            <w:r>
              <w:rPr>
                <w:rFonts w:ascii="宋体" w:hAnsi="宋体" w:cs="宋体" w:eastAsia="宋体" w:hint="default"/>
                <w:spacing w:val="-21"/>
                <w:sz w:val="18"/>
                <w:szCs w:val="18"/>
              </w:rPr>
              <w:t> </w:t>
            </w:r>
            <w:r>
              <w:rPr>
                <w:rFonts w:ascii="宋体" w:hAnsi="宋体" w:cs="宋体" w:eastAsia="宋体" w:hint="default"/>
                <w:spacing w:val="46"/>
                <w:sz w:val="18"/>
                <w:szCs w:val="18"/>
              </w:rPr>
              <w:t>关联交</w:t>
            </w:r>
            <w:r>
              <w:rPr>
                <w:rFonts w:ascii="宋体" w:hAnsi="宋体" w:cs="宋体" w:eastAsia="宋体" w:hint="default"/>
                <w:spacing w:val="-21"/>
                <w:sz w:val="18"/>
                <w:szCs w:val="18"/>
              </w:rPr>
              <w:t> </w:t>
            </w:r>
            <w:r>
              <w:rPr>
                <w:rFonts w:ascii="宋体" w:hAnsi="宋体" w:cs="宋体" w:eastAsia="宋体" w:hint="default"/>
                <w:sz w:val="18"/>
                <w:szCs w:val="18"/>
              </w:rPr>
              <w:t>易</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资产收</w:t>
            </w:r>
            <w:r>
              <w:rPr>
                <w:rFonts w:ascii="宋体" w:hAnsi="宋体" w:cs="宋体" w:eastAsia="宋体" w:hint="default"/>
                <w:spacing w:val="-21"/>
                <w:sz w:val="18"/>
                <w:szCs w:val="18"/>
              </w:rPr>
              <w:t> </w:t>
            </w:r>
            <w:r>
              <w:rPr>
                <w:rFonts w:ascii="宋体" w:hAnsi="宋体" w:cs="宋体" w:eastAsia="宋体" w:hint="default"/>
                <w:spacing w:val="46"/>
                <w:sz w:val="18"/>
                <w:szCs w:val="18"/>
              </w:rPr>
              <w:t>购定价</w:t>
            </w:r>
            <w:r>
              <w:rPr>
                <w:rFonts w:ascii="宋体" w:hAnsi="宋体" w:cs="宋体" w:eastAsia="宋体" w:hint="default"/>
                <w:spacing w:val="-21"/>
                <w:sz w:val="18"/>
                <w:szCs w:val="18"/>
              </w:rPr>
              <w:t> </w:t>
            </w:r>
            <w:r>
              <w:rPr>
                <w:rFonts w:ascii="宋体" w:hAnsi="宋体" w:cs="宋体" w:eastAsia="宋体" w:hint="default"/>
                <w:sz w:val="18"/>
                <w:szCs w:val="18"/>
              </w:rPr>
              <w:t>原则</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49"/>
              <w:jc w:val="both"/>
              <w:rPr>
                <w:rFonts w:ascii="宋体" w:hAnsi="宋体" w:cs="宋体" w:eastAsia="宋体" w:hint="default"/>
                <w:sz w:val="18"/>
                <w:szCs w:val="18"/>
              </w:rPr>
            </w:pPr>
            <w:r>
              <w:rPr>
                <w:rFonts w:ascii="宋体" w:hAnsi="宋体" w:cs="宋体" w:eastAsia="宋体" w:hint="default"/>
                <w:spacing w:val="46"/>
                <w:sz w:val="18"/>
                <w:szCs w:val="18"/>
              </w:rPr>
              <w:t>所涉及</w:t>
            </w:r>
            <w:r>
              <w:rPr>
                <w:rFonts w:ascii="宋体" w:hAnsi="宋体" w:cs="宋体" w:eastAsia="宋体" w:hint="default"/>
                <w:spacing w:val="-21"/>
                <w:sz w:val="18"/>
                <w:szCs w:val="18"/>
              </w:rPr>
              <w:t> </w:t>
            </w:r>
            <w:r>
              <w:rPr>
                <w:rFonts w:ascii="宋体" w:hAnsi="宋体" w:cs="宋体" w:eastAsia="宋体" w:hint="default"/>
                <w:spacing w:val="46"/>
                <w:sz w:val="18"/>
                <w:szCs w:val="18"/>
              </w:rPr>
              <w:t>的资产</w:t>
            </w:r>
            <w:r>
              <w:rPr>
                <w:rFonts w:ascii="宋体" w:hAnsi="宋体" w:cs="宋体" w:eastAsia="宋体" w:hint="default"/>
                <w:spacing w:val="-21"/>
                <w:sz w:val="18"/>
                <w:szCs w:val="18"/>
              </w:rPr>
              <w:t> </w:t>
            </w:r>
            <w:r>
              <w:rPr>
                <w:rFonts w:ascii="宋体" w:hAnsi="宋体" w:cs="宋体" w:eastAsia="宋体" w:hint="default"/>
                <w:spacing w:val="46"/>
                <w:sz w:val="18"/>
                <w:szCs w:val="18"/>
              </w:rPr>
              <w:t>产权是</w:t>
            </w:r>
            <w:r>
              <w:rPr>
                <w:rFonts w:ascii="宋体" w:hAnsi="宋体" w:cs="宋体" w:eastAsia="宋体" w:hint="default"/>
                <w:spacing w:val="-21"/>
                <w:sz w:val="18"/>
                <w:szCs w:val="18"/>
              </w:rPr>
              <w:t> </w:t>
            </w:r>
            <w:r>
              <w:rPr>
                <w:rFonts w:ascii="宋体" w:hAnsi="宋体" w:cs="宋体" w:eastAsia="宋体" w:hint="default"/>
                <w:spacing w:val="46"/>
                <w:sz w:val="18"/>
                <w:szCs w:val="18"/>
              </w:rPr>
              <w:t>否已全</w:t>
            </w:r>
            <w:r>
              <w:rPr>
                <w:rFonts w:ascii="宋体" w:hAnsi="宋体" w:cs="宋体" w:eastAsia="宋体" w:hint="default"/>
                <w:spacing w:val="-21"/>
                <w:sz w:val="18"/>
                <w:szCs w:val="18"/>
              </w:rPr>
              <w:t> </w:t>
            </w:r>
            <w:r>
              <w:rPr>
                <w:rFonts w:ascii="宋体" w:hAnsi="宋体" w:cs="宋体" w:eastAsia="宋体" w:hint="default"/>
                <w:sz w:val="18"/>
                <w:szCs w:val="18"/>
              </w:rPr>
              <w:t>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49"/>
              <w:jc w:val="both"/>
              <w:rPr>
                <w:rFonts w:ascii="宋体" w:hAnsi="宋体" w:cs="宋体" w:eastAsia="宋体" w:hint="default"/>
                <w:sz w:val="18"/>
                <w:szCs w:val="18"/>
              </w:rPr>
            </w:pPr>
            <w:r>
              <w:rPr>
                <w:rFonts w:ascii="宋体" w:hAnsi="宋体" w:cs="宋体" w:eastAsia="宋体" w:hint="default"/>
                <w:spacing w:val="46"/>
                <w:sz w:val="18"/>
                <w:szCs w:val="18"/>
              </w:rPr>
              <w:t>所涉及</w:t>
            </w:r>
            <w:r>
              <w:rPr>
                <w:rFonts w:ascii="宋体" w:hAnsi="宋体" w:cs="宋体" w:eastAsia="宋体" w:hint="default"/>
                <w:spacing w:val="-21"/>
                <w:sz w:val="18"/>
                <w:szCs w:val="18"/>
              </w:rPr>
              <w:t> </w:t>
            </w:r>
            <w:r>
              <w:rPr>
                <w:rFonts w:ascii="宋体" w:hAnsi="宋体" w:cs="宋体" w:eastAsia="宋体" w:hint="default"/>
                <w:spacing w:val="46"/>
                <w:sz w:val="18"/>
                <w:szCs w:val="18"/>
              </w:rPr>
              <w:t>的债权</w:t>
            </w:r>
            <w:r>
              <w:rPr>
                <w:rFonts w:ascii="宋体" w:hAnsi="宋体" w:cs="宋体" w:eastAsia="宋体" w:hint="default"/>
                <w:spacing w:val="-21"/>
                <w:sz w:val="18"/>
                <w:szCs w:val="18"/>
              </w:rPr>
              <w:t> </w:t>
            </w:r>
            <w:r>
              <w:rPr>
                <w:rFonts w:ascii="宋体" w:hAnsi="宋体" w:cs="宋体" w:eastAsia="宋体" w:hint="default"/>
                <w:spacing w:val="46"/>
                <w:sz w:val="18"/>
                <w:szCs w:val="18"/>
              </w:rPr>
              <w:t>债务是</w:t>
            </w:r>
            <w:r>
              <w:rPr>
                <w:rFonts w:ascii="宋体" w:hAnsi="宋体" w:cs="宋体" w:eastAsia="宋体" w:hint="default"/>
                <w:spacing w:val="-21"/>
                <w:sz w:val="18"/>
                <w:szCs w:val="18"/>
              </w:rPr>
              <w:t> </w:t>
            </w:r>
            <w:r>
              <w:rPr>
                <w:rFonts w:ascii="宋体" w:hAnsi="宋体" w:cs="宋体" w:eastAsia="宋体" w:hint="default"/>
                <w:spacing w:val="46"/>
                <w:sz w:val="18"/>
                <w:szCs w:val="18"/>
              </w:rPr>
              <w:t>否已全</w:t>
            </w:r>
            <w:r>
              <w:rPr>
                <w:rFonts w:ascii="宋体" w:hAnsi="宋体" w:cs="宋体" w:eastAsia="宋体" w:hint="default"/>
                <w:spacing w:val="-21"/>
                <w:sz w:val="18"/>
                <w:szCs w:val="18"/>
              </w:rPr>
              <w:t> </w:t>
            </w:r>
            <w:r>
              <w:rPr>
                <w:rFonts w:ascii="宋体" w:hAnsi="宋体" w:cs="宋体" w:eastAsia="宋体" w:hint="default"/>
                <w:sz w:val="18"/>
                <w:szCs w:val="18"/>
              </w:rPr>
              <w:t>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6" w:right="-49"/>
              <w:jc w:val="both"/>
              <w:rPr>
                <w:rFonts w:ascii="Times New Roman" w:hAnsi="Times New Roman" w:cs="Times New Roman" w:eastAsia="Times New Roman" w:hint="default"/>
                <w:sz w:val="18"/>
                <w:szCs w:val="18"/>
              </w:rPr>
            </w:pPr>
            <w:r>
              <w:rPr>
                <w:rFonts w:ascii="宋体" w:hAnsi="宋体" w:cs="宋体" w:eastAsia="宋体" w:hint="default"/>
                <w:spacing w:val="46"/>
                <w:sz w:val="18"/>
                <w:szCs w:val="18"/>
              </w:rPr>
              <w:t>该资产</w:t>
            </w:r>
            <w:r>
              <w:rPr>
                <w:rFonts w:ascii="宋体" w:hAnsi="宋体" w:cs="宋体" w:eastAsia="宋体" w:hint="default"/>
                <w:spacing w:val="-21"/>
                <w:sz w:val="18"/>
                <w:szCs w:val="18"/>
              </w:rPr>
              <w:t> </w:t>
            </w:r>
            <w:r>
              <w:rPr>
                <w:rFonts w:ascii="宋体" w:hAnsi="宋体" w:cs="宋体" w:eastAsia="宋体" w:hint="default"/>
                <w:spacing w:val="46"/>
                <w:sz w:val="18"/>
                <w:szCs w:val="18"/>
              </w:rPr>
              <w:t>为上市</w:t>
            </w:r>
            <w:r>
              <w:rPr>
                <w:rFonts w:ascii="宋体" w:hAnsi="宋体" w:cs="宋体" w:eastAsia="宋体" w:hint="default"/>
                <w:spacing w:val="-21"/>
                <w:sz w:val="18"/>
                <w:szCs w:val="18"/>
              </w:rPr>
              <w:t> </w:t>
            </w:r>
            <w:r>
              <w:rPr>
                <w:rFonts w:ascii="宋体" w:hAnsi="宋体" w:cs="宋体" w:eastAsia="宋体" w:hint="default"/>
                <w:spacing w:val="46"/>
                <w:sz w:val="18"/>
                <w:szCs w:val="18"/>
              </w:rPr>
              <w:t>公司贡</w:t>
            </w:r>
            <w:r>
              <w:rPr>
                <w:rFonts w:ascii="宋体" w:hAnsi="宋体" w:cs="宋体" w:eastAsia="宋体" w:hint="default"/>
                <w:spacing w:val="-21"/>
                <w:sz w:val="18"/>
                <w:szCs w:val="18"/>
              </w:rPr>
              <w:t> </w:t>
            </w:r>
            <w:r>
              <w:rPr>
                <w:rFonts w:ascii="宋体" w:hAnsi="宋体" w:cs="宋体" w:eastAsia="宋体" w:hint="default"/>
                <w:spacing w:val="46"/>
                <w:sz w:val="18"/>
                <w:szCs w:val="18"/>
              </w:rPr>
              <w:t>献的净</w:t>
            </w:r>
            <w:r>
              <w:rPr>
                <w:rFonts w:ascii="宋体" w:hAnsi="宋体" w:cs="宋体" w:eastAsia="宋体" w:hint="default"/>
                <w:spacing w:val="-21"/>
                <w:sz w:val="18"/>
                <w:szCs w:val="18"/>
              </w:rPr>
              <w:t> </w:t>
            </w:r>
            <w:r>
              <w:rPr>
                <w:rFonts w:ascii="宋体" w:hAnsi="宋体" w:cs="宋体" w:eastAsia="宋体" w:hint="default"/>
                <w:spacing w:val="46"/>
                <w:sz w:val="18"/>
                <w:szCs w:val="18"/>
              </w:rPr>
              <w:t>利润占</w:t>
            </w:r>
            <w:r>
              <w:rPr>
                <w:rFonts w:ascii="宋体" w:hAnsi="宋体" w:cs="宋体" w:eastAsia="宋体" w:hint="default"/>
                <w:spacing w:val="-21"/>
                <w:sz w:val="18"/>
                <w:szCs w:val="18"/>
              </w:rPr>
              <w:t> </w:t>
            </w:r>
            <w:r>
              <w:rPr>
                <w:rFonts w:ascii="宋体" w:hAnsi="宋体" w:cs="宋体" w:eastAsia="宋体" w:hint="default"/>
                <w:spacing w:val="46"/>
                <w:sz w:val="18"/>
                <w:szCs w:val="18"/>
              </w:rPr>
              <w:t>利润总</w:t>
            </w:r>
            <w:r>
              <w:rPr>
                <w:rFonts w:ascii="宋体" w:hAnsi="宋体" w:cs="宋体" w:eastAsia="宋体" w:hint="default"/>
                <w:spacing w:val="-21"/>
                <w:sz w:val="18"/>
                <w:szCs w:val="18"/>
              </w:rPr>
              <w:t> </w:t>
            </w:r>
            <w:r>
              <w:rPr>
                <w:rFonts w:ascii="宋体" w:hAnsi="宋体" w:cs="宋体" w:eastAsia="宋体" w:hint="default"/>
                <w:spacing w:val="46"/>
                <w:sz w:val="18"/>
                <w:szCs w:val="18"/>
              </w:rPr>
              <w:t>额的比</w:t>
            </w:r>
            <w:r>
              <w:rPr>
                <w:rFonts w:ascii="宋体" w:hAnsi="宋体" w:cs="宋体" w:eastAsia="宋体" w:hint="default"/>
                <w:spacing w:val="-21"/>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49"/>
              <w:jc w:val="left"/>
              <w:rPr>
                <w:rFonts w:ascii="宋体" w:hAnsi="宋体" w:cs="宋体" w:eastAsia="宋体" w:hint="default"/>
                <w:sz w:val="18"/>
                <w:szCs w:val="18"/>
              </w:rPr>
            </w:pPr>
            <w:r>
              <w:rPr>
                <w:rFonts w:ascii="宋体" w:hAnsi="宋体" w:cs="宋体" w:eastAsia="宋体" w:hint="default"/>
                <w:spacing w:val="46"/>
                <w:sz w:val="18"/>
                <w:szCs w:val="18"/>
              </w:rPr>
              <w:t>与交易</w:t>
            </w:r>
            <w:r>
              <w:rPr>
                <w:rFonts w:ascii="宋体" w:hAnsi="宋体" w:cs="宋体" w:eastAsia="宋体" w:hint="default"/>
                <w:spacing w:val="-21"/>
                <w:sz w:val="18"/>
                <w:szCs w:val="18"/>
              </w:rPr>
              <w:t> </w:t>
            </w:r>
            <w:r>
              <w:rPr>
                <w:rFonts w:ascii="宋体" w:hAnsi="宋体" w:cs="宋体" w:eastAsia="宋体" w:hint="default"/>
                <w:spacing w:val="46"/>
                <w:sz w:val="18"/>
                <w:szCs w:val="18"/>
              </w:rPr>
              <w:t>对方的</w:t>
            </w:r>
            <w:r>
              <w:rPr>
                <w:rFonts w:ascii="宋体" w:hAnsi="宋体" w:cs="宋体" w:eastAsia="宋体" w:hint="default"/>
                <w:spacing w:val="-21"/>
                <w:sz w:val="18"/>
                <w:szCs w:val="18"/>
              </w:rPr>
              <w:t> </w:t>
            </w:r>
            <w:r>
              <w:rPr>
                <w:rFonts w:ascii="宋体" w:hAnsi="宋体" w:cs="宋体" w:eastAsia="宋体" w:hint="default"/>
                <w:spacing w:val="46"/>
                <w:sz w:val="18"/>
                <w:szCs w:val="18"/>
              </w:rPr>
              <w:t>关联关</w:t>
            </w:r>
            <w:r>
              <w:rPr>
                <w:rFonts w:ascii="宋体" w:hAnsi="宋体" w:cs="宋体" w:eastAsia="宋体" w:hint="default"/>
                <w:spacing w:val="-21"/>
                <w:sz w:val="18"/>
                <w:szCs w:val="18"/>
              </w:rPr>
              <w:t> </w:t>
            </w:r>
            <w:r>
              <w:rPr>
                <w:rFonts w:ascii="宋体" w:hAnsi="宋体" w:cs="宋体" w:eastAsia="宋体" w:hint="default"/>
                <w:spacing w:val="-11"/>
                <w:sz w:val="18"/>
                <w:szCs w:val="18"/>
              </w:rPr>
              <w:t>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6"/>
                <w:sz w:val="18"/>
                <w:szCs w:val="18"/>
              </w:rPr>
              <w:t>关联交</w:t>
            </w:r>
            <w:r>
              <w:rPr>
                <w:rFonts w:ascii="宋体" w:hAnsi="宋体" w:cs="宋体" w:eastAsia="宋体" w:hint="default"/>
                <w:spacing w:val="-21"/>
                <w:sz w:val="18"/>
                <w:szCs w:val="18"/>
              </w:rPr>
              <w:t> </w:t>
            </w:r>
            <w:r>
              <w:rPr>
                <w:rFonts w:ascii="宋体" w:hAnsi="宋体" w:cs="宋体" w:eastAsia="宋体" w:hint="default"/>
                <w:sz w:val="18"/>
                <w:szCs w:val="18"/>
              </w:rPr>
              <w:t>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pacing w:val="46"/>
                <w:sz w:val="18"/>
                <w:szCs w:val="18"/>
              </w:rPr>
              <w:t>临时公</w:t>
            </w:r>
            <w:r>
              <w:rPr>
                <w:rFonts w:ascii="宋体" w:hAnsi="宋体" w:cs="宋体" w:eastAsia="宋体" w:hint="default"/>
                <w:spacing w:val="-21"/>
                <w:sz w:val="18"/>
                <w:szCs w:val="18"/>
              </w:rPr>
              <w:t> </w:t>
            </w:r>
            <w:r>
              <w:rPr>
                <w:rFonts w:ascii="宋体" w:hAnsi="宋体" w:cs="宋体" w:eastAsia="宋体" w:hint="default"/>
                <w:spacing w:val="46"/>
                <w:sz w:val="18"/>
                <w:szCs w:val="18"/>
              </w:rPr>
              <w:t>告披露</w:t>
            </w:r>
            <w:r>
              <w:rPr>
                <w:rFonts w:ascii="宋体" w:hAnsi="宋体" w:cs="宋体" w:eastAsia="宋体" w:hint="default"/>
                <w:spacing w:val="-21"/>
                <w:sz w:val="18"/>
                <w:szCs w:val="18"/>
              </w:rPr>
              <w:t> </w:t>
            </w:r>
            <w:r>
              <w:rPr>
                <w:rFonts w:ascii="宋体" w:hAnsi="宋体" w:cs="宋体" w:eastAsia="宋体" w:hint="default"/>
                <w:sz w:val="18"/>
                <w:szCs w:val="18"/>
              </w:rPr>
              <w:t>日期</w:t>
            </w:r>
          </w:p>
        </w:tc>
      </w:tr>
      <w:tr>
        <w:trPr>
          <w:trHeight w:val="401" w:hRule="exact"/>
        </w:trPr>
        <w:tc>
          <w:tcPr>
            <w:tcW w:w="7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、适用于收购公司股权的情形。</w:t>
      </w:r>
    </w:p>
    <w:p>
      <w:pPr>
        <w:pStyle w:val="BodyText"/>
        <w:spacing w:line="338" w:lineRule="auto" w:before="103"/>
        <w:ind w:right="54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所涉及的资产产权是否已全部过户</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所涉及的债权债务是否已全部转移</w:t>
      </w:r>
      <w:r>
        <w:rPr>
          <w:rFonts w:ascii="Times New Roman" w:hAnsi="Times New Roman" w:cs="Times New Roman" w:eastAsia="Times New Roman" w:hint="default"/>
        </w:rPr>
        <w:t>”</w:t>
      </w:r>
      <w:r>
        <w:rPr/>
        <w:t>应填列截止本报告披露日的情况。 收购资产情况说明</w:t>
      </w:r>
    </w:p>
    <w:p>
      <w:pPr>
        <w:pStyle w:val="BodyText"/>
        <w:spacing w:line="240" w:lineRule="auto" w:before="43"/>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出售资产情况" w:id="63"/>
      <w:bookmarkEnd w:id="6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4"/>
        <w:gridCol w:w="737"/>
        <w:gridCol w:w="737"/>
        <w:gridCol w:w="737"/>
        <w:gridCol w:w="734"/>
        <w:gridCol w:w="737"/>
      </w:tblGrid>
      <w:tr>
        <w:trPr>
          <w:trHeight w:val="2897"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4" w:lineRule="auto"/>
              <w:ind w:left="184" w:right="8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0" w:right="47"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r>
        <w:trPr>
          <w:trHeight w:val="403" w:hRule="exact"/>
        </w:trPr>
        <w:tc>
          <w:tcPr>
            <w:tcW w:w="73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、适用于出售公司股权的情形。</w:t>
      </w:r>
    </w:p>
    <w:p>
      <w:pPr>
        <w:pStyle w:val="BodyText"/>
        <w:spacing w:line="340" w:lineRule="auto" w:before="101"/>
        <w:ind w:right="54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所涉及的资产产权是否已全部过户</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所涉及的债权债务是否已全部转移</w:t>
      </w:r>
      <w:r>
        <w:rPr>
          <w:rFonts w:ascii="Times New Roman" w:hAnsi="Times New Roman" w:cs="Times New Roman" w:eastAsia="Times New Roman" w:hint="default"/>
        </w:rPr>
        <w:t>”</w:t>
      </w:r>
      <w:r>
        <w:rPr/>
        <w:t>应填列截止本报告披露日的情况。 出售资产情况说明</w:t>
      </w:r>
    </w:p>
    <w:p>
      <w:pPr>
        <w:pStyle w:val="BodyText"/>
        <w:spacing w:line="240" w:lineRule="auto" w:before="39"/>
        <w:ind w:right="0"/>
        <w:jc w:val="left"/>
      </w:pPr>
      <w:r>
        <w:rPr/>
        <w:t>无</w:t>
      </w:r>
    </w:p>
    <w:p>
      <w:pPr>
        <w:spacing w:after="0" w:line="240" w:lineRule="auto"/>
        <w:jc w:val="left"/>
        <w:sectPr>
          <w:footerReference w:type="default" r:id="rId14"/>
          <w:pgSz w:w="11910" w:h="16840"/>
          <w:pgMar w:footer="982" w:header="745" w:top="1060" w:bottom="1180" w:left="980" w:right="980"/>
          <w:pgNumType w:start="41"/>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bookmarkStart w:name="3、企业合并情况" w:id="64"/>
      <w:bookmarkEnd w:id="64"/>
      <w:r>
        <w:rPr/>
      </w:r>
      <w:r>
        <w:rPr/>
        <w:t>无</w:t>
      </w:r>
    </w:p>
    <w:p>
      <w:pPr>
        <w:spacing w:line="240" w:lineRule="auto" w:before="0"/>
        <w:rPr>
          <w:rFonts w:ascii="宋体" w:hAnsi="宋体" w:cs="宋体" w:eastAsia="宋体" w:hint="default"/>
          <w:sz w:val="18"/>
          <w:szCs w:val="18"/>
        </w:rPr>
      </w:pPr>
    </w:p>
    <w:p>
      <w:pPr>
        <w:pStyle w:val="Heading3"/>
        <w:spacing w:line="312" w:lineRule="exact" w:before="125"/>
        <w:ind w:right="139"/>
        <w:jc w:val="left"/>
        <w:rPr>
          <w:b w:val="0"/>
          <w:bCs w:val="0"/>
        </w:rPr>
      </w:pPr>
      <w:bookmarkStart w:name="4、自资产重组报告书或收购出售资产公告刊登后，该事项的进展情况及对报告期经营成果" w:id="65"/>
      <w:bookmarkEnd w:id="65"/>
      <w:r>
        <w:rPr>
          <w:b w:val="0"/>
          <w:bCs w:val="0"/>
        </w:rPr>
      </w:r>
      <w:r>
        <w:rPr>
          <w:rFonts w:ascii="Times New Roman" w:hAnsi="Times New Roman" w:cs="Times New Roman" w:eastAsia="Times New Roman" w:hint="default"/>
          <w:spacing w:val="-3"/>
        </w:rPr>
        <w:t>4</w:t>
      </w:r>
      <w:r>
        <w:rPr>
          <w:spacing w:val="-3"/>
        </w:rPr>
        <w:t>、自资产重组报告书或收购出售资产公告刊登后，该事项的进展情况及对报告期经营成果与</w:t>
      </w:r>
      <w:r>
        <w:rPr>
          <w:w w:val="99"/>
        </w:rPr>
        <w:t> </w:t>
      </w:r>
      <w:r>
        <w:rPr/>
        <w:t>财务状况的影响</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五、公司股权激励的实施情况及其影响" w:id="66"/>
      <w:bookmarkEnd w:id="66"/>
      <w:r>
        <w:rPr>
          <w:b w:val="0"/>
          <w:bCs w:val="0"/>
        </w:rPr>
      </w:r>
      <w:r>
        <w:rPr/>
        <w:t>五、公司股权激励的实施情况及其影响</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894"/>
        <w:jc w:val="left"/>
      </w:pPr>
      <w:r>
        <w:rPr/>
        <w:t>无 股权激励事项临时报告披露网站查询</w:t>
      </w: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26"/>
        <w:ind w:right="0"/>
        <w:jc w:val="left"/>
        <w:rPr>
          <w:b w:val="0"/>
          <w:bCs w:val="0"/>
        </w:rPr>
      </w:pPr>
      <w:bookmarkStart w:name="六、重大关联交易" w:id="67"/>
      <w:bookmarkEnd w:id="67"/>
      <w:r>
        <w:rPr>
          <w:b w:val="0"/>
          <w:bCs w:val="0"/>
        </w:rPr>
      </w:r>
      <w:r>
        <w:rPr/>
        <w:t>六、重大关联交易</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7"/>
        <w:jc w:val="left"/>
      </w:pPr>
      <w:r>
        <w:rPr/>
        <w:t>注：公司应披露报告期内发生的重大关联交易事项。若对于某一关联方，报告期内累计关联交易总额高于</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万元且占公 司最近一期经审计净资产值</w:t>
      </w:r>
      <w:r>
        <w:rPr>
          <w:spacing w:val="-46"/>
        </w:rPr>
        <w:t> </w:t>
      </w:r>
      <w:r>
        <w:rPr>
          <w:rFonts w:ascii="Times New Roman" w:hAnsi="Times New Roman" w:cs="Times New Roman" w:eastAsia="Times New Roman" w:hint="default"/>
        </w:rPr>
        <w:t>5%</w:t>
      </w:r>
      <w:r>
        <w:rPr/>
        <w:t>以上的，须披露关联交易方、交易内容、交易时间及披露时间等情况。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1、与日常经营相关的关联交易" w:id="68"/>
      <w:bookmarkEnd w:id="6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780"/>
        <w:gridCol w:w="799"/>
        <w:gridCol w:w="794"/>
        <w:gridCol w:w="794"/>
        <w:gridCol w:w="818"/>
        <w:gridCol w:w="799"/>
        <w:gridCol w:w="797"/>
        <w:gridCol w:w="799"/>
        <w:gridCol w:w="797"/>
        <w:gridCol w:w="799"/>
        <w:gridCol w:w="797"/>
        <w:gridCol w:w="785"/>
      </w:tblGrid>
      <w:tr>
        <w:trPr>
          <w:trHeight w:val="1649" w:hRule="exact"/>
        </w:trPr>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90"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3" w:right="1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5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5"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r>
        <w:trPr>
          <w:trHeight w:val="1025"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r>
        <w:trPr>
          <w:trHeight w:val="403"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r>
        <w:trPr>
          <w:trHeight w:val="713"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r>
        <w:trPr>
          <w:trHeight w:val="1027"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r>
        <w:trPr>
          <w:trHeight w:val="401" w:hRule="exact"/>
        </w:trPr>
        <w:tc>
          <w:tcPr>
            <w:tcW w:w="31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6391" w:type="dxa"/>
            <w:gridSpan w:val="8"/>
            <w:tcBorders>
              <w:top w:val="single" w:sz="4" w:space="0" w:color="000000"/>
              <w:left w:val="single" w:sz="10"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right="0"/>
        <w:jc w:val="left"/>
      </w:pPr>
      <w:r>
        <w:rPr/>
        <w:t>报告期内公司向关联方销售（采购）产品和提供（接受）劳务的情况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8"/>
        <w:gridCol w:w="1858"/>
        <w:gridCol w:w="1855"/>
        <w:gridCol w:w="1826"/>
        <w:gridCol w:w="1829"/>
      </w:tblGrid>
      <w:tr>
        <w:trPr>
          <w:trHeight w:val="401" w:hRule="exact"/>
        </w:trPr>
        <w:tc>
          <w:tcPr>
            <w:tcW w:w="2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5" w:hRule="exact"/>
        </w:trPr>
        <w:tc>
          <w:tcPr>
            <w:tcW w:w="2198" w:type="dxa"/>
            <w:vMerge/>
            <w:tcBorders>
              <w:left w:val="single" w:sz="4" w:space="0" w:color="000000"/>
              <w:bottom w:val="single" w:sz="4" w:space="0" w:color="000000"/>
              <w:right w:val="single" w:sz="4" w:space="0" w:color="000000"/>
            </w:tcBorders>
            <w:shd w:val="clear" w:color="auto" w:fill="D4D4D4"/>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6" w:right="9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401" w:hRule="exact"/>
        </w:trPr>
        <w:tc>
          <w:tcPr>
            <w:tcW w:w="2198"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其中：报告期内公司向控股股东及其子公司销售产品或提供劳务的关联交易金额万元。</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资产收购、出售发生的关联交易" w:id="69"/>
      <w:bookmarkEnd w:id="69"/>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5" w:hRule="exact"/>
        </w:trPr>
        <w:tc>
          <w:tcPr>
            <w:tcW w:w="7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401" w:hRule="exact"/>
        </w:trPr>
        <w:tc>
          <w:tcPr>
            <w:tcW w:w="73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1674"/>
        <w:jc w:val="left"/>
      </w:pPr>
      <w:r>
        <w:rPr/>
        <w:t>资产收购、出售发生的关联交易价格与账面价值或评估价值、市场公允价值差异较大的，应当说明原因 无</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共同对外投资的重大关联交易" w:id="70"/>
      <w:bookmarkEnd w:id="70"/>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6"/>
        <w:gridCol w:w="1066"/>
        <w:gridCol w:w="1063"/>
        <w:gridCol w:w="1063"/>
        <w:gridCol w:w="1061"/>
        <w:gridCol w:w="1063"/>
        <w:gridCol w:w="1056"/>
      </w:tblGrid>
      <w:tr>
        <w:trPr>
          <w:trHeight w:val="1339" w:hRule="exact"/>
        </w:trPr>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9" w:right="74"/>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714"/>
        <w:jc w:val="left"/>
      </w:pPr>
      <w:r>
        <w:rPr/>
        <w:t>共同对外投资的重大关联交易情况说明 无</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关联债权债务往来" w:id="71"/>
      <w:bookmarkEnd w:id="7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是否存在非经营性关联债权债务往来</w:t>
      </w:r>
    </w:p>
    <w:p>
      <w:pPr>
        <w:pStyle w:val="BodyText"/>
        <w:spacing w:line="338" w:lineRule="auto" w:before="117"/>
        <w:ind w:right="4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注：请注意对上面</w:t>
      </w:r>
      <w:r>
        <w:rPr>
          <w:rFonts w:ascii="Times New Roman" w:hAnsi="Times New Roman" w:cs="Times New Roman" w:eastAsia="Times New Roman" w:hint="default"/>
        </w:rPr>
        <w:t>“</w:t>
      </w:r>
      <w:r>
        <w:rPr/>
        <w:t>是否存在非经营性关联债权债务往来</w:t>
      </w:r>
      <w:r>
        <w:rPr>
          <w:rFonts w:ascii="Times New Roman" w:hAnsi="Times New Roman" w:cs="Times New Roman" w:eastAsia="Times New Roman" w:hint="default"/>
        </w:rPr>
        <w:t>”</w:t>
      </w:r>
      <w:r>
        <w:rPr/>
        <w:t>进行选择。</w:t>
      </w:r>
    </w:p>
    <w:tbl>
      <w:tblPr>
        <w:tblW w:w="0" w:type="auto"/>
        <w:jc w:val="left"/>
        <w:tblInd w:w="149" w:type="dxa"/>
        <w:tblLayout w:type="fixed"/>
        <w:tblCellMar>
          <w:top w:w="0" w:type="dxa"/>
          <w:left w:w="0" w:type="dxa"/>
          <w:bottom w:w="0" w:type="dxa"/>
          <w:right w:w="0" w:type="dxa"/>
        </w:tblCellMar>
        <w:tblLook w:val="01E0"/>
      </w:tblPr>
      <w:tblGrid>
        <w:gridCol w:w="2130"/>
        <w:gridCol w:w="1111"/>
        <w:gridCol w:w="648"/>
        <w:gridCol w:w="509"/>
        <w:gridCol w:w="444"/>
        <w:gridCol w:w="562"/>
        <w:gridCol w:w="509"/>
        <w:gridCol w:w="538"/>
        <w:gridCol w:w="646"/>
        <w:gridCol w:w="506"/>
        <w:gridCol w:w="449"/>
        <w:gridCol w:w="564"/>
        <w:gridCol w:w="509"/>
        <w:gridCol w:w="436"/>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09"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09"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3" w:hRule="exact"/>
        </w:trPr>
        <w:tc>
          <w:tcPr>
            <w:tcW w:w="2130" w:type="dxa"/>
            <w:vMerge/>
            <w:tcBorders>
              <w:left w:val="single" w:sz="4" w:space="0" w:color="000000"/>
              <w:bottom w:val="single" w:sz="4" w:space="0" w:color="000000"/>
              <w:right w:val="single" w:sz="4" w:space="0" w:color="000000"/>
            </w:tcBorders>
            <w:shd w:val="clear" w:color="auto" w:fill="D4D4D4"/>
          </w:tcPr>
          <w:p>
            <w:pPr/>
          </w:p>
        </w:tc>
        <w:tc>
          <w:tcPr>
            <w:tcW w:w="1111" w:type="dxa"/>
            <w:vMerge/>
            <w:tcBorders>
              <w:left w:val="single" w:sz="4" w:space="0" w:color="000000"/>
              <w:bottom w:val="single" w:sz="4" w:space="0" w:color="000000"/>
              <w:right w:val="single" w:sz="4" w:space="0" w:color="000000"/>
            </w:tcBorders>
            <w:shd w:val="clear" w:color="auto" w:fill="D4D4D4"/>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58" w:right="67"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95"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8" w:right="25"/>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3"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非经营性</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0"/>
        <w:gridCol w:w="1111"/>
        <w:gridCol w:w="648"/>
        <w:gridCol w:w="509"/>
        <w:gridCol w:w="444"/>
        <w:gridCol w:w="562"/>
        <w:gridCol w:w="509"/>
        <w:gridCol w:w="538"/>
        <w:gridCol w:w="646"/>
        <w:gridCol w:w="506"/>
        <w:gridCol w:w="449"/>
        <w:gridCol w:w="564"/>
        <w:gridCol w:w="509"/>
        <w:gridCol w:w="446"/>
      </w:tblGrid>
      <w:tr>
        <w:trPr>
          <w:trHeight w:val="401" w:hRule="exact"/>
        </w:trPr>
        <w:tc>
          <w:tcPr>
            <w:tcW w:w="213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8" w:type="dxa"/>
            <w:tcBorders>
              <w:top w:val="single" w:sz="4" w:space="0" w:color="000000"/>
              <w:left w:val="single" w:sz="10" w:space="0" w:color="D4D4D4"/>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6"/>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 供资金的发生额（万元）</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其中：非经营性发生额（万元）</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6"/>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 余额（万元）</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其中：非经营性余额（万元）</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关联债权债务清偿情况</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与关联债权债务有关的承诺</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329" w:type="dxa"/>
            <w:gridSpan w:val="12"/>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其他重大关联交易" w:id="72"/>
      <w:bookmarkEnd w:id="7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七、重大合同及其履行情况" w:id="73"/>
      <w:bookmarkEnd w:id="73"/>
      <w:r>
        <w:rPr>
          <w:b w:val="0"/>
          <w:bCs w:val="0"/>
        </w:rPr>
      </w:r>
      <w:r>
        <w:rPr/>
        <w:t>七、重大合同及其履行情况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bookmarkStart w:name="1、托管、承包、租赁事项情况" w:id="74"/>
      <w:bookmarkEnd w:id="7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托管情况" w:id="75"/>
      <w:bookmarkEnd w:id="7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4"/>
          <w:szCs w:val="24"/>
        </w:rPr>
      </w:pPr>
    </w:p>
    <w:p>
      <w:pPr>
        <w:pStyle w:val="BodyText"/>
        <w:spacing w:line="360" w:lineRule="auto"/>
        <w:ind w:right="8694"/>
        <w:jc w:val="left"/>
      </w:pPr>
      <w:r>
        <w:rPr/>
        <w:t>托管情况说明 无</w:t>
      </w:r>
    </w:p>
    <w:p>
      <w:pPr>
        <w:pStyle w:val="BodyText"/>
        <w:spacing w:line="357" w:lineRule="auto" w:before="27"/>
        <w:ind w:right="1854"/>
        <w:jc w:val="left"/>
      </w:pPr>
      <w:r>
        <w:rPr/>
        <w:t>注：此处披露所有在报告期内发生或以前期间发生但延续到报告期的托管或其他公司托管事项概述。 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6"/>
        <w:gridCol w:w="869"/>
        <w:gridCol w:w="869"/>
        <w:gridCol w:w="869"/>
        <w:gridCol w:w="871"/>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9" w:right="71" w:hanging="272"/>
              <w:jc w:val="left"/>
              <w:rPr>
                <w:rFonts w:ascii="宋体" w:hAnsi="宋体" w:cs="宋体" w:eastAsia="宋体" w:hint="default"/>
                <w:sz w:val="18"/>
                <w:szCs w:val="18"/>
              </w:rPr>
            </w:pPr>
            <w:r>
              <w:rPr>
                <w:rFonts w:ascii="宋体" w:hAnsi="宋体" w:cs="宋体" w:eastAsia="宋体" w:hint="default"/>
                <w:sz w:val="18"/>
                <w:szCs w:val="18"/>
              </w:rPr>
              <w:t>委托方名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受托方名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托管资产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托管资产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托管起始 日</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托管终止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托管收益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托管收益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托管收益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rPr>
          <w:rFonts w:ascii="Times New Roman" w:hAnsi="Times New Roman" w:cs="Times New Roman" w:eastAsia="Times New Roman" w:hint="default"/>
        </w:rPr>
      </w:pPr>
      <w:r>
        <w:rPr>
          <w:spacing w:val="-2"/>
        </w:rPr>
        <w:t>注：表格中只需披露单个项目为公司带来的损益达到报告期利润总额</w:t>
      </w:r>
      <w:r>
        <w:rPr>
          <w:spacing w:val="-15"/>
        </w:rPr>
        <w:t> </w:t>
      </w:r>
      <w:r>
        <w:rPr>
          <w:rFonts w:ascii="Times New Roman" w:hAnsi="Times New Roman" w:cs="Times New Roman" w:eastAsia="Times New Roman" w:hint="default"/>
          <w:spacing w:val="-2"/>
        </w:rPr>
        <w:t>10%</w:t>
      </w:r>
      <w:r>
        <w:rPr>
          <w:spacing w:val="-2"/>
        </w:rPr>
        <w:t>以上的项目情况，其余项目情况在</w:t>
      </w:r>
      <w:r>
        <w:rPr>
          <w:rFonts w:ascii="Times New Roman" w:hAnsi="Times New Roman" w:cs="Times New Roman" w:eastAsia="Times New Roman" w:hint="default"/>
          <w:spacing w:val="-2"/>
        </w:rPr>
        <w:t>“</w:t>
      </w:r>
      <w:r>
        <w:rPr>
          <w:spacing w:val="-2"/>
        </w:rPr>
        <w:t>托管情况说明</w:t>
      </w:r>
      <w:r>
        <w:rPr>
          <w:rFonts w:ascii="Times New Roman" w:hAnsi="Times New Roman" w:cs="Times New Roman" w:eastAsia="Times New Roman" w:hint="default"/>
          <w:spacing w:val="-2"/>
        </w:rPr>
        <w:t>”</w:t>
      </w:r>
    </w:p>
    <w:p>
      <w:pPr>
        <w:pStyle w:val="BodyText"/>
        <w:spacing w:line="240" w:lineRule="auto" w:before="60"/>
        <w:ind w:right="0"/>
        <w:jc w:val="left"/>
      </w:pPr>
      <w:r>
        <w:rPr/>
        <w:t>中予以说明。</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承包情况" w:id="76"/>
      <w:bookmarkEnd w:id="7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8694"/>
        <w:jc w:val="left"/>
      </w:pPr>
      <w:r>
        <w:rPr/>
        <w:t>承包情况说明 无</w:t>
      </w:r>
    </w:p>
    <w:p>
      <w:pPr>
        <w:pStyle w:val="BodyText"/>
        <w:spacing w:line="360" w:lineRule="auto" w:before="29"/>
        <w:ind w:right="2214"/>
        <w:jc w:val="left"/>
      </w:pPr>
      <w:r>
        <w:rPr/>
        <w:t>注：此处披露在报告期内发生或以前期间发生但延续到报告期的承包或其他公司承包事项概述。 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6"/>
        <w:gridCol w:w="869"/>
        <w:gridCol w:w="869"/>
        <w:gridCol w:w="869"/>
        <w:gridCol w:w="871"/>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9" w:right="71" w:hanging="272"/>
              <w:jc w:val="left"/>
              <w:rPr>
                <w:rFonts w:ascii="宋体" w:hAnsi="宋体" w:cs="宋体" w:eastAsia="宋体" w:hint="default"/>
                <w:sz w:val="18"/>
                <w:szCs w:val="18"/>
              </w:rPr>
            </w:pPr>
            <w:r>
              <w:rPr>
                <w:rFonts w:ascii="宋体" w:hAnsi="宋体" w:cs="宋体" w:eastAsia="宋体" w:hint="default"/>
                <w:sz w:val="18"/>
                <w:szCs w:val="18"/>
              </w:rPr>
              <w:t>出包方名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承包方名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承包资产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承包资产 涉及金额</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承包起始 日</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承包终止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承包收益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承包收益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承包收益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rPr>
          <w:rFonts w:ascii="Times New Roman" w:hAnsi="Times New Roman" w:cs="Times New Roman" w:eastAsia="Times New Roman" w:hint="default"/>
        </w:rPr>
      </w:pPr>
      <w:r>
        <w:rPr/>
        <w:t>注：表格中只需披露单个项目为公司带来的损益额达到报告期利润总额</w:t>
      </w:r>
      <w:r>
        <w:rPr>
          <w:spacing w:val="-49"/>
        </w:rPr>
        <w:t> </w:t>
      </w:r>
      <w:r>
        <w:rPr>
          <w:rFonts w:ascii="Times New Roman" w:hAnsi="Times New Roman" w:cs="Times New Roman" w:eastAsia="Times New Roman" w:hint="default"/>
        </w:rPr>
        <w:t>10%</w:t>
      </w:r>
      <w:r>
        <w:rPr/>
        <w:t>以上的项目情况，其余项目情况在</w:t>
      </w:r>
      <w:r>
        <w:rPr>
          <w:rFonts w:ascii="Times New Roman" w:hAnsi="Times New Roman" w:cs="Times New Roman" w:eastAsia="Times New Roman" w:hint="default"/>
        </w:rPr>
        <w:t>“</w:t>
      </w:r>
      <w:r>
        <w:rPr/>
        <w:t>承包情况</w:t>
      </w:r>
      <w:r>
        <w:rPr>
          <w:rFonts w:ascii="Times New Roman" w:hAnsi="Times New Roman" w:cs="Times New Roman" w:eastAsia="Times New Roman" w:hint="default"/>
        </w:rPr>
        <w:t>”</w:t>
      </w:r>
    </w:p>
    <w:p>
      <w:pPr>
        <w:pStyle w:val="BodyText"/>
        <w:spacing w:line="240" w:lineRule="auto" w:before="62"/>
        <w:ind w:right="0"/>
        <w:jc w:val="left"/>
      </w:pPr>
      <w:r>
        <w:rPr/>
        <w:t>说明中予以说明。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租赁情况" w:id="77"/>
      <w:bookmarkEnd w:id="7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5"/>
          <w:szCs w:val="25"/>
        </w:rPr>
      </w:pPr>
    </w:p>
    <w:p>
      <w:pPr>
        <w:pStyle w:val="BodyText"/>
        <w:spacing w:line="360" w:lineRule="auto"/>
        <w:ind w:right="8694"/>
        <w:jc w:val="left"/>
      </w:pPr>
      <w:r>
        <w:rPr/>
        <w:t>租赁情况说明 无</w:t>
      </w:r>
    </w:p>
    <w:p>
      <w:pPr>
        <w:pStyle w:val="BodyText"/>
        <w:spacing w:line="357" w:lineRule="auto" w:before="27"/>
        <w:ind w:right="2214"/>
        <w:jc w:val="left"/>
      </w:pPr>
      <w:r>
        <w:rPr/>
        <w:t>注：此处披露在报告期内发生或以前期间发生但延续到报告期的租赁或其他公司租赁事项概述。 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69"/>
        <w:gridCol w:w="871"/>
        <w:gridCol w:w="866"/>
        <w:gridCol w:w="869"/>
        <w:gridCol w:w="869"/>
        <w:gridCol w:w="869"/>
        <w:gridCol w:w="871"/>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9" w:right="71" w:hanging="272"/>
              <w:jc w:val="left"/>
              <w:rPr>
                <w:rFonts w:ascii="宋体" w:hAnsi="宋体" w:cs="宋体" w:eastAsia="宋体" w:hint="default"/>
                <w:sz w:val="18"/>
                <w:szCs w:val="18"/>
              </w:rPr>
            </w:pPr>
            <w:r>
              <w:rPr>
                <w:rFonts w:ascii="宋体" w:hAnsi="宋体" w:cs="宋体" w:eastAsia="宋体" w:hint="default"/>
                <w:sz w:val="18"/>
                <w:szCs w:val="18"/>
              </w:rPr>
              <w:t>出包方名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67" w:hanging="272"/>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rPr>
          <w:rFonts w:ascii="Times New Roman" w:hAnsi="Times New Roman" w:cs="Times New Roman" w:eastAsia="Times New Roman" w:hint="default"/>
        </w:rPr>
      </w:pPr>
      <w:r>
        <w:rPr/>
        <w:t>注：表格中只需披露单个项目为公司带来的损益额达到报告期利润总额</w:t>
      </w:r>
      <w:r>
        <w:rPr>
          <w:spacing w:val="-49"/>
        </w:rPr>
        <w:t> </w:t>
      </w:r>
      <w:r>
        <w:rPr>
          <w:rFonts w:ascii="Times New Roman" w:hAnsi="Times New Roman" w:cs="Times New Roman" w:eastAsia="Times New Roman" w:hint="default"/>
        </w:rPr>
        <w:t>10%</w:t>
      </w:r>
      <w:r>
        <w:rPr/>
        <w:t>以上的项目情况，其余项目情况在</w:t>
      </w:r>
      <w:r>
        <w:rPr>
          <w:rFonts w:ascii="Times New Roman" w:hAnsi="Times New Roman" w:cs="Times New Roman" w:eastAsia="Times New Roman" w:hint="default"/>
        </w:rPr>
        <w:t>“</w:t>
      </w:r>
      <w:r>
        <w:rPr/>
        <w:t>租赁情况</w:t>
      </w:r>
      <w:r>
        <w:rPr>
          <w:rFonts w:ascii="Times New Roman" w:hAnsi="Times New Roman" w:cs="Times New Roman" w:eastAsia="Times New Roman" w:hint="default"/>
        </w:rPr>
        <w:t>”</w:t>
      </w:r>
    </w:p>
    <w:p>
      <w:pPr>
        <w:pStyle w:val="BodyText"/>
        <w:spacing w:line="240" w:lineRule="auto" w:before="60"/>
        <w:ind w:right="0"/>
        <w:jc w:val="left"/>
      </w:pPr>
      <w:r>
        <w:rPr/>
        <w:t>说明中予以说明。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担保情况" w:id="78"/>
      <w:bookmarkEnd w:id="78"/>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1"/>
        <w:gridCol w:w="934"/>
        <w:gridCol w:w="1212"/>
        <w:gridCol w:w="1178"/>
        <w:gridCol w:w="1097"/>
        <w:gridCol w:w="1018"/>
        <w:gridCol w:w="799"/>
        <w:gridCol w:w="787"/>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19"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5" w:space="0" w:color="000000"/>
            </w:tcBorders>
          </w:tcPr>
          <w:p>
            <w:pPr/>
          </w:p>
        </w:tc>
        <w:tc>
          <w:tcPr>
            <w:tcW w:w="934" w:type="dxa"/>
            <w:tcBorders>
              <w:top w:val="single" w:sz="4" w:space="0" w:color="000000"/>
              <w:left w:val="single" w:sz="5"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6" w:type="dxa"/>
            <w:gridSpan w:val="2"/>
            <w:tcBorders>
              <w:top w:val="single" w:sz="4" w:space="0" w:color="000000"/>
              <w:left w:val="single" w:sz="4" w:space="0" w:color="000000"/>
              <w:bottom w:val="single" w:sz="4" w:space="0" w:color="000000"/>
              <w:right w:val="single" w:sz="4" w:space="0" w:color="000000"/>
            </w:tcBorders>
          </w:tcPr>
          <w:p>
            <w:pP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4"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w:t>
            </w:r>
          </w:p>
        </w:tc>
        <w:tc>
          <w:tcPr>
            <w:tcW w:w="2146" w:type="dxa"/>
            <w:gridSpan w:val="2"/>
            <w:tcBorders>
              <w:top w:val="single" w:sz="4" w:space="0" w:color="000000"/>
              <w:left w:val="single" w:sz="4" w:space="0" w:color="000000"/>
              <w:bottom w:val="single" w:sz="4" w:space="0" w:color="000000"/>
              <w:right w:val="single" w:sz="4" w:space="0" w:color="000000"/>
            </w:tcBorders>
          </w:tcPr>
          <w:p>
            <w:pPr/>
          </w:p>
        </w:tc>
        <w:tc>
          <w:tcPr>
            <w:tcW w:w="22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w:t>
            </w:r>
          </w:p>
        </w:tc>
        <w:tc>
          <w:tcPr>
            <w:tcW w:w="2604"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5"/>
        <w:gridCol w:w="928"/>
        <w:gridCol w:w="946"/>
        <w:gridCol w:w="1216"/>
        <w:gridCol w:w="1174"/>
        <w:gridCol w:w="1089"/>
        <w:gridCol w:w="1018"/>
        <w:gridCol w:w="818"/>
        <w:gridCol w:w="775"/>
      </w:tblGrid>
      <w:tr>
        <w:trPr>
          <w:trHeight w:val="367"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62" w:type="dxa"/>
            <w:gridSpan w:val="2"/>
            <w:tcBorders>
              <w:top w:val="single" w:sz="4" w:space="0" w:color="000000"/>
              <w:left w:val="single" w:sz="10" w:space="0" w:color="D4D4D4"/>
              <w:bottom w:val="single" w:sz="4" w:space="0" w:color="000000"/>
              <w:right w:val="single" w:sz="14" w:space="0" w:color="D4D4D4"/>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2" w:type="dxa"/>
            <w:gridSpan w:val="3"/>
            <w:tcBorders>
              <w:top w:val="single" w:sz="4" w:space="0" w:color="000000"/>
              <w:left w:val="single" w:sz="13" w:space="0" w:color="D4D4D4"/>
              <w:bottom w:val="single" w:sz="4" w:space="0" w:color="000000"/>
              <w:right w:val="single" w:sz="4" w:space="0" w:color="000000"/>
            </w:tcBorders>
          </w:tcPr>
          <w:p>
            <w:pPr/>
          </w:p>
        </w:tc>
      </w:tr>
      <w:tr>
        <w:trPr>
          <w:trHeight w:val="39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7"/>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595" w:type="dxa"/>
            <w:vMerge w:val="restart"/>
            <w:tcBorders>
              <w:top w:val="single" w:sz="4" w:space="0" w:color="000000"/>
              <w:left w:val="single" w:sz="4" w:space="0" w:color="000000"/>
              <w:right w:val="single" w:sz="4" w:space="0" w:color="000000"/>
            </w:tcBorders>
            <w:shd w:val="clear" w:color="auto" w:fill="D4D4D4"/>
          </w:tcPr>
          <w:p>
            <w:pPr/>
          </w:p>
        </w:tc>
        <w:tc>
          <w:tcPr>
            <w:tcW w:w="928" w:type="dxa"/>
            <w:tcBorders>
              <w:top w:val="single" w:sz="4" w:space="0" w:color="000000"/>
              <w:left w:val="single" w:sz="4" w:space="0" w:color="000000"/>
              <w:bottom w:val="nil" w:sz="6" w:space="0" w:color="auto"/>
              <w:right w:val="single" w:sz="4" w:space="0" w:color="000000"/>
            </w:tcBorders>
            <w:shd w:val="clear" w:color="auto" w:fill="D4D4D4"/>
          </w:tcPr>
          <w:p>
            <w:pPr/>
          </w:p>
        </w:tc>
        <w:tc>
          <w:tcPr>
            <w:tcW w:w="946" w:type="dxa"/>
            <w:vMerge w:val="restart"/>
            <w:tcBorders>
              <w:top w:val="single" w:sz="4" w:space="0" w:color="000000"/>
              <w:left w:val="single" w:sz="4" w:space="0" w:color="000000"/>
              <w:right w:val="single" w:sz="4" w:space="0" w:color="000000"/>
            </w:tcBorders>
            <w:shd w:val="clear" w:color="auto" w:fill="D4D4D4"/>
          </w:tcPr>
          <w:p>
            <w:pPr/>
          </w:p>
        </w:tc>
        <w:tc>
          <w:tcPr>
            <w:tcW w:w="121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4" w:type="dxa"/>
            <w:vMerge w:val="restart"/>
            <w:tcBorders>
              <w:top w:val="single" w:sz="4" w:space="0" w:color="000000"/>
              <w:left w:val="single" w:sz="4" w:space="0" w:color="000000"/>
              <w:right w:val="single" w:sz="4" w:space="0" w:color="000000"/>
            </w:tcBorders>
            <w:shd w:val="clear" w:color="auto" w:fill="D4D4D4"/>
          </w:tcPr>
          <w:p>
            <w:pPr/>
          </w:p>
        </w:tc>
        <w:tc>
          <w:tcPr>
            <w:tcW w:w="1089" w:type="dxa"/>
            <w:vMerge w:val="restart"/>
            <w:tcBorders>
              <w:top w:val="single" w:sz="4" w:space="0" w:color="000000"/>
              <w:left w:val="single" w:sz="4" w:space="0" w:color="000000"/>
              <w:right w:val="single" w:sz="4" w:space="0" w:color="000000"/>
            </w:tcBorders>
            <w:shd w:val="clear" w:color="auto" w:fill="D4D4D4"/>
          </w:tcPr>
          <w:p>
            <w:pPr/>
          </w:p>
        </w:tc>
        <w:tc>
          <w:tcPr>
            <w:tcW w:w="1018"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single" w:sz="4" w:space="0" w:color="000000"/>
              <w:left w:val="single" w:sz="4" w:space="0" w:color="000000"/>
              <w:right w:val="single" w:sz="4" w:space="0" w:color="000000"/>
            </w:tcBorders>
            <w:shd w:val="clear" w:color="auto" w:fill="D4D4D4"/>
          </w:tcPr>
          <w:p>
            <w:pPr/>
          </w:p>
        </w:tc>
        <w:tc>
          <w:tcPr>
            <w:tcW w:w="77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07"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595" w:type="dxa"/>
            <w:vMerge/>
            <w:tcBorders>
              <w:left w:val="single" w:sz="4" w:space="0" w:color="000000"/>
              <w:right w:val="single" w:sz="4" w:space="0" w:color="000000"/>
            </w:tcBorders>
            <w:shd w:val="clear" w:color="auto" w:fill="D4D4D4"/>
          </w:tcPr>
          <w:p>
            <w:pPr/>
          </w:p>
        </w:tc>
        <w:tc>
          <w:tcPr>
            <w:tcW w:w="92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01"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tcBorders>
              <w:left w:val="single" w:sz="4" w:space="0" w:color="000000"/>
              <w:right w:val="single" w:sz="4" w:space="0" w:color="000000"/>
            </w:tcBorders>
            <w:shd w:val="clear" w:color="auto" w:fill="D4D4D4"/>
          </w:tcPr>
          <w:p>
            <w:pPr/>
          </w:p>
        </w:tc>
        <w:tc>
          <w:tcPr>
            <w:tcW w:w="12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5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4" w:type="dxa"/>
            <w:vMerge/>
            <w:tcBorders>
              <w:left w:val="single" w:sz="4" w:space="0" w:color="000000"/>
              <w:right w:val="single" w:sz="4" w:space="0" w:color="000000"/>
            </w:tcBorders>
            <w:shd w:val="clear" w:color="auto" w:fill="D4D4D4"/>
          </w:tcPr>
          <w:p>
            <w:pPr/>
          </w:p>
        </w:tc>
        <w:tc>
          <w:tcPr>
            <w:tcW w:w="1089" w:type="dxa"/>
            <w:vMerge/>
            <w:tcBorders>
              <w:left w:val="single" w:sz="4" w:space="0" w:color="000000"/>
              <w:right w:val="single" w:sz="4" w:space="0" w:color="000000"/>
            </w:tcBorders>
            <w:shd w:val="clear" w:color="auto" w:fill="D4D4D4"/>
          </w:tcPr>
          <w:p>
            <w:pPr/>
          </w:p>
        </w:tc>
        <w:tc>
          <w:tcPr>
            <w:tcW w:w="1018" w:type="dxa"/>
            <w:vMerge/>
            <w:tcBorders>
              <w:left w:val="single" w:sz="4" w:space="0" w:color="000000"/>
              <w:right w:val="single" w:sz="4" w:space="0" w:color="000000"/>
            </w:tcBorders>
            <w:shd w:val="clear" w:color="auto" w:fill="D4D4D4"/>
          </w:tcPr>
          <w:p>
            <w:pPr/>
          </w:p>
        </w:tc>
        <w:tc>
          <w:tcPr>
            <w:tcW w:w="818" w:type="dxa"/>
            <w:vMerge/>
            <w:tcBorders>
              <w:left w:val="single" w:sz="4" w:space="0" w:color="000000"/>
              <w:bottom w:val="nil" w:sz="6" w:space="0" w:color="auto"/>
              <w:right w:val="single" w:sz="4" w:space="0" w:color="000000"/>
            </w:tcBorders>
            <w:shd w:val="clear" w:color="auto" w:fill="D4D4D4"/>
          </w:tcPr>
          <w:p>
            <w:pPr/>
          </w:p>
        </w:tc>
        <w:tc>
          <w:tcPr>
            <w:tcW w:w="775" w:type="dxa"/>
            <w:vMerge/>
            <w:tcBorders>
              <w:left w:val="single" w:sz="4" w:space="0" w:color="000000"/>
              <w:right w:val="single" w:sz="4" w:space="0" w:color="000000"/>
            </w:tcBorders>
            <w:shd w:val="clear" w:color="auto" w:fill="D4D4D4"/>
          </w:tcPr>
          <w:p>
            <w:pPr/>
          </w:p>
        </w:tc>
      </w:tr>
      <w:tr>
        <w:trPr>
          <w:trHeight w:val="156" w:hRule="exact"/>
        </w:trPr>
        <w:tc>
          <w:tcPr>
            <w:tcW w:w="1595" w:type="dxa"/>
            <w:vMerge/>
            <w:tcBorders>
              <w:left w:val="single" w:sz="4" w:space="0" w:color="000000"/>
              <w:bottom w:val="nil" w:sz="6" w:space="0" w:color="auto"/>
              <w:right w:val="single" w:sz="4" w:space="0" w:color="000000"/>
            </w:tcBorders>
            <w:shd w:val="clear" w:color="auto" w:fill="D4D4D4"/>
          </w:tcPr>
          <w:p>
            <w:pPr/>
          </w:p>
        </w:tc>
        <w:tc>
          <w:tcPr>
            <w:tcW w:w="928" w:type="dxa"/>
            <w:vMerge/>
            <w:tcBorders>
              <w:left w:val="single" w:sz="4" w:space="0" w:color="000000"/>
              <w:right w:val="single" w:sz="4" w:space="0" w:color="000000"/>
            </w:tcBorders>
            <w:shd w:val="clear" w:color="auto" w:fill="D4D4D4"/>
          </w:tcPr>
          <w:p>
            <w:pPr/>
          </w:p>
        </w:tc>
        <w:tc>
          <w:tcPr>
            <w:tcW w:w="946" w:type="dxa"/>
            <w:vMerge/>
            <w:tcBorders>
              <w:left w:val="single" w:sz="4" w:space="0" w:color="000000"/>
              <w:bottom w:val="nil" w:sz="6" w:space="0" w:color="auto"/>
              <w:right w:val="single" w:sz="4" w:space="0" w:color="000000"/>
            </w:tcBorders>
            <w:shd w:val="clear" w:color="auto" w:fill="D4D4D4"/>
          </w:tcPr>
          <w:p>
            <w:pPr/>
          </w:p>
        </w:tc>
        <w:tc>
          <w:tcPr>
            <w:tcW w:w="1216" w:type="dxa"/>
            <w:vMerge/>
            <w:tcBorders>
              <w:left w:val="single" w:sz="4" w:space="0" w:color="000000"/>
              <w:right w:val="single" w:sz="4" w:space="0" w:color="000000"/>
            </w:tcBorders>
            <w:shd w:val="clear" w:color="auto" w:fill="D4D4D4"/>
          </w:tcPr>
          <w:p>
            <w:pPr/>
          </w:p>
        </w:tc>
        <w:tc>
          <w:tcPr>
            <w:tcW w:w="1174" w:type="dxa"/>
            <w:vMerge/>
            <w:tcBorders>
              <w:left w:val="single" w:sz="4" w:space="0" w:color="000000"/>
              <w:bottom w:val="nil" w:sz="6" w:space="0" w:color="auto"/>
              <w:right w:val="single" w:sz="4" w:space="0" w:color="000000"/>
            </w:tcBorders>
            <w:shd w:val="clear" w:color="auto" w:fill="D4D4D4"/>
          </w:tcPr>
          <w:p>
            <w:pPr/>
          </w:p>
        </w:tc>
        <w:tc>
          <w:tcPr>
            <w:tcW w:w="1089" w:type="dxa"/>
            <w:vMerge/>
            <w:tcBorders>
              <w:left w:val="single" w:sz="4" w:space="0" w:color="000000"/>
              <w:bottom w:val="nil" w:sz="6" w:space="0" w:color="auto"/>
              <w:right w:val="single" w:sz="4" w:space="0" w:color="000000"/>
            </w:tcBorders>
            <w:shd w:val="clear" w:color="auto" w:fill="D4D4D4"/>
          </w:tcPr>
          <w:p>
            <w:pPr/>
          </w:p>
        </w:tc>
        <w:tc>
          <w:tcPr>
            <w:tcW w:w="1018" w:type="dxa"/>
            <w:vMerge/>
            <w:tcBorders>
              <w:left w:val="single" w:sz="4" w:space="0" w:color="000000"/>
              <w:bottom w:val="nil" w:sz="6" w:space="0" w:color="auto"/>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18" w:right="4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4D4D4"/>
          </w:tcPr>
          <w:p>
            <w:pPr/>
          </w:p>
        </w:tc>
      </w:tr>
      <w:tr>
        <w:trPr>
          <w:trHeight w:val="394" w:hRule="exact"/>
        </w:trPr>
        <w:tc>
          <w:tcPr>
            <w:tcW w:w="15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4D4D4"/>
          </w:tcPr>
          <w:p>
            <w:pPr/>
          </w:p>
        </w:tc>
        <w:tc>
          <w:tcPr>
            <w:tcW w:w="94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vMerge/>
            <w:tcBorders>
              <w:left w:val="single" w:sz="4" w:space="0" w:color="000000"/>
              <w:right w:val="single" w:sz="4" w:space="0" w:color="000000"/>
            </w:tcBorders>
            <w:shd w:val="clear" w:color="auto" w:fill="D4D4D4"/>
          </w:tcPr>
          <w:p>
            <w:pPr/>
          </w:p>
        </w:tc>
        <w:tc>
          <w:tcPr>
            <w:tcW w:w="117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8" w:type="dxa"/>
            <w:vMerge/>
            <w:tcBorders>
              <w:left w:val="single" w:sz="4" w:space="0" w:color="000000"/>
              <w:right w:val="single" w:sz="4" w:space="0" w:color="000000"/>
            </w:tcBorders>
            <w:shd w:val="clear" w:color="auto" w:fill="D4D4D4"/>
          </w:tcPr>
          <w:p>
            <w:pPr/>
          </w:p>
        </w:tc>
        <w:tc>
          <w:tcPr>
            <w:tcW w:w="775" w:type="dxa"/>
            <w:vMerge/>
            <w:tcBorders>
              <w:left w:val="single" w:sz="4" w:space="0" w:color="000000"/>
              <w:right w:val="single" w:sz="4" w:space="0" w:color="000000"/>
            </w:tcBorders>
            <w:shd w:val="clear" w:color="auto" w:fill="D4D4D4"/>
          </w:tcPr>
          <w:p>
            <w:pPr/>
          </w:p>
        </w:tc>
      </w:tr>
      <w:tr>
        <w:trPr>
          <w:trHeight w:val="156" w:hRule="exact"/>
        </w:trPr>
        <w:tc>
          <w:tcPr>
            <w:tcW w:w="1595" w:type="dxa"/>
            <w:vMerge w:val="restart"/>
            <w:tcBorders>
              <w:top w:val="nil" w:sz="6" w:space="0" w:color="auto"/>
              <w:left w:val="single" w:sz="4" w:space="0" w:color="000000"/>
              <w:right w:val="single" w:sz="4" w:space="0" w:color="000000"/>
            </w:tcBorders>
            <w:shd w:val="clear" w:color="auto" w:fill="D4D4D4"/>
          </w:tcPr>
          <w:p>
            <w:pPr/>
          </w:p>
        </w:tc>
        <w:tc>
          <w:tcPr>
            <w:tcW w:w="928" w:type="dxa"/>
            <w:vMerge/>
            <w:tcBorders>
              <w:left w:val="single" w:sz="4" w:space="0" w:color="000000"/>
              <w:right w:val="single" w:sz="4" w:space="0" w:color="000000"/>
            </w:tcBorders>
            <w:shd w:val="clear" w:color="auto" w:fill="D4D4D4"/>
          </w:tcPr>
          <w:p>
            <w:pPr/>
          </w:p>
        </w:tc>
        <w:tc>
          <w:tcPr>
            <w:tcW w:w="946" w:type="dxa"/>
            <w:vMerge w:val="restart"/>
            <w:tcBorders>
              <w:top w:val="nil" w:sz="6" w:space="0" w:color="auto"/>
              <w:left w:val="single" w:sz="4" w:space="0" w:color="000000"/>
              <w:right w:val="single" w:sz="4" w:space="0" w:color="000000"/>
            </w:tcBorders>
            <w:shd w:val="clear" w:color="auto" w:fill="D4D4D4"/>
          </w:tcPr>
          <w:p>
            <w:pPr/>
          </w:p>
        </w:tc>
        <w:tc>
          <w:tcPr>
            <w:tcW w:w="1216" w:type="dxa"/>
            <w:vMerge/>
            <w:tcBorders>
              <w:left w:val="single" w:sz="4" w:space="0" w:color="000000"/>
              <w:right w:val="single" w:sz="4" w:space="0" w:color="000000"/>
            </w:tcBorders>
            <w:shd w:val="clear" w:color="auto" w:fill="D4D4D4"/>
          </w:tcPr>
          <w:p>
            <w:pPr/>
          </w:p>
        </w:tc>
        <w:tc>
          <w:tcPr>
            <w:tcW w:w="1174" w:type="dxa"/>
            <w:vMerge w:val="restart"/>
            <w:tcBorders>
              <w:top w:val="nil" w:sz="6" w:space="0" w:color="auto"/>
              <w:left w:val="single" w:sz="4" w:space="0" w:color="000000"/>
              <w:right w:val="single" w:sz="4" w:space="0" w:color="000000"/>
            </w:tcBorders>
            <w:shd w:val="clear" w:color="auto" w:fill="D4D4D4"/>
          </w:tcPr>
          <w:p>
            <w:pPr/>
          </w:p>
        </w:tc>
        <w:tc>
          <w:tcPr>
            <w:tcW w:w="1089" w:type="dxa"/>
            <w:vMerge w:val="restart"/>
            <w:tcBorders>
              <w:top w:val="nil" w:sz="6" w:space="0" w:color="auto"/>
              <w:left w:val="single" w:sz="4" w:space="0" w:color="000000"/>
              <w:right w:val="single" w:sz="4" w:space="0" w:color="000000"/>
            </w:tcBorders>
            <w:shd w:val="clear" w:color="auto" w:fill="D4D4D4"/>
          </w:tcPr>
          <w:p>
            <w:pPr/>
          </w:p>
        </w:tc>
        <w:tc>
          <w:tcPr>
            <w:tcW w:w="1018" w:type="dxa"/>
            <w:vMerge w:val="restart"/>
            <w:tcBorders>
              <w:top w:val="nil" w:sz="6" w:space="0" w:color="auto"/>
              <w:left w:val="single" w:sz="4" w:space="0" w:color="000000"/>
              <w:right w:val="single" w:sz="4" w:space="0" w:color="000000"/>
            </w:tcBorders>
            <w:shd w:val="clear" w:color="auto" w:fill="D4D4D4"/>
          </w:tcPr>
          <w:p>
            <w:pPr/>
          </w:p>
        </w:tc>
        <w:tc>
          <w:tcPr>
            <w:tcW w:w="818" w:type="dxa"/>
            <w:vMerge/>
            <w:tcBorders>
              <w:left w:val="single" w:sz="4" w:space="0" w:color="000000"/>
              <w:bottom w:val="nil" w:sz="6" w:space="0" w:color="auto"/>
              <w:right w:val="single" w:sz="4" w:space="0" w:color="000000"/>
            </w:tcBorders>
            <w:shd w:val="clear" w:color="auto" w:fill="D4D4D4"/>
          </w:tcPr>
          <w:p>
            <w:pPr/>
          </w:p>
        </w:tc>
        <w:tc>
          <w:tcPr>
            <w:tcW w:w="775" w:type="dxa"/>
            <w:vMerge/>
            <w:tcBorders>
              <w:left w:val="single" w:sz="4" w:space="0" w:color="000000"/>
              <w:right w:val="single" w:sz="4" w:space="0" w:color="000000"/>
            </w:tcBorders>
            <w:shd w:val="clear" w:color="auto" w:fill="D4D4D4"/>
          </w:tcPr>
          <w:p>
            <w:pPr/>
          </w:p>
        </w:tc>
      </w:tr>
      <w:tr>
        <w:trPr>
          <w:trHeight w:val="156" w:hRule="exact"/>
        </w:trPr>
        <w:tc>
          <w:tcPr>
            <w:tcW w:w="1595" w:type="dxa"/>
            <w:vMerge/>
            <w:tcBorders>
              <w:left w:val="single" w:sz="4" w:space="0" w:color="000000"/>
              <w:right w:val="single" w:sz="4" w:space="0" w:color="000000"/>
            </w:tcBorders>
            <w:shd w:val="clear" w:color="auto" w:fill="D4D4D4"/>
          </w:tcPr>
          <w:p>
            <w:pPr/>
          </w:p>
        </w:tc>
        <w:tc>
          <w:tcPr>
            <w:tcW w:w="928" w:type="dxa"/>
            <w:vMerge/>
            <w:tcBorders>
              <w:left w:val="single" w:sz="4" w:space="0" w:color="000000"/>
              <w:bottom w:val="nil" w:sz="6" w:space="0" w:color="auto"/>
              <w:right w:val="single" w:sz="4" w:space="0" w:color="000000"/>
            </w:tcBorders>
            <w:shd w:val="clear" w:color="auto" w:fill="D4D4D4"/>
          </w:tcPr>
          <w:p>
            <w:pPr/>
          </w:p>
        </w:tc>
        <w:tc>
          <w:tcPr>
            <w:tcW w:w="946" w:type="dxa"/>
            <w:vMerge/>
            <w:tcBorders>
              <w:left w:val="single" w:sz="4" w:space="0" w:color="000000"/>
              <w:right w:val="single" w:sz="4" w:space="0" w:color="000000"/>
            </w:tcBorders>
            <w:shd w:val="clear" w:color="auto" w:fill="D4D4D4"/>
          </w:tcPr>
          <w:p>
            <w:pPr/>
          </w:p>
        </w:tc>
        <w:tc>
          <w:tcPr>
            <w:tcW w:w="1216" w:type="dxa"/>
            <w:vMerge/>
            <w:tcBorders>
              <w:left w:val="single" w:sz="4" w:space="0" w:color="000000"/>
              <w:bottom w:val="nil" w:sz="6" w:space="0" w:color="auto"/>
              <w:right w:val="single" w:sz="4" w:space="0" w:color="000000"/>
            </w:tcBorders>
            <w:shd w:val="clear" w:color="auto" w:fill="D4D4D4"/>
          </w:tcPr>
          <w:p>
            <w:pPr/>
          </w:p>
        </w:tc>
        <w:tc>
          <w:tcPr>
            <w:tcW w:w="1174" w:type="dxa"/>
            <w:vMerge/>
            <w:tcBorders>
              <w:left w:val="single" w:sz="4" w:space="0" w:color="000000"/>
              <w:right w:val="single" w:sz="4" w:space="0" w:color="000000"/>
            </w:tcBorders>
            <w:shd w:val="clear" w:color="auto" w:fill="D4D4D4"/>
          </w:tcPr>
          <w:p>
            <w:pPr/>
          </w:p>
        </w:tc>
        <w:tc>
          <w:tcPr>
            <w:tcW w:w="1089" w:type="dxa"/>
            <w:vMerge/>
            <w:tcBorders>
              <w:left w:val="single" w:sz="4" w:space="0" w:color="000000"/>
              <w:right w:val="single" w:sz="4" w:space="0" w:color="000000"/>
            </w:tcBorders>
            <w:shd w:val="clear" w:color="auto" w:fill="D4D4D4"/>
          </w:tcPr>
          <w:p>
            <w:pPr/>
          </w:p>
        </w:tc>
        <w:tc>
          <w:tcPr>
            <w:tcW w:w="1018" w:type="dxa"/>
            <w:vMerge/>
            <w:tcBorders>
              <w:left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
        </w:tc>
        <w:tc>
          <w:tcPr>
            <w:tcW w:w="775" w:type="dxa"/>
            <w:vMerge/>
            <w:tcBorders>
              <w:left w:val="single" w:sz="4" w:space="0" w:color="000000"/>
              <w:right w:val="single" w:sz="4" w:space="0" w:color="000000"/>
            </w:tcBorders>
            <w:shd w:val="clear" w:color="auto" w:fill="D4D4D4"/>
          </w:tcPr>
          <w:p>
            <w:pPr/>
          </w:p>
        </w:tc>
      </w:tr>
      <w:tr>
        <w:trPr>
          <w:trHeight w:val="16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928" w:type="dxa"/>
            <w:tcBorders>
              <w:top w:val="nil" w:sz="6" w:space="0" w:color="auto"/>
              <w:left w:val="single" w:sz="4" w:space="0" w:color="000000"/>
              <w:bottom w:val="single" w:sz="4" w:space="0" w:color="000000"/>
              <w:right w:val="single" w:sz="4" w:space="0" w:color="000000"/>
            </w:tcBorders>
            <w:shd w:val="clear" w:color="auto" w:fill="D4D4D4"/>
          </w:tcPr>
          <w:p>
            <w:pPr/>
          </w:p>
        </w:tc>
        <w:tc>
          <w:tcPr>
            <w:tcW w:w="946" w:type="dxa"/>
            <w:vMerge/>
            <w:tcBorders>
              <w:left w:val="single" w:sz="4" w:space="0" w:color="000000"/>
              <w:bottom w:val="single" w:sz="4" w:space="0" w:color="000000"/>
              <w:right w:val="single" w:sz="4" w:space="0" w:color="000000"/>
            </w:tcBorders>
            <w:shd w:val="clear" w:color="auto" w:fill="D4D4D4"/>
          </w:tcPr>
          <w:p>
            <w:pPr/>
          </w:p>
        </w:tc>
        <w:tc>
          <w:tcPr>
            <w:tcW w:w="121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74" w:type="dxa"/>
            <w:vMerge/>
            <w:tcBorders>
              <w:left w:val="single" w:sz="4" w:space="0" w:color="000000"/>
              <w:bottom w:val="single" w:sz="4" w:space="0" w:color="000000"/>
              <w:right w:val="single" w:sz="4" w:space="0" w:color="000000"/>
            </w:tcBorders>
            <w:shd w:val="clear" w:color="auto" w:fill="D4D4D4"/>
          </w:tcPr>
          <w:p>
            <w:pPr/>
          </w:p>
        </w:tc>
        <w:tc>
          <w:tcPr>
            <w:tcW w:w="1089" w:type="dxa"/>
            <w:vMerge/>
            <w:tcBorders>
              <w:left w:val="single" w:sz="4" w:space="0" w:color="000000"/>
              <w:bottom w:val="single" w:sz="4" w:space="0" w:color="000000"/>
              <w:right w:val="single" w:sz="4" w:space="0" w:color="000000"/>
            </w:tcBorders>
            <w:shd w:val="clear" w:color="auto" w:fill="D4D4D4"/>
          </w:tcPr>
          <w:p>
            <w:pPr/>
          </w:p>
        </w:tc>
        <w:tc>
          <w:tcPr>
            <w:tcW w:w="1018"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4" w:space="0" w:color="000000"/>
              <w:bottom w:val="single" w:sz="4" w:space="0" w:color="000000"/>
              <w:right w:val="single" w:sz="4" w:space="0" w:color="000000"/>
            </w:tcBorders>
            <w:shd w:val="clear" w:color="auto" w:fill="D4D4D4"/>
          </w:tcPr>
          <w:p>
            <w:pPr/>
          </w:p>
        </w:tc>
        <w:tc>
          <w:tcPr>
            <w:tcW w:w="77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2" w:type="dxa"/>
            <w:gridSpan w:val="2"/>
            <w:tcBorders>
              <w:top w:val="single" w:sz="4" w:space="0" w:color="000000"/>
              <w:left w:val="single" w:sz="10" w:space="0" w:color="D4D4D4"/>
              <w:bottom w:val="single" w:sz="4" w:space="0" w:color="000000"/>
              <w:right w:val="single" w:sz="14" w:space="0" w:color="D4D4D4"/>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2" w:type="dxa"/>
            <w:gridSpan w:val="3"/>
            <w:tcBorders>
              <w:top w:val="single" w:sz="4" w:space="0" w:color="000000"/>
              <w:left w:val="single" w:sz="13" w:space="0" w:color="D4D4D4"/>
              <w:bottom w:val="single" w:sz="4" w:space="0" w:color="000000"/>
              <w:right w:val="single" w:sz="4" w:space="0" w:color="000000"/>
            </w:tcBorders>
          </w:tcPr>
          <w:p>
            <w:pPr/>
          </w:p>
        </w:tc>
      </w:tr>
      <w:tr>
        <w:trPr>
          <w:trHeight w:val="718"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2" w:type="dxa"/>
            <w:gridSpan w:val="2"/>
            <w:tcBorders>
              <w:top w:val="single" w:sz="4" w:space="0" w:color="000000"/>
              <w:left w:val="single" w:sz="10" w:space="0" w:color="D4D4D4"/>
              <w:bottom w:val="single" w:sz="4" w:space="0" w:color="000000"/>
              <w:right w:val="single" w:sz="14" w:space="0" w:color="D4D4D4"/>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2" w:type="dxa"/>
            <w:gridSpan w:val="3"/>
            <w:tcBorders>
              <w:top w:val="single" w:sz="4" w:space="0" w:color="000000"/>
              <w:left w:val="single" w:sz="13" w:space="0" w:color="D4D4D4"/>
              <w:bottom w:val="single" w:sz="4" w:space="0" w:color="000000"/>
              <w:right w:val="single" w:sz="4" w:space="0" w:color="000000"/>
            </w:tcBorders>
          </w:tcPr>
          <w:p>
            <w:pPr/>
          </w:p>
        </w:tc>
      </w:tr>
      <w:tr>
        <w:trPr>
          <w:trHeight w:val="39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2" w:type="dxa"/>
            <w:gridSpan w:val="2"/>
            <w:tcBorders>
              <w:top w:val="single" w:sz="4" w:space="0" w:color="000000"/>
              <w:left w:val="single" w:sz="10" w:space="0" w:color="D4D4D4"/>
              <w:bottom w:val="single" w:sz="4" w:space="0" w:color="000000"/>
              <w:right w:val="single" w:sz="14" w:space="0" w:color="D4D4D4"/>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2"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2" w:type="dxa"/>
            <w:gridSpan w:val="3"/>
            <w:tcBorders>
              <w:top w:val="single" w:sz="4" w:space="0" w:color="000000"/>
              <w:left w:val="single" w:sz="13" w:space="0" w:color="D4D4D4"/>
              <w:bottom w:val="single" w:sz="4" w:space="0" w:color="000000"/>
              <w:right w:val="single" w:sz="4" w:space="0" w:color="000000"/>
            </w:tcBorders>
          </w:tcPr>
          <w:p>
            <w:pPr/>
          </w:p>
        </w:tc>
      </w:tr>
      <w:tr>
        <w:trPr>
          <w:trHeight w:val="715"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2" w:type="dxa"/>
            <w:gridSpan w:val="2"/>
            <w:tcBorders>
              <w:top w:val="single" w:sz="4" w:space="0" w:color="000000"/>
              <w:left w:val="single" w:sz="10" w:space="0" w:color="D4D4D4"/>
              <w:bottom w:val="single" w:sz="4" w:space="0" w:color="000000"/>
              <w:right w:val="single" w:sz="14" w:space="0" w:color="D4D4D4"/>
            </w:tcBorders>
          </w:tcPr>
          <w:p>
            <w:pP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2" w:type="dxa"/>
            <w:gridSpan w:val="3"/>
            <w:tcBorders>
              <w:top w:val="single" w:sz="4" w:space="0" w:color="000000"/>
              <w:left w:val="single" w:sz="13" w:space="0" w:color="D4D4D4"/>
              <w:bottom w:val="single" w:sz="4" w:space="0" w:color="000000"/>
              <w:right w:val="single" w:sz="4" w:space="0" w:color="000000"/>
            </w:tcBorders>
          </w:tcPr>
          <w:p>
            <w:pPr/>
          </w:p>
        </w:tc>
      </w:tr>
      <w:tr>
        <w:trPr>
          <w:trHeight w:val="406"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394"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715"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4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401"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403"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401"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r>
        <w:trPr>
          <w:trHeight w:val="403" w:hRule="exact"/>
        </w:trPr>
        <w:tc>
          <w:tcPr>
            <w:tcW w:w="468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5" w:type="dxa"/>
            <w:gridSpan w:val="5"/>
            <w:tcBorders>
              <w:top w:val="single" w:sz="4" w:space="0" w:color="000000"/>
              <w:left w:val="single" w:sz="10" w:space="0" w:color="D4D4D4"/>
              <w:bottom w:val="single" w:sz="4" w:space="0" w:color="000000"/>
              <w:right w:val="single" w:sz="4" w:space="0" w:color="000000"/>
            </w:tcBorders>
          </w:tcPr>
          <w:p>
            <w:pPr/>
          </w:p>
        </w:tc>
      </w:tr>
    </w:tbl>
    <w:p>
      <w:pPr>
        <w:pStyle w:val="BodyText"/>
        <w:spacing w:line="300" w:lineRule="auto" w:before="49"/>
        <w:ind w:right="153"/>
        <w:jc w:val="both"/>
      </w:pPr>
      <w:r>
        <w:rPr/>
        <w:t>注：</w:t>
      </w:r>
      <w:r>
        <w:rPr>
          <w:rFonts w:ascii="Times New Roman" w:hAnsi="Times New Roman" w:cs="Times New Roman" w:eastAsia="Times New Roman" w:hint="default"/>
        </w:rPr>
        <w:t>1</w:t>
      </w:r>
      <w:r>
        <w:rPr/>
        <w:t>、表中</w:t>
      </w:r>
      <w:r>
        <w:rPr>
          <w:rFonts w:ascii="Times New Roman" w:hAnsi="Times New Roman" w:cs="Times New Roman" w:eastAsia="Times New Roman" w:hint="default"/>
        </w:rPr>
        <w:t>“</w:t>
      </w:r>
      <w:r>
        <w:rPr/>
        <w:t>公司对子公司的担保情况</w:t>
      </w:r>
      <w:r>
        <w:rPr>
          <w:rFonts w:ascii="Times New Roman" w:hAnsi="Times New Roman" w:cs="Times New Roman" w:eastAsia="Times New Roman" w:hint="default"/>
        </w:rPr>
        <w:t>”</w:t>
      </w:r>
      <w:r>
        <w:rPr/>
        <w:t>仅含公司对子公司的担保，其余情况比如公司对其他企业担保、公司子公司对其他 </w:t>
      </w:r>
      <w:r>
        <w:rPr>
          <w:spacing w:val="-2"/>
        </w:rPr>
        <w:t>企业担保、公司子公司对另一子公司担保等都包含在</w:t>
      </w:r>
      <w:r>
        <w:rPr>
          <w:rFonts w:ascii="Times New Roman" w:hAnsi="Times New Roman" w:cs="Times New Roman" w:eastAsia="Times New Roman" w:hint="default"/>
          <w:spacing w:val="-2"/>
        </w:rPr>
        <w:t>“</w:t>
      </w:r>
      <w:r>
        <w:rPr>
          <w:spacing w:val="-2"/>
        </w:rPr>
        <w:t>公司对外担保情况</w:t>
      </w:r>
      <w:r>
        <w:rPr>
          <w:rFonts w:ascii="Times New Roman" w:hAnsi="Times New Roman" w:cs="Times New Roman" w:eastAsia="Times New Roman" w:hint="default"/>
          <w:spacing w:val="-2"/>
        </w:rPr>
        <w:t>”</w:t>
      </w:r>
      <w:r>
        <w:rPr>
          <w:spacing w:val="-2"/>
        </w:rPr>
        <w:t>中。其中，子公司的对外担保，其担保金额为该子</w:t>
      </w:r>
      <w:r>
        <w:rPr>
          <w:spacing w:val="-45"/>
        </w:rPr>
        <w:t> </w:t>
      </w:r>
      <w:r>
        <w:rPr>
          <w:spacing w:val="-45"/>
        </w:rPr>
      </w:r>
      <w:r>
        <w:rPr/>
        <w:t>公司对外担保金额乘以公司持有该公司的股份比例。</w:t>
      </w:r>
    </w:p>
    <w:p>
      <w:pPr>
        <w:pStyle w:val="BodyText"/>
        <w:spacing w:line="240" w:lineRule="auto" w:before="70"/>
        <w:ind w:left="512" w:right="0"/>
        <w:jc w:val="left"/>
      </w:pPr>
      <w:r>
        <w:rPr>
          <w:rFonts w:ascii="Times New Roman" w:hAnsi="Times New Roman" w:cs="Times New Roman" w:eastAsia="Times New Roman" w:hint="default"/>
        </w:rPr>
        <w:t>2</w:t>
      </w:r>
      <w:r>
        <w:rPr/>
        <w:t>、公司及其子公司的对外担保应在此处填写明细情况。</w:t>
      </w:r>
    </w:p>
    <w:p>
      <w:pPr>
        <w:pStyle w:val="BodyText"/>
        <w:spacing w:line="300" w:lineRule="auto" w:before="103"/>
        <w:ind w:right="201" w:firstLine="360"/>
        <w:jc w:val="both"/>
      </w:pPr>
      <w:r>
        <w:rPr>
          <w:rFonts w:ascii="Times New Roman" w:hAnsi="Times New Roman" w:cs="Times New Roman" w:eastAsia="Times New Roman" w:hint="default"/>
        </w:rPr>
        <w:t>3</w:t>
      </w:r>
      <w:r>
        <w:rPr/>
        <w:t>、担保总额为上述</w:t>
      </w:r>
      <w:r>
        <w:rPr>
          <w:rFonts w:ascii="Times New Roman" w:hAnsi="Times New Roman" w:cs="Times New Roman" w:eastAsia="Times New Roman" w:hint="default"/>
        </w:rPr>
        <w:t>“</w:t>
      </w:r>
      <w:r>
        <w:rPr/>
        <w:t>报告期末担保余额合计（不包括对子公司的担保）</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报告期末对子公司担保余额合计</w:t>
      </w:r>
      <w:r>
        <w:rPr>
          <w:rFonts w:ascii="Times New Roman" w:hAnsi="Times New Roman" w:cs="Times New Roman" w:eastAsia="Times New Roman" w:hint="default"/>
        </w:rPr>
        <w:t>”</w:t>
      </w:r>
      <w:r>
        <w:rPr/>
        <w:t>两项的加 总。</w:t>
      </w:r>
    </w:p>
    <w:p>
      <w:pPr>
        <w:pStyle w:val="BodyText"/>
        <w:spacing w:line="300" w:lineRule="auto" w:before="72"/>
        <w:ind w:right="155"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w:t>
      </w:r>
      <w:r>
        <w:rPr>
          <w:spacing w:val="-2"/>
        </w:rPr>
        <w:t>上述三项担保金额合计（</w:t>
      </w:r>
      <w:r>
        <w:rPr>
          <w:rFonts w:ascii="Times New Roman" w:hAnsi="Times New Roman" w:cs="Times New Roman" w:eastAsia="Times New Roman" w:hint="default"/>
          <w:spacing w:val="-2"/>
        </w:rPr>
        <w:t>C+D+E</w:t>
      </w:r>
      <w:r>
        <w:rPr>
          <w:spacing w:val="-2"/>
        </w:rPr>
        <w:t>）</w:t>
      </w:r>
      <w:r>
        <w:rPr>
          <w:rFonts w:ascii="Times New Roman" w:hAnsi="Times New Roman" w:cs="Times New Roman" w:eastAsia="Times New Roman" w:hint="default"/>
          <w:spacing w:val="-2"/>
        </w:rPr>
        <w:t>”</w:t>
      </w:r>
      <w:r>
        <w:rPr>
          <w:spacing w:val="-2"/>
        </w:rPr>
        <w:t>为上述</w:t>
      </w:r>
      <w:r>
        <w:rPr>
          <w:rFonts w:ascii="Times New Roman" w:hAnsi="Times New Roman" w:cs="Times New Roman" w:eastAsia="Times New Roman" w:hint="default"/>
          <w:spacing w:val="-2"/>
        </w:rPr>
        <w:t>“</w:t>
      </w:r>
      <w:r>
        <w:rPr>
          <w:spacing w:val="-2"/>
        </w:rPr>
        <w:t>为股东、实际控制人及其关联方提供担保的金额</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直接或间接为资产</w:t>
      </w:r>
      <w:r>
        <w:rPr/>
        <w:t> 负债率超过</w:t>
      </w:r>
      <w:r>
        <w:rPr>
          <w:spacing w:val="-48"/>
        </w:rPr>
        <w:t> </w:t>
      </w:r>
      <w:r>
        <w:rPr>
          <w:rFonts w:ascii="Times New Roman" w:hAnsi="Times New Roman" w:cs="Times New Roman" w:eastAsia="Times New Roman" w:hint="default"/>
        </w:rPr>
        <w:t>70%</w:t>
      </w:r>
      <w:r>
        <w:rPr/>
        <w:t>的被担保对象提供的债务担保金额</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担保总额超过净资产</w:t>
      </w:r>
      <w:r>
        <w:rPr>
          <w:spacing w:val="-48"/>
        </w:rPr>
        <w:t> </w:t>
      </w:r>
      <w:r>
        <w:rPr>
          <w:rFonts w:ascii="Times New Roman" w:hAnsi="Times New Roman" w:cs="Times New Roman" w:eastAsia="Times New Roman" w:hint="default"/>
        </w:rPr>
        <w:t>50%</w:t>
      </w:r>
      <w:r>
        <w:rPr/>
        <w:t>部分的金额</w:t>
      </w:r>
      <w:r>
        <w:rPr>
          <w:rFonts w:ascii="Times New Roman" w:hAnsi="Times New Roman" w:cs="Times New Roman" w:eastAsia="Times New Roman" w:hint="default"/>
        </w:rPr>
        <w:t>”</w:t>
      </w:r>
      <w:r>
        <w:rPr/>
        <w:t>三项的加总。若一个担保事项 同时出现上述三项情形，在合计总只需要计算一次。</w:t>
      </w:r>
    </w:p>
    <w:p>
      <w:pPr>
        <w:spacing w:after="0" w:line="300" w:lineRule="auto"/>
        <w:jc w:val="both"/>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3、报告期内或报告期继续发生的委托理财情况" w:id="79"/>
      <w:bookmarkEnd w:id="79"/>
      <w:r>
        <w:rPr>
          <w:b w:val="0"/>
          <w:bCs w:val="0"/>
        </w:rPr>
      </w: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委托理财情况" w:id="80"/>
      <w:bookmarkEnd w:id="8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06"/>
        <w:gridCol w:w="799"/>
        <w:gridCol w:w="797"/>
        <w:gridCol w:w="799"/>
        <w:gridCol w:w="797"/>
        <w:gridCol w:w="799"/>
        <w:gridCol w:w="797"/>
        <w:gridCol w:w="799"/>
        <w:gridCol w:w="792"/>
      </w:tblGrid>
      <w:tr>
        <w:trPr>
          <w:trHeight w:val="713" w:hRule="exact"/>
        </w:trPr>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02" w:right="29"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6"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6"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9" w:type="dxa"/>
            <w:gridSpan w:val="8"/>
            <w:tcBorders>
              <w:top w:val="single" w:sz="4" w:space="0" w:color="000000"/>
              <w:left w:val="single" w:sz="10" w:space="0" w:color="D4D4D4"/>
              <w:bottom w:val="single" w:sz="4" w:space="0" w:color="000000"/>
              <w:right w:val="single" w:sz="4" w:space="0" w:color="000000"/>
            </w:tcBorders>
          </w:tcPr>
          <w:p>
            <w:pPr/>
          </w:p>
        </w:tc>
      </w:tr>
      <w:tr>
        <w:trPr>
          <w:trHeight w:val="401" w:hRule="exact"/>
        </w:trPr>
        <w:tc>
          <w:tcPr>
            <w:tcW w:w="319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79" w:type="dxa"/>
            <w:gridSpan w:val="8"/>
            <w:tcBorders>
              <w:top w:val="single" w:sz="4" w:space="0" w:color="000000"/>
              <w:left w:val="single" w:sz="10" w:space="0" w:color="D4D4D4"/>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衍生品投资情况" w:id="81"/>
      <w:bookmarkEnd w:id="8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02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报告期衍生品持仓的风险分析及控制措施说明（包括但不限 于市场风险、流动性风险、信用风险、操作风险、法律风险 等）</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已投资衍生品报告期内市场价格或产品公允价值变动的情 况，对衍生品公允价值的分析应披露具体使用的方法及相关 假设与参数的设定</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 告期相比是否发生重大变化的说明</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报告期末衍生品投资的持仓情况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60"/>
        <w:jc w:val="right"/>
      </w:pPr>
      <w:r>
        <w:rPr/>
        <w:pict>
          <v:shape style="position:absolute;margin-left:56.400002pt;margin-top:-18.528275pt;width:479.3pt;height:76.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合约种类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期初合约金额（元）</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期末合约金额（元）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报告期损益情况</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5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期末合约金额占公司报 告期末净资产比例（</w:t>
                        </w: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注：公司可根据投资的衍生品基础商品及合约种类情况进行分类汇总披露，但须对所采用分类方式及标准予以说明。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委托贷款情况" w:id="82"/>
      <w:bookmarkEnd w:id="8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3"/>
        <w:gridCol w:w="1092"/>
        <w:gridCol w:w="1349"/>
        <w:gridCol w:w="1349"/>
        <w:gridCol w:w="1349"/>
        <w:gridCol w:w="1349"/>
        <w:gridCol w:w="1349"/>
      </w:tblGrid>
      <w:tr>
        <w:trPr>
          <w:trHeight w:val="401" w:hRule="exact"/>
        </w:trPr>
        <w:tc>
          <w:tcPr>
            <w:tcW w:w="1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是否逾期</w:t>
            </w:r>
          </w:p>
        </w:tc>
      </w:tr>
      <w:tr>
        <w:trPr>
          <w:trHeight w:val="403" w:hRule="exact"/>
        </w:trPr>
        <w:tc>
          <w:tcPr>
            <w:tcW w:w="173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其他重大合同" w:id="83"/>
      <w:bookmarkEnd w:id="8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八、承诺事项履行情况" w:id="84"/>
      <w:bookmarkEnd w:id="84"/>
      <w:r>
        <w:rPr>
          <w:b w:val="0"/>
          <w:bCs w:val="0"/>
        </w:rPr>
      </w:r>
      <w:bookmarkStart w:name="1、公司或持股5%以上股东在报告期内或持续到报告期内的承诺事项" w:id="85"/>
      <w:bookmarkEnd w:id="85"/>
      <w:r>
        <w:rPr>
          <w:b w:val="0"/>
          <w:bCs w:val="0"/>
        </w:rPr>
      </w:r>
      <w:r>
        <w:rPr>
          <w:rFonts w:ascii="Times New Roman" w:hAnsi="Times New Roman" w:cs="Times New Roman" w:eastAsia="Times New Roman" w:hint="default"/>
        </w:rPr>
        <w:t>1</w:t>
      </w:r>
      <w:r>
        <w:rPr/>
        <w:t>、公司或持股</w:t>
      </w:r>
      <w:r>
        <w:rPr>
          <w:spacing w:val="-66"/>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21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3" w:right="158"/>
              <w:jc w:val="left"/>
              <w:rPr>
                <w:rFonts w:ascii="宋体" w:hAnsi="宋体" w:cs="宋体" w:eastAsia="宋体" w:hint="default"/>
                <w:sz w:val="18"/>
                <w:szCs w:val="18"/>
              </w:rPr>
            </w:pPr>
            <w:r>
              <w:rPr>
                <w:rFonts w:ascii="宋体" w:hAnsi="宋体" w:cs="宋体" w:eastAsia="宋体" w:hint="default"/>
                <w:sz w:val="18"/>
                <w:szCs w:val="18"/>
              </w:rPr>
              <w:t>公司实际控制 人林皓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人管理其直接 或间接持有的 </w:t>
            </w:r>
            <w:r>
              <w:rPr>
                <w:rFonts w:ascii="宋体" w:hAnsi="宋体" w:cs="宋体" w:eastAsia="宋体" w:hint="default"/>
                <w:spacing w:val="-6"/>
                <w:sz w:val="18"/>
                <w:szCs w:val="18"/>
              </w:rPr>
              <w:t>公司股份，也不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由公司回购其 持有的公司股 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2897"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公司法人股东 </w:t>
            </w:r>
            <w:r>
              <w:rPr>
                <w:rFonts w:ascii="宋体" w:hAnsi="宋体" w:cs="宋体" w:eastAsia="宋体" w:hint="default"/>
                <w:spacing w:val="-7"/>
                <w:sz w:val="18"/>
                <w:szCs w:val="18"/>
              </w:rPr>
              <w:t>天越创投、华睿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创投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自公司股票上 市之日起十二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管理其直接或 间接持有的公 </w:t>
            </w:r>
            <w:r>
              <w:rPr>
                <w:rFonts w:ascii="宋体" w:hAnsi="宋体" w:cs="宋体" w:eastAsia="宋体" w:hint="default"/>
                <w:spacing w:val="-6"/>
                <w:sz w:val="18"/>
                <w:szCs w:val="18"/>
              </w:rPr>
              <w:t>司股份，也不由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公司回购其持 有的公司股份。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自公司股票上 市之日起十二 个月内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3835" w:hRule="exact"/>
        </w:trPr>
        <w:tc>
          <w:tcPr>
            <w:tcW w:w="3194"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公司自然人股 东王晓峰、杨 </w:t>
            </w:r>
            <w:r>
              <w:rPr>
                <w:rFonts w:ascii="宋体" w:hAnsi="宋体" w:cs="宋体" w:eastAsia="宋体" w:hint="default"/>
                <w:spacing w:val="-7"/>
                <w:sz w:val="18"/>
                <w:szCs w:val="18"/>
              </w:rPr>
              <w:t>杰、高曦、尹子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健、马承栋、杨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维、哈连琴、王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夏娟、姜涛、吴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振芳、何悦、李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涛、张伶敏、王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峰、程志远、姚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翔、刘兴安、李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敬勋、毕永东、 陈华治</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6"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人管理其直接 或间接持有的 </w:t>
            </w:r>
            <w:r>
              <w:rPr>
                <w:rFonts w:ascii="宋体" w:hAnsi="宋体" w:cs="宋体" w:eastAsia="宋体" w:hint="default"/>
                <w:spacing w:val="-6"/>
                <w:sz w:val="18"/>
                <w:szCs w:val="18"/>
              </w:rPr>
              <w:t>公司股份，也不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由公司回购其 持有的公司股 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713"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58"/>
              <w:jc w:val="left"/>
              <w:rPr>
                <w:rFonts w:ascii="宋体" w:hAnsi="宋体" w:cs="宋体" w:eastAsia="宋体" w:hint="default"/>
                <w:sz w:val="18"/>
                <w:szCs w:val="18"/>
              </w:rPr>
            </w:pPr>
            <w:r>
              <w:rPr>
                <w:rFonts w:ascii="宋体" w:hAnsi="宋体" w:cs="宋体" w:eastAsia="宋体" w:hint="default"/>
                <w:sz w:val="18"/>
                <w:szCs w:val="18"/>
              </w:rPr>
              <w:t>公司自然人股 东檀霞、宗佩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1"/>
              <w:jc w:val="left"/>
              <w:rPr>
                <w:rFonts w:ascii="宋体" w:hAnsi="宋体" w:cs="宋体" w:eastAsia="宋体" w:hint="default"/>
                <w:sz w:val="18"/>
                <w:szCs w:val="18"/>
              </w:rPr>
            </w:pPr>
            <w:r>
              <w:rPr>
                <w:rFonts w:ascii="宋体" w:hAnsi="宋体" w:cs="宋体" w:eastAsia="宋体" w:hint="default"/>
                <w:sz w:val="18"/>
                <w:szCs w:val="18"/>
              </w:rPr>
              <w:t>自公司股票上 市之日起十二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1"/>
              <w:jc w:val="left"/>
              <w:rPr>
                <w:rFonts w:ascii="宋体" w:hAnsi="宋体" w:cs="宋体" w:eastAsia="宋体" w:hint="default"/>
                <w:sz w:val="18"/>
                <w:szCs w:val="18"/>
              </w:rPr>
            </w:pPr>
            <w:r>
              <w:rPr>
                <w:rFonts w:ascii="宋体" w:hAnsi="宋体" w:cs="宋体" w:eastAsia="宋体" w:hint="default"/>
                <w:sz w:val="18"/>
                <w:szCs w:val="18"/>
              </w:rPr>
              <w:t>自公司股票上 市之日起十二</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1286"/>
        <w:gridCol w:w="1265"/>
        <w:gridCol w:w="1277"/>
        <w:gridCol w:w="1277"/>
        <w:gridCol w:w="1272"/>
      </w:tblGrid>
      <w:tr>
        <w:trPr>
          <w:trHeight w:val="2234" w:hRule="exact"/>
        </w:trPr>
        <w:tc>
          <w:tcPr>
            <w:tcW w:w="3194" w:type="dxa"/>
            <w:vMerge w:val="restart"/>
            <w:tcBorders>
              <w:top w:val="single" w:sz="4" w:space="0" w:color="000000"/>
              <w:left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3" w:right="-15"/>
              <w:jc w:val="both"/>
              <w:rPr>
                <w:rFonts w:ascii="宋体" w:hAnsi="宋体" w:cs="宋体" w:eastAsia="宋体" w:hint="default"/>
                <w:sz w:val="18"/>
                <w:szCs w:val="18"/>
              </w:rPr>
            </w:pPr>
            <w:r>
              <w:rPr>
                <w:rFonts w:ascii="宋体" w:hAnsi="宋体" w:cs="宋体" w:eastAsia="宋体" w:hint="default"/>
                <w:spacing w:val="-7"/>
                <w:sz w:val="18"/>
                <w:szCs w:val="18"/>
              </w:rPr>
              <w:t>民、吴荣、冯惠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芬、孙燕琪、冯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巍浩、苑惠、陈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卫华、韩永毅、 </w:t>
            </w:r>
            <w:r>
              <w:rPr>
                <w:rFonts w:ascii="宋体" w:hAnsi="宋体" w:cs="宋体" w:eastAsia="宋体" w:hint="default"/>
                <w:spacing w:val="-7"/>
                <w:sz w:val="18"/>
                <w:szCs w:val="18"/>
              </w:rPr>
              <w:t>胡安政、侯元彬</w:t>
            </w:r>
          </w:p>
        </w:tc>
        <w:tc>
          <w:tcPr>
            <w:tcW w:w="1265"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8"/>
              <w:ind w:left="4" w:right="-17"/>
              <w:jc w:val="left"/>
              <w:rPr>
                <w:rFonts w:ascii="宋体" w:hAnsi="宋体" w:cs="宋体" w:eastAsia="宋体" w:hint="default"/>
                <w:sz w:val="18"/>
                <w:szCs w:val="18"/>
              </w:rPr>
            </w:pP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管理其直接或 间接持有的公 </w:t>
            </w:r>
            <w:r>
              <w:rPr>
                <w:rFonts w:ascii="宋体" w:hAnsi="宋体" w:cs="宋体" w:eastAsia="宋体" w:hint="default"/>
                <w:spacing w:val="-6"/>
                <w:sz w:val="18"/>
                <w:szCs w:val="18"/>
              </w:rPr>
              <w:t>司股份，也不由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公司回购其持 有的公司股份。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8825" w:hRule="exact"/>
        </w:trPr>
        <w:tc>
          <w:tcPr>
            <w:tcW w:w="3194" w:type="dxa"/>
            <w:vMerge/>
            <w:tcBorders>
              <w:left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z w:val="18"/>
                <w:szCs w:val="18"/>
              </w:rPr>
              <w:t>公司董事、监 </w:t>
            </w:r>
            <w:r>
              <w:rPr>
                <w:rFonts w:ascii="宋体" w:hAnsi="宋体" w:cs="宋体" w:eastAsia="宋体" w:hint="default"/>
                <w:spacing w:val="-7"/>
                <w:sz w:val="18"/>
                <w:szCs w:val="18"/>
              </w:rPr>
              <w:t>事、高级管理人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员林皓、杨杰、 高曦、尹子健、 吴荣、马承栋、 杨维</w:t>
            </w:r>
          </w:p>
        </w:tc>
        <w:tc>
          <w:tcPr>
            <w:tcW w:w="1265"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4" w:right="19"/>
              <w:jc w:val="left"/>
              <w:rPr>
                <w:rFonts w:ascii="宋体" w:hAnsi="宋体" w:cs="宋体" w:eastAsia="宋体" w:hint="default"/>
                <w:sz w:val="18"/>
                <w:szCs w:val="18"/>
              </w:rPr>
            </w:pPr>
            <w:r>
              <w:rPr>
                <w:rFonts w:ascii="宋体" w:hAnsi="宋体" w:cs="宋体" w:eastAsia="宋体" w:hint="default"/>
                <w:spacing w:val="-6"/>
                <w:sz w:val="18"/>
                <w:szCs w:val="18"/>
              </w:rPr>
              <w:t>在任职期间，每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年转让的公司 股份不超过其 持有公司股份 总数的百分之 </w:t>
            </w:r>
            <w:r>
              <w:rPr>
                <w:rFonts w:ascii="宋体" w:hAnsi="宋体" w:cs="宋体" w:eastAsia="宋体" w:hint="default"/>
                <w:spacing w:val="-6"/>
                <w:sz w:val="18"/>
                <w:szCs w:val="18"/>
              </w:rPr>
              <w:t>二十五；离职后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半年内，不转让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其持有的公司 </w:t>
            </w:r>
            <w:r>
              <w:rPr>
                <w:rFonts w:ascii="宋体" w:hAnsi="宋体" w:cs="宋体" w:eastAsia="宋体" w:hint="default"/>
                <w:spacing w:val="-6"/>
                <w:sz w:val="18"/>
                <w:szCs w:val="18"/>
              </w:rPr>
              <w:t>股份；在首次公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开发行股票上 市之日起六个 月内申报离职 </w:t>
            </w:r>
            <w:r>
              <w:rPr>
                <w:rFonts w:ascii="宋体" w:hAnsi="宋体" w:cs="宋体" w:eastAsia="宋体" w:hint="default"/>
                <w:spacing w:val="-6"/>
                <w:sz w:val="18"/>
                <w:szCs w:val="18"/>
              </w:rPr>
              <w:t>的，自申报离职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之日起十八个 月内不转让其 直接或者间接 持有的公司股 </w:t>
            </w:r>
            <w:r>
              <w:rPr>
                <w:rFonts w:ascii="宋体" w:hAnsi="宋体" w:cs="宋体" w:eastAsia="宋体" w:hint="default"/>
                <w:spacing w:val="-6"/>
                <w:sz w:val="18"/>
                <w:szCs w:val="18"/>
              </w:rPr>
              <w:t>份；在首次公开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发行股票上市 之日起第七个 月至第十二个 月之间申报离 </w:t>
            </w:r>
            <w:r>
              <w:rPr>
                <w:rFonts w:ascii="宋体" w:hAnsi="宋体" w:cs="宋体" w:eastAsia="宋体" w:hint="default"/>
                <w:spacing w:val="-6"/>
                <w:sz w:val="18"/>
                <w:szCs w:val="18"/>
              </w:rPr>
              <w:t>职的，自申报离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职之日起十二 个月内不转让 其直接或者间 接持有的公司 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2858" w:hRule="exact"/>
        </w:trPr>
        <w:tc>
          <w:tcPr>
            <w:tcW w:w="3194"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z w:val="18"/>
                <w:szCs w:val="18"/>
              </w:rPr>
              <w:t>在王晓娜女士 </w:t>
            </w:r>
            <w:r>
              <w:rPr>
                <w:rFonts w:ascii="宋体" w:hAnsi="宋体" w:cs="宋体" w:eastAsia="宋体" w:hint="default"/>
                <w:spacing w:val="-6"/>
                <w:sz w:val="18"/>
                <w:szCs w:val="18"/>
              </w:rPr>
              <w:t>任职期间，其每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年转让的股份 公司股份不超 过其所持有股 份公司股份总 数的百分之二 </w:t>
            </w:r>
            <w:r>
              <w:rPr>
                <w:rFonts w:ascii="宋体" w:hAnsi="宋体" w:cs="宋体" w:eastAsia="宋体" w:hint="default"/>
                <w:spacing w:val="-6"/>
                <w:sz w:val="18"/>
                <w:szCs w:val="18"/>
              </w:rPr>
              <w:t>十五；在王晓娜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女士离职后半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履行承诺</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8162"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年内，其不转让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直接或者间接 持有的公司股 </w:t>
            </w:r>
            <w:r>
              <w:rPr>
                <w:rFonts w:ascii="宋体" w:hAnsi="宋体" w:cs="宋体" w:eastAsia="宋体" w:hint="default"/>
                <w:spacing w:val="-6"/>
                <w:sz w:val="18"/>
                <w:szCs w:val="18"/>
              </w:rPr>
              <w:t>份；如王晓娜女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士在首次公开 发行股票上市 之日起六个月 内申报离职的， 自王晓娜女士 申报离职之日 起十八个月内 其不转让直接 或者间接持有 </w:t>
            </w:r>
            <w:r>
              <w:rPr>
                <w:rFonts w:ascii="宋体" w:hAnsi="宋体" w:cs="宋体" w:eastAsia="宋体" w:hint="default"/>
                <w:spacing w:val="-6"/>
                <w:sz w:val="18"/>
                <w:szCs w:val="18"/>
              </w:rPr>
              <w:t>的公司股份；如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王晓娜女士在 首次公开发行 股票上市之日 起第七个月至 第十二个月之 间申报离职的， 自王晓娜女士 申报离职之日 起十二个月内 其不转让直接 或者间接持有 的公司股份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bl>
    <w:p>
      <w:pPr>
        <w:spacing w:line="240" w:lineRule="auto" w:before="6"/>
        <w:rPr>
          <w:rFonts w:ascii="Times New Roman" w:hAnsi="Times New Roman" w:cs="Times New Roman" w:eastAsia="Times New Roman" w:hint="default"/>
          <w:sz w:val="20"/>
          <w:szCs w:val="20"/>
        </w:rPr>
      </w:pPr>
    </w:p>
    <w:p>
      <w:pPr>
        <w:pStyle w:val="Heading3"/>
        <w:spacing w:line="314" w:lineRule="exact" w:before="55"/>
        <w:ind w:right="139"/>
        <w:jc w:val="left"/>
        <w:rPr>
          <w:b w:val="0"/>
          <w:bCs w:val="0"/>
        </w:rPr>
      </w:pPr>
      <w:bookmarkStart w:name="2、公司资产或项目存在盈利预测，且报告期仍处在盈利预测期间，公司就资产或项目达到" w:id="86"/>
      <w:bookmarkEnd w:id="86"/>
      <w:r>
        <w:rPr>
          <w:b w:val="0"/>
          <w:bCs w:val="0"/>
        </w:rPr>
      </w: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w:t>
      </w:r>
      <w:r>
        <w:rPr>
          <w:w w:val="99"/>
        </w:rPr>
        <w:t> </w:t>
      </w:r>
      <w:r>
        <w:rPr/>
        <w:t>盈利预测及其原因做出说明</w:t>
      </w:r>
      <w:r>
        <w:rPr>
          <w:b w:val="0"/>
          <w:bCs w:val="0"/>
        </w:rPr>
      </w:r>
    </w:p>
    <w:p>
      <w:pPr>
        <w:spacing w:line="240" w:lineRule="auto" w:before="3"/>
        <w:rPr>
          <w:rFonts w:ascii="宋体" w:hAnsi="宋体" w:cs="宋体" w:eastAsia="宋体" w:hint="default"/>
          <w:b/>
          <w:bCs/>
          <w:sz w:val="24"/>
          <w:szCs w:val="24"/>
        </w:rPr>
      </w:pPr>
    </w:p>
    <w:p>
      <w:pPr>
        <w:pStyle w:val="BodyText"/>
        <w:spacing w:line="360" w:lineRule="auto"/>
        <w:ind w:right="7974"/>
        <w:jc w:val="left"/>
      </w:pPr>
      <w:r>
        <w:rPr/>
        <w:t>无 盈利预测相关披露索引</w:t>
      </w: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7"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注：媒体名称如果是网站则应写出网站链接。</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九、聘任、解聘会计师事务所情况" w:id="87"/>
      <w:bookmarkEnd w:id="87"/>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黄峰 </w:t>
            </w:r>
            <w:r>
              <w:rPr>
                <w:rFonts w:ascii="宋体" w:hAnsi="宋体" w:cs="宋体" w:eastAsia="宋体" w:hint="default"/>
                <w:spacing w:val="2"/>
                <w:sz w:val="18"/>
                <w:szCs w:val="18"/>
              </w:rPr>
              <w:t> </w:t>
            </w:r>
            <w:r>
              <w:rPr>
                <w:rFonts w:ascii="宋体" w:hAnsi="宋体" w:cs="宋体" w:eastAsia="宋体" w:hint="default"/>
                <w:sz w:val="18"/>
                <w:szCs w:val="18"/>
              </w:rPr>
              <w:t>张志明</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是否改聘会计师事务所</w:t>
      </w:r>
    </w:p>
    <w:p>
      <w:pPr>
        <w:pStyle w:val="BodyText"/>
        <w:spacing w:line="340" w:lineRule="auto" w:before="115"/>
        <w:ind w:right="81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原聘任的会计事务所</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是否在审计期间改聘会计师事务所</w:t>
      </w:r>
    </w:p>
    <w:p>
      <w:pPr>
        <w:pStyle w:val="BodyText"/>
        <w:spacing w:line="340" w:lineRule="auto" w:before="115"/>
        <w:ind w:right="68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w:t>
      </w:r>
      <w:r>
        <w:rPr>
          <w:w w:val="99"/>
        </w:rPr>
        <w:t> </w:t>
      </w:r>
      <w:r>
        <w:rPr/>
        <w:t>更换会计师事务所是否履行审批程序</w:t>
      </w:r>
    </w:p>
    <w:p>
      <w:pPr>
        <w:pStyle w:val="BodyText"/>
        <w:spacing w:line="340" w:lineRule="auto" w:before="39"/>
        <w:ind w:left="153" w:right="707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w:t>
      </w:r>
      <w:r>
        <w:rPr>
          <w:w w:val="99"/>
        </w:rPr>
        <w:t> </w:t>
      </w:r>
      <w:r>
        <w:rPr/>
        <w:t>聘任、解聘会计师事务所情况说明</w:t>
      </w:r>
    </w:p>
    <w:p>
      <w:pPr>
        <w:spacing w:line="240" w:lineRule="auto" w:before="11"/>
        <w:rPr>
          <w:rFonts w:ascii="宋体" w:hAnsi="宋体" w:cs="宋体" w:eastAsia="宋体" w:hint="default"/>
          <w:sz w:val="21"/>
          <w:szCs w:val="21"/>
        </w:rPr>
      </w:pPr>
    </w:p>
    <w:p>
      <w:pPr>
        <w:pStyle w:val="Heading3"/>
        <w:spacing w:line="312" w:lineRule="exact"/>
        <w:ind w:right="136"/>
        <w:jc w:val="left"/>
        <w:rPr>
          <w:b w:val="0"/>
          <w:bCs w:val="0"/>
        </w:rPr>
      </w:pPr>
      <w:bookmarkStart w:name="十、上市公司及其董事、监事、高级管理人员、公司股东、实际控制人和收购人处罚及整改" w:id="88"/>
      <w:bookmarkEnd w:id="88"/>
      <w:r>
        <w:rPr>
          <w:b w:val="0"/>
          <w:bCs w:val="0"/>
        </w:rPr>
      </w: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整改情况</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披露媒体</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4554"/>
        <w:jc w:val="left"/>
      </w:pPr>
      <w:r>
        <w:rPr/>
        <w:t>情况说明 上市公司及其子公司是否被列入环保部门公布的污染严重企业名单</w:t>
      </w:r>
    </w:p>
    <w:p>
      <w:pPr>
        <w:pStyle w:val="BodyText"/>
        <w:spacing w:line="340" w:lineRule="auto" w:before="25"/>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48" w:lineRule="auto" w:before="41"/>
        <w:ind w:right="8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存在的问题 整改情况</w:t>
      </w:r>
    </w:p>
    <w:p>
      <w:pPr>
        <w:pStyle w:val="BodyText"/>
        <w:spacing w:line="240" w:lineRule="auto" w:before="36"/>
        <w:ind w:right="0"/>
        <w:jc w:val="left"/>
      </w:pPr>
      <w:r>
        <w:rPr/>
        <w:t>报告期内是否被行政处罚</w:t>
      </w:r>
    </w:p>
    <w:p>
      <w:pPr>
        <w:pStyle w:val="BodyText"/>
        <w:spacing w:line="352" w:lineRule="auto" w:before="115"/>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处罚事项 处罚措施 整改情况</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bookmarkStart w:name="十一、公司股东及其一致行动人在报告期提出或实施股份增持计划的情况" w:id="89"/>
      <w:bookmarkEnd w:id="89"/>
      <w:r>
        <w:rPr>
          <w:b w:val="0"/>
          <w:bCs w:val="0"/>
        </w:rPr>
      </w: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318" w:right="23"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3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二、2012年董事、监事、高级管理人员、持股5%以上的股东违规买卖公司股票情况" w:id="90"/>
      <w:bookmarkEnd w:id="90"/>
      <w:r>
        <w:rPr>
          <w:b w:val="0"/>
          <w:bCs w:val="0"/>
        </w:rPr>
      </w: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48"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49"/>
        <w:ind w:right="0"/>
        <w:jc w:val="left"/>
      </w:pPr>
      <w:r>
        <w:rPr/>
        <w:t>注：上市公司</w:t>
      </w:r>
      <w:r>
        <w:rPr>
          <w:spacing w:val="-46"/>
        </w:rPr>
        <w:t> </w:t>
      </w:r>
      <w:r>
        <w:rPr>
          <w:rFonts w:ascii="Times New Roman" w:hAnsi="Times New Roman" w:cs="Times New Roman" w:eastAsia="Times New Roman" w:hint="default"/>
        </w:rPr>
        <w:t>2012 </w:t>
      </w:r>
      <w:r>
        <w:rPr/>
        <w:t>年发生董事、监事、高级管理人员、持股</w:t>
      </w:r>
      <w:r>
        <w:rPr>
          <w:spacing w:val="-46"/>
        </w:rPr>
        <w:t> </w:t>
      </w:r>
      <w:r>
        <w:rPr>
          <w:rFonts w:ascii="Times New Roman" w:hAnsi="Times New Roman" w:cs="Times New Roman" w:eastAsia="Times New Roman" w:hint="default"/>
        </w:rPr>
        <w:t>5%</w:t>
      </w:r>
      <w:r>
        <w:rPr/>
        <w:t>以上的股东违反相关规定买卖公司股票，或发生其他涉嫌 </w:t>
      </w:r>
      <w:r>
        <w:rPr>
          <w:spacing w:val="-2"/>
        </w:rPr>
        <w:t>违规买卖公司股票且公司已披露将收回涉嫌违规所得收益的，应披露违规买卖公司股票的具体情况、违规所得收益的追缴情</w:t>
      </w:r>
      <w:r>
        <w:rPr>
          <w:spacing w:val="-64"/>
        </w:rPr>
        <w:t> </w:t>
      </w:r>
      <w:r>
        <w:rPr>
          <w:spacing w:val="-64"/>
        </w:rPr>
      </w:r>
      <w:r>
        <w:rPr/>
        <w:t>况以及董事会对相关人员采取的问责措施。</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十三、违规对外担保情况" w:id="91"/>
      <w:bookmarkEnd w:id="91"/>
      <w:r>
        <w:rPr>
          <w:b w:val="0"/>
          <w:bCs w:val="0"/>
        </w:rPr>
      </w:r>
      <w:r>
        <w:rPr/>
        <w:t>十三、违规对外担保情况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3"/>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8"/>
        <w:gridCol w:w="1982"/>
        <w:gridCol w:w="1982"/>
        <w:gridCol w:w="1980"/>
        <w:gridCol w:w="1982"/>
      </w:tblGrid>
      <w:tr>
        <w:trPr>
          <w:trHeight w:val="403" w:hRule="exact"/>
        </w:trPr>
        <w:tc>
          <w:tcPr>
            <w:tcW w:w="1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38"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6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十四、年度报告披露后面临暂停上市和终止上市情况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bookmarkStart w:name="十四、年度报告披露后面临暂停上市和终止上市情况" w:id="92"/>
      <w:bookmarkEnd w:id="92"/>
      <w:r>
        <w:rPr/>
      </w:r>
      <w:r>
        <w:rPr/>
        <w:t>无</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十五、其他重大事项的说明" w:id="93"/>
      <w:bookmarkEnd w:id="93"/>
      <w:r>
        <w:rPr>
          <w:b w:val="0"/>
          <w:bCs w:val="0"/>
        </w:rPr>
      </w:r>
      <w:r>
        <w:rPr/>
        <w:t>十五、其他重大事项的说明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pStyle w:val="BodyText"/>
        <w:spacing w:line="309" w:lineRule="auto" w:before="117"/>
        <w:ind w:right="150"/>
        <w:jc w:val="both"/>
      </w:pPr>
      <w:r>
        <w:rPr>
          <w:spacing w:val="-4"/>
        </w:rPr>
        <w:t>注：</w:t>
      </w:r>
      <w:r>
        <w:rPr>
          <w:rFonts w:ascii="Times New Roman" w:hAnsi="Times New Roman" w:cs="Times New Roman" w:eastAsia="Times New Roman" w:hint="default"/>
          <w:spacing w:val="-4"/>
        </w:rPr>
        <w:t>1</w:t>
      </w:r>
      <w:r>
        <w:rPr>
          <w:spacing w:val="-4"/>
        </w:rPr>
        <w:t>、公司还应披露其他在报告期内发生的《证券法》第六十七条、《上市公司信息披露管理办法》第三十条所列的重大事</w:t>
      </w:r>
      <w:r>
        <w:rPr>
          <w:spacing w:val="-46"/>
        </w:rPr>
        <w:t> </w:t>
      </w:r>
      <w:r>
        <w:rPr>
          <w:spacing w:val="-46"/>
        </w:rPr>
      </w:r>
      <w:r>
        <w:rPr>
          <w:spacing w:val="-2"/>
        </w:rPr>
        <w:t>件，以及公司董事会判断为重大事件的事项。如前款所涉重要事项已作为临时报告在指定网站披露，只需说明信息披露网站</w:t>
      </w:r>
      <w:r>
        <w:rPr>
          <w:spacing w:val="-63"/>
        </w:rPr>
        <w:t> </w:t>
      </w:r>
      <w:r>
        <w:rPr>
          <w:spacing w:val="-63"/>
        </w:rPr>
      </w:r>
      <w:r>
        <w:rPr/>
        <w:t>及披露日期。</w:t>
      </w:r>
    </w:p>
    <w:p>
      <w:pPr>
        <w:pStyle w:val="BodyText"/>
        <w:spacing w:line="240" w:lineRule="auto" w:before="62"/>
        <w:ind w:left="512" w:right="0"/>
        <w:jc w:val="left"/>
      </w:pPr>
      <w:r>
        <w:rPr>
          <w:rFonts w:ascii="Times New Roman" w:hAnsi="Times New Roman" w:cs="Times New Roman" w:eastAsia="Times New Roman" w:hint="default"/>
        </w:rPr>
        <w:t>2</w:t>
      </w:r>
      <w:r>
        <w:rPr/>
        <w:t>、控股子公司发生的本节所列的重要事项应当视同公司的重要事项予以披露。</w:t>
      </w:r>
    </w:p>
    <w:p>
      <w:pPr>
        <w:pStyle w:val="BodyText"/>
        <w:spacing w:line="240" w:lineRule="auto" w:before="103"/>
        <w:ind w:left="512" w:right="0"/>
        <w:jc w:val="left"/>
      </w:pPr>
      <w:r>
        <w:rPr>
          <w:rFonts w:ascii="Times New Roman" w:hAnsi="Times New Roman" w:cs="Times New Roman" w:eastAsia="Times New Roman" w:hint="default"/>
        </w:rPr>
        <w:t>3</w:t>
      </w:r>
      <w:r>
        <w:rPr/>
        <w:t>、公司还应披露其他需要披露的事项，如选定信息披露媒体的变更等。</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539" w:lineRule="exact"/>
        <w:ind w:left="2212" w:right="0"/>
        <w:jc w:val="left"/>
        <w:rPr>
          <w:b w:val="0"/>
          <w:bCs w:val="0"/>
        </w:rPr>
      </w:pPr>
      <w:bookmarkStart w:name="_TOC_250004" w:id="94"/>
      <w:bookmarkStart w:name="第六节 股份变动及股东情况" w:id="95"/>
      <w:r>
        <w:rPr>
          <w:b w:val="0"/>
          <w:bCs w:val="0"/>
        </w:rPr>
      </w:r>
      <w:r>
        <w:rPr/>
        <w:t>第六节</w:t>
      </w:r>
      <w:r>
        <w:rPr>
          <w:spacing w:val="-10"/>
        </w:rPr>
        <w:t> </w:t>
      </w:r>
      <w:r>
        <w:rPr/>
        <w:t>股份变动及股东情况</w:t>
      </w:r>
      <w:bookmarkEnd w:id="94"/>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90"/>
        <w:ind w:right="0"/>
        <w:jc w:val="left"/>
        <w:rPr>
          <w:b w:val="0"/>
          <w:bCs w:val="0"/>
        </w:rPr>
      </w:pPr>
      <w:bookmarkStart w:name="一、股份变动情况" w:id="96"/>
      <w:bookmarkEnd w:id="96"/>
      <w:r>
        <w:rPr>
          <w:b w:val="0"/>
          <w:bCs w:val="0"/>
        </w:rPr>
      </w:r>
      <w:r>
        <w:rPr/>
        <w:t>一、股份变动情况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bookmarkStart w:name="1、股份变动情况" w:id="97"/>
      <w:bookmarkEnd w:id="9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021"/>
        <w:gridCol w:w="842"/>
        <w:gridCol w:w="845"/>
        <w:gridCol w:w="845"/>
        <w:gridCol w:w="842"/>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4D4D4"/>
          </w:tcPr>
          <w:p>
            <w:pP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45"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74.96%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74.96%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8,333,300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16.66%</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8,333,300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12.5%</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83.34%</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62.46%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25.04%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0" w:space="0" w:color="D4D4D4"/>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10" w:space="0" w:color="D4D4D4"/>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97" w:lineRule="auto" w:before="49"/>
        <w:ind w:right="144"/>
        <w:jc w:val="left"/>
      </w:pPr>
      <w:r>
        <w:rPr/>
        <w:t>注：</w:t>
      </w:r>
      <w:r>
        <w:rPr>
          <w:rFonts w:ascii="Times New Roman" w:hAnsi="Times New Roman" w:cs="Times New Roman" w:eastAsia="Times New Roman" w:hint="default"/>
        </w:rPr>
        <w:t>1</w:t>
      </w:r>
      <w:r>
        <w:rPr/>
        <w:t>、有限售条件股份是指股份持有人依照法律、法规规定或按承诺有转让限制的股份，包括因股权分置改革暂时锁定的 股份、内部职工股、机构投资者配售股份、董事、监事、高级管理人员持有股份等。</w:t>
      </w:r>
    </w:p>
    <w:p>
      <w:pPr>
        <w:pStyle w:val="BodyText"/>
        <w:spacing w:line="240" w:lineRule="auto" w:before="74"/>
        <w:ind w:left="512" w:right="0"/>
        <w:jc w:val="left"/>
      </w:pPr>
      <w:r>
        <w:rPr>
          <w:rFonts w:ascii="Times New Roman" w:hAnsi="Times New Roman" w:cs="Times New Roman" w:eastAsia="Times New Roman" w:hint="default"/>
        </w:rPr>
        <w:t>2</w:t>
      </w:r>
      <w:r>
        <w:rPr/>
        <w:t>、国家持股是指有权代表国家投资的机构或部门（如国有资产授权投资机构）持有的上市公司股份。</w:t>
      </w:r>
    </w:p>
    <w:p>
      <w:pPr>
        <w:pStyle w:val="BodyText"/>
        <w:spacing w:line="300" w:lineRule="auto" w:before="103"/>
        <w:ind w:right="144" w:firstLine="360"/>
        <w:jc w:val="left"/>
      </w:pPr>
      <w:r>
        <w:rPr>
          <w:rFonts w:ascii="Times New Roman" w:hAnsi="Times New Roman" w:cs="Times New Roman" w:eastAsia="Times New Roman" w:hint="default"/>
        </w:rPr>
        <w:t>3</w:t>
      </w:r>
      <w:r>
        <w:rPr/>
        <w:t>、国有法人持股是指国有企业、国有独资公司、事业单位以及第一大股东为国有及国有控股企业且国有股权比例合计 超过</w:t>
      </w:r>
      <w:r>
        <w:rPr>
          <w:spacing w:val="-48"/>
        </w:rPr>
        <w:t> </w:t>
      </w:r>
      <w:r>
        <w:rPr>
          <w:rFonts w:ascii="Times New Roman" w:hAnsi="Times New Roman" w:cs="Times New Roman" w:eastAsia="Times New Roman" w:hint="default"/>
        </w:rPr>
        <w:t>50%</w:t>
      </w:r>
      <w:r>
        <w:rPr/>
        <w:t>的有限责任公司或股份有限公司持有的上市公司股份。</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44" w:firstLine="360"/>
        <w:jc w:val="left"/>
      </w:pPr>
      <w:r>
        <w:rPr>
          <w:rFonts w:ascii="Times New Roman" w:hAnsi="Times New Roman" w:cs="Times New Roman" w:eastAsia="Times New Roman" w:hint="default"/>
        </w:rPr>
        <w:t>4</w:t>
      </w:r>
      <w:r>
        <w:rPr/>
        <w:t>、其他内资持股是指境内非国有及国有控股单位（包括民营企业、中外合资企业、外商独资企业等）及境内自然人持 有的上市公司股份。</w:t>
      </w:r>
    </w:p>
    <w:p>
      <w:pPr>
        <w:pStyle w:val="BodyText"/>
        <w:spacing w:line="240" w:lineRule="auto" w:before="72"/>
        <w:ind w:left="512" w:right="0"/>
        <w:jc w:val="left"/>
      </w:pPr>
      <w:r>
        <w:rPr>
          <w:rFonts w:ascii="Times New Roman" w:hAnsi="Times New Roman" w:cs="Times New Roman" w:eastAsia="Times New Roman" w:hint="default"/>
        </w:rPr>
        <w:t>5</w:t>
      </w:r>
      <w:r>
        <w:rPr/>
        <w:t>、外资持股是指境外股东持有的上市公司股份。</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50" w:lineRule="auto"/>
        <w:ind w:right="5099"/>
        <w:jc w:val="left"/>
      </w:pPr>
      <w:r>
        <w:rPr/>
        <w:t>股份变动的原因 报告期内，公司公开发行人民币普通股（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 股份变动的批准情况</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47"/>
        <w:jc w:val="left"/>
      </w:pPr>
      <w:r>
        <w:rPr/>
        <w:t>经中国证券监督管理委员会证监许可</w:t>
      </w:r>
      <w:r>
        <w:rPr>
          <w:rFonts w:ascii="Times New Roman" w:hAnsi="Times New Roman" w:cs="Times New Roman" w:eastAsia="Times New Roman" w:hint="default"/>
        </w:rPr>
        <w:t>[2012]1054</w:t>
      </w:r>
      <w:r>
        <w:rPr>
          <w:rFonts w:ascii="Times New Roman" w:hAnsi="Times New Roman" w:cs="Times New Roman" w:eastAsia="Times New Roman" w:hint="default"/>
          <w:spacing w:val="21"/>
        </w:rPr>
        <w:t> </w:t>
      </w:r>
      <w:r>
        <w:rPr>
          <w:spacing w:val="-3"/>
        </w:rPr>
        <w:t>号文《关于核准北京北信源软件股份有限公司首次公开发行股票并在创业板</w:t>
      </w:r>
      <w:r>
        <w:rPr>
          <w:spacing w:val="-85"/>
        </w:rPr>
        <w:t> </w:t>
      </w:r>
      <w:r>
        <w:rPr>
          <w:spacing w:val="-85"/>
        </w:rPr>
      </w:r>
      <w:r>
        <w:rPr/>
        <w:t>上市的批复》核准，公司公开发行普通股（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1670 </w:t>
      </w:r>
      <w:r>
        <w:rPr/>
        <w:t>万股，并于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12 </w:t>
      </w:r>
      <w:r>
        <w:rPr/>
        <w:t>日在深圳证券交易所创业板上市。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股份变动的过户情况</w:t>
      </w:r>
    </w:p>
    <w:p>
      <w:pPr>
        <w:pStyle w:val="BodyText"/>
        <w:spacing w:line="300" w:lineRule="auto" w:before="117"/>
        <w:ind w:right="234"/>
        <w:jc w:val="left"/>
      </w:pPr>
      <w:r>
        <w:rPr/>
        <w:t>北信源</w:t>
      </w:r>
      <w:r>
        <w:rPr>
          <w:rFonts w:ascii="Times New Roman" w:hAnsi="Times New Roman" w:cs="Times New Roman" w:eastAsia="Times New Roman" w:hint="default"/>
        </w:rPr>
        <w:t>2012</w:t>
      </w:r>
      <w:r>
        <w:rPr/>
        <w:t>年新发行新股</w:t>
      </w:r>
      <w:r>
        <w:rPr>
          <w:rFonts w:ascii="Times New Roman" w:hAnsi="Times New Roman" w:cs="Times New Roman" w:eastAsia="Times New Roman" w:hint="default"/>
        </w:rPr>
        <w:t>1670</w:t>
      </w:r>
      <w:r>
        <w:rPr/>
        <w:t>万股，持有人新增股份已全部在中国证券登记结算有限责任公司深圳分公司办理股份登记手 续。</w:t>
      </w:r>
    </w:p>
    <w:p>
      <w:pPr>
        <w:pStyle w:val="BodyText"/>
        <w:spacing w:line="240" w:lineRule="auto" w:before="72"/>
        <w:ind w:right="0"/>
        <w:jc w:val="left"/>
      </w:pPr>
      <w:r>
        <w:rPr/>
        <w:t>股份变动对最近一年和最近一期基本每股收益和稀释每股收益、归属于公司普通股股东的每股净资产等财务指标的影响</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07" w:lineRule="auto"/>
        <w:ind w:right="144"/>
        <w:jc w:val="left"/>
      </w:pPr>
      <w:r>
        <w:rPr/>
        <w:t>报告期内，公司于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日公开发行新股，总股本由</w:t>
      </w:r>
      <w:r>
        <w:rPr>
          <w:rFonts w:ascii="Times New Roman" w:hAnsi="Times New Roman" w:cs="Times New Roman" w:eastAsia="Times New Roman" w:hint="default"/>
        </w:rPr>
        <w:t>5000</w:t>
      </w:r>
      <w:r>
        <w:rPr/>
        <w:t>万股增至</w:t>
      </w:r>
      <w:r>
        <w:rPr>
          <w:rFonts w:ascii="Times New Roman" w:hAnsi="Times New Roman" w:cs="Times New Roman" w:eastAsia="Times New Roman" w:hint="default"/>
        </w:rPr>
        <w:t>6670</w:t>
      </w:r>
      <w:r>
        <w:rPr/>
        <w:t>万股。本次股份变动，对公司最近一年和最近 一期基本收益和稀释每股收益、归属于公司普通股股东的每股净资产等财务指标的影响如下：报告期公司基本每股收益为 </w:t>
      </w:r>
      <w:r>
        <w:rPr>
          <w:rFonts w:ascii="Times New Roman" w:hAnsi="Times New Roman" w:cs="Times New Roman" w:eastAsia="Times New Roman" w:hint="default"/>
          <w:spacing w:val="-1"/>
        </w:rPr>
        <w:t>1.11</w:t>
      </w:r>
      <w:r>
        <w:rPr>
          <w:spacing w:val="-1"/>
        </w:rPr>
        <w:t>元</w:t>
      </w:r>
      <w:r>
        <w:rPr>
          <w:rFonts w:ascii="Times New Roman" w:hAnsi="Times New Roman" w:cs="Times New Roman" w:eastAsia="Times New Roman" w:hint="default"/>
          <w:spacing w:val="-1"/>
        </w:rPr>
        <w:t>/</w:t>
      </w:r>
      <w:r>
        <w:rPr>
          <w:spacing w:val="-1"/>
        </w:rPr>
        <w:t>股，同比增长</w:t>
      </w:r>
      <w:r>
        <w:rPr>
          <w:rFonts w:ascii="Times New Roman" w:hAnsi="Times New Roman" w:cs="Times New Roman" w:eastAsia="Times New Roman" w:hint="default"/>
          <w:spacing w:val="-1"/>
        </w:rPr>
        <w:t>23.33%</w:t>
      </w:r>
      <w:r>
        <w:rPr>
          <w:spacing w:val="-1"/>
        </w:rPr>
        <w:t>。报告期归属于上市公司股东的每股净资产为</w:t>
      </w:r>
      <w:r>
        <w:rPr>
          <w:rFonts w:ascii="Times New Roman" w:hAnsi="Times New Roman" w:cs="Times New Roman" w:eastAsia="Times New Roman" w:hint="default"/>
          <w:spacing w:val="-1"/>
        </w:rPr>
        <w:t>8.88</w:t>
      </w:r>
      <w:r>
        <w:rPr>
          <w:spacing w:val="-1"/>
        </w:rPr>
        <w:t>元</w:t>
      </w:r>
      <w:r>
        <w:rPr>
          <w:rFonts w:ascii="Times New Roman" w:hAnsi="Times New Roman" w:cs="Times New Roman" w:eastAsia="Times New Roman" w:hint="default"/>
          <w:spacing w:val="-1"/>
        </w:rPr>
        <w:t>/</w:t>
      </w:r>
      <w:r>
        <w:rPr>
          <w:spacing w:val="-1"/>
        </w:rPr>
        <w:t>股，同比增长</w:t>
      </w:r>
      <w:r>
        <w:rPr>
          <w:rFonts w:ascii="Times New Roman" w:hAnsi="Times New Roman" w:cs="Times New Roman" w:eastAsia="Times New Roman" w:hint="default"/>
          <w:spacing w:val="-1"/>
        </w:rPr>
        <w:t>192.24%</w:t>
      </w:r>
      <w:r>
        <w:rPr>
          <w:spacing w:val="-1"/>
        </w:rPr>
        <w:t>，主要系报告期内公</w:t>
      </w:r>
      <w:r>
        <w:rPr>
          <w:spacing w:val="-70"/>
        </w:rPr>
        <w:t> </w:t>
      </w:r>
      <w:r>
        <w:rPr>
          <w:spacing w:val="-70"/>
        </w:rPr>
      </w:r>
      <w:r>
        <w:rPr/>
        <w:t>司发行新股，净资产大幅增加所致。</w:t>
      </w:r>
    </w:p>
    <w:p>
      <w:pPr>
        <w:pStyle w:val="BodyText"/>
        <w:spacing w:line="357" w:lineRule="auto" w:before="67"/>
        <w:ind w:right="5814"/>
        <w:jc w:val="left"/>
      </w:pPr>
      <w:r>
        <w:rPr/>
        <w:t>公司认为必要或证券监管机构要求披露的其他内容 无</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限售股份变动情况" w:id="98"/>
      <w:bookmarkEnd w:id="9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天越创投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华睿创投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檀霞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1,388,900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1,055,550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冯惠芬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冯巍浩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苑惠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陈卫华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韩永毅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胡安政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侯元彬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王夏娟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姜涛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吴振芳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张伶敏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程志远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刘兴安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李敬勋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毕永东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陈华治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1"/>
              <w:jc w:val="right"/>
              <w:rPr>
                <w:rFonts w:ascii="宋体" w:hAnsi="宋体" w:cs="宋体" w:eastAsia="宋体" w:hint="default"/>
                <w:sz w:val="18"/>
                <w:szCs w:val="18"/>
              </w:rPr>
            </w:pPr>
            <w:r>
              <w:rPr>
                <w:rFonts w:ascii="宋体" w:hAnsi="宋体" w:cs="宋体" w:eastAsia="宋体" w:hint="default"/>
                <w:sz w:val="18"/>
                <w:szCs w:val="18"/>
              </w:rPr>
              <w:t>首发限售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614"/>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证券发行与上市情况" w:id="99"/>
      <w:bookmarkEnd w:id="99"/>
      <w:r>
        <w:rPr>
          <w:b w:val="0"/>
          <w:bCs w:val="0"/>
        </w:rPr>
      </w:r>
      <w:r>
        <w:rPr/>
        <w:t>二、证券发行与上市情况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报告期内证券发行情况" w:id="100"/>
      <w:bookmarkEnd w:id="100"/>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16,700,000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16,700,000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8"/>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12" w:right="62"/>
        <w:jc w:val="left"/>
      </w:pPr>
      <w:r>
        <w:rPr/>
        <w:t>证券发行情况的说明 </w:t>
      </w:r>
      <w:r>
        <w:rPr>
          <w:spacing w:val="-1"/>
        </w:rPr>
        <w:t>经中国证券监督管理委员会证监许可</w:t>
      </w:r>
      <w:r>
        <w:rPr>
          <w:rFonts w:ascii="Times New Roman" w:hAnsi="Times New Roman" w:cs="Times New Roman" w:eastAsia="Times New Roman" w:hint="default"/>
          <w:spacing w:val="-1"/>
        </w:rPr>
        <w:t>[2012]1054</w:t>
      </w:r>
      <w:r>
        <w:rPr>
          <w:spacing w:val="-1"/>
        </w:rPr>
        <w:t>号文《关于核准北京北信源软件股份有限公司首次公开发行股票并在创</w:t>
      </w:r>
    </w:p>
    <w:p>
      <w:pPr>
        <w:pStyle w:val="BodyText"/>
        <w:spacing w:line="214" w:lineRule="exact"/>
        <w:ind w:right="62"/>
        <w:jc w:val="left"/>
      </w:pPr>
      <w:r>
        <w:rPr>
          <w:spacing w:val="-3"/>
        </w:rPr>
        <w:t>业板上市的批复》核准，公司公开发行普通股</w:t>
      </w:r>
      <w:r>
        <w:rPr>
          <w:rFonts w:ascii="Times New Roman" w:hAnsi="Times New Roman" w:cs="Times New Roman" w:eastAsia="Times New Roman" w:hint="default"/>
          <w:spacing w:val="-3"/>
        </w:rPr>
        <w:t>1670</w:t>
      </w:r>
      <w:r>
        <w:rPr>
          <w:spacing w:val="-3"/>
        </w:rPr>
        <w:t>万股人民币普通股。本次发行采用网下向询价对象询价配售（以下简称</w:t>
      </w:r>
      <w:r>
        <w:rPr>
          <w:rFonts w:ascii="Times New Roman" w:hAnsi="Times New Roman" w:cs="Times New Roman" w:eastAsia="Times New Roman" w:hint="default"/>
          <w:spacing w:val="-3"/>
        </w:rPr>
        <w:t>“</w:t>
      </w:r>
      <w:r>
        <w:rPr>
          <w:spacing w:val="-3"/>
        </w:rPr>
        <w:t>网</w:t>
      </w:r>
    </w:p>
    <w:p>
      <w:pPr>
        <w:pStyle w:val="BodyText"/>
        <w:spacing w:line="300" w:lineRule="auto" w:before="62"/>
        <w:ind w:right="183"/>
        <w:jc w:val="left"/>
      </w:pPr>
      <w:r>
        <w:rPr>
          <w:spacing w:val="-1"/>
        </w:rPr>
        <w:t>下配售</w:t>
      </w:r>
      <w:r>
        <w:rPr>
          <w:rFonts w:ascii="Times New Roman" w:hAnsi="Times New Roman" w:cs="Times New Roman" w:eastAsia="Times New Roman" w:hint="default"/>
          <w:spacing w:val="-1"/>
        </w:rPr>
        <w:t>”</w:t>
      </w:r>
      <w:r>
        <w:rPr>
          <w:spacing w:val="-1"/>
        </w:rPr>
        <w:t>）与网上向社会公众投资者定价发行（以下简称</w:t>
      </w:r>
      <w:r>
        <w:rPr>
          <w:rFonts w:ascii="Times New Roman" w:hAnsi="Times New Roman" w:cs="Times New Roman" w:eastAsia="Times New Roman" w:hint="default"/>
          <w:spacing w:val="-1"/>
        </w:rPr>
        <w:t>“</w:t>
      </w:r>
      <w:r>
        <w:rPr>
          <w:spacing w:val="-1"/>
        </w:rPr>
        <w:t>网上发行</w:t>
      </w:r>
      <w:r>
        <w:rPr>
          <w:rFonts w:ascii="Times New Roman" w:hAnsi="Times New Roman" w:cs="Times New Roman" w:eastAsia="Times New Roman" w:hint="default"/>
          <w:spacing w:val="-1"/>
        </w:rPr>
        <w:t>”</w:t>
      </w:r>
      <w:r>
        <w:rPr>
          <w:spacing w:val="-1"/>
        </w:rPr>
        <w:t>）相结合的方式，其中网下配售</w:t>
      </w:r>
      <w:r>
        <w:rPr>
          <w:rFonts w:ascii="Times New Roman" w:hAnsi="Times New Roman" w:cs="Times New Roman" w:eastAsia="Times New Roman" w:hint="default"/>
          <w:spacing w:val="-1"/>
        </w:rPr>
        <w:t>506</w:t>
      </w:r>
      <w:r>
        <w:rPr>
          <w:spacing w:val="-1"/>
        </w:rPr>
        <w:t>万股，网上发行</w:t>
      </w:r>
      <w:r>
        <w:rPr>
          <w:rFonts w:ascii="Times New Roman" w:hAnsi="Times New Roman" w:cs="Times New Roman" w:eastAsia="Times New Roman" w:hint="default"/>
          <w:spacing w:val="-1"/>
        </w:rPr>
        <w:t>1164</w:t>
      </w:r>
      <w:r>
        <w:rPr>
          <w:rFonts w:ascii="Times New Roman" w:hAnsi="Times New Roman" w:cs="Times New Roman" w:eastAsia="Times New Roman" w:hint="default"/>
          <w:spacing w:val="-2"/>
        </w:rPr>
        <w:t> </w:t>
      </w:r>
      <w:r>
        <w:rPr/>
        <w:t>万股，发行价格为</w:t>
      </w:r>
      <w:r>
        <w:rPr>
          <w:rFonts w:ascii="Times New Roman" w:hAnsi="Times New Roman" w:cs="Times New Roman" w:eastAsia="Times New Roman" w:hint="default"/>
        </w:rPr>
        <w:t>25</w:t>
      </w:r>
      <w:r>
        <w:rPr/>
        <w:t>元</w:t>
      </w:r>
      <w:r>
        <w:rPr>
          <w:rFonts w:ascii="Times New Roman" w:hAnsi="Times New Roman" w:cs="Times New Roman" w:eastAsia="Times New Roman" w:hint="default"/>
        </w:rPr>
        <w:t>/</w:t>
      </w:r>
      <w:r>
        <w:rPr/>
        <w:t>股。</w:t>
      </w:r>
    </w:p>
    <w:p>
      <w:pPr>
        <w:pStyle w:val="BodyText"/>
        <w:spacing w:line="300" w:lineRule="auto" w:before="13"/>
        <w:ind w:right="62" w:firstLine="434"/>
        <w:jc w:val="left"/>
      </w:pPr>
      <w:r>
        <w:rPr>
          <w:spacing w:val="-2"/>
        </w:rPr>
        <w:t>经深圳证券交易所《关于北京北信源软件股份有限公司人民币普通股股票在创业板上市的通知》（深证上</w:t>
      </w:r>
      <w:r>
        <w:rPr>
          <w:rFonts w:ascii="Times New Roman" w:hAnsi="Times New Roman" w:cs="Times New Roman" w:eastAsia="Times New Roman" w:hint="default"/>
          <w:spacing w:val="-2"/>
        </w:rPr>
        <w:t>[2012]301</w:t>
      </w:r>
      <w:r>
        <w:rPr>
          <w:spacing w:val="-2"/>
        </w:rPr>
        <w:t>号）</w:t>
      </w:r>
      <w:r>
        <w:rPr/>
        <w:t> 同意，本公司发行的人民币普通股股票在深圳证券交易所创业板上市，股票简称</w:t>
      </w:r>
      <w:r>
        <w:rPr>
          <w:rFonts w:ascii="Times New Roman" w:hAnsi="Times New Roman" w:cs="Times New Roman" w:eastAsia="Times New Roman" w:hint="default"/>
        </w:rPr>
        <w:t>“ </w:t>
      </w:r>
      <w:r>
        <w:rPr/>
        <w:t>北信源</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，股票代码</w:t>
      </w:r>
      <w:r>
        <w:rPr>
          <w:rFonts w:ascii="Times New Roman" w:hAnsi="Times New Roman" w:cs="Times New Roman" w:eastAsia="Times New Roman" w:hint="default"/>
        </w:rPr>
        <w:t>“300352”</w:t>
      </w:r>
      <w:r>
        <w:rPr/>
        <w:t>；其中本次</w:t>
      </w:r>
      <w:r>
        <w:rPr>
          <w:spacing w:val="-3"/>
        </w:rPr>
        <w:t> </w:t>
      </w:r>
      <w:r>
        <w:rPr/>
        <w:t>公开发行的</w:t>
      </w:r>
      <w:r>
        <w:rPr>
          <w:rFonts w:ascii="Times New Roman" w:hAnsi="Times New Roman" w:cs="Times New Roman" w:eastAsia="Times New Roman" w:hint="default"/>
        </w:rPr>
        <w:t>1,670</w:t>
      </w:r>
      <w:r>
        <w:rPr/>
        <w:t>万股股票将于</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日起上市交易。</w:t>
      </w:r>
    </w:p>
    <w:p>
      <w:pPr>
        <w:spacing w:line="240" w:lineRule="auto" w:before="0"/>
        <w:rPr>
          <w:rFonts w:ascii="宋体" w:hAnsi="宋体" w:cs="宋体" w:eastAsia="宋体" w:hint="default"/>
          <w:sz w:val="18"/>
          <w:szCs w:val="18"/>
        </w:rPr>
      </w:pPr>
    </w:p>
    <w:p>
      <w:pPr>
        <w:pStyle w:val="BodyText"/>
        <w:spacing w:line="240" w:lineRule="auto" w:before="130"/>
        <w:ind w:right="62"/>
        <w:jc w:val="left"/>
      </w:pPr>
      <w:r>
        <w:rPr/>
        <w:t>注：存续期内利率不同的债券，请分别说明。</w:t>
      </w:r>
    </w:p>
    <w:p>
      <w:pPr>
        <w:spacing w:line="240" w:lineRule="auto" w:before="4"/>
        <w:rPr>
          <w:rFonts w:ascii="宋体" w:hAnsi="宋体" w:cs="宋体" w:eastAsia="宋体" w:hint="default"/>
          <w:sz w:val="25"/>
          <w:szCs w:val="25"/>
        </w:rPr>
      </w:pPr>
    </w:p>
    <w:p>
      <w:pPr>
        <w:pStyle w:val="Heading3"/>
        <w:spacing w:line="240" w:lineRule="auto"/>
        <w:ind w:right="62"/>
        <w:jc w:val="left"/>
        <w:rPr>
          <w:b w:val="0"/>
          <w:bCs w:val="0"/>
        </w:rPr>
      </w:pPr>
      <w:bookmarkStart w:name="2、公司股份总数及股东结构的变动、公司资产和负债结构的变动情况说明" w:id="101"/>
      <w:bookmarkEnd w:id="10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74" w:firstLine="360"/>
        <w:jc w:val="left"/>
      </w:pPr>
      <w:r>
        <w:rPr/>
        <w:t>报告期内，公司经中国证券监督管理委员会证监许可</w:t>
      </w:r>
      <w:r>
        <w:rPr>
          <w:rFonts w:ascii="Times New Roman" w:hAnsi="Times New Roman" w:cs="Times New Roman" w:eastAsia="Times New Roman" w:hint="default"/>
        </w:rPr>
        <w:t>[2012]1054</w:t>
      </w:r>
      <w:r>
        <w:rPr/>
        <w:t>号文核准，于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日首次公开发行人民币普通 股股票（</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万股，每股面值</w:t>
      </w:r>
      <w:r>
        <w:rPr>
          <w:rFonts w:ascii="Times New Roman" w:hAnsi="Times New Roman" w:cs="Times New Roman" w:eastAsia="Times New Roman" w:hint="default"/>
        </w:rPr>
        <w:t>1</w:t>
      </w:r>
      <w:r>
        <w:rPr/>
        <w:t>元。股份总数从</w:t>
      </w:r>
      <w:r>
        <w:rPr>
          <w:rFonts w:ascii="Times New Roman" w:hAnsi="Times New Roman" w:cs="Times New Roman" w:eastAsia="Times New Roman" w:hint="default"/>
        </w:rPr>
        <w:t>5000</w:t>
      </w:r>
      <w:r>
        <w:rPr/>
        <w:t>万股增加至</w:t>
      </w:r>
      <w:r>
        <w:rPr>
          <w:rFonts w:ascii="Times New Roman" w:hAnsi="Times New Roman" w:cs="Times New Roman" w:eastAsia="Times New Roman" w:hint="default"/>
        </w:rPr>
        <w:t>6670</w:t>
      </w:r>
      <w:r>
        <w:rPr/>
        <w:t>万股。公司股东结构由限售股股东股份占</w:t>
      </w:r>
      <w:r>
        <w:rPr>
          <w:rFonts w:ascii="Times New Roman" w:hAnsi="Times New Roman" w:cs="Times New Roman" w:eastAsia="Times New Roman" w:hint="default"/>
        </w:rPr>
        <w:t>100%</w:t>
      </w:r>
      <w:r>
        <w:rPr/>
        <w:t>， 变为限售股股东股份占</w:t>
      </w:r>
      <w:r>
        <w:rPr>
          <w:rFonts w:ascii="Times New Roman" w:hAnsi="Times New Roman" w:cs="Times New Roman" w:eastAsia="Times New Roman" w:hint="default"/>
        </w:rPr>
        <w:t>74.96%</w:t>
      </w:r>
      <w:r>
        <w:rPr/>
        <w:t>、无限售条件流通股股东股份占</w:t>
      </w:r>
      <w:r>
        <w:rPr>
          <w:rFonts w:ascii="Times New Roman" w:hAnsi="Times New Roman" w:cs="Times New Roman" w:eastAsia="Times New Roman" w:hint="default"/>
        </w:rPr>
        <w:t>25.04%</w:t>
      </w:r>
      <w:r>
        <w:rPr/>
        <w:t>，全体股东人数由</w:t>
      </w:r>
      <w:r>
        <w:rPr>
          <w:rFonts w:ascii="Times New Roman" w:hAnsi="Times New Roman" w:cs="Times New Roman" w:eastAsia="Times New Roman" w:hint="default"/>
        </w:rPr>
        <w:t>34</w:t>
      </w:r>
      <w:r>
        <w:rPr/>
        <w:t>人增加至报告期末的</w:t>
      </w:r>
      <w:r>
        <w:rPr>
          <w:rFonts w:ascii="Times New Roman" w:hAnsi="Times New Roman" w:cs="Times New Roman" w:eastAsia="Times New Roman" w:hint="default"/>
        </w:rPr>
        <w:t>3628</w:t>
      </w:r>
      <w:r>
        <w:rPr/>
        <w:t>人。</w:t>
      </w:r>
    </w:p>
    <w:p>
      <w:pPr>
        <w:pStyle w:val="BodyText"/>
        <w:spacing w:line="314" w:lineRule="auto" w:before="53"/>
        <w:ind w:right="62"/>
        <w:jc w:val="left"/>
      </w:pPr>
      <w:r>
        <w:rPr>
          <w:spacing w:val="-2"/>
        </w:rPr>
        <w:t>注：对报告期内因送股、转增股本、配股、增发新股、非公开发行股票、权证行权、实施股权激励计划、企业合并、可转换</w:t>
      </w:r>
      <w:r>
        <w:rPr>
          <w:spacing w:val="-70"/>
        </w:rPr>
        <w:t> </w:t>
      </w:r>
      <w:r>
        <w:rPr>
          <w:spacing w:val="-70"/>
        </w:rPr>
      </w:r>
      <w:r>
        <w:rPr/>
        <w:t>公司债券转股、减资、债券发行或其他原因引起公司股份总数及结构的变动、公司资产负债结构的变动，应予以说明。</w:t>
      </w:r>
    </w:p>
    <w:p>
      <w:pPr>
        <w:spacing w:line="240" w:lineRule="auto" w:before="13"/>
        <w:rPr>
          <w:rFonts w:ascii="宋体" w:hAnsi="宋体" w:cs="宋体" w:eastAsia="宋体" w:hint="default"/>
          <w:sz w:val="20"/>
          <w:szCs w:val="20"/>
        </w:rPr>
      </w:pPr>
    </w:p>
    <w:p>
      <w:pPr>
        <w:pStyle w:val="Heading3"/>
        <w:spacing w:line="240" w:lineRule="auto"/>
        <w:ind w:right="62"/>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62"/>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63"/>
        <w:gridCol w:w="1362"/>
        <w:gridCol w:w="1380"/>
        <w:gridCol w:w="1362"/>
        <w:gridCol w:w="1368"/>
        <w:gridCol w:w="1362"/>
        <w:gridCol w:w="1374"/>
      </w:tblGrid>
      <w:tr>
        <w:trPr>
          <w:trHeight w:val="408" w:hRule="exact"/>
        </w:trPr>
        <w:tc>
          <w:tcPr>
            <w:tcW w:w="27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3,628</w:t>
            </w:r>
          </w:p>
        </w:tc>
        <w:tc>
          <w:tcPr>
            <w:tcW w:w="409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4,930</w:t>
            </w:r>
          </w:p>
        </w:tc>
      </w:tr>
      <w:tr>
        <w:trPr>
          <w:trHeight w:val="39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4D4D4"/>
          </w:tcPr>
          <w:p>
            <w:pPr/>
          </w:p>
        </w:tc>
        <w:tc>
          <w:tcPr>
            <w:tcW w:w="273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63"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80" w:type="dxa"/>
            <w:vMerge/>
            <w:tcBorders>
              <w:left w:val="single" w:sz="4" w:space="0" w:color="000000"/>
              <w:bottom w:val="nil" w:sz="6" w:space="0" w:color="auto"/>
              <w:right w:val="single" w:sz="4" w:space="0" w:color="000000"/>
            </w:tcBorders>
            <w:shd w:val="clear" w:color="auto" w:fill="D4D4D4"/>
          </w:tcPr>
          <w:p>
            <w:pPr/>
          </w:p>
        </w:tc>
        <w:tc>
          <w:tcPr>
            <w:tcW w:w="1362"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c>
          <w:tcPr>
            <w:tcW w:w="13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13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2" w:type="dxa"/>
            <w:vMerge/>
            <w:tcBorders>
              <w:left w:val="single" w:sz="4" w:space="0" w:color="000000"/>
              <w:bottom w:val="single" w:sz="4" w:space="0" w:color="000000"/>
              <w:right w:val="single" w:sz="4" w:space="0" w:color="000000"/>
            </w:tcBorders>
            <w:shd w:val="clear" w:color="auto" w:fill="D4D4D4"/>
          </w:tcPr>
          <w:p>
            <w:pPr/>
          </w:p>
        </w:tc>
        <w:tc>
          <w:tcPr>
            <w:tcW w:w="1374"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48.91%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32,625,000</w:t>
            </w:r>
          </w:p>
        </w:tc>
        <w:tc>
          <w:tcPr>
            <w:tcW w:w="1368" w:type="dxa"/>
            <w:tcBorders>
              <w:top w:val="single" w:sz="21" w:space="0" w:color="D4D4D4"/>
              <w:left w:val="single" w:sz="4" w:space="0" w:color="000000"/>
              <w:bottom w:val="single" w:sz="4" w:space="0" w:color="000000"/>
              <w:right w:val="single" w:sz="4"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32,625,000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浙江天越创业投 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浙江华睿盛银创 业投资有限公司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檀霞</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1,666,650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2.08%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1,388,900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1,388,900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1.58%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1,055,550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1,055,550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1.46%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972,200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冯惠芬</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833,350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799,880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3"/>
        <w:gridCol w:w="1368"/>
        <w:gridCol w:w="1368"/>
        <w:gridCol w:w="1368"/>
        <w:gridCol w:w="1368"/>
        <w:gridCol w:w="1368"/>
        <w:gridCol w:w="1368"/>
      </w:tblGrid>
      <w:tr>
        <w:trPr>
          <w:trHeight w:val="98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7"/>
              <w:jc w:val="both"/>
              <w:rPr>
                <w:rFonts w:ascii="宋体" w:hAnsi="宋体" w:cs="宋体" w:eastAsia="宋体" w:hint="default"/>
                <w:sz w:val="18"/>
                <w:szCs w:val="18"/>
              </w:rPr>
            </w:pPr>
            <w:r>
              <w:rPr>
                <w:rFonts w:ascii="宋体" w:hAnsi="宋体" w:cs="宋体" w:eastAsia="宋体" w:hint="default"/>
                <w:sz w:val="18"/>
                <w:szCs w:val="18"/>
              </w:rPr>
              <w:t>南方绩优成长股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722,890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722,890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3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31" w:type="dxa"/>
            <w:gridSpan w:val="2"/>
            <w:vMerge/>
            <w:tcBorders>
              <w:left w:val="single" w:sz="4" w:space="0" w:color="000000"/>
              <w:bottom w:val="single" w:sz="4" w:space="0" w:color="000000"/>
              <w:right w:val="single" w:sz="4" w:space="0" w:color="000000"/>
            </w:tcBorders>
            <w:shd w:val="clear" w:color="auto" w:fill="D4D4D4"/>
          </w:tcPr>
          <w:p>
            <w:pPr/>
          </w:p>
        </w:tc>
        <w:tc>
          <w:tcPr>
            <w:tcW w:w="4104" w:type="dxa"/>
            <w:gridSpan w:val="3"/>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中国工商银行－南方绩优成长股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799,880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799,880</w:t>
            </w:r>
          </w:p>
        </w:tc>
      </w:tr>
      <w:tr>
        <w:trPr>
          <w:trHeight w:val="1027"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中国农业银行－富国天瑞强势地 区精选混合型开放式证券投资基 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551,871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551,871</w:t>
            </w:r>
          </w:p>
        </w:tc>
      </w:tr>
      <w:tr>
        <w:trPr>
          <w:trHeight w:val="401"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540,740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451,502</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银河行业优选股票 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440,018</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中国建设银行－南方优选成长混 合型证券投资基金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434,386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434,386</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华泰证券股份有限公司客户信用 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329,750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329,750</w:t>
            </w:r>
          </w:p>
        </w:tc>
      </w:tr>
      <w:tr>
        <w:trPr>
          <w:trHeight w:val="40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汉盛证券投资基金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288,283</w:t>
            </w:r>
          </w:p>
        </w:tc>
      </w:tr>
      <w:tr>
        <w:trPr>
          <w:trHeight w:val="713"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中国建设银行－兴全社会责任股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273,600</w:t>
            </w:r>
          </w:p>
        </w:tc>
      </w:tr>
      <w:tr>
        <w:trPr>
          <w:trHeight w:val="715" w:hRule="exact"/>
        </w:trPr>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中信建投证券股份有限公司客户 信用交易担保证券账户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252,841</w:t>
            </w:r>
          </w:p>
        </w:tc>
      </w:tr>
      <w:tr>
        <w:trPr>
          <w:trHeight w:val="1025" w:hRule="exact"/>
        </w:trPr>
        <w:tc>
          <w:tcPr>
            <w:tcW w:w="273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本公司发起人股东之间不存在关联系，也不属于《上市收购管理办法》规定的一致行动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人；未知其他股东之间是否存在关联关系，也未知是否属于《上市公司收购管理办法规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定》的一致行动人。</w:t>
            </w:r>
          </w:p>
        </w:tc>
      </w:tr>
    </w:tbl>
    <w:p>
      <w:pPr>
        <w:pStyle w:val="BodyText"/>
        <w:spacing w:line="240" w:lineRule="auto" w:before="49"/>
        <w:ind w:right="62"/>
        <w:jc w:val="left"/>
      </w:pPr>
      <w:r>
        <w:rPr/>
        <w:t>注：</w:t>
      </w:r>
      <w:r>
        <w:rPr>
          <w:rFonts w:ascii="Times New Roman" w:hAnsi="Times New Roman" w:cs="Times New Roman" w:eastAsia="Times New Roman" w:hint="default"/>
        </w:rPr>
        <w:t>1</w:t>
      </w:r>
      <w:r>
        <w:rPr/>
        <w:t>、股东性质包括国家、国有法人、境内非国有法人、境内自然人、境外法人、境外自然人等。</w:t>
      </w:r>
    </w:p>
    <w:p>
      <w:pPr>
        <w:pStyle w:val="BodyText"/>
        <w:spacing w:line="240" w:lineRule="auto" w:before="103"/>
        <w:ind w:left="512" w:right="62"/>
        <w:jc w:val="left"/>
      </w:pPr>
      <w:r>
        <w:rPr>
          <w:rFonts w:ascii="Times New Roman" w:hAnsi="Times New Roman" w:cs="Times New Roman" w:eastAsia="Times New Roman" w:hint="default"/>
        </w:rPr>
        <w:t>2</w:t>
      </w:r>
      <w:r>
        <w:rPr/>
        <w:t>、股份种类包括人民币普通股、境内上市外资股、境外上市外资股和其他。</w:t>
      </w:r>
    </w:p>
    <w:p>
      <w:pPr>
        <w:spacing w:line="240" w:lineRule="auto" w:before="0"/>
        <w:rPr>
          <w:rFonts w:ascii="宋体" w:hAnsi="宋体" w:cs="宋体" w:eastAsia="宋体" w:hint="default"/>
          <w:sz w:val="24"/>
          <w:szCs w:val="24"/>
        </w:rPr>
      </w:pPr>
    </w:p>
    <w:p>
      <w:pPr>
        <w:pStyle w:val="Heading3"/>
        <w:spacing w:line="240" w:lineRule="auto"/>
        <w:ind w:right="62"/>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5"/>
          <w:szCs w:val="25"/>
        </w:rPr>
      </w:pPr>
    </w:p>
    <w:p>
      <w:pPr>
        <w:pStyle w:val="BodyText"/>
        <w:spacing w:line="309" w:lineRule="auto"/>
        <w:ind w:right="87" w:firstLine="360"/>
        <w:jc w:val="left"/>
      </w:pPr>
      <w:r>
        <w:rPr/>
        <w:t>林皓先生，中国国籍，无境外永久居留权，现任公司董事长、总经理；作为资深信息安全技术专家，林皓先</w:t>
      </w:r>
      <w:r>
        <w:rPr>
          <w:spacing w:val="-18"/>
        </w:rPr>
        <w:t> </w:t>
      </w:r>
      <w:r>
        <w:rPr/>
        <w:t>生长期担</w:t>
      </w:r>
      <w:r>
        <w:rPr/>
        <w:t> 任国家安全部门和公安部门的信息安全技术顾问，在林皓先生牵头负责 </w:t>
      </w:r>
      <w:r>
        <w:rPr>
          <w:spacing w:val="-3"/>
        </w:rPr>
        <w:t>下，公司荣获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年度国家科学技术进步二等奖。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月，当选北信源软件股份有限公司第一届董事会董事长兼总经理。</w:t>
      </w:r>
    </w:p>
    <w:p>
      <w:pPr>
        <w:spacing w:line="240" w:lineRule="auto" w:before="10"/>
        <w:rPr>
          <w:rFonts w:ascii="宋体" w:hAnsi="宋体" w:cs="宋体" w:eastAsia="宋体" w:hint="default"/>
          <w:sz w:val="19"/>
          <w:szCs w:val="19"/>
        </w:rPr>
      </w:pPr>
    </w:p>
    <w:p>
      <w:pPr>
        <w:pStyle w:val="Heading3"/>
        <w:spacing w:line="240" w:lineRule="auto"/>
        <w:ind w:right="62"/>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12" w:right="62"/>
        <w:jc w:val="left"/>
      </w:pPr>
      <w:r>
        <w:rPr/>
        <w:t>公司的实际控制人与控股股东均为林皓先生，现直接持有公司股份比例为</w:t>
      </w:r>
      <w:r>
        <w:rPr>
          <w:rFonts w:ascii="Times New Roman" w:hAnsi="Times New Roman" w:cs="Times New Roman" w:eastAsia="Times New Roman" w:hint="default"/>
        </w:rPr>
        <w:t>48.91%</w:t>
      </w:r>
      <w:r>
        <w:rPr/>
        <w:t>。个人基本情况见本报告关于</w:t>
      </w:r>
      <w:r>
        <w:rPr>
          <w:rFonts w:ascii="Times New Roman" w:hAnsi="Times New Roman" w:cs="Times New Roman" w:eastAsia="Times New Roman" w:hint="default"/>
        </w:rPr>
        <w:t>“</w:t>
      </w:r>
      <w:r>
        <w:rPr/>
        <w:t>公司控</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40" w:lineRule="auto" w:before="44"/>
        <w:ind w:right="5814"/>
        <w:jc w:val="left"/>
      </w:pPr>
      <w:r>
        <w:rPr/>
        <w:t>股股东情况</w:t>
      </w:r>
      <w:r>
        <w:rPr>
          <w:rFonts w:ascii="Times New Roman" w:hAnsi="Times New Roman" w:cs="Times New Roman" w:eastAsia="Times New Roman" w:hint="default"/>
        </w:rPr>
        <w:t>”</w:t>
      </w:r>
      <w:r>
        <w:rPr/>
        <w:t>的介绍。 公司与实际控制人之间的产权及控制关系的方框图</w:t>
      </w:r>
    </w:p>
    <w:p>
      <w:pPr>
        <w:spacing w:line="240" w:lineRule="auto" w:before="12"/>
        <w:rPr>
          <w:rFonts w:ascii="宋体" w:hAnsi="宋体" w:cs="宋体" w:eastAsia="宋体" w:hint="default"/>
          <w:sz w:val="21"/>
          <w:szCs w:val="21"/>
        </w:rPr>
      </w:pPr>
    </w:p>
    <w:p>
      <w:pPr>
        <w:spacing w:line="2929" w:lineRule="exact"/>
        <w:ind w:left="221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491772" cy="186042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3491772" cy="1860423"/>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8"/>
        <w:gridCol w:w="5710"/>
      </w:tblGrid>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信托或其他资产管理的具体方式</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信托管理权限（包括公司股份表决权的行使等）</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涉及的股份数量及占公司已发行股份的比例</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信托或资产管理费用（元）</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合同的期限及变更</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终止的条件</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信托资产处理安排</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合同签订的时间</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其他特别条款</w:t>
            </w:r>
          </w:p>
        </w:tc>
        <w:tc>
          <w:tcPr>
            <w:tcW w:w="5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信托合同或者其他资产管理安排的主要内容</w:t>
            </w:r>
          </w:p>
        </w:tc>
        <w:tc>
          <w:tcPr>
            <w:tcW w:w="5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182"/>
        <w:gridCol w:w="1094"/>
        <w:gridCol w:w="888"/>
        <w:gridCol w:w="1800"/>
        <w:gridCol w:w="1800"/>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9"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1" w:hRule="exact"/>
        </w:trPr>
        <w:tc>
          <w:tcPr>
            <w:tcW w:w="218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5" w:type="dxa"/>
            <w:gridSpan w:val="5"/>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5</w:t>
      </w:r>
      <w:r>
        <w:rPr/>
        <w:t>、前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名有限售条件股东持股数量及限售条件</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bookmarkStart w:name="5、前10名有限售条件股东持股数量及限售条件" w:id="107"/>
            <w:bookmarkEnd w:id="107"/>
            <w:r>
              <w:rPr/>
            </w: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03" w:right="50"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天越创投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华睿创投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4,166,650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檀霞</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1,666,650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1,388,900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1,055,550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972,200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冯惠芬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555,550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冯巍浩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539" w:lineRule="exact"/>
        <w:ind w:left="445" w:right="0"/>
        <w:jc w:val="left"/>
        <w:rPr>
          <w:b w:val="0"/>
          <w:bCs w:val="0"/>
        </w:rPr>
      </w:pPr>
      <w:bookmarkStart w:name="_TOC_250003" w:id="108"/>
      <w:bookmarkStart w:name="第七节 董事、监事、高级管理人员和员工情况" w:id="109"/>
      <w:r>
        <w:rPr>
          <w:b w:val="0"/>
          <w:bCs w:val="0"/>
        </w:rPr>
      </w:r>
      <w:r>
        <w:rPr/>
        <w:t>第七节</w:t>
      </w:r>
      <w:r>
        <w:rPr>
          <w:spacing w:val="-14"/>
        </w:rPr>
        <w:t> </w:t>
      </w:r>
      <w:r>
        <w:rPr/>
        <w:t>董事、监事、高级管理人员和员工情况</w:t>
      </w:r>
      <w:bookmarkEnd w:id="108"/>
      <w:r>
        <w:rPr>
          <w:b w:val="0"/>
          <w:bCs w:val="0"/>
        </w:rPr>
      </w:r>
    </w:p>
    <w:p>
      <w:pPr>
        <w:spacing w:line="240" w:lineRule="auto" w:before="7"/>
        <w:rPr>
          <w:rFonts w:ascii="宋体" w:hAnsi="宋体" w:cs="宋体" w:eastAsia="宋体" w:hint="default"/>
          <w:b/>
          <w:bCs/>
          <w:sz w:val="34"/>
          <w:szCs w:val="34"/>
        </w:rPr>
      </w:pPr>
    </w:p>
    <w:p>
      <w:pPr>
        <w:pStyle w:val="Heading3"/>
        <w:spacing w:line="240" w:lineRule="auto"/>
        <w:ind w:right="0"/>
        <w:jc w:val="left"/>
        <w:rPr>
          <w:b w:val="0"/>
          <w:bCs w:val="0"/>
        </w:rPr>
      </w:pPr>
      <w:bookmarkStart w:name="一、董事、监事和高级管理人员持股变动" w:id="110"/>
      <w:bookmarkEnd w:id="110"/>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BodyText"/>
        <w:spacing w:line="240" w:lineRule="auto" w:before="44"/>
        <w:ind w:left="0" w:right="2214"/>
        <w:jc w:val="right"/>
      </w:pPr>
      <w:r>
        <w:rPr/>
        <w:pict>
          <v:shape style="position:absolute;margin-left:476.88031pt;margin-top:3.831704pt;width:57.75pt;height:31.2pt;mso-position-horizontal-relative:page;mso-position-vertical-relative:paragraph;z-index:-1101520" type="#_x0000_t202" filled="false" stroked="false">
            <v:textbox inset="0,0,0,0">
              <w:txbxContent>
                <w:p>
                  <w:pPr>
                    <w:pStyle w:val="BodyText"/>
                    <w:spacing w:line="203" w:lineRule="exact"/>
                    <w:ind w:left="0" w:right="0"/>
                    <w:jc w:val="left"/>
                  </w:pPr>
                  <w:r>
                    <w:rPr/>
                    <w:t>（股）</w:t>
                  </w:r>
                </w:p>
              </w:txbxContent>
            </v:textbox>
            <w10:wrap type="none"/>
          </v:shape>
        </w:pict>
      </w:r>
      <w:r>
        <w:rPr/>
        <w:pict>
          <v:shape style="position:absolute;margin-left:56.400002pt;margin-top:-63.129295pt;width:478.95pt;height:596.0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84"/>
                    <w:gridCol w:w="682"/>
                    <w:gridCol w:w="684"/>
                    <w:gridCol w:w="67"/>
                    <w:gridCol w:w="614"/>
                    <w:gridCol w:w="684"/>
                    <w:gridCol w:w="70"/>
                    <w:gridCol w:w="614"/>
                  </w:tblGrid>
                  <w:tr>
                    <w:trPr>
                      <w:trHeight w:val="196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7" w:type="dxa"/>
                        <w:tcBorders>
                          <w:top w:val="single" w:sz="4" w:space="0" w:color="000000"/>
                          <w:left w:val="single" w:sz="4" w:space="0" w:color="000000"/>
                          <w:bottom w:val="single" w:sz="4" w:space="0" w:color="000000"/>
                          <w:right w:val="nil" w:sz="6" w:space="0" w:color="auto"/>
                        </w:tcBorders>
                        <w:shd w:val="clear" w:color="auto" w:fill="D4D4D4"/>
                      </w:tcPr>
                      <w:p>
                        <w:pPr/>
                      </w:p>
                    </w:tc>
                    <w:tc>
                      <w:tcPr>
                        <w:tcW w:w="61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316" w:lineRule="auto" w:before="49"/>
                          <w:ind w:left="4"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4D4D4"/>
                      </w:tcPr>
                      <w:p>
                        <w:pPr/>
                      </w:p>
                    </w:tc>
                    <w:tc>
                      <w:tcPr>
                        <w:tcW w:w="61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董事长 兼总经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32,625,</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32,625,</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董事兼 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董事兼 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董事兼 总经理 助理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姚颐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972,200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972,200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84"/>
        <w:gridCol w:w="682"/>
        <w:gridCol w:w="684"/>
        <w:gridCol w:w="682"/>
        <w:gridCol w:w="684"/>
        <w:gridCol w:w="684"/>
      </w:tblGrid>
      <w:tr>
        <w:trPr>
          <w:trHeight w:val="362"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7"/>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崔鹏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241,650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241,650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严惠甜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董事会 秘书兼 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34,255,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34,255,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、职务如是独立董事，需单独注明。</w:t>
      </w:r>
    </w:p>
    <w:p>
      <w:pPr>
        <w:pStyle w:val="BodyText"/>
        <w:spacing w:line="240" w:lineRule="auto" w:before="103"/>
        <w:ind w:left="512" w:right="0"/>
        <w:jc w:val="left"/>
      </w:pPr>
      <w:r>
        <w:rPr>
          <w:rFonts w:ascii="Times New Roman" w:hAnsi="Times New Roman" w:cs="Times New Roman" w:eastAsia="Times New Roman" w:hint="default"/>
        </w:rPr>
        <w:t>2</w:t>
      </w:r>
      <w:r>
        <w:rPr/>
        <w:t>、本报告期初任职，本报告期末不再任职的原董事、监事和高级管理人员的相关情况仍须填写入本表中。</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二、任职情况" w:id="111"/>
      <w:bookmarkEnd w:id="111"/>
      <w:r>
        <w:rPr>
          <w:b w:val="0"/>
          <w:bCs w:val="0"/>
        </w:rPr>
      </w: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p>
    <w:p>
      <w:pPr>
        <w:pStyle w:val="BodyText"/>
        <w:spacing w:line="240" w:lineRule="auto" w:before="103"/>
        <w:ind w:right="0"/>
        <w:jc w:val="left"/>
      </w:pPr>
      <w:r>
        <w:rPr>
          <w:rFonts w:ascii="Times New Roman" w:hAnsi="Times New Roman" w:cs="Times New Roman" w:eastAsia="Times New Roman" w:hint="default"/>
        </w:rPr>
        <w:t>1.</w:t>
      </w:r>
      <w:r>
        <w:rPr/>
        <w:t>董事会成员</w:t>
      </w:r>
    </w:p>
    <w:p>
      <w:pPr>
        <w:pStyle w:val="BodyText"/>
        <w:spacing w:line="300" w:lineRule="auto" w:before="62"/>
        <w:ind w:left="512" w:right="0" w:hanging="1"/>
        <w:jc w:val="left"/>
      </w:pPr>
      <w:r>
        <w:rPr/>
        <w:t>公司目前共有董事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4</w:t>
      </w:r>
      <w:r>
        <w:rPr/>
        <w:t>名。 </w:t>
      </w:r>
      <w:r>
        <w:rPr>
          <w:spacing w:val="-2"/>
        </w:rPr>
        <w:t>林皓，</w:t>
      </w:r>
      <w:r>
        <w:rPr>
          <w:rFonts w:ascii="Times New Roman" w:hAnsi="Times New Roman" w:cs="Times New Roman" w:eastAsia="Times New Roman" w:hint="default"/>
          <w:spacing w:val="-2"/>
        </w:rPr>
        <w:t>1996</w:t>
      </w:r>
      <w:r>
        <w:rPr>
          <w:spacing w:val="-2"/>
        </w:rPr>
        <w:t>年创建北信源有限以来，历任董事长兼总经理。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月，当选北信源第一届董事会董事长兼总经理，任</w:t>
      </w:r>
    </w:p>
    <w:p>
      <w:pPr>
        <w:pStyle w:val="BodyText"/>
        <w:spacing w:line="240" w:lineRule="auto" w:before="13"/>
        <w:ind w:right="0"/>
        <w:jc w:val="left"/>
      </w:pPr>
      <w:r>
        <w:rPr/>
        <w:t>期三年。</w:t>
      </w:r>
    </w:p>
    <w:p>
      <w:pPr>
        <w:pStyle w:val="BodyText"/>
        <w:spacing w:line="300" w:lineRule="auto" w:before="76"/>
        <w:ind w:right="165" w:firstLine="398"/>
        <w:jc w:val="both"/>
      </w:pPr>
      <w:r>
        <w:rPr/>
        <w:t>杨杰，曾任南京中山工贸总公司驻俄罗斯莫斯科办事处负责人、恒生电子股份有限公司深圳分公司总经理，城商</w:t>
      </w:r>
      <w:r>
        <w:rPr>
          <w:rFonts w:ascii="Times New Roman" w:hAnsi="Times New Roman" w:cs="Times New Roman" w:eastAsia="Times New Roman" w:hint="default"/>
        </w:rPr>
        <w:t>/</w:t>
      </w:r>
      <w:r>
        <w:rPr/>
        <w:t>农信 部总经理，深圳奥尊金融信息技术有限公司副总经理，北信源有限董事、副总经理；现任本公司董事、副总经理。</w:t>
      </w:r>
    </w:p>
    <w:p>
      <w:pPr>
        <w:pStyle w:val="BodyText"/>
        <w:spacing w:line="300" w:lineRule="auto" w:before="31"/>
        <w:ind w:right="143" w:firstLine="398"/>
        <w:jc w:val="both"/>
      </w:pPr>
      <w:r>
        <w:rPr/>
        <w:t>高曦，中国国籍，无境外永久居留权，</w:t>
      </w:r>
      <w:r>
        <w:rPr>
          <w:rFonts w:ascii="Times New Roman" w:hAnsi="Times New Roman" w:cs="Times New Roman" w:eastAsia="Times New Roman" w:hint="default"/>
        </w:rPr>
        <w:t>1977</w:t>
      </w:r>
      <w:r>
        <w:rPr>
          <w:rFonts w:ascii="Times New Roman" w:hAnsi="Times New Roman" w:cs="Times New Roman" w:eastAsia="Times New Roman" w:hint="default"/>
          <w:spacing w:val="22"/>
        </w:rPr>
        <w:t> </w:t>
      </w:r>
      <w:r>
        <w:rPr/>
        <w:t>年生，大专。曾任唐山燕山电器有限公司软件开发员，北信源有限董事、 副总经理；现任本公司董事、副</w:t>
      </w:r>
      <w:r>
        <w:rPr>
          <w:spacing w:val="-18"/>
        </w:rPr>
        <w:t> </w:t>
      </w:r>
      <w:r>
        <w:rPr/>
        <w:t>总经理、研发总监。</w:t>
      </w:r>
    </w:p>
    <w:p>
      <w:pPr>
        <w:pStyle w:val="BodyText"/>
        <w:spacing w:line="300" w:lineRule="auto" w:before="31"/>
        <w:ind w:right="150" w:firstLine="398"/>
        <w:jc w:val="both"/>
      </w:pPr>
      <w:r>
        <w:rPr/>
        <w:t>尹子健，中国国籍，无境外永久居留权，</w:t>
      </w:r>
      <w:r>
        <w:rPr>
          <w:rFonts w:ascii="Times New Roman" w:hAnsi="Times New Roman" w:cs="Times New Roman" w:eastAsia="Times New Roman" w:hint="default"/>
        </w:rPr>
        <w:t>1983 </w:t>
      </w:r>
      <w:r>
        <w:rPr>
          <w:spacing w:val="-3"/>
        </w:rPr>
        <w:t>年生，硕士。曾任北信</w:t>
      </w:r>
      <w:r>
        <w:rPr>
          <w:spacing w:val="-44"/>
        </w:rPr>
        <w:t> </w:t>
      </w:r>
      <w:r>
        <w:rPr/>
        <w:t>源有限董事、总经理助理；现任本公司董事、总</w:t>
      </w:r>
      <w:r>
        <w:rPr/>
        <w:t> 经理助理。</w:t>
      </w:r>
    </w:p>
    <w:p>
      <w:pPr>
        <w:pStyle w:val="BodyText"/>
        <w:spacing w:line="312" w:lineRule="auto" w:before="31"/>
        <w:ind w:right="150" w:firstLine="398"/>
        <w:jc w:val="both"/>
      </w:pPr>
      <w:r>
        <w:rPr/>
        <w:t>康伟先生，中国国籍，无境外永久居留权，</w:t>
      </w:r>
      <w:r>
        <w:rPr>
          <w:rFonts w:ascii="Times New Roman" w:hAnsi="Times New Roman" w:cs="Times New Roman" w:eastAsia="Times New Roman" w:hint="default"/>
        </w:rPr>
        <w:t>1976 </w:t>
      </w:r>
      <w:r>
        <w:rPr/>
        <w:t>年生，博士。曾任吉利控</w:t>
      </w:r>
      <w:r>
        <w:rPr>
          <w:spacing w:val="-71"/>
        </w:rPr>
        <w:t> </w:t>
      </w:r>
      <w:r>
        <w:rPr/>
        <w:t>股（杭州）有限公司投资部经理，北信源有</w:t>
      </w:r>
      <w:r>
        <w:rPr/>
        <w:t> 限董事；现任本公司董事，浙江华睿</w:t>
      </w:r>
      <w:r>
        <w:rPr>
          <w:spacing w:val="-18"/>
        </w:rPr>
        <w:t> </w:t>
      </w:r>
      <w:r>
        <w:rPr/>
        <w:t>投资管理有限公司董事，北京梅泰诺通信技术股份有限公司董事，深圳市万兴软件有</w:t>
      </w:r>
      <w:r>
        <w:rPr/>
        <w:t> 限公司董事，深圳茂硕电源科技股份有限公司董事，武汉迪源光电科技有限</w:t>
      </w:r>
      <w:r>
        <w:rPr>
          <w:spacing w:val="-18"/>
        </w:rPr>
        <w:t> </w:t>
      </w:r>
      <w:r>
        <w:rPr/>
        <w:t>公司董事，杭州远方光电信息股份有限公司董</w:t>
      </w:r>
      <w:r>
        <w:rPr/>
        <w:t> 事，浙江宇天科技股份有限公司董</w:t>
      </w:r>
      <w:r>
        <w:rPr>
          <w:spacing w:val="-18"/>
        </w:rPr>
        <w:t> </w:t>
      </w:r>
      <w:r>
        <w:rPr/>
        <w:t>事，浙江双雕数控技术股份有限公司董事，深圳市雷赛智能控制股份有限公司董事。</w:t>
      </w:r>
    </w:p>
    <w:p>
      <w:pPr>
        <w:spacing w:after="0" w:line="312"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17" w:firstLine="398"/>
        <w:jc w:val="both"/>
      </w:pPr>
      <w:r>
        <w:rPr>
          <w:spacing w:val="-3"/>
        </w:rPr>
        <w:t>赵战生，中国国籍，无境外永久居留权，</w:t>
      </w:r>
      <w:r>
        <w:rPr>
          <w:rFonts w:ascii="Times New Roman" w:hAnsi="Times New Roman" w:cs="Times New Roman" w:eastAsia="Times New Roman" w:hint="default"/>
          <w:spacing w:val="-3"/>
        </w:rPr>
        <w:t>1939 </w:t>
      </w:r>
      <w:r>
        <w:rPr>
          <w:spacing w:val="-3"/>
        </w:rPr>
        <w:t>年生，教授。曾任中国</w:t>
      </w:r>
      <w:r>
        <w:rPr>
          <w:spacing w:val="-25"/>
        </w:rPr>
        <w:t> </w:t>
      </w:r>
      <w:r>
        <w:rPr/>
        <w:t>科学院研究生院无线电教研室副主任，中国科学</w:t>
      </w:r>
      <w:r>
        <w:rPr/>
        <w:t> 院 </w:t>
      </w:r>
      <w:r>
        <w:rPr>
          <w:rFonts w:ascii="Times New Roman" w:hAnsi="Times New Roman" w:cs="Times New Roman" w:eastAsia="Times New Roman" w:hint="default"/>
        </w:rPr>
        <w:t>DCS</w:t>
      </w:r>
      <w:r>
        <w:rPr>
          <w:rFonts w:ascii="Times New Roman" w:hAnsi="Times New Roman" w:cs="Times New Roman" w:eastAsia="Times New Roman" w:hint="default"/>
          <w:spacing w:val="7"/>
        </w:rPr>
        <w:t> </w:t>
      </w:r>
      <w:r>
        <w:rPr/>
        <w:t>中心副主任，信息安全国家重点筹建组组长，信息安全国家重点实验室主任，第二届国家信息化咨询委员会委员； 现任本公司独立董事，全国信息安全技术标准化委员会委员、</w:t>
      </w:r>
      <w:r>
        <w:rPr>
          <w:rFonts w:ascii="Times New Roman" w:hAnsi="Times New Roman" w:cs="Times New Roman" w:eastAsia="Times New Roman" w:hint="default"/>
        </w:rPr>
        <w:t>WG7 </w:t>
      </w:r>
      <w:r>
        <w:rPr/>
        <w:t>副组</w:t>
      </w:r>
      <w:r>
        <w:rPr>
          <w:spacing w:val="-52"/>
        </w:rPr>
        <w:t> </w:t>
      </w:r>
      <w:r>
        <w:rPr/>
        <w:t>长，中国密码学会理事，计算机安全专业委员会委</w:t>
      </w:r>
      <w:r>
        <w:rPr/>
        <w:t> 员，信息协会信息安全专业委</w:t>
      </w:r>
      <w:r>
        <w:rPr>
          <w:spacing w:val="-18"/>
        </w:rPr>
        <w:t> </w:t>
      </w:r>
      <w:r>
        <w:rPr/>
        <w:t>员会委员。</w:t>
      </w:r>
    </w:p>
    <w:p>
      <w:pPr>
        <w:pStyle w:val="BodyText"/>
        <w:spacing w:line="309" w:lineRule="auto" w:before="31"/>
        <w:ind w:right="151" w:firstLine="398"/>
        <w:jc w:val="both"/>
      </w:pPr>
      <w:r>
        <w:rPr/>
        <w:t>沈剑飞，中国国籍，无境外永久居留权，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2"/>
        </w:rPr>
        <w:t> </w:t>
      </w:r>
      <w:r>
        <w:rPr/>
        <w:t>年生，经济学博士，教授。曾任北京市昌平区政协教科文卫副主任，军 </w:t>
      </w:r>
      <w:r>
        <w:rPr>
          <w:spacing w:val="-2"/>
        </w:rPr>
        <w:t>队职工高级专业技术职务资格评审委员会委员，华北电力大学教授，广西桂冠电力股份有限公司独立董事；现任本公司独立</w:t>
      </w:r>
      <w:r>
        <w:rPr>
          <w:spacing w:val="-63"/>
        </w:rPr>
        <w:t> </w:t>
      </w:r>
      <w:r>
        <w:rPr>
          <w:spacing w:val="-63"/>
        </w:rPr>
      </w:r>
      <w:r>
        <w:rPr/>
        <w:t>董事，华北电力大学培训学院院长，民建中央科教委员会委员，华北电力大学研究院院长，中国技术经济研究会理事。</w:t>
      </w:r>
    </w:p>
    <w:p>
      <w:pPr>
        <w:pStyle w:val="BodyText"/>
        <w:spacing w:line="300" w:lineRule="auto" w:before="24"/>
        <w:ind w:right="180" w:firstLine="360"/>
        <w:jc w:val="both"/>
      </w:pPr>
      <w:r>
        <w:rPr/>
        <w:t>杨成铭先生，中国国籍，无境外永久居留权，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25"/>
        </w:rPr>
        <w:t> </w:t>
      </w:r>
      <w:r>
        <w:rPr/>
        <w:t>年生，法学博士、博士后，法学教授。曾任北京理工大学法律系书 记、副主任；现任本公司独立董事，</w:t>
      </w:r>
      <w:r>
        <w:rPr>
          <w:spacing w:val="-18"/>
        </w:rPr>
        <w:t> </w:t>
      </w:r>
      <w:r>
        <w:rPr/>
        <w:t>北京理工大学法学院国际法研究所所长、人权法研究中心主任。</w:t>
      </w:r>
    </w:p>
    <w:p>
      <w:pPr>
        <w:pStyle w:val="BodyText"/>
        <w:spacing w:line="300" w:lineRule="auto" w:before="31"/>
        <w:ind w:right="151" w:firstLine="432"/>
        <w:jc w:val="both"/>
      </w:pPr>
      <w:r>
        <w:rPr/>
        <w:t>姚颐女士，中国国籍，无境外永久居留权，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16"/>
        </w:rPr>
        <w:t> </w:t>
      </w:r>
      <w:r>
        <w:rPr/>
        <w:t>年生，博士，副教授。曾任天津财经大学会计系助教；南方证券天津 管理总部主管；现任本公司独立董事，南开大学商学院会计系副教授。</w:t>
      </w:r>
    </w:p>
    <w:p>
      <w:pPr>
        <w:pStyle w:val="BodyText"/>
        <w:spacing w:line="240" w:lineRule="auto" w:before="31"/>
        <w:ind w:right="0"/>
        <w:jc w:val="left"/>
      </w:pPr>
      <w:r>
        <w:rPr>
          <w:rFonts w:ascii="Times New Roman" w:hAnsi="Times New Roman" w:cs="Times New Roman" w:eastAsia="Times New Roman" w:hint="default"/>
        </w:rPr>
        <w:t>2.</w:t>
      </w:r>
      <w:r>
        <w:rPr/>
        <w:t>监事会成员</w:t>
      </w:r>
    </w:p>
    <w:p>
      <w:pPr>
        <w:pStyle w:val="BodyText"/>
        <w:spacing w:line="240" w:lineRule="auto" w:before="62"/>
        <w:ind w:left="531" w:right="0"/>
        <w:jc w:val="left"/>
      </w:pPr>
      <w:r>
        <w:rPr/>
        <w:t>公司现有监事</w:t>
      </w:r>
      <w:r>
        <w:rPr>
          <w:rFonts w:ascii="Times New Roman" w:hAnsi="Times New Roman" w:cs="Times New Roman" w:eastAsia="Times New Roman" w:hint="default"/>
        </w:rPr>
        <w:t>3</w:t>
      </w:r>
      <w:r>
        <w:rPr/>
        <w:t>人，其中职工代表监事</w:t>
      </w:r>
      <w:r>
        <w:rPr>
          <w:rFonts w:ascii="Times New Roman" w:hAnsi="Times New Roman" w:cs="Times New Roman" w:eastAsia="Times New Roman" w:hint="default"/>
        </w:rPr>
        <w:t>1</w:t>
      </w:r>
      <w:r>
        <w:rPr/>
        <w:t>名。</w:t>
      </w:r>
    </w:p>
    <w:p>
      <w:pPr>
        <w:pStyle w:val="BodyText"/>
        <w:spacing w:line="300" w:lineRule="auto" w:before="62"/>
        <w:ind w:right="151" w:firstLine="379"/>
        <w:jc w:val="both"/>
      </w:pPr>
      <w:r>
        <w:rPr/>
        <w:t>吴荣，中国国籍，无境外永久居留权，</w:t>
      </w:r>
      <w:r>
        <w:rPr>
          <w:rFonts w:ascii="Times New Roman" w:hAnsi="Times New Roman" w:cs="Times New Roman" w:eastAsia="Times New Roman" w:hint="default"/>
        </w:rPr>
        <w:t>1975 </w:t>
      </w:r>
      <w:r>
        <w:rPr>
          <w:spacing w:val="-3"/>
        </w:rPr>
        <w:t>年生，本科。曾任乾宇中</w:t>
      </w:r>
      <w:r>
        <w:rPr>
          <w:spacing w:val="-23"/>
        </w:rPr>
        <w:t> </w:t>
      </w:r>
      <w:r>
        <w:rPr/>
        <w:t>服装有限公司北京分公司市场部经理助理，圣罗</w:t>
      </w:r>
      <w:r>
        <w:rPr/>
        <w:t> </w:t>
      </w:r>
      <w:r>
        <w:rPr>
          <w:spacing w:val="-2"/>
        </w:rPr>
        <w:t>兰驻北京办事处</w:t>
      </w:r>
      <w:r>
        <w:rPr>
          <w:rFonts w:ascii="Times New Roman" w:hAnsi="Times New Roman" w:cs="Times New Roman" w:eastAsia="Times New Roman" w:hint="default"/>
          <w:spacing w:val="-2"/>
        </w:rPr>
        <w:t>---</w:t>
      </w:r>
      <w:r>
        <w:rPr>
          <w:spacing w:val="-2"/>
        </w:rPr>
        <w:t>化妆品及香水部媒介主管；现任本公司监事会主席，中国平安人寿保险股份有限公司北京分公司高级业务</w:t>
      </w:r>
      <w:r>
        <w:rPr>
          <w:spacing w:val="-60"/>
        </w:rPr>
        <w:t> </w:t>
      </w:r>
      <w:r>
        <w:rPr>
          <w:spacing w:val="-60"/>
        </w:rPr>
      </w:r>
      <w:r>
        <w:rPr/>
        <w:t>主管。</w:t>
      </w:r>
    </w:p>
    <w:p>
      <w:pPr>
        <w:pStyle w:val="BodyText"/>
        <w:spacing w:line="300" w:lineRule="auto" w:before="31"/>
        <w:ind w:right="160" w:firstLine="379"/>
        <w:jc w:val="both"/>
      </w:pPr>
      <w:r>
        <w:rPr/>
        <w:t>马承栋，中国国籍，无境外永久居留权，</w:t>
      </w:r>
      <w:r>
        <w:rPr>
          <w:rFonts w:ascii="Times New Roman" w:hAnsi="Times New Roman" w:cs="Times New Roman" w:eastAsia="Times New Roman" w:hint="default"/>
        </w:rPr>
        <w:t>1978</w:t>
      </w:r>
      <w:r>
        <w:rPr>
          <w:rFonts w:ascii="Times New Roman" w:hAnsi="Times New Roman" w:cs="Times New Roman" w:eastAsia="Times New Roman" w:hint="default"/>
          <w:spacing w:val="25"/>
        </w:rPr>
        <w:t> </w:t>
      </w:r>
      <w:r>
        <w:rPr/>
        <w:t>年生，大专。曾任北京东方博腾广告公司设计师，北信源有限市场部经 理；现任本公司市场部总监、监事。</w:t>
      </w:r>
    </w:p>
    <w:p>
      <w:pPr>
        <w:pStyle w:val="BodyText"/>
        <w:spacing w:line="300" w:lineRule="auto" w:before="31"/>
        <w:ind w:right="160" w:firstLine="379"/>
        <w:jc w:val="both"/>
      </w:pPr>
      <w:r>
        <w:rPr/>
        <w:t>崔鹏先生，中国国籍，无境外永久居留权，</w:t>
      </w:r>
      <w:r>
        <w:rPr>
          <w:rFonts w:ascii="Times New Roman" w:hAnsi="Times New Roman" w:cs="Times New Roman" w:eastAsia="Times New Roman" w:hint="default"/>
        </w:rPr>
        <w:t>1981</w:t>
      </w:r>
      <w:r>
        <w:rPr>
          <w:rFonts w:ascii="Times New Roman" w:hAnsi="Times New Roman" w:cs="Times New Roman" w:eastAsia="Times New Roman" w:hint="default"/>
          <w:spacing w:val="25"/>
        </w:rPr>
        <w:t> </w:t>
      </w:r>
      <w:r>
        <w:rPr/>
        <w:t>年生，本科。曾任北信源有限技术工程师；现任本公司技术工程师、 职工代表监事。</w:t>
      </w:r>
    </w:p>
    <w:p>
      <w:pPr>
        <w:pStyle w:val="BodyText"/>
        <w:spacing w:line="240" w:lineRule="auto" w:before="31"/>
        <w:ind w:right="0"/>
        <w:jc w:val="left"/>
      </w:pPr>
      <w:r>
        <w:rPr>
          <w:rFonts w:ascii="Times New Roman" w:hAnsi="Times New Roman" w:cs="Times New Roman" w:eastAsia="Times New Roman" w:hint="default"/>
        </w:rPr>
        <w:t>3.</w:t>
      </w:r>
      <w:r>
        <w:rPr/>
        <w:t>高级管理人员</w:t>
      </w:r>
    </w:p>
    <w:p>
      <w:pPr>
        <w:pStyle w:val="BodyText"/>
        <w:spacing w:line="307" w:lineRule="auto" w:before="62"/>
        <w:ind w:left="531" w:right="3832"/>
        <w:jc w:val="left"/>
        <w:rPr>
          <w:rFonts w:ascii="Times New Roman" w:hAnsi="Times New Roman" w:cs="Times New Roman" w:eastAsia="Times New Roman" w:hint="default"/>
        </w:rPr>
      </w:pPr>
      <w:r>
        <w:rPr/>
        <w:t>本公司高级管理人员包括总经理、副总经理、财务负责人及董事会秘书 林皓，总经理，参见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 </w:t>
      </w:r>
      <w:r>
        <w:rPr>
          <w:rFonts w:ascii="Times New Roman" w:hAnsi="Times New Roman" w:cs="Times New Roman" w:eastAsia="Times New Roman" w:hint="default"/>
        </w:rPr>
        <w:t> </w:t>
      </w:r>
      <w:r>
        <w:rPr/>
        <w:t>杨杰，副总经理，参见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 </w:t>
      </w:r>
      <w:r>
        <w:rPr/>
        <w:t>高曦，副总经理，参见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p>
    <w:p>
      <w:pPr>
        <w:pStyle w:val="BodyText"/>
        <w:spacing w:line="300" w:lineRule="auto" w:before="7"/>
        <w:ind w:right="153" w:firstLine="379"/>
        <w:jc w:val="both"/>
      </w:pPr>
      <w:r>
        <w:rPr/>
        <w:t>王晓娜，中国国籍，无境外永久居留权，</w:t>
      </w:r>
      <w:r>
        <w:rPr>
          <w:rFonts w:ascii="Times New Roman" w:hAnsi="Times New Roman" w:cs="Times New Roman" w:eastAsia="Times New Roman" w:hint="default"/>
        </w:rPr>
        <w:t>1975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月生，硕士，注册财务管理师、高级人力资源管理师。曾任北信源 有限副总经理、信源互联总经理，现任北信源副总经理。</w:t>
      </w:r>
    </w:p>
    <w:p>
      <w:pPr>
        <w:pStyle w:val="BodyText"/>
        <w:spacing w:line="300" w:lineRule="auto" w:before="31"/>
        <w:ind w:right="160" w:firstLine="379"/>
        <w:jc w:val="both"/>
      </w:pPr>
      <w:r>
        <w:rPr/>
        <w:t>杨维，中国国籍，无境外永久居留权，</w:t>
      </w:r>
      <w:r>
        <w:rPr>
          <w:rFonts w:ascii="Times New Roman" w:hAnsi="Times New Roman" w:cs="Times New Roman" w:eastAsia="Times New Roman" w:hint="default"/>
        </w:rPr>
        <w:t>1974</w:t>
      </w:r>
      <w:r>
        <w:rPr>
          <w:rFonts w:ascii="Times New Roman" w:hAnsi="Times New Roman" w:cs="Times New Roman" w:eastAsia="Times New Roman" w:hint="default"/>
          <w:spacing w:val="25"/>
        </w:rPr>
        <w:t> </w:t>
      </w:r>
      <w:r>
        <w:rPr/>
        <w:t>年生，硕士。曾任北京市人民政府电子工业办公室人事教育处科员，北京 松下电子部有限公司副课长，北信源有限副总经理；现任本公司副总经理。</w:t>
      </w:r>
    </w:p>
    <w:p>
      <w:pPr>
        <w:pStyle w:val="BodyText"/>
        <w:spacing w:line="300" w:lineRule="auto" w:before="31"/>
        <w:ind w:right="160" w:firstLine="379"/>
        <w:jc w:val="both"/>
      </w:pPr>
      <w:r>
        <w:rPr/>
        <w:t>任佳伟，中国国籍，无境外永久居留权，</w:t>
      </w:r>
      <w:r>
        <w:rPr>
          <w:rFonts w:ascii="Times New Roman" w:hAnsi="Times New Roman" w:cs="Times New Roman" w:eastAsia="Times New Roman" w:hint="default"/>
        </w:rPr>
        <w:t>1983</w:t>
      </w:r>
      <w:r>
        <w:rPr>
          <w:rFonts w:ascii="Times New Roman" w:hAnsi="Times New Roman" w:cs="Times New Roman" w:eastAsia="Times New Roman" w:hint="default"/>
          <w:spacing w:val="25"/>
        </w:rPr>
        <w:t> </w:t>
      </w:r>
      <w:r>
        <w:rPr/>
        <w:t>年生，硕士。曾任普华永道中天会计师事务所高级审计师，瑞银证券有 限责任公司法律合规专员</w:t>
      </w:r>
      <w:r>
        <w:rPr>
          <w:rFonts w:ascii="Times New Roman" w:hAnsi="Times New Roman" w:cs="Times New Roman" w:eastAsia="Times New Roman" w:hint="default"/>
        </w:rPr>
        <w:t>,</w:t>
      </w:r>
      <w:r>
        <w:rPr/>
        <w:t>浙江华睿投资管理有限公司创投基金经理，北京海顿新科技术股份有限公司监事；现任本公司副 总经理、董事会秘书，北京中文在线数字出版股份有限公司监事。</w:t>
      </w:r>
    </w:p>
    <w:p>
      <w:pPr>
        <w:pStyle w:val="BodyText"/>
        <w:spacing w:line="309" w:lineRule="auto" w:before="31"/>
        <w:ind w:right="151" w:firstLine="379"/>
        <w:jc w:val="both"/>
      </w:pPr>
      <w:r>
        <w:rPr/>
        <w:t>严惠甜，中国国籍，无境外永久居留权，</w:t>
      </w:r>
      <w:r>
        <w:rPr>
          <w:rFonts w:ascii="Times New Roman" w:hAnsi="Times New Roman" w:cs="Times New Roman" w:eastAsia="Times New Roman" w:hint="default"/>
        </w:rPr>
        <w:t>1971 </w:t>
      </w:r>
      <w:r>
        <w:rPr>
          <w:spacing w:val="-3"/>
        </w:rPr>
        <w:t>年生，本科。曾任广西</w:t>
      </w:r>
      <w:r>
        <w:rPr>
          <w:spacing w:val="-27"/>
        </w:rPr>
        <w:t> </w:t>
      </w:r>
      <w:r>
        <w:rPr/>
        <w:t>工学院教师，北京蓝色光标市场顾问有限公司会</w:t>
      </w:r>
      <w:r>
        <w:rPr/>
        <w:t> </w:t>
      </w:r>
      <w:r>
        <w:rPr>
          <w:spacing w:val="-2"/>
        </w:rPr>
        <w:t>计，北京建达蓝德科技有限公司财务经理，中科软件集团财务经理，首创资产管理公司项目财务总监，生亿行国际财务顾问</w:t>
      </w:r>
      <w:r>
        <w:rPr>
          <w:spacing w:val="-65"/>
        </w:rPr>
        <w:t> </w:t>
      </w:r>
      <w:r>
        <w:rPr>
          <w:spacing w:val="-65"/>
        </w:rPr>
      </w:r>
      <w:r>
        <w:rPr/>
        <w:t>公司咨询经理；现任本公司财务总监。</w:t>
      </w:r>
    </w:p>
    <w:p>
      <w:pPr>
        <w:spacing w:line="240" w:lineRule="auto" w:before="9"/>
        <w:rPr>
          <w:rFonts w:ascii="宋体" w:hAnsi="宋体" w:cs="宋体" w:eastAsia="宋体" w:hint="default"/>
          <w:sz w:val="25"/>
          <w:szCs w:val="25"/>
        </w:rPr>
      </w:pPr>
    </w:p>
    <w:p>
      <w:pPr>
        <w:pStyle w:val="BodyText"/>
        <w:spacing w:line="240" w:lineRule="auto"/>
        <w:ind w:right="0"/>
        <w:jc w:val="left"/>
      </w:pPr>
      <w:r>
        <w:rPr/>
        <w:t>注：上市公司应披露董事、监事和高级管理人员（包括前任）受证券监管机构处罚的历史情况。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0"/>
        <w:gridCol w:w="1066"/>
        <w:gridCol w:w="1195"/>
        <w:gridCol w:w="1330"/>
        <w:gridCol w:w="1577"/>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38" w:right="55"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2"/>
        <w:rPr>
          <w:rFonts w:ascii="宋体" w:hAnsi="宋体" w:cs="宋体" w:eastAsia="宋体" w:hint="default"/>
          <w:sz w:val="28"/>
          <w:szCs w:val="28"/>
        </w:rPr>
      </w:pPr>
    </w:p>
    <w:p>
      <w:pPr>
        <w:spacing w:line="734" w:lineRule="exact"/>
        <w:ind w:left="14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8.95pt;height:36.75pt;mso-position-horizontal-relative:char;mso-position-vertical-relative:line" coordorigin="0,0" coordsize="9579,735">
            <v:group style="position:absolute;left:23;top:14;width:2;height:704" coordorigin="23,14" coordsize="2,704">
              <v:shape style="position:absolute;left:23;top:14;width:2;height:704" coordorigin="23,14" coordsize="0,704" path="m23,14l23,718e" filled="false" stroked="true" strokeweight="1.08pt" strokecolor="#d4d4d4">
                <v:path arrowok="t"/>
              </v:shape>
            </v:group>
            <v:group style="position:absolute;left:1190;top:14;width:2;height:704" coordorigin="1190,14" coordsize="2,704">
              <v:shape style="position:absolute;left:1190;top:14;width:2;height:704" coordorigin="1190,14" coordsize="0,704" path="m1190,14l1190,718e" filled="false" stroked="true" strokeweight="1.2pt" strokecolor="#d4d4d4">
                <v:path arrowok="t"/>
              </v:shape>
            </v:group>
            <v:group style="position:absolute;left:34;top:14;width:1145;height:353" coordorigin="34,14" coordsize="1145,353">
              <v:shape style="position:absolute;left:34;top:14;width:1145;height:353" coordorigin="34,14" coordsize="1145,353" path="m34,367l1178,367,1178,14,34,14,34,367xe" filled="true" fillcolor="#d4d4d4" stroked="false">
                <v:path arrowok="t"/>
                <v:fill type="solid"/>
              </v:shape>
            </v:group>
            <v:group style="position:absolute;left:34;top:367;width:1145;height:351" coordorigin="34,367" coordsize="1145,351">
              <v:shape style="position:absolute;left:34;top:367;width:1145;height:351" coordorigin="34,367" coordsize="1145,351" path="m34,718l1178,718,1178,367,34,367,34,718xe" filled="true" fillcolor="#d4d4d4" stroked="false">
                <v:path arrowok="t"/>
                <v:fill type="solid"/>
              </v:shape>
            </v:group>
            <v:group style="position:absolute;left:10;top:10;width:1191;height:2" coordorigin="10,10" coordsize="1191,2">
              <v:shape style="position:absolute;left:10;top:10;width:1191;height:2" coordorigin="10,10" coordsize="1191,0" path="m10,10l1200,10e" filled="false" stroked="true" strokeweight=".481pt" strokecolor="#000000">
                <v:path arrowok="t"/>
              </v:shape>
            </v:group>
            <v:group style="position:absolute;left:1210;top:10;width:8360;height:2" coordorigin="1210,10" coordsize="8360,2">
              <v:shape style="position:absolute;left:1210;top:10;width:8360;height:2" coordorigin="1210,10" coordsize="8360,0" path="m1210,10l9569,10e" filled="false" stroked="true" strokeweight=".481pt" strokecolor="#000000">
                <v:path arrowok="t"/>
              </v:shape>
            </v:group>
            <v:group style="position:absolute;left:5;top:5;width:2;height:725" coordorigin="5,5" coordsize="2,725">
              <v:shape style="position:absolute;left:5;top:5;width:2;height:725" coordorigin="5,5" coordsize="0,725" path="m5,5l5,730e" filled="false" stroked="true" strokeweight=".48pt" strokecolor="#000000">
                <v:path arrowok="t"/>
              </v:shape>
            </v:group>
            <v:group style="position:absolute;left:10;top:725;width:1191;height:2" coordorigin="10,725" coordsize="1191,2">
              <v:shape style="position:absolute;left:10;top:725;width:1191;height:2" coordorigin="10,725" coordsize="1191,0" path="m10,725l1200,725e" filled="false" stroked="true" strokeweight=".48pt" strokecolor="#000000">
                <v:path arrowok="t"/>
              </v:shape>
            </v:group>
            <v:group style="position:absolute;left:1205;top:5;width:2;height:725" coordorigin="1205,5" coordsize="2,725">
              <v:shape style="position:absolute;left:1205;top:5;width:2;height:725" coordorigin="1205,5" coordsize="0,725" path="m1205,5l1205,730e" filled="false" stroked="true" strokeweight=".481pt" strokecolor="#000000">
                <v:path arrowok="t"/>
              </v:shape>
            </v:group>
            <v:group style="position:absolute;left:1210;top:725;width:8360;height:2" coordorigin="1210,725" coordsize="8360,2">
              <v:shape style="position:absolute;left:1210;top:725;width:8360;height:2" coordorigin="1210,725" coordsize="8360,0" path="m1210,725l9569,725e" filled="false" stroked="true" strokeweight=".48pt" strokecolor="#000000">
                <v:path arrowok="t"/>
              </v:shape>
            </v:group>
            <v:group style="position:absolute;left:9574;top:5;width:2;height:725" coordorigin="9574,5" coordsize="2,725">
              <v:shape style="position:absolute;left:9574;top:5;width:2;height:725" coordorigin="9574,5" coordsize="0,725" path="m9574,5l9574,730e" filled="false" stroked="true" strokeweight=".48pt" strokecolor="#000000">
                <v:path arrowok="t"/>
              </v:shape>
              <v:shape style="position:absolute;left:6;top:10;width:1199;height:716" type="#_x0000_t202" filled="false" stroked="false">
                <v:textbox inset="0,0,0,0">
                  <w:txbxContent>
                    <w:p>
                      <w:pPr>
                        <w:spacing w:line="316" w:lineRule="auto" w:before="53"/>
                        <w:ind w:left="27" w:right="89" w:firstLine="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xbxContent>
                </v:textbox>
                <w10:wrap type="none"/>
              </v:shape>
            </v:group>
          </v:group>
        </w:pict>
      </w:r>
      <w:r>
        <w:rPr>
          <w:rFonts w:ascii="宋体" w:hAnsi="宋体" w:cs="宋体" w:eastAsia="宋体" w:hint="default"/>
          <w:position w:val="-14"/>
          <w:sz w:val="20"/>
          <w:szCs w:val="20"/>
        </w:rPr>
      </w:r>
    </w:p>
    <w:p>
      <w:pPr>
        <w:pStyle w:val="BodyText"/>
        <w:spacing w:line="240" w:lineRule="auto" w:before="44"/>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浙江华睿投资管理有限公司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2004.10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北京梅泰诺通信技术股份有限公司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2009.2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深圳茂硕电源科技股份有限公司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武汉迪源光电科技有限公司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全国信息安全技术标准化委员会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02"/>
              <w:jc w:val="left"/>
              <w:rPr>
                <w:rFonts w:ascii="宋体" w:hAnsi="宋体" w:cs="宋体" w:eastAsia="宋体" w:hint="default"/>
                <w:sz w:val="18"/>
                <w:szCs w:val="18"/>
              </w:rPr>
            </w:pPr>
            <w:r>
              <w:rPr>
                <w:rFonts w:ascii="宋体" w:hAnsi="宋体" w:cs="宋体" w:eastAsia="宋体" w:hint="default"/>
                <w:sz w:val="18"/>
                <w:szCs w:val="18"/>
              </w:rPr>
              <w:t>委员、</w:t>
            </w:r>
            <w:r>
              <w:rPr>
                <w:rFonts w:ascii="Times New Roman" w:hAnsi="Times New Roman" w:cs="Times New Roman" w:eastAsia="Times New Roman" w:hint="default"/>
                <w:sz w:val="18"/>
                <w:szCs w:val="18"/>
              </w:rPr>
              <w:t>WG7</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副组长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1999.9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中国密码学会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1999.9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计算机安全专业委员会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1999.9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信息协会信息安全专业委员会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1999.9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华北电力大学培训学院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2004.9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贵州黔源电力股份有限公司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民建中央科教委员会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1999.1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中国技术经济研究会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北京理工大学法学院国际法研究所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2008.12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北京理工大学法学院人权法研究中心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2008.12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南开大学商学院会计系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2006.9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中国平安保险</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高级业务主 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三、董事、监事、高级管理人员报酬情况" w:id="112"/>
      <w:bookmarkEnd w:id="112"/>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5974"/>
      </w:tblGrid>
      <w:tr>
        <w:trPr>
          <w:trHeight w:val="1339"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
                <w:sz w:val="18"/>
                <w:szCs w:val="18"/>
              </w:rPr>
              <w:t>公司董事、监报酬由股东大会决定，高级管理人员报酬由董事会决定；在公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司担任职务的董事、监事、高级管理人员报酬由公司根据单人的其他职务支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付，董事、监事不另外支付津贴。独立董事津贴根据股东大会所通过的决议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来进行支付。</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依据公司盈利水平及各董事、监事、高级管理人员的分工及履行情况确定</w:t>
            </w:r>
          </w:p>
        </w:tc>
      </w:tr>
      <w:tr>
        <w:trPr>
          <w:trHeight w:val="392" w:hRule="exact"/>
        </w:trPr>
        <w:tc>
          <w:tcPr>
            <w:tcW w:w="3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年实际支付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162.13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2"/>
        <w:rPr>
          <w:rFonts w:ascii="宋体" w:hAnsi="宋体" w:cs="宋体" w:eastAsia="宋体" w:hint="default"/>
          <w:b/>
          <w:bCs/>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3;top:14;width:2;height:353" coordorigin="23,14" coordsize="2,353">
              <v:shape style="position:absolute;left:23;top:14;width:2;height:353" coordorigin="23,14" coordsize="0,353" path="m23,14l23,367e" filled="false" stroked="true" strokeweight="1.08pt" strokecolor="#d4d4d4">
                <v:path arrowok="t"/>
              </v:shape>
            </v:group>
            <v:group style="position:absolute;left:3584;top:14;width:2;height:353" coordorigin="3584,14" coordsize="2,353">
              <v:shape style="position:absolute;left:3584;top:14;width:2;height:353" coordorigin="3584,14" coordsize="0,353" path="m3584,14l3584,367e" filled="false" stroked="true" strokeweight="1.08pt" strokecolor="#d4d4d4">
                <v:path arrowok="t"/>
              </v:shape>
            </v:group>
            <v:group style="position:absolute;left:34;top:14;width:3540;height:353" coordorigin="34,14" coordsize="3540,353">
              <v:shape style="position:absolute;left:34;top:14;width:3540;height:353" coordorigin="34,14" coordsize="3540,353" path="m34,367l3574,367,3574,14,34,14,34,367xe" filled="true" fillcolor="#d4d4d4" stroked="false">
                <v:path arrowok="t"/>
                <v:fill type="solid"/>
              </v:shape>
            </v:group>
            <v:group style="position:absolute;left:10;top:10;width:3586;height:2" coordorigin="10,10" coordsize="3586,2">
              <v:shape style="position:absolute;left:10;top:10;width:3586;height:2" coordorigin="10,10" coordsize="3586,0" path="m10,10l3595,10e" filled="false" stroked="true" strokeweight=".481pt" strokecolor="#000000">
                <v:path arrowok="t"/>
              </v:shape>
            </v:group>
            <v:group style="position:absolute;left:3605;top:10;width:5965;height:2" coordorigin="3605,10" coordsize="5965,2">
              <v:shape style="position:absolute;left:3605;top:10;width:5965;height:2" coordorigin="3605,10" coordsize="5965,0" path="m3605,10l9569,10e" filled="false" stroked="true" strokeweight=".481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586;height:2" coordorigin="10,372" coordsize="3586,2">
              <v:shape style="position:absolute;left:10;top:372;width:3586;height:2" coordorigin="10,372" coordsize="3586,0" path="m10,372l3595,372e" filled="false" stroked="true" strokeweight=".48pt" strokecolor="#000000">
                <v:path arrowok="t"/>
              </v:shape>
            </v:group>
            <v:group style="position:absolute;left:3600;top:5;width:2;height:372" coordorigin="3600,5" coordsize="2,372">
              <v:shape style="position:absolute;left:3600;top:5;width:2;height:372" coordorigin="3600,5" coordsize="0,372" path="m3600,5l3600,377e" filled="false" stroked="true" strokeweight=".48pt" strokecolor="#000000">
                <v:path arrowok="t"/>
              </v:shape>
            </v:group>
            <v:group style="position:absolute;left:3605;top:372;width:5965;height:2" coordorigin="3605,372" coordsize="5965,2">
              <v:shape style="position:absolute;left:3605;top:372;width:5965;height:2" coordorigin="3605,372" coordsize="5965,0" path="m360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4;top:7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195"/>
        <w:gridCol w:w="1603"/>
        <w:gridCol w:w="790"/>
        <w:gridCol w:w="1195"/>
        <w:gridCol w:w="1195"/>
        <w:gridCol w:w="1198"/>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林皓</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242,600.00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242,600.00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董事兼副总经理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222,600.00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高曦</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董事兼副总经理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140,600.00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尹子健</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董事兼总经理助理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97,600.00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康伟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沈剑飞</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杨成铭</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姚颐</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吴荣</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马承栋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94,000.00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崔鹏</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60,600.00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王晓娜</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122,600.00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132,600.00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严惠甜</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180,000.00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任佳伟</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16" w:right="74" w:hanging="540"/>
              <w:jc w:val="left"/>
              <w:rPr>
                <w:rFonts w:ascii="宋体" w:hAnsi="宋体" w:cs="宋体" w:eastAsia="宋体" w:hint="default"/>
                <w:sz w:val="18"/>
                <w:szCs w:val="18"/>
              </w:rPr>
            </w:pPr>
            <w:r>
              <w:rPr>
                <w:rFonts w:ascii="宋体" w:hAnsi="宋体" w:cs="宋体" w:eastAsia="宋体" w:hint="default"/>
                <w:sz w:val="18"/>
                <w:szCs w:val="18"/>
              </w:rPr>
              <w:t>董事会秘书兼副总 经理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128,100.00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1,621,300.00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1,621,300.00</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9"/>
        <w:gridCol w:w="955"/>
        <w:gridCol w:w="958"/>
        <w:gridCol w:w="955"/>
        <w:gridCol w:w="958"/>
        <w:gridCol w:w="958"/>
        <w:gridCol w:w="955"/>
        <w:gridCol w:w="958"/>
        <w:gridCol w:w="958"/>
        <w:gridCol w:w="958"/>
      </w:tblGrid>
      <w:tr>
        <w:trPr>
          <w:trHeight w:val="1338" w:hRule="exact"/>
        </w:trPr>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0"/>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8"/>
                <w:sz w:val="18"/>
                <w:szCs w:val="18"/>
              </w:rPr>
              <w:t>权价格（元</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1" w:hRule="exact"/>
        </w:trPr>
        <w:tc>
          <w:tcPr>
            <w:tcW w:w="95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4D4D4"/>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四、公司董事、监事、高级管理人员变动情况" w:id="113"/>
      <w:bookmarkEnd w:id="113"/>
      <w:r>
        <w:rPr>
          <w:b w:val="0"/>
          <w:bCs w:val="0"/>
        </w:rPr>
      </w: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39"/>
        <w:jc w:val="left"/>
      </w:pPr>
      <w:bookmarkStart w:name="五、报告期核心技术团队或关键技术人员变动情况（非董事、监事、高级管理人员）" w:id="114"/>
      <w:bookmarkEnd w:id="114"/>
      <w:r>
        <w:rPr/>
      </w:r>
      <w:r>
        <w:rPr/>
        <w:t>无 </w:t>
      </w:r>
      <w:r>
        <w:rPr>
          <w:spacing w:val="-2"/>
        </w:rPr>
        <w:t>注：公司应披露核心技术团队或关键技术人员（非董事、监事、高级管理人员）等对公司核心竞争能力有重大影响的人员的</w:t>
      </w:r>
      <w:r>
        <w:rPr>
          <w:spacing w:val="-67"/>
        </w:rPr>
        <w:t> </w:t>
      </w:r>
      <w:r>
        <w:rPr>
          <w:spacing w:val="-67"/>
        </w:rPr>
      </w:r>
      <w:r>
        <w:rPr/>
        <w:t>变动情况，并说明变动对公司经营的影响及公司采取的应对措施。</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六、公司员工情况" w:id="115"/>
      <w:bookmarkEnd w:id="115"/>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日，公司在册员工人数为</w:t>
      </w:r>
      <w:r>
        <w:rPr>
          <w:rFonts w:ascii="Times New Roman" w:hAnsi="Times New Roman" w:cs="Times New Roman" w:eastAsia="Times New Roman" w:hint="default"/>
        </w:rPr>
        <w:t>630</w:t>
      </w:r>
      <w:r>
        <w:rPr/>
        <w:t>人，员工构成情况如下：</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rFonts w:ascii="Times New Roman" w:hAnsi="Times New Roman" w:cs="Times New Roman" w:eastAsia="Times New Roman" w:hint="default"/>
        </w:rPr>
        <w:t>1.</w:t>
      </w:r>
      <w:r>
        <w:rPr/>
        <w:t>员工专业结构</w:t>
      </w:r>
    </w:p>
    <w:p>
      <w:pPr>
        <w:spacing w:line="240" w:lineRule="auto" w:before="4"/>
        <w:rPr>
          <w:rFonts w:ascii="宋体" w:hAnsi="宋体" w:cs="宋体" w:eastAsia="宋体" w:hint="default"/>
          <w:sz w:val="16"/>
          <w:szCs w:val="16"/>
        </w:rPr>
      </w:pPr>
    </w:p>
    <w:p>
      <w:pPr>
        <w:spacing w:line="1650" w:lineRule="exact"/>
        <w:ind w:left="160"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2873721" cy="1047750"/>
            <wp:effectExtent l="0" t="0" r="0" b="0"/>
            <wp:docPr id="5" name="image3.png" descr="C:\Users\Jason-w\AppData\Roaming\Tencent\Users\1197177831\QQ\WinTemp\RichOle\%@MQW8CA_K07[ZV%P{[H3V7.jpg"/>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2873721" cy="104775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w:t>
      </w:r>
      <w:r>
        <w:rPr/>
        <w:t>员工受教育程度</w:t>
      </w:r>
    </w:p>
    <w:p>
      <w:pPr>
        <w:spacing w:line="240" w:lineRule="auto" w:before="10"/>
        <w:rPr>
          <w:rFonts w:ascii="宋体" w:hAnsi="宋体" w:cs="宋体" w:eastAsia="宋体" w:hint="default"/>
          <w:sz w:val="13"/>
          <w:szCs w:val="13"/>
        </w:rPr>
      </w:pPr>
    </w:p>
    <w:p>
      <w:pPr>
        <w:spacing w:line="1637" w:lineRule="exact"/>
        <w:ind w:left="152"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273.4pt;height:81.850pt;mso-position-horizontal-relative:char;mso-position-vertical-relative:line" coordorigin="0,0" coordsize="5468,1637">
            <v:shape style="position:absolute;left:8;top:0;width:5460;height:1634" type="#_x0000_t75" alt="?" stroked="false">
              <v:imagedata r:id="rId17" o:title=""/>
            </v:shape>
            <v:group style="position:absolute;left:8;top:10;width:2;height:1620" coordorigin="8,10" coordsize="2,1620">
              <v:shape style="position:absolute;left:8;top:10;width:2;height:1620" coordorigin="8,10" coordsize="0,1620" path="m8,10l8,1630e" filled="false" stroked="true" strokeweight=".75pt" strokecolor="#000000">
                <v:path arrowok="t"/>
              </v:shape>
            </v:group>
            <v:group style="position:absolute;left:8;top:10;width:5445;height:2" coordorigin="8,10" coordsize="5445,2">
              <v:shape style="position:absolute;left:8;top:10;width:5445;height:2" coordorigin="8,10" coordsize="5445,0" path="m8,10l5453,10e" filled="false" stroked="true" strokeweight=".75pt" strokecolor="#000000">
                <v:path arrowok="t"/>
              </v:shape>
            </v:group>
          </v:group>
        </w:pict>
      </w:r>
      <w:r>
        <w:rPr>
          <w:rFonts w:ascii="宋体" w:hAnsi="宋体" w:cs="宋体" w:eastAsia="宋体" w:hint="default"/>
          <w:position w:val="-32"/>
          <w:sz w:val="20"/>
          <w:szCs w:val="20"/>
        </w:rPr>
      </w: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rFonts w:ascii="Times New Roman" w:hAnsi="Times New Roman" w:cs="Times New Roman" w:eastAsia="Times New Roman" w:hint="default"/>
        </w:rPr>
        <w:t>3.</w:t>
      </w:r>
      <w:r>
        <w:rPr/>
        <w:t>员工年龄分布</w:t>
      </w:r>
    </w:p>
    <w:p>
      <w:pPr>
        <w:spacing w:line="240" w:lineRule="auto" w:before="10"/>
        <w:rPr>
          <w:rFonts w:ascii="宋体" w:hAnsi="宋体" w:cs="宋体" w:eastAsia="宋体" w:hint="default"/>
          <w:sz w:val="13"/>
          <w:szCs w:val="13"/>
        </w:rPr>
      </w:pPr>
    </w:p>
    <w:p>
      <w:pPr>
        <w:spacing w:line="1633" w:lineRule="exact"/>
        <w:ind w:left="152"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236.55pt;height:81.7pt;mso-position-horizontal-relative:char;mso-position-vertical-relative:line" coordorigin="0,0" coordsize="4731,1634">
            <v:shape style="position:absolute;left:8;top:0;width:4723;height:1634" type="#_x0000_t75" alt="?" stroked="false">
              <v:imagedata r:id="rId18" o:title=""/>
            </v:shape>
            <v:group style="position:absolute;left:8;top:19;width:4710;height:2" coordorigin="8,19" coordsize="4710,2">
              <v:shape style="position:absolute;left:8;top:19;width:4710;height:2" coordorigin="8,19" coordsize="4710,0" path="m8,19l4718,19e" filled="false" stroked="true" strokeweight=".75pt" strokecolor="#000000">
                <v:path arrowok="t"/>
              </v:shape>
            </v:group>
            <v:group style="position:absolute;left:8;top:19;width:2;height:1605" coordorigin="8,19" coordsize="2,1605">
              <v:shape style="position:absolute;left:8;top:19;width:2;height:1605" coordorigin="8,19" coordsize="0,1605" path="m8,19l8,1624e" filled="false" stroked="true" strokeweight=".75pt" strokecolor="#000000">
                <v:path arrowok="t"/>
              </v:shape>
            </v:group>
          </v:group>
        </w:pict>
      </w:r>
      <w:r>
        <w:rPr>
          <w:rFonts w:ascii="宋体" w:hAnsi="宋体" w:cs="宋体" w:eastAsia="宋体" w:hint="default"/>
          <w:position w:val="-32"/>
          <w:sz w:val="20"/>
          <w:szCs w:val="20"/>
        </w:rPr>
      </w:r>
    </w:p>
    <w:p>
      <w:pPr>
        <w:spacing w:after="0" w:line="1633"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539" w:lineRule="exact"/>
        <w:ind w:left="3316" w:right="62"/>
        <w:jc w:val="left"/>
        <w:rPr>
          <w:b w:val="0"/>
          <w:bCs w:val="0"/>
        </w:rPr>
      </w:pPr>
      <w:bookmarkStart w:name="_TOC_250002" w:id="116"/>
      <w:bookmarkStart w:name="第八节 公司治理" w:id="117"/>
      <w:r>
        <w:rPr>
          <w:b w:val="0"/>
          <w:bCs w:val="0"/>
        </w:rPr>
      </w:r>
      <w:r>
        <w:rPr/>
        <w:t>第八节</w:t>
      </w:r>
      <w:r>
        <w:rPr>
          <w:spacing w:val="-7"/>
        </w:rPr>
        <w:t> </w:t>
      </w:r>
      <w:r>
        <w:rPr/>
        <w:t>公司治理</w:t>
      </w:r>
      <w:bookmarkEnd w:id="116"/>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88"/>
        <w:ind w:right="62"/>
        <w:jc w:val="left"/>
        <w:rPr>
          <w:b w:val="0"/>
          <w:bCs w:val="0"/>
        </w:rPr>
      </w:pPr>
      <w:bookmarkStart w:name="一、公司治理的基本状况" w:id="118"/>
      <w:bookmarkEnd w:id="11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t>公司根据《公司法》、《上市公司治理准则》、《上市公司章程指引》、《上市公司股东大会规则》及其他相关法律、 </w:t>
      </w:r>
      <w:r>
        <w:rPr>
          <w:spacing w:val="-2"/>
        </w:rPr>
        <w:t>法规的要求，确立了由股东大会、董事会、监事会和经营管理层组成的公司治理结构，建立健全了股东大会、董事会、监事</w:t>
      </w:r>
      <w:r>
        <w:rPr>
          <w:spacing w:val="-67"/>
        </w:rPr>
        <w:t> </w:t>
      </w:r>
      <w:r>
        <w:rPr>
          <w:spacing w:val="-67"/>
        </w:rPr>
      </w:r>
      <w:r>
        <w:rPr/>
        <w:t>会、独立董事、董事会秘书等相关制度，并在公司董事会下设立了战略、审计、提名、薪酬与考核等专门委员会。</w:t>
      </w:r>
      <w:r>
        <w:rPr>
          <w:spacing w:val="-18"/>
        </w:rPr>
        <w:t> </w:t>
      </w:r>
      <w:r>
        <w:rPr/>
        <w:t>报告期</w:t>
      </w:r>
      <w:r>
        <w:rPr/>
        <w:t> </w:t>
      </w:r>
      <w:r>
        <w:rPr>
          <w:spacing w:val="-2"/>
        </w:rPr>
        <w:t>内，公司建立了规范的公司治理结构，股东大会、董事会及专门委员会、监事会、独立董事、董事会秘书和管理层均严格按</w:t>
      </w:r>
      <w:r>
        <w:rPr>
          <w:spacing w:val="-68"/>
        </w:rPr>
        <w:t> </w:t>
      </w:r>
      <w:r>
        <w:rPr>
          <w:spacing w:val="-68"/>
        </w:rPr>
      </w:r>
      <w:r>
        <w:rPr>
          <w:spacing w:val="-2"/>
        </w:rPr>
        <w:t>照《公司法》、《证券法》、《上市公司治理准则》、《深圳证券交易所创业板股票上市规则》、《深圳证券交易所创业板</w:t>
      </w:r>
      <w:r>
        <w:rPr>
          <w:spacing w:val="-69"/>
        </w:rPr>
        <w:t> </w:t>
      </w:r>
      <w:r>
        <w:rPr>
          <w:spacing w:val="-69"/>
        </w:rPr>
      </w:r>
      <w:r>
        <w:rPr>
          <w:spacing w:val="-2"/>
        </w:rPr>
        <w:t>上市公司规范运作指引》等法律、法规和中国证监会有关法律法规等的要求，履行各自的权利和义务，公司重大生产经营决</w:t>
      </w:r>
      <w:r>
        <w:rPr>
          <w:spacing w:val="-65"/>
        </w:rPr>
        <w:t> </w:t>
      </w:r>
      <w:r>
        <w:rPr>
          <w:spacing w:val="-65"/>
        </w:rPr>
      </w:r>
      <w:r>
        <w:rPr>
          <w:spacing w:val="-2"/>
        </w:rPr>
        <w:t>策、投资决策及财务决策均按照《公司章程》及有关内控制度规定的程序和规则进行，截至报告期末，上述机构和人员依法</w:t>
      </w:r>
      <w:r>
        <w:rPr>
          <w:spacing w:val="-67"/>
        </w:rPr>
        <w:t> </w:t>
      </w:r>
      <w:r>
        <w:rPr>
          <w:spacing w:val="-67"/>
        </w:rPr>
      </w:r>
      <w:r>
        <w:rPr>
          <w:spacing w:val="-2"/>
        </w:rPr>
        <w:t>运作，未出现违法、违规现象，能够切实履行应尽的职责和义务，公司治理的实际状况符合《上市公司治理准则》和《深圳</w:t>
      </w:r>
      <w:r>
        <w:rPr>
          <w:spacing w:val="-66"/>
        </w:rPr>
        <w:t> </w:t>
      </w:r>
      <w:r>
        <w:rPr>
          <w:spacing w:val="-66"/>
        </w:rPr>
      </w:r>
      <w:r>
        <w:rPr/>
        <w:t>证券交易所创业板上市公司规范运作指引》的要求。</w:t>
      </w:r>
    </w:p>
    <w:p>
      <w:pPr>
        <w:spacing w:line="240" w:lineRule="auto" w:before="0"/>
        <w:rPr>
          <w:rFonts w:ascii="宋体" w:hAnsi="宋体" w:cs="宋体" w:eastAsia="宋体" w:hint="default"/>
          <w:sz w:val="18"/>
          <w:szCs w:val="18"/>
        </w:rPr>
      </w:pPr>
    </w:p>
    <w:p>
      <w:pPr>
        <w:pStyle w:val="BodyText"/>
        <w:spacing w:line="240" w:lineRule="auto" w:before="136"/>
        <w:ind w:right="62"/>
        <w:jc w:val="left"/>
      </w:pPr>
      <w:r>
        <w:rPr/>
        <w:t>公司治理与《公司法》和中国证监会相关规定的要求是否存在差异</w:t>
      </w:r>
    </w:p>
    <w:p>
      <w:pPr>
        <w:pStyle w:val="BodyText"/>
        <w:spacing w:line="340" w:lineRule="auto" w:before="115"/>
        <w:ind w:right="4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公司治理与《公司法》和中国证监会相关规定的要求存在差异的原因说明</w:t>
      </w:r>
    </w:p>
    <w:p>
      <w:pPr>
        <w:spacing w:line="240" w:lineRule="auto" w:before="4"/>
        <w:rPr>
          <w:rFonts w:ascii="宋体" w:hAnsi="宋体" w:cs="宋体" w:eastAsia="宋体" w:hint="default"/>
          <w:sz w:val="19"/>
          <w:szCs w:val="19"/>
        </w:rPr>
      </w:pPr>
    </w:p>
    <w:p>
      <w:pPr>
        <w:pStyle w:val="Heading3"/>
        <w:spacing w:line="240" w:lineRule="auto"/>
        <w:ind w:right="62"/>
        <w:jc w:val="left"/>
        <w:rPr>
          <w:b w:val="0"/>
          <w:bCs w:val="0"/>
        </w:rPr>
      </w:pPr>
      <w:bookmarkStart w:name="二、报告期内召开的年度股东大会和临时股东大会的有关情况" w:id="119"/>
      <w:bookmarkEnd w:id="119"/>
      <w:r>
        <w:rPr>
          <w:b w:val="0"/>
          <w:bCs w:val="0"/>
        </w:rPr>
      </w: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62"/>
        <w:jc w:val="left"/>
        <w:rPr>
          <w:b w:val="0"/>
          <w:bCs w:val="0"/>
        </w:rPr>
      </w:pPr>
      <w:bookmarkStart w:name="1、本报告期年度股东大会情况" w:id="120"/>
      <w:bookmarkEnd w:id="120"/>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62"/>
        <w:jc w:val="left"/>
        <w:rPr>
          <w:b w:val="0"/>
          <w:bCs w:val="0"/>
        </w:rPr>
      </w:pPr>
      <w:bookmarkStart w:name="2、本报告期临时股东大会情况" w:id="121"/>
      <w:bookmarkEnd w:id="121"/>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62"/>
        <w:jc w:val="left"/>
        <w:rPr>
          <w:b w:val="0"/>
          <w:bCs w:val="0"/>
        </w:rPr>
      </w:pPr>
      <w:bookmarkStart w:name="三、报告期董事会召开情况" w:id="122"/>
      <w:bookmarkEnd w:id="122"/>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第一届董事会第六次临时会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第一届董事会第七次会议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第一届董事会第八次会议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第一届董事会第七次临时会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第一届董事会第八次临时会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第一届董事会第九次临时会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第一届董事会第十次临时会 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both"/>
        <w:rPr>
          <w:b w:val="0"/>
          <w:bCs w:val="0"/>
        </w:rPr>
      </w:pPr>
      <w:bookmarkStart w:name="四、年度报告重大差错责任追究制度的建立与执行情况" w:id="123"/>
      <w:bookmarkEnd w:id="123"/>
      <w:r>
        <w:rPr>
          <w:b w:val="0"/>
          <w:bCs w:val="0"/>
        </w:rPr>
      </w:r>
      <w:r>
        <w:rPr/>
        <w:t>四、年度报告重大差错责任追究制度的建立与执行情况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公司已制定《年报信息披露重大差错责任追究制度》。报告期内公司未发生重大会计差错更正、重大遗漏信息补充以及</w:t>
      </w:r>
      <w:r>
        <w:rPr/>
        <w:t> 业绩预告修正等情况。</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150"/>
        <w:jc w:val="both"/>
      </w:pPr>
      <w:r>
        <w:rPr>
          <w:spacing w:val="-2"/>
        </w:rPr>
        <w:t>注：公司应披露年报信息披露重大差错责任追究制度的建设情况。公司报告期内如发生重大会计差错更正、重大遗漏信息补</w:t>
      </w:r>
      <w:r>
        <w:rPr>
          <w:spacing w:val="-63"/>
        </w:rPr>
        <w:t> </w:t>
      </w:r>
      <w:r>
        <w:rPr>
          <w:spacing w:val="-63"/>
        </w:rPr>
      </w:r>
      <w:r>
        <w:rPr>
          <w:spacing w:val="-2"/>
        </w:rPr>
        <w:t>充以及业绩预告修正等情况，应按照本准则的要求逐项如实披露更正、补充或修正的原因及影响，披露董事会对有关责任人</w:t>
      </w:r>
      <w:r>
        <w:rPr>
          <w:spacing w:val="-63"/>
        </w:rPr>
        <w:t> </w:t>
      </w:r>
      <w:r>
        <w:rPr>
          <w:spacing w:val="-63"/>
        </w:rPr>
      </w:r>
      <w:r>
        <w:rPr/>
        <w:t>采取的问责措施及处理结果。</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五、监事会工作情况" w:id="124"/>
      <w:bookmarkEnd w:id="124"/>
      <w:r>
        <w:rPr>
          <w:b w:val="0"/>
          <w:bCs w:val="0"/>
        </w:rPr>
      </w: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38" w:lineRule="auto" w:before="117"/>
        <w:ind w:right="54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公司监事会就有关风险召开监事会会议情况及相关意见</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参会监事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63" w:right="72" w:hanging="92"/>
              <w:jc w:val="left"/>
              <w:rPr>
                <w:rFonts w:ascii="宋体" w:hAnsi="宋体" w:cs="宋体" w:eastAsia="宋体" w:hint="default"/>
                <w:sz w:val="18"/>
                <w:szCs w:val="18"/>
              </w:rPr>
            </w:pPr>
            <w:r>
              <w:rPr>
                <w:rFonts w:ascii="宋体" w:hAnsi="宋体" w:cs="宋体" w:eastAsia="宋体" w:hint="default"/>
                <w:sz w:val="18"/>
                <w:szCs w:val="18"/>
              </w:rPr>
              <w:t>会议决议刊登的指 定网站查询索引</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会议决议刊登的信 息披露日期</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03" w:right="59" w:hanging="632"/>
              <w:jc w:val="left"/>
              <w:rPr>
                <w:rFonts w:ascii="宋体" w:hAnsi="宋体" w:cs="宋体" w:eastAsia="宋体" w:hint="default"/>
                <w:sz w:val="18"/>
                <w:szCs w:val="18"/>
              </w:rPr>
            </w:pPr>
            <w:r>
              <w:rPr>
                <w:rFonts w:ascii="宋体" w:hAnsi="宋体" w:cs="宋体" w:eastAsia="宋体" w:hint="default"/>
                <w:sz w:val="18"/>
                <w:szCs w:val="18"/>
              </w:rPr>
              <w:t>有关风险的简要意 见</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49"/>
        <w:ind w:right="150"/>
        <w:jc w:val="both"/>
      </w:pPr>
      <w:r>
        <w:rPr>
          <w:spacing w:val="-2"/>
        </w:rPr>
        <w:t>注：监事会在报告期内的监督活动中发现公司存在风险的，公司应当披露监事会就有关风险的简要意见、监事会会议召开时</w:t>
      </w:r>
      <w:r>
        <w:rPr>
          <w:spacing w:val="-63"/>
        </w:rPr>
        <w:t> </w:t>
      </w:r>
      <w:r>
        <w:rPr>
          <w:spacing w:val="-63"/>
        </w:rPr>
      </w:r>
      <w:r>
        <w:rPr>
          <w:spacing w:val="-2"/>
        </w:rPr>
        <w:t>间、会议届次、参会监事以及在指定披露网站的披露索引及披露日期等信息；否则，公司应当披露监事会对报告期内的监督</w:t>
      </w:r>
      <w:r>
        <w:rPr>
          <w:spacing w:val="-66"/>
        </w:rPr>
        <w:t> </w:t>
      </w:r>
      <w:r>
        <w:rPr>
          <w:spacing w:val="-66"/>
        </w:rPr>
      </w:r>
      <w:r>
        <w:rPr/>
        <w:t>事项无异议。</w:t>
      </w:r>
    </w:p>
    <w:p>
      <w:pPr>
        <w:pStyle w:val="BodyText"/>
        <w:spacing w:line="240" w:lineRule="auto" w:before="59"/>
        <w:ind w:right="0"/>
        <w:jc w:val="both"/>
      </w:pPr>
      <w:r>
        <w:rPr/>
        <w:t>公司监事会对报告期内的监督事项无异议。</w:t>
      </w:r>
    </w:p>
    <w:p>
      <w:pPr>
        <w:spacing w:after="0" w:line="240" w:lineRule="auto"/>
        <w:jc w:val="both"/>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539" w:lineRule="exact"/>
        <w:ind w:left="3316" w:right="62"/>
        <w:jc w:val="left"/>
        <w:rPr>
          <w:b w:val="0"/>
          <w:bCs w:val="0"/>
        </w:rPr>
      </w:pPr>
      <w:bookmarkStart w:name="_TOC_250001" w:id="125"/>
      <w:bookmarkStart w:name="第九节 财务报告" w:id="126"/>
      <w:r>
        <w:rPr>
          <w:b w:val="0"/>
          <w:bCs w:val="0"/>
        </w:rPr>
      </w:r>
      <w:r>
        <w:rPr/>
        <w:t>第九节</w:t>
      </w:r>
      <w:r>
        <w:rPr>
          <w:spacing w:val="-7"/>
        </w:rPr>
        <w:t> </w:t>
      </w:r>
      <w:r>
        <w:rPr/>
        <w:t>财务报告</w:t>
      </w:r>
      <w:bookmarkEnd w:id="125"/>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90"/>
        <w:ind w:right="62"/>
        <w:jc w:val="left"/>
        <w:rPr>
          <w:b w:val="0"/>
          <w:bCs w:val="0"/>
        </w:rPr>
      </w:pPr>
      <w:bookmarkStart w:name="一、审计报告" w:id="127"/>
      <w:bookmarkEnd w:id="12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2301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338" w:lineRule="auto" w:before="0"/>
        <w:ind w:left="3568" w:right="4243" w:firstLine="0"/>
        <w:jc w:val="center"/>
        <w:rPr>
          <w:rFonts w:ascii="宋体" w:hAnsi="宋体" w:cs="宋体" w:eastAsia="宋体" w:hint="default"/>
          <w:sz w:val="36"/>
          <w:szCs w:val="36"/>
        </w:rPr>
      </w:pPr>
      <w:r>
        <w:rPr>
          <w:rFonts w:ascii="宋体" w:hAnsi="宋体" w:cs="宋体" w:eastAsia="宋体" w:hint="default"/>
          <w:b/>
          <w:bCs/>
          <w:sz w:val="36"/>
          <w:szCs w:val="36"/>
        </w:rPr>
        <w:t>审计报告正文</w:t>
      </w:r>
      <w:r>
        <w:rPr>
          <w:rFonts w:ascii="宋体" w:hAnsi="宋体" w:cs="宋体" w:eastAsia="宋体" w:hint="default"/>
          <w:b/>
          <w:bCs/>
          <w:spacing w:val="2"/>
          <w:w w:val="99"/>
          <w:sz w:val="36"/>
          <w:szCs w:val="36"/>
        </w:rPr>
        <w:t> </w:t>
      </w:r>
      <w:r>
        <w:rPr>
          <w:rFonts w:ascii="宋体" w:hAnsi="宋体" w:cs="宋体" w:eastAsia="宋体" w:hint="default"/>
          <w:b/>
          <w:bCs/>
          <w:sz w:val="36"/>
          <w:szCs w:val="36"/>
        </w:rPr>
        <w:t>审 计 报</w:t>
      </w:r>
      <w:r>
        <w:rPr>
          <w:rFonts w:ascii="宋体" w:hAnsi="宋体" w:cs="宋体" w:eastAsia="宋体" w:hint="default"/>
          <w:b/>
          <w:bCs/>
          <w:spacing w:val="-8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7"/>
        <w:rPr>
          <w:rFonts w:ascii="宋体" w:hAnsi="宋体" w:cs="宋体" w:eastAsia="宋体" w:hint="default"/>
          <w:b/>
          <w:bCs/>
          <w:sz w:val="17"/>
          <w:szCs w:val="17"/>
        </w:rPr>
      </w:pPr>
    </w:p>
    <w:p>
      <w:pPr>
        <w:pStyle w:val="Heading4"/>
        <w:spacing w:line="240" w:lineRule="auto" w:before="26"/>
        <w:ind w:left="0" w:right="219"/>
        <w:jc w:val="right"/>
      </w:pPr>
      <w:r>
        <w:rPr>
          <w:spacing w:val="-1"/>
        </w:rPr>
        <w:t>中瑞岳华审字</w:t>
      </w:r>
      <w:r>
        <w:rPr>
          <w:rFonts w:ascii="Times New Roman" w:hAnsi="Times New Roman" w:cs="Times New Roman" w:eastAsia="Times New Roman" w:hint="default"/>
          <w:spacing w:val="-1"/>
        </w:rPr>
        <w:t>[2013]</w:t>
      </w:r>
      <w:r>
        <w:rPr>
          <w:spacing w:val="-1"/>
        </w:rPr>
        <w:t>第</w:t>
      </w:r>
      <w:r>
        <w:rPr>
          <w:rFonts w:ascii="Times New Roman" w:hAnsi="Times New Roman" w:cs="Times New Roman" w:eastAsia="Times New Roman" w:hint="default"/>
          <w:spacing w:val="-1"/>
        </w:rPr>
        <w:t>2301</w:t>
      </w:r>
      <w:r>
        <w:rPr>
          <w:spacing w:val="-1"/>
        </w:rPr>
        <w:t>号</w:t>
      </w:r>
    </w:p>
    <w:p>
      <w:pPr>
        <w:spacing w:line="240" w:lineRule="auto" w:before="4"/>
        <w:rPr>
          <w:rFonts w:ascii="宋体" w:hAnsi="宋体" w:cs="宋体" w:eastAsia="宋体" w:hint="default"/>
          <w:sz w:val="20"/>
          <w:szCs w:val="20"/>
        </w:rPr>
      </w:pPr>
    </w:p>
    <w:p>
      <w:pPr>
        <w:pStyle w:val="Heading3"/>
        <w:spacing w:line="240" w:lineRule="auto" w:before="26"/>
        <w:ind w:right="62"/>
        <w:jc w:val="left"/>
        <w:rPr>
          <w:b w:val="0"/>
          <w:bCs w:val="0"/>
        </w:rPr>
      </w:pPr>
      <w:r>
        <w:rPr/>
        <w:t>北京北信源软件股份有限公司全体股东：</w:t>
      </w:r>
      <w:r>
        <w:rPr>
          <w:b w:val="0"/>
          <w:bCs w:val="0"/>
        </w:rPr>
      </w:r>
    </w:p>
    <w:p>
      <w:pPr>
        <w:spacing w:line="240" w:lineRule="auto" w:before="5"/>
        <w:rPr>
          <w:rFonts w:ascii="宋体" w:hAnsi="宋体" w:cs="宋体" w:eastAsia="宋体" w:hint="default"/>
          <w:b/>
          <w:bCs/>
          <w:sz w:val="27"/>
          <w:szCs w:val="27"/>
        </w:rPr>
      </w:pPr>
    </w:p>
    <w:p>
      <w:pPr>
        <w:pStyle w:val="BodyText"/>
        <w:spacing w:line="300" w:lineRule="auto"/>
        <w:ind w:right="174" w:firstLine="360"/>
        <w:jc w:val="left"/>
      </w:pPr>
      <w:r>
        <w:rPr/>
        <w:t>我们审计了后附的北京北信源软件股份有限公司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 负债表，</w:t>
      </w:r>
      <w:r>
        <w:rPr>
          <w:rFonts w:ascii="Times New Roman" w:hAnsi="Times New Roman" w:cs="Times New Roman" w:eastAsia="Times New Roman" w:hint="default"/>
        </w:rPr>
        <w:t>2012</w:t>
      </w:r>
      <w:r>
        <w:rPr/>
        <w:t>年度合并及公司的利润表、合并及公司的现金流量表和合并及公司的所有者权益变动表以及财务报表附注。</w:t>
      </w:r>
    </w:p>
    <w:p>
      <w:pPr>
        <w:spacing w:line="240" w:lineRule="auto" w:before="11"/>
        <w:rPr>
          <w:rFonts w:ascii="宋体" w:hAnsi="宋体" w:cs="宋体" w:eastAsia="宋体" w:hint="default"/>
          <w:sz w:val="24"/>
          <w:szCs w:val="24"/>
        </w:rPr>
      </w:pPr>
    </w:p>
    <w:p>
      <w:pPr>
        <w:spacing w:line="316" w:lineRule="auto" w:before="0"/>
        <w:ind w:left="512" w:right="184" w:hanging="8"/>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）按照企业会计准则的规定编制财务报表，并使</w:t>
      </w:r>
    </w:p>
    <w:p>
      <w:pPr>
        <w:pStyle w:val="BodyText"/>
        <w:spacing w:line="248" w:lineRule="exact"/>
        <w:ind w:right="62"/>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2" w:right="62" w:hanging="8"/>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8"/>
        <w:ind w:right="62"/>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8"/>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18"/>
        <w:ind w:left="512" w:right="62"/>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2" w:right="62" w:hanging="8"/>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我们认为，上述财务报表在所有重大方面按照企业会计准则的规定编制，公允反映了北京北信源软件股份有限公司及其</w:t>
      </w:r>
    </w:p>
    <w:p>
      <w:pPr>
        <w:pStyle w:val="BodyText"/>
        <w:spacing w:line="240" w:lineRule="auto" w:before="18"/>
        <w:ind w:right="62"/>
        <w:jc w:val="left"/>
      </w:pPr>
      <w:r>
        <w:rPr/>
        <w:t>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日的合并财务状况以及</w:t>
      </w:r>
      <w:r>
        <w:rPr>
          <w:rFonts w:ascii="Times New Roman" w:hAnsi="Times New Roman" w:cs="Times New Roman" w:eastAsia="Times New Roman" w:hint="default"/>
        </w:rPr>
        <w:t>2012</w:t>
      </w:r>
      <w:r>
        <w:rPr/>
        <w:t>年度的合并经营成果和合并现金流量，以及北京北信源软件股份有限公司</w:t>
      </w:r>
    </w:p>
    <w:p>
      <w:pPr>
        <w:pStyle w:val="BodyText"/>
        <w:spacing w:line="240" w:lineRule="auto" w:before="62"/>
        <w:ind w:right="6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after="0" w:line="2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tabs>
          <w:tab w:pos="5461" w:val="left" w:leader="none"/>
        </w:tabs>
        <w:spacing w:line="240" w:lineRule="auto" w:before="44"/>
        <w:ind w:left="635" w:right="0"/>
        <w:jc w:val="left"/>
      </w:pPr>
      <w:r>
        <w:rPr/>
        <w:t>中瑞岳华会计师事务所（特殊普通合伙）</w:t>
        <w:tab/>
        <w:t>中国注册会计师：黄峰</w:t>
      </w:r>
    </w:p>
    <w:p>
      <w:pPr>
        <w:spacing w:line="240" w:lineRule="auto" w:before="0"/>
        <w:rPr>
          <w:rFonts w:ascii="宋体" w:hAnsi="宋体" w:cs="宋体" w:eastAsia="宋体" w:hint="default"/>
          <w:sz w:val="18"/>
          <w:szCs w:val="18"/>
        </w:rPr>
      </w:pPr>
    </w:p>
    <w:p>
      <w:pPr>
        <w:pStyle w:val="BodyText"/>
        <w:tabs>
          <w:tab w:pos="5471" w:val="left" w:leader="none"/>
        </w:tabs>
        <w:spacing w:line="240" w:lineRule="auto" w:before="152"/>
        <w:ind w:left="784" w:right="0"/>
        <w:jc w:val="left"/>
      </w:pPr>
      <w:r>
        <w:rPr/>
        <w:t>中国</w:t>
      </w:r>
      <w:r>
        <w:rPr>
          <w:rFonts w:ascii="Times New Roman" w:hAnsi="Times New Roman" w:cs="Times New Roman" w:eastAsia="Times New Roman" w:hint="default"/>
        </w:rPr>
        <w:t>·</w:t>
      </w:r>
      <w:r>
        <w:rPr/>
        <w:t>北京</w:t>
        <w:tab/>
        <w:t>中国注册会计师：张志明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240" w:lineRule="auto"/>
        <w:ind w:left="5495"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二、财务报表" w:id="128"/>
      <w:bookmarkEnd w:id="128"/>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1、合并资产负债表" w:id="129"/>
      <w:bookmarkEnd w:id="12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编制单位：北京北信源软件股份有限公司</w:t>
      </w:r>
    </w:p>
    <w:p>
      <w:pPr>
        <w:pStyle w:val="BodyText"/>
        <w:spacing w:line="240" w:lineRule="auto" w:before="117"/>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433,283,917.03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79,236,283.57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730,175.06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155,445,282.25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64,314,072.56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17,219,704.67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4,907,356.57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3,745,955.12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3,339,350.72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4,309,216.00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4,405,033.98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37,946.17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1,759,642.90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5,056,345.53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616,001,664.14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161,988,617.99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13,777,188.93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14,248,784.67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1,309,835.65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1,733,435.24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1,618,710.22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340,684.29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2,616,093.75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1,174,502.53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19,321,828.55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17,497,406.73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635,323,492.69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179,486,024.72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7,860,412.95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6,031,662.36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4,664,813.66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8,261,016.67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28,333,515.78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12,223,550.55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2,269,201.10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567,208.64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43,127,943.49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27,083,438.22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43,127,943.49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27,583,438.22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379,701,212.81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16,215,779.10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16,159,219.86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10,044,556.10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129,635,116.53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75,642,251.30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592,195,549.20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151,902,586.50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592,195,549.20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151,902,586.50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635,323,492.69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179,486,024.72</w:t>
            </w:r>
          </w:p>
        </w:tc>
      </w:tr>
    </w:tbl>
    <w:p>
      <w:pPr>
        <w:spacing w:line="240" w:lineRule="auto" w:before="11"/>
        <w:rPr>
          <w:rFonts w:ascii="Times New Roman" w:hAnsi="Times New Roman" w:cs="Times New Roman" w:eastAsia="Times New Roman" w:hint="default"/>
          <w:sz w:val="22"/>
          <w:szCs w:val="22"/>
        </w:rPr>
      </w:pPr>
    </w:p>
    <w:p>
      <w:pPr>
        <w:pStyle w:val="BodyText"/>
        <w:tabs>
          <w:tab w:pos="3726" w:val="left" w:leader="none"/>
          <w:tab w:pos="7958"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母公司资产负债表" w:id="130"/>
      <w:bookmarkEnd w:id="13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编制单位：北京北信源软件股份有限公司</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48"/>
        <w:gridCol w:w="3317"/>
        <w:gridCol w:w="3302"/>
      </w:tblGrid>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424,599,795.64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67,886,503.26</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496,745.06</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155,245,734.03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64,194,468.43</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14,092,423.12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2,304,830.12</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2,305,606.23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1,989,088.81</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4,023,485.97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2,707,075.28</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1,626,496.72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4,914,511.03</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602,093,541.71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144,493,221.99</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12,717,626.87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12,973,638.75</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1,309,835.65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1,733,435.24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1,618,710.22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211,667.00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1,746,038.16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823,148.70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27,392,210.90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25,741,889.69</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629,485,752.61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170,235,111.68</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6,073,785.54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800,686.02</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3,639,052.25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5,096,934.98</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24,650,730.76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11,644,631.93</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2,128,772.67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531,518.69</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36,492,341.22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18,073,771.62</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36,492,341.22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18,573,771.62</w:t>
            </w:r>
          </w:p>
        </w:tc>
      </w:tr>
      <w:tr>
        <w:trPr>
          <w:trHeight w:val="402"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66,700,000.00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379,701,212.81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16,215,779.10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2"/>
        <w:gridCol w:w="3313"/>
        <w:gridCol w:w="3302"/>
      </w:tblGrid>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16,159,219.86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10,044,556.10</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130,432,978.72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75,401,004.86</w:t>
            </w:r>
          </w:p>
        </w:tc>
      </w:tr>
      <w:tr>
        <w:trPr>
          <w:trHeight w:val="403"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592,993,411.39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151,661,340.06</w:t>
            </w:r>
            <w:r>
              <w:rPr>
                <w:rFonts w:ascii="Times New Roman"/>
                <w:sz w:val="18"/>
              </w:rPr>
            </w:r>
          </w:p>
        </w:tc>
      </w:tr>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629,485,752.61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170,235,111.68</w:t>
            </w:r>
            <w:r>
              <w:rPr>
                <w:rFonts w:ascii="Times New Roman"/>
                <w:sz w:val="18"/>
              </w:rPr>
            </w:r>
          </w:p>
        </w:tc>
      </w:tr>
    </w:tbl>
    <w:p>
      <w:pPr>
        <w:spacing w:line="240" w:lineRule="auto" w:before="11"/>
        <w:rPr>
          <w:rFonts w:ascii="Times New Roman" w:hAnsi="Times New Roman" w:cs="Times New Roman" w:eastAsia="Times New Roman" w:hint="default"/>
          <w:sz w:val="22"/>
          <w:szCs w:val="22"/>
        </w:rPr>
      </w:pPr>
    </w:p>
    <w:p>
      <w:pPr>
        <w:pStyle w:val="BodyText"/>
        <w:tabs>
          <w:tab w:pos="3726" w:val="left" w:leader="none"/>
          <w:tab w:pos="7958"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合并利润表" w:id="131"/>
      <w:bookmarkEnd w:id="13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编制单位：北京北信源软件股份有限公司</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189,957,858.76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126,950,700.98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189,957,858.76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126,950,700.98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131,952,743.18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89,951,901.65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22,800,097.56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12,824,292.43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2,110,162.38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2,238,134.15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52,514,065.77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37,591,823.30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49,825,792.92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34,872,627.80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-2,611,174.08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-142,390.82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2,567,414.79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17,264.38</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58,005,115.58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37,016,063.71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10,069,162.71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12,675,451.39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1,398.67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68,044,278.29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49,690,116.43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7,936,749.30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4,920,614.90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pStyle w:val="BodyText"/>
        <w:tabs>
          <w:tab w:pos="3726" w:val="left" w:leader="none"/>
          <w:tab w:pos="7958" w:val="left" w:leader="none"/>
        </w:tabs>
        <w:spacing w:line="360" w:lineRule="auto" w:before="125"/>
        <w:ind w:right="187"/>
        <w:jc w:val="left"/>
      </w:pPr>
      <w:r>
        <w:rPr/>
        <w:t>法定代表人：林皓</w:t>
        <w:tab/>
      </w:r>
      <w:r>
        <w:rPr>
          <w:spacing w:val="-1"/>
        </w:rPr>
        <w:t>主管会计工作负责人：严惠甜</w:t>
        <w:tab/>
        <w:t>会计机构负责人：李丹</w:t>
      </w:r>
      <w:r>
        <w:rPr>
          <w:spacing w:val="-83"/>
        </w:rPr>
        <w:t> </w:t>
      </w:r>
      <w:r>
        <w:rPr>
          <w:spacing w:val="-83"/>
        </w:rPr>
      </w:r>
      <w:r>
        <w:rPr/>
        <w:t>注：财务费用涉及金融业务需单独列示汇兑收益项目。</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母公司利润表" w:id="132"/>
      <w:bookmarkEnd w:id="13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编制单位：北京北信源软件股份有限公司</w:t>
      </w:r>
    </w:p>
    <w:p>
      <w:pPr>
        <w:pStyle w:val="BodyText"/>
        <w:spacing w:line="240" w:lineRule="auto" w:before="115"/>
        <w:ind w:left="0" w:right="153"/>
        <w:jc w:val="right"/>
      </w:pPr>
      <w:r>
        <w:rPr/>
        <w:t>单位：元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48"/>
        <w:gridCol w:w="3317"/>
        <w:gridCol w:w="3302"/>
      </w:tblGrid>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162,592,437.93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105,370,294.53</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6,498,157.30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2,914,964.17</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2,024,319.87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1,969,442.27</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44,564,701.87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33,006,322.48</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46,769,484.23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29,215,765.22</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-2,577,067.74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-126,365.87</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6,152,596.42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2,307,042.10</w:t>
            </w:r>
            <w:r>
              <w:rPr>
                <w:rFonts w:ascii="Times New Roman"/>
                <w:sz w:val="18"/>
              </w:rPr>
            </w:r>
          </w:p>
        </w:tc>
      </w:tr>
      <w:tr>
        <w:trPr>
          <w:trHeight w:val="71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35"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59,160,245.98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36,083,124.16</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10,020,294.74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12,675,451.39</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1,398.67</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r>
      <w:tr>
        <w:trPr>
          <w:trHeight w:val="715"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69,180,540.72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48,757,176.88</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8,033,903.10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4,907,216.92</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61,146,637.62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43,849,959.96</w:t>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0.88</w:t>
            </w:r>
            <w:r>
              <w:rPr>
                <w:rFonts w:ascii="Times New Roman"/>
                <w:sz w:val="18"/>
              </w:rPr>
            </w:r>
          </w:p>
        </w:tc>
      </w:tr>
      <w:tr>
        <w:trPr>
          <w:trHeight w:val="401"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0.88</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61,146,637.62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43,849,959.96</w:t>
            </w:r>
          </w:p>
        </w:tc>
      </w:tr>
    </w:tbl>
    <w:p>
      <w:pPr>
        <w:spacing w:line="240" w:lineRule="auto" w:before="2"/>
        <w:rPr>
          <w:rFonts w:ascii="宋体" w:hAnsi="宋体" w:cs="宋体" w:eastAsia="宋体" w:hint="default"/>
          <w:sz w:val="20"/>
          <w:szCs w:val="20"/>
        </w:rPr>
      </w:pPr>
    </w:p>
    <w:p>
      <w:pPr>
        <w:pStyle w:val="BodyText"/>
        <w:tabs>
          <w:tab w:pos="3726" w:val="left" w:leader="none"/>
          <w:tab w:pos="7958"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合并现金流量表" w:id="133"/>
      <w:bookmarkEnd w:id="13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编制单位：北京北信源软件股份有限公司</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89"/>
      </w:tblGrid>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119,396,150.02</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122,675,030.52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8,449,751.59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10,672,951.39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8,294,109.12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5,605,003.80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136,140,010.73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138,952,985.71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20,469,670.33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14,355,091.76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46,725,595.76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38,115,122.78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23,111,290.80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24,919,497.46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57,214,687.92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33,165,722.72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147,521,244.81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110,555,434.72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-11,381,234.08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28,397,550.99</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17,264.38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17,264.38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14,585,378.45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5,149,467.76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14,585,378.45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5,149,467.76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-14,583,367.66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-5,132,203.38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385,475,000.00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3,043,900.00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388,518,900.00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15,142,041.67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2,140,675.18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42,282,716.85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380,052,545.20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-41,782,716.85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354,087,943.46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-18,517,369.24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78,747,973.57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97,265,342.81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432,835,917.03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78,747,973.57</w:t>
            </w:r>
          </w:p>
        </w:tc>
      </w:tr>
    </w:tbl>
    <w:p>
      <w:pPr>
        <w:spacing w:line="240" w:lineRule="auto" w:before="11"/>
        <w:rPr>
          <w:rFonts w:ascii="Times New Roman" w:hAnsi="Times New Roman" w:cs="Times New Roman" w:eastAsia="Times New Roman" w:hint="default"/>
          <w:sz w:val="22"/>
          <w:szCs w:val="22"/>
        </w:rPr>
      </w:pPr>
    </w:p>
    <w:p>
      <w:pPr>
        <w:pStyle w:val="BodyText"/>
        <w:tabs>
          <w:tab w:pos="3726" w:val="left" w:leader="none"/>
          <w:tab w:pos="7958"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母公司现金流量表" w:id="134"/>
      <w:bookmarkEnd w:id="13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编制单位：北京北信源软件股份有限公司</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2"/>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90,900,686.88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94,336,692.96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7,984,577.30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10,672,951.39</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7,482,230.05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5,581,412.15</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106,367,494.23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110,591,056.50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3,588,740.38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4,820,986.53</w:t>
            </w:r>
            <w:r>
              <w:rPr>
                <w:rFonts w:ascii="Times New Roman"/>
                <w:sz w:val="18"/>
              </w:rPr>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42,561,677.71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33,250,238.83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22,261,175.52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23,409,139.97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46,741,988.72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26,436,724.77</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115,153,582.33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87,917,090.10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-8,786,088.10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22,673,966.40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14,514,865.51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4,252,254.00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14,514,865.51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4,252,254.00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-14,512,854.72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-4,252,254.00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385,475,000.00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3,043,900.00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388,518,900.00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15,142,041.67</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2,140,675.18</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42,282,716.85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380,052,545.20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-41,782,716.85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356,753,602.38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-23,361,004.45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67,398,193.26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90,759,197.71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424,151,795.64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67,398,193.26</w:t>
            </w:r>
          </w:p>
        </w:tc>
      </w:tr>
    </w:tbl>
    <w:p>
      <w:pPr>
        <w:spacing w:line="240" w:lineRule="auto" w:before="2"/>
        <w:rPr>
          <w:rFonts w:ascii="宋体" w:hAnsi="宋体" w:cs="宋体" w:eastAsia="宋体" w:hint="default"/>
          <w:sz w:val="20"/>
          <w:szCs w:val="20"/>
        </w:rPr>
      </w:pPr>
    </w:p>
    <w:p>
      <w:pPr>
        <w:pStyle w:val="BodyText"/>
        <w:tabs>
          <w:tab w:pos="3726" w:val="left" w:leader="none"/>
          <w:tab w:pos="7958"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7、合并所有者权益变动表" w:id="135"/>
      <w:bookmarkEnd w:id="13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编制单位：北京北信源软件股份有限公司</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8891" w:val="left" w:leader="none"/>
        </w:tabs>
        <w:spacing w:line="240" w:lineRule="auto"/>
        <w:ind w:right="0"/>
        <w:jc w:val="left"/>
      </w:pPr>
      <w:r>
        <w:rPr/>
        <w:t>本期金额</w:t>
        <w:tab/>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220"/>
        <w:gridCol w:w="686"/>
        <w:gridCol w:w="686"/>
        <w:gridCol w:w="686"/>
        <w:gridCol w:w="684"/>
        <w:gridCol w:w="684"/>
        <w:gridCol w:w="890"/>
        <w:gridCol w:w="482"/>
        <w:gridCol w:w="818"/>
        <w:gridCol w:w="1253"/>
      </w:tblGrid>
      <w:tr>
        <w:trPr>
          <w:trHeight w:val="403" w:hRule="exact"/>
        </w:trPr>
        <w:tc>
          <w:tcPr>
            <w:tcW w:w="1820" w:type="dxa"/>
            <w:vMerge w:val="restart"/>
            <w:tcBorders>
              <w:top w:val="single" w:sz="4" w:space="0" w:color="000000"/>
              <w:left w:val="single" w:sz="4" w:space="0" w:color="000000"/>
              <w:right w:val="single" w:sz="4" w:space="0" w:color="000000"/>
            </w:tcBorders>
            <w:shd w:val="clear" w:color="auto" w:fill="D4D4D4"/>
          </w:tcPr>
          <w:p>
            <w:pPr/>
          </w:p>
        </w:tc>
        <w:tc>
          <w:tcPr>
            <w:tcW w:w="8092"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4" w:hRule="exact"/>
        </w:trPr>
        <w:tc>
          <w:tcPr>
            <w:tcW w:w="1820" w:type="dxa"/>
            <w:vMerge/>
            <w:tcBorders>
              <w:left w:val="single" w:sz="4" w:space="0" w:color="000000"/>
              <w:bottom w:val="nil" w:sz="6" w:space="0" w:color="auto"/>
              <w:right w:val="single" w:sz="4" w:space="0" w:color="000000"/>
            </w:tcBorders>
            <w:shd w:val="clear" w:color="auto" w:fill="D4D4D4"/>
          </w:tcPr>
          <w:p>
            <w:pPr/>
          </w:p>
        </w:tc>
        <w:tc>
          <w:tcPr>
            <w:tcW w:w="6020" w:type="dxa"/>
            <w:gridSpan w:val="8"/>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5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12" w:hRule="exact"/>
        </w:trPr>
        <w:tc>
          <w:tcPr>
            <w:tcW w:w="182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020" w:type="dxa"/>
            <w:gridSpan w:val="8"/>
            <w:vMerge/>
            <w:tcBorders>
              <w:left w:val="single" w:sz="4" w:space="0" w:color="000000"/>
              <w:bottom w:val="single" w:sz="4" w:space="0" w:color="000000"/>
              <w:right w:val="single" w:sz="4" w:space="0" w:color="000000"/>
            </w:tcBorders>
            <w:shd w:val="clear" w:color="auto" w:fill="D4D4D4"/>
          </w:tcPr>
          <w:p>
            <w:pPr/>
          </w:p>
        </w:tc>
        <w:tc>
          <w:tcPr>
            <w:tcW w:w="818"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532" w:right="79"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61" w:hRule="exact"/>
        </w:trPr>
        <w:tc>
          <w:tcPr>
            <w:tcW w:w="1820" w:type="dxa"/>
            <w:vMerge/>
            <w:tcBorders>
              <w:left w:val="single" w:sz="4" w:space="0" w:color="000000"/>
              <w:bottom w:val="nil" w:sz="6" w:space="0" w:color="auto"/>
              <w:right w:val="single" w:sz="4" w:space="0" w:color="000000"/>
            </w:tcBorders>
            <w:shd w:val="clear" w:color="auto" w:fill="D4D4D4"/>
          </w:tcPr>
          <w:p>
            <w:pPr/>
          </w:p>
        </w:tc>
        <w:tc>
          <w:tcPr>
            <w:tcW w:w="122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39" w:right="59" w:hanging="269"/>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9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52" w:right="77"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8" w:type="dxa"/>
            <w:vMerge/>
            <w:tcBorders>
              <w:left w:val="single" w:sz="4" w:space="0" w:color="000000"/>
              <w:right w:val="single" w:sz="4" w:space="0" w:color="000000"/>
            </w:tcBorders>
            <w:shd w:val="clear" w:color="auto" w:fill="D4D4D4"/>
          </w:tcPr>
          <w:p>
            <w:pPr/>
          </w:p>
        </w:tc>
        <w:tc>
          <w:tcPr>
            <w:tcW w:w="1253" w:type="dxa"/>
            <w:vMerge/>
            <w:tcBorders>
              <w:left w:val="single" w:sz="4" w:space="0" w:color="000000"/>
              <w:right w:val="single" w:sz="4" w:space="0" w:color="000000"/>
            </w:tcBorders>
            <w:shd w:val="clear" w:color="auto" w:fill="D4D4D4"/>
          </w:tcPr>
          <w:p>
            <w:pPr/>
          </w:p>
        </w:tc>
      </w:tr>
      <w:tr>
        <w:trPr>
          <w:trHeight w:val="353" w:hRule="exact"/>
        </w:trPr>
        <w:tc>
          <w:tcPr>
            <w:tcW w:w="1820" w:type="dxa"/>
            <w:vMerge w:val="restart"/>
            <w:tcBorders>
              <w:top w:val="nil" w:sz="6" w:space="0" w:color="auto"/>
              <w:left w:val="single" w:sz="4" w:space="0" w:color="000000"/>
              <w:right w:val="single" w:sz="4" w:space="0" w:color="000000"/>
            </w:tcBorders>
            <w:shd w:val="clear" w:color="auto" w:fill="D4D4D4"/>
          </w:tcPr>
          <w:p>
            <w:pPr/>
          </w:p>
        </w:tc>
        <w:tc>
          <w:tcPr>
            <w:tcW w:w="1220"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890" w:type="dxa"/>
            <w:vMerge/>
            <w:tcBorders>
              <w:left w:val="single" w:sz="4" w:space="0" w:color="000000"/>
              <w:right w:val="single" w:sz="4" w:space="0" w:color="000000"/>
            </w:tcBorders>
            <w:shd w:val="clear" w:color="auto" w:fill="D4D4D4"/>
          </w:tcPr>
          <w:p>
            <w:pPr/>
          </w:p>
        </w:tc>
        <w:tc>
          <w:tcPr>
            <w:tcW w:w="4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53"/>
              <w:jc w:val="righ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4D4D4"/>
          </w:tcPr>
          <w:p>
            <w:pPr/>
          </w:p>
        </w:tc>
        <w:tc>
          <w:tcPr>
            <w:tcW w:w="1253"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820" w:type="dxa"/>
            <w:vMerge/>
            <w:tcBorders>
              <w:left w:val="single" w:sz="4" w:space="0" w:color="000000"/>
              <w:bottom w:val="single" w:sz="4" w:space="0" w:color="000000"/>
              <w:right w:val="single" w:sz="4" w:space="0" w:color="000000"/>
            </w:tcBorders>
            <w:shd w:val="clear" w:color="auto" w:fill="D4D4D4"/>
          </w:tcPr>
          <w:p>
            <w:pPr/>
          </w:p>
        </w:tc>
        <w:tc>
          <w:tcPr>
            <w:tcW w:w="1220" w:type="dxa"/>
            <w:vMerge/>
            <w:tcBorders>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890" w:type="dxa"/>
            <w:vMerge/>
            <w:tcBorders>
              <w:left w:val="single" w:sz="4" w:space="0" w:color="000000"/>
              <w:bottom w:val="single" w:sz="4" w:space="0" w:color="000000"/>
              <w:right w:val="single" w:sz="4" w:space="0" w:color="000000"/>
            </w:tcBorders>
            <w:shd w:val="clear" w:color="auto" w:fill="D4D4D4"/>
          </w:tcPr>
          <w:p>
            <w:pPr/>
          </w:p>
        </w:tc>
        <w:tc>
          <w:tcPr>
            <w:tcW w:w="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5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22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50,000,000.00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16,215,7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79.10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556.10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75,642,251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151,902,586.50</w:t>
            </w:r>
          </w:p>
        </w:tc>
      </w:tr>
      <w:tr>
        <w:trPr>
          <w:trHeight w:val="391" w:hRule="exact"/>
        </w:trPr>
        <w:tc>
          <w:tcPr>
            <w:tcW w:w="18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20" w:type="dxa"/>
            <w:vMerge/>
            <w:tcBorders>
              <w:left w:val="single" w:sz="9"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20" w:type="dxa"/>
            <w:vMerge/>
            <w:tcBorders>
              <w:left w:val="single" w:sz="9"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22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50,000,000.00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16,215,7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79.10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556.10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75,642,251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151,902,586.50</w:t>
            </w:r>
          </w:p>
        </w:tc>
      </w:tr>
      <w:tr>
        <w:trPr>
          <w:trHeight w:val="391" w:hRule="exact"/>
        </w:trPr>
        <w:tc>
          <w:tcPr>
            <w:tcW w:w="18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20" w:type="dxa"/>
            <w:vMerge/>
            <w:tcBorders>
              <w:left w:val="single" w:sz="9"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20" w:type="dxa"/>
            <w:vMerge/>
            <w:tcBorders>
              <w:left w:val="single" w:sz="9"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16,700,000.00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363,485,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433.71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6,114,66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53,992,865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440,292,962.70</w:t>
            </w:r>
            <w:r>
              <w:rPr>
                <w:rFonts w:ascii="Times New Roman"/>
                <w:sz w:val="18"/>
              </w:rPr>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22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60,107,528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60,107,528.99</w:t>
            </w:r>
          </w:p>
        </w:tc>
      </w:tr>
      <w:tr>
        <w:trPr>
          <w:trHeight w:val="391" w:hRule="exact"/>
        </w:trPr>
        <w:tc>
          <w:tcPr>
            <w:tcW w:w="18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20" w:type="dxa"/>
            <w:vMerge/>
            <w:tcBorders>
              <w:left w:val="single" w:sz="9"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20" w:type="dxa"/>
            <w:vMerge/>
            <w:tcBorders>
              <w:left w:val="single" w:sz="9"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740"/>
        </w:sectPr>
      </w:pPr>
    </w:p>
    <w:p>
      <w:pPr>
        <w:spacing w:line="240" w:lineRule="auto" w:before="6"/>
        <w:rPr>
          <w:rFonts w:ascii="宋体" w:hAnsi="宋体" w:cs="宋体" w:eastAsia="宋体" w:hint="default"/>
          <w:sz w:val="28"/>
          <w:szCs w:val="28"/>
        </w:rPr>
      </w:pPr>
      <w:r>
        <w:rPr/>
        <w:pict>
          <v:group style="position:absolute;margin-left:149.039993pt;margin-top:342.47998pt;width:60pt;height:28pt;mso-position-horizontal-relative:page;mso-position-vertical-relative:page;z-index:-1101328" coordorigin="2981,6850" coordsize="1200,560">
            <v:group style="position:absolute;left:2981;top:6850;width:1200;height:156" coordorigin="2981,6850" coordsize="1200,156">
              <v:shape style="position:absolute;left:2981;top:6850;width:1200;height:156" coordorigin="2981,6850" coordsize="1200,156" path="m2981,7006l4181,7006,4181,6850,2981,6850,2981,7006xe" filled="true" fillcolor="#ffffff" stroked="false">
                <v:path arrowok="t"/>
                <v:fill type="solid"/>
              </v:shape>
            </v:group>
            <v:group style="position:absolute;left:2993;top:7006;width:2;height:392" coordorigin="2993,7006" coordsize="2,392">
              <v:shape style="position:absolute;left:2993;top:7006;width:2;height:392" coordorigin="2993,7006" coordsize="0,392" path="m2993,7006l2993,7397e" filled="false" stroked="true" strokeweight="1.2pt" strokecolor="#ffffff">
                <v:path arrowok="t"/>
              </v:shape>
            </v:group>
            <v:group style="position:absolute;left:3005;top:7006;width:1152;height:392" coordorigin="3005,7006" coordsize="1152,392">
              <v:shape style="position:absolute;left:3005;top:7006;width:1152;height:392" coordorigin="3005,7006" coordsize="1152,392" path="m3005,7397l4157,7397,4157,7006,3005,7006,3005,739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842"/>
        <w:gridCol w:w="1210"/>
        <w:gridCol w:w="686"/>
        <w:gridCol w:w="686"/>
        <w:gridCol w:w="686"/>
        <w:gridCol w:w="684"/>
        <w:gridCol w:w="684"/>
        <w:gridCol w:w="890"/>
        <w:gridCol w:w="482"/>
        <w:gridCol w:w="818"/>
        <w:gridCol w:w="1253"/>
      </w:tblGrid>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
              <w:jc w:val="left"/>
              <w:rPr>
                <w:rFonts w:ascii="宋体" w:hAnsi="宋体" w:cs="宋体" w:eastAsia="宋体" w:hint="default"/>
                <w:sz w:val="18"/>
                <w:szCs w:val="18"/>
              </w:rPr>
            </w:pPr>
            <w:r>
              <w:rPr>
                <w:rFonts w:ascii="宋体" w:hAnsi="宋体" w:cs="宋体" w:eastAsia="宋体" w:hint="default"/>
                <w:spacing w:val="-2"/>
                <w:sz w:val="18"/>
                <w:szCs w:val="18"/>
              </w:rPr>
              <w:t>上述（一）和（二）小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60,107,528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60,107,528.99</w:t>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（三）所有者投入和减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16,700,000.00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362,158,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645.20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378,858,645.20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16,700,000.00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360,308,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645.20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377,008,645.20</w:t>
            </w:r>
            <w:r>
              <w:rPr>
                <w:rFonts w:ascii="Times New Roman"/>
                <w:sz w:val="18"/>
              </w:rPr>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1,850,00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1,850,000.00</w:t>
            </w:r>
            <w:r>
              <w:rPr>
                <w:rFonts w:ascii="Times New Roman"/>
                <w:sz w:val="18"/>
              </w:rPr>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6,114,66</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6,114,66</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（五）所有者权益内部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1,326,78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8.51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1,326,788.51</w:t>
            </w:r>
            <w:r>
              <w:rPr>
                <w:rFonts w:ascii="Times New Roman"/>
                <w:sz w:val="18"/>
              </w:rPr>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66,700,000.00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379,701,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212.81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16,159,</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219.86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129,635,11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6.53</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592,195,549.20</w:t>
            </w:r>
            <w:r>
              <w:rPr>
                <w:rFonts w:ascii="Times New Roman"/>
                <w:sz w:val="18"/>
              </w:rPr>
            </w:r>
          </w:p>
        </w:tc>
      </w:tr>
    </w:tbl>
    <w:p>
      <w:pPr>
        <w:pStyle w:val="BodyText"/>
        <w:spacing w:line="240" w:lineRule="auto" w:before="49"/>
        <w:ind w:right="0"/>
        <w:jc w:val="left"/>
      </w:pPr>
      <w:r>
        <w:rPr/>
        <w:t>上年金额</w:t>
      </w:r>
    </w:p>
    <w:p>
      <w:pPr>
        <w:pStyle w:val="BodyText"/>
        <w:spacing w:line="240" w:lineRule="auto" w:before="115"/>
        <w:ind w:left="0" w:right="39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5"/>
        <w:gridCol w:w="5486"/>
        <w:gridCol w:w="818"/>
        <w:gridCol w:w="895"/>
      </w:tblGrid>
      <w:tr>
        <w:trPr>
          <w:trHeight w:val="403" w:hRule="exact"/>
        </w:trPr>
        <w:tc>
          <w:tcPr>
            <w:tcW w:w="23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20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365" w:type="dxa"/>
            <w:vMerge/>
            <w:tcBorders>
              <w:left w:val="single" w:sz="4" w:space="0" w:color="000000"/>
              <w:bottom w:val="single" w:sz="4" w:space="0" w:color="000000"/>
              <w:right w:val="single" w:sz="4" w:space="0" w:color="000000"/>
            </w:tcBorders>
            <w:shd w:val="clear" w:color="auto" w:fill="D4D4D4"/>
          </w:tcPr>
          <w:p>
            <w:pPr/>
          </w:p>
        </w:tc>
        <w:tc>
          <w:tcPr>
            <w:tcW w:w="5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43"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8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7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4"/>
        <w:gridCol w:w="686"/>
        <w:gridCol w:w="686"/>
        <w:gridCol w:w="686"/>
        <w:gridCol w:w="686"/>
        <w:gridCol w:w="684"/>
        <w:gridCol w:w="684"/>
        <w:gridCol w:w="686"/>
        <w:gridCol w:w="686"/>
        <w:gridCol w:w="818"/>
        <w:gridCol w:w="893"/>
      </w:tblGrid>
      <w:tr>
        <w:trPr>
          <w:trHeight w:val="161" w:hRule="exact"/>
        </w:trPr>
        <w:tc>
          <w:tcPr>
            <w:tcW w:w="2354" w:type="dxa"/>
            <w:vMerge w:val="restart"/>
            <w:tcBorders>
              <w:top w:val="single" w:sz="4" w:space="0" w:color="000000"/>
              <w:left w:val="single" w:sz="4" w:space="0" w:color="000000"/>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7" w:right="67"/>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4" w:space="0" w:color="000000"/>
              <w:right w:val="single" w:sz="4" w:space="0" w:color="000000"/>
            </w:tcBorders>
            <w:shd w:val="clear" w:color="auto" w:fill="D4D4D4"/>
          </w:tcPr>
          <w:p>
            <w:pPr/>
          </w:p>
        </w:tc>
        <w:tc>
          <w:tcPr>
            <w:tcW w:w="818" w:type="dxa"/>
            <w:vMerge w:val="restart"/>
            <w:tcBorders>
              <w:top w:val="single" w:sz="4" w:space="0" w:color="000000"/>
              <w:left w:val="single" w:sz="10" w:space="0" w:color="D4D4D4"/>
              <w:right w:val="single" w:sz="4" w:space="0" w:color="000000"/>
            </w:tcBorders>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56" w:hRule="exact"/>
        </w:trPr>
        <w:tc>
          <w:tcPr>
            <w:tcW w:w="235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4D4D4"/>
          </w:tcPr>
          <w:p>
            <w:pPr/>
          </w:p>
        </w:tc>
        <w:tc>
          <w:tcPr>
            <w:tcW w:w="818" w:type="dxa"/>
            <w:vMerge/>
            <w:tcBorders>
              <w:left w:val="single" w:sz="10" w:space="0" w:color="D4D4D4"/>
              <w:right w:val="single" w:sz="4" w:space="0" w:color="000000"/>
            </w:tcBorders>
          </w:tcPr>
          <w:p>
            <w:pPr/>
          </w:p>
        </w:tc>
        <w:tc>
          <w:tcPr>
            <w:tcW w:w="893" w:type="dxa"/>
            <w:vMerge/>
            <w:tcBorders>
              <w:left w:val="single" w:sz="4" w:space="0" w:color="000000"/>
              <w:right w:val="single" w:sz="4" w:space="0" w:color="000000"/>
            </w:tcBorders>
          </w:tcPr>
          <w:p>
            <w:pPr/>
          </w:p>
        </w:tc>
      </w:tr>
      <w:tr>
        <w:trPr>
          <w:trHeight w:val="391" w:hRule="exact"/>
        </w:trPr>
        <w:tc>
          <w:tcPr>
            <w:tcW w:w="235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10" w:space="0" w:color="D4D4D4"/>
              <w:right w:val="single" w:sz="4" w:space="0" w:color="000000"/>
            </w:tcBorders>
          </w:tcPr>
          <w:p>
            <w:pPr/>
          </w:p>
        </w:tc>
        <w:tc>
          <w:tcPr>
            <w:tcW w:w="893" w:type="dxa"/>
            <w:vMerge/>
            <w:tcBorders>
              <w:left w:val="single" w:sz="4" w:space="0" w:color="000000"/>
              <w:right w:val="single" w:sz="4" w:space="0" w:color="000000"/>
            </w:tcBorders>
          </w:tcPr>
          <w:p>
            <w:pPr/>
          </w:p>
        </w:tc>
      </w:tr>
      <w:tr>
        <w:trPr>
          <w:trHeight w:val="156" w:hRule="exact"/>
        </w:trPr>
        <w:tc>
          <w:tcPr>
            <w:tcW w:w="235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val="restart"/>
            <w:tcBorders>
              <w:top w:val="nil" w:sz="6" w:space="0" w:color="auto"/>
              <w:left w:val="single" w:sz="4" w:space="0" w:color="000000"/>
              <w:right w:val="single" w:sz="4" w:space="0" w:color="000000"/>
            </w:tcBorders>
            <w:shd w:val="clear" w:color="auto" w:fill="D4D4D4"/>
          </w:tcPr>
          <w:p>
            <w:pPr/>
          </w:p>
        </w:tc>
        <w:tc>
          <w:tcPr>
            <w:tcW w:w="818" w:type="dxa"/>
            <w:vMerge/>
            <w:tcBorders>
              <w:left w:val="single" w:sz="10" w:space="0" w:color="D4D4D4"/>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vMerge/>
            <w:tcBorders>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4" w:space="0" w:color="000000"/>
              <w:bottom w:val="single" w:sz="4" w:space="0" w:color="000000"/>
              <w:right w:val="single" w:sz="4" w:space="0" w:color="000000"/>
            </w:tcBorders>
            <w:shd w:val="clear" w:color="auto" w:fill="D4D4D4"/>
          </w:tcPr>
          <w:p>
            <w:pPr/>
          </w:p>
        </w:tc>
        <w:tc>
          <w:tcPr>
            <w:tcW w:w="818" w:type="dxa"/>
            <w:vMerge/>
            <w:tcBorders>
              <w:left w:val="single" w:sz="10" w:space="0" w:color="D4D4D4"/>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16,215,7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79.10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5,659,5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60.10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50,257,7</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45.77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122,133,08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4.97</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16,215,7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79.10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5,659,5</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60.10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50,257,7</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45.77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122,133,08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4.97</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4,384,9</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96.00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25,384,5</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05.53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29,769,501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44,769,5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01.53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44,769,501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44,769,5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01.53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44,769,501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3"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4,384,9</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96.00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2"/>
              <w:ind w:left="143" w:right="0"/>
              <w:jc w:val="center"/>
              <w:rPr>
                <w:rFonts w:ascii="Times New Roman" w:hAnsi="Times New Roman" w:cs="Times New Roman" w:eastAsia="Times New Roman" w:hint="default"/>
                <w:sz w:val="18"/>
                <w:szCs w:val="18"/>
              </w:rPr>
            </w:pPr>
            <w:r>
              <w:rPr>
                <w:rFonts w:ascii="Times New Roman"/>
                <w:sz w:val="18"/>
              </w:rPr>
              <w:t>996.00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vMerge w:val="restart"/>
            <w:tcBorders>
              <w:top w:val="single" w:sz="4" w:space="0" w:color="000000"/>
              <w:left w:val="single" w:sz="10" w:space="0" w:color="D4D4D4"/>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4,384,9</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96.00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-4,384,9</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96.00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vMerge/>
            <w:tcBorders>
              <w:left w:val="single" w:sz="10" w:space="0" w:color="D4D4D4"/>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vMerge/>
            <w:tcBorders>
              <w:left w:val="single" w:sz="10" w:space="0" w:color="D4D4D4"/>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5"/>
        <w:gridCol w:w="686"/>
        <w:gridCol w:w="686"/>
        <w:gridCol w:w="686"/>
        <w:gridCol w:w="686"/>
        <w:gridCol w:w="684"/>
        <w:gridCol w:w="684"/>
        <w:gridCol w:w="686"/>
        <w:gridCol w:w="686"/>
        <w:gridCol w:w="818"/>
        <w:gridCol w:w="893"/>
      </w:tblGrid>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16,215,7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79.10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556.10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75,642,2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51.30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151,902,58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6.50</w:t>
            </w:r>
          </w:p>
        </w:tc>
      </w:tr>
    </w:tbl>
    <w:p>
      <w:pPr>
        <w:spacing w:line="240" w:lineRule="auto" w:before="11"/>
        <w:rPr>
          <w:rFonts w:ascii="Times New Roman" w:hAnsi="Times New Roman" w:cs="Times New Roman" w:eastAsia="Times New Roman" w:hint="default"/>
          <w:sz w:val="22"/>
          <w:szCs w:val="22"/>
        </w:rPr>
      </w:pPr>
    </w:p>
    <w:p>
      <w:pPr>
        <w:pStyle w:val="BodyText"/>
        <w:tabs>
          <w:tab w:pos="3726" w:val="left" w:leader="none"/>
          <w:tab w:pos="7957" w:val="left" w:leader="none"/>
        </w:tabs>
        <w:spacing w:line="240" w:lineRule="auto" w:before="44"/>
        <w:ind w:right="0"/>
        <w:jc w:val="left"/>
      </w:pPr>
      <w:r>
        <w:rPr/>
        <w:t>法定代表人：林皓</w:t>
        <w:tab/>
      </w:r>
      <w:r>
        <w:rPr>
          <w:spacing w:val="-1"/>
        </w:rPr>
        <w:t>主管会计工作负责人：严惠甜</w:t>
        <w:tab/>
        <w:t>会计机构负责人：李丹</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8、母公司所有者权益变动表" w:id="136"/>
      <w:bookmarkEnd w:id="13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2" w:top="1060" w:bottom="1180" w:left="980" w:right="740"/>
        </w:sectPr>
      </w:pPr>
    </w:p>
    <w:p>
      <w:pPr>
        <w:pStyle w:val="BodyText"/>
        <w:spacing w:line="360" w:lineRule="auto" w:before="44"/>
        <w:ind w:right="-20"/>
        <w:jc w:val="left"/>
      </w:pPr>
      <w:r>
        <w:rPr/>
        <w:t>编制单位：北京北信源软件股份有限公司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740"/>
          <w:cols w:num="2" w:equalWidth="0">
            <w:col w:w="3393" w:space="5525"/>
            <w:col w:w="1272"/>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6"/>
        <w:gridCol w:w="1092"/>
        <w:gridCol w:w="886"/>
        <w:gridCol w:w="886"/>
        <w:gridCol w:w="886"/>
        <w:gridCol w:w="886"/>
        <w:gridCol w:w="886"/>
        <w:gridCol w:w="888"/>
        <w:gridCol w:w="1248"/>
      </w:tblGrid>
      <w:tr>
        <w:trPr>
          <w:trHeight w:val="398"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7656"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2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71" w:right="19" w:hanging="248"/>
              <w:jc w:val="left"/>
              <w:rPr>
                <w:rFonts w:ascii="宋体" w:hAnsi="宋体" w:cs="宋体" w:eastAsia="宋体" w:hint="default"/>
                <w:sz w:val="18"/>
                <w:szCs w:val="18"/>
              </w:rPr>
            </w:pPr>
            <w:r>
              <w:rPr>
                <w:rFonts w:ascii="宋体" w:hAnsi="宋体" w:cs="宋体" w:eastAsia="宋体" w:hint="default"/>
                <w:spacing w:val="-8"/>
                <w:sz w:val="18"/>
                <w:szCs w:val="18"/>
              </w:rPr>
              <w:t>实收资本（或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530" w:right="7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0" w:hRule="exact"/>
        </w:trPr>
        <w:tc>
          <w:tcPr>
            <w:tcW w:w="2256" w:type="dxa"/>
            <w:vMerge/>
            <w:tcBorders>
              <w:left w:val="single" w:sz="4" w:space="0" w:color="000000"/>
              <w:bottom w:val="nil" w:sz="6" w:space="0" w:color="auto"/>
              <w:right w:val="single" w:sz="4" w:space="0" w:color="000000"/>
            </w:tcBorders>
            <w:shd w:val="clear" w:color="auto" w:fill="D4D4D4"/>
          </w:tcPr>
          <w:p>
            <w:pPr/>
          </w:p>
        </w:tc>
        <w:tc>
          <w:tcPr>
            <w:tcW w:w="1092" w:type="dxa"/>
            <w:vMerge/>
            <w:tcBorders>
              <w:left w:val="single" w:sz="4" w:space="0" w:color="000000"/>
              <w:right w:val="single" w:sz="4" w:space="0" w:color="000000"/>
            </w:tcBorders>
            <w:shd w:val="clear" w:color="auto" w:fill="D4D4D4"/>
          </w:tcPr>
          <w:p>
            <w:pP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4D4D4"/>
          </w:tcPr>
          <w:p>
            <w:pPr/>
          </w:p>
        </w:tc>
        <w:tc>
          <w:tcPr>
            <w:tcW w:w="888" w:type="dxa"/>
            <w:vMerge/>
            <w:tcBorders>
              <w:left w:val="single" w:sz="4" w:space="0" w:color="000000"/>
              <w:right w:val="single" w:sz="4" w:space="0" w:color="000000"/>
            </w:tcBorders>
            <w:shd w:val="clear" w:color="auto" w:fill="D4D4D4"/>
          </w:tcPr>
          <w:p>
            <w:pPr/>
          </w:p>
        </w:tc>
        <w:tc>
          <w:tcPr>
            <w:tcW w:w="1248" w:type="dxa"/>
            <w:vMerge/>
            <w:tcBorders>
              <w:left w:val="single" w:sz="4" w:space="0" w:color="000000"/>
              <w:right w:val="single" w:sz="4" w:space="0" w:color="000000"/>
            </w:tcBorders>
            <w:shd w:val="clear" w:color="auto" w:fill="D4D4D4"/>
          </w:tcPr>
          <w:p>
            <w:pPr/>
          </w:p>
        </w:tc>
      </w:tr>
      <w:tr>
        <w:trPr>
          <w:trHeight w:val="202" w:hRule="exact"/>
        </w:trPr>
        <w:tc>
          <w:tcPr>
            <w:tcW w:w="2256" w:type="dxa"/>
            <w:vMerge w:val="restart"/>
            <w:tcBorders>
              <w:top w:val="nil" w:sz="6" w:space="0" w:color="auto"/>
              <w:left w:val="single" w:sz="4" w:space="0" w:color="000000"/>
              <w:right w:val="single" w:sz="4" w:space="0" w:color="000000"/>
            </w:tcBorders>
            <w:shd w:val="clear" w:color="auto" w:fill="D4D4D4"/>
          </w:tcPr>
          <w:p>
            <w:pPr/>
          </w:p>
        </w:tc>
        <w:tc>
          <w:tcPr>
            <w:tcW w:w="1092" w:type="dxa"/>
            <w:vMerge/>
            <w:tcBorders>
              <w:left w:val="single" w:sz="4" w:space="0" w:color="000000"/>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right w:val="single" w:sz="4" w:space="0" w:color="000000"/>
            </w:tcBorders>
            <w:shd w:val="clear" w:color="auto" w:fill="D4D4D4"/>
          </w:tcPr>
          <w:p>
            <w:pPr/>
          </w:p>
        </w:tc>
        <w:tc>
          <w:tcPr>
            <w:tcW w:w="888" w:type="dxa"/>
            <w:vMerge/>
            <w:tcBorders>
              <w:left w:val="single" w:sz="4" w:space="0" w:color="000000"/>
              <w:right w:val="single" w:sz="4" w:space="0" w:color="000000"/>
            </w:tcBorders>
            <w:shd w:val="clear" w:color="auto" w:fill="D4D4D4"/>
          </w:tcPr>
          <w:p>
            <w:pPr/>
          </w:p>
        </w:tc>
        <w:tc>
          <w:tcPr>
            <w:tcW w:w="1248" w:type="dxa"/>
            <w:vMerge/>
            <w:tcBorders>
              <w:left w:val="single" w:sz="4" w:space="0" w:color="000000"/>
              <w:right w:val="single" w:sz="4" w:space="0" w:color="000000"/>
            </w:tcBorders>
            <w:shd w:val="clear" w:color="auto" w:fill="D4D4D4"/>
          </w:tcPr>
          <w:p>
            <w:pPr/>
          </w:p>
        </w:tc>
      </w:tr>
      <w:tr>
        <w:trPr>
          <w:trHeight w:val="161" w:hRule="exact"/>
        </w:trPr>
        <w:tc>
          <w:tcPr>
            <w:tcW w:w="2256" w:type="dxa"/>
            <w:vMerge/>
            <w:tcBorders>
              <w:left w:val="single" w:sz="4" w:space="0" w:color="000000"/>
              <w:bottom w:val="single" w:sz="4" w:space="0" w:color="000000"/>
              <w:right w:val="single" w:sz="4" w:space="0" w:color="000000"/>
            </w:tcBorders>
            <w:shd w:val="clear" w:color="auto" w:fill="D4D4D4"/>
          </w:tcPr>
          <w:p>
            <w:pPr/>
          </w:p>
        </w:tc>
        <w:tc>
          <w:tcPr>
            <w:tcW w:w="1092" w:type="dxa"/>
            <w:vMerge/>
            <w:tcBorders>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vMerge/>
            <w:tcBorders>
              <w:left w:val="single" w:sz="4" w:space="0" w:color="000000"/>
              <w:bottom w:val="single" w:sz="4" w:space="0" w:color="000000"/>
              <w:right w:val="single" w:sz="4" w:space="0" w:color="000000"/>
            </w:tcBorders>
            <w:shd w:val="clear" w:color="auto" w:fill="D4D4D4"/>
          </w:tcPr>
          <w:p>
            <w:pPr/>
          </w:p>
        </w:tc>
        <w:tc>
          <w:tcPr>
            <w:tcW w:w="888"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50,000,000.00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16,215,779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10,044,556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75,401,004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151,661,340.06</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92" w:type="dxa"/>
            <w:vMerge/>
            <w:tcBorders>
              <w:left w:val="single" w:sz="9"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9"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50,000,000.00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16,215,779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10,044,556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75,401,004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151,661,340.06</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92" w:type="dxa"/>
            <w:vMerge/>
            <w:tcBorders>
              <w:left w:val="single" w:sz="9"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9"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r>
      <w:tr>
        <w:trPr>
          <w:trHeight w:val="713"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363,485,43</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3.71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55,031,973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441,332,071.33</w:t>
            </w:r>
            <w:r>
              <w:rPr>
                <w:rFonts w:ascii="Times New Roman"/>
                <w:sz w:val="18"/>
              </w:rPr>
            </w: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61,146,637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61,146,637.62</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92" w:type="dxa"/>
            <w:vMerge/>
            <w:tcBorders>
              <w:left w:val="single" w:sz="9"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9"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61,146,637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61,146,637.62</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92" w:type="dxa"/>
            <w:vMerge/>
            <w:tcBorders>
              <w:left w:val="single" w:sz="9"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9"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r>
      <w:tr>
        <w:trPr>
          <w:trHeight w:val="713"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362,158,64</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5.20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378,858,645.20</w:t>
            </w:r>
            <w:r>
              <w:rPr>
                <w:rFonts w:ascii="Times New Roman"/>
                <w:sz w:val="18"/>
              </w:rPr>
            </w: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092"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16,700,000.00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360,308,64</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5.20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0.00</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0.00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377,008,645.20</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92" w:type="dxa"/>
            <w:vMerge/>
            <w:tcBorders>
              <w:left w:val="single" w:sz="9" w:space="0" w:color="D4D4D4"/>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092" w:type="dxa"/>
            <w:vMerge/>
            <w:tcBorders>
              <w:left w:val="single" w:sz="9" w:space="0" w:color="D4D4D4"/>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r>
      <w:tr>
        <w:trPr>
          <w:trHeight w:val="401" w:hRule="exact"/>
        </w:trPr>
        <w:tc>
          <w:tcPr>
            <w:tcW w:w="2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p>
        </w:tc>
        <w:tc>
          <w:tcPr>
            <w:tcW w:w="109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7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7"/>
        <w:gridCol w:w="1092"/>
        <w:gridCol w:w="886"/>
        <w:gridCol w:w="886"/>
        <w:gridCol w:w="886"/>
        <w:gridCol w:w="886"/>
        <w:gridCol w:w="886"/>
        <w:gridCol w:w="888"/>
        <w:gridCol w:w="1248"/>
      </w:tblGrid>
      <w:tr>
        <w:trPr>
          <w:trHeight w:val="362"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1,850,000.00</w:t>
            </w:r>
            <w:r>
              <w:rPr>
                <w:rFonts w:ascii="Times New Roman"/>
                <w:sz w:val="18"/>
              </w:rPr>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w:t>
            </w:r>
            <w:r>
              <w:rPr>
                <w:rFonts w:ascii="宋体" w:hAnsi="宋体" w:cs="宋体" w:eastAsia="宋体" w:hint="default"/>
                <w:sz w:val="18"/>
                <w:szCs w:val="18"/>
              </w:rPr>
              <w:t> 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．盈余公积转增资本（或股</w:t>
            </w:r>
            <w:r>
              <w:rPr>
                <w:rFonts w:ascii="宋体" w:hAnsi="宋体" w:cs="宋体" w:eastAsia="宋体" w:hint="default"/>
                <w:sz w:val="18"/>
                <w:szCs w:val="18"/>
              </w:rPr>
              <w:t> 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1,326,788.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1,326,788.51</w:t>
            </w:r>
            <w:r>
              <w:rPr>
                <w:rFonts w:ascii="Times New Roman"/>
                <w:sz w:val="18"/>
              </w:rPr>
            </w:r>
          </w:p>
        </w:tc>
      </w:tr>
      <w:tr>
        <w:trPr>
          <w:trHeight w:val="715" w:hRule="exact"/>
        </w:trPr>
        <w:tc>
          <w:tcPr>
            <w:tcW w:w="2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379,701,21</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2.81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16,159,219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130,432,97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592,993,411.39</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上年金额</w:t>
      </w:r>
    </w:p>
    <w:p>
      <w:pPr>
        <w:pStyle w:val="BodyText"/>
        <w:spacing w:line="240" w:lineRule="auto" w:before="117"/>
        <w:ind w:left="0" w:right="39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74"/>
        <w:gridCol w:w="1146"/>
        <w:gridCol w:w="1133"/>
        <w:gridCol w:w="566"/>
        <w:gridCol w:w="569"/>
        <w:gridCol w:w="1133"/>
        <w:gridCol w:w="710"/>
        <w:gridCol w:w="1274"/>
        <w:gridCol w:w="1274"/>
      </w:tblGrid>
      <w:tr>
        <w:trPr>
          <w:trHeight w:val="396" w:hRule="exact"/>
        </w:trPr>
        <w:tc>
          <w:tcPr>
            <w:tcW w:w="1974"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6"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19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03" w:right="23" w:hanging="269"/>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133"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98" w:right="48" w:hanging="75"/>
              <w:jc w:val="left"/>
              <w:rPr>
                <w:rFonts w:ascii="宋体" w:hAnsi="宋体" w:cs="宋体" w:eastAsia="宋体" w:hint="default"/>
                <w:sz w:val="18"/>
                <w:szCs w:val="18"/>
              </w:rPr>
            </w:pPr>
            <w:r>
              <w:rPr>
                <w:rFonts w:ascii="宋体" w:hAnsi="宋体" w:cs="宋体" w:eastAsia="宋体" w:hint="default"/>
                <w:spacing w:val="-20"/>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tcBorders>
              <w:top w:val="single" w:sz="4" w:space="0" w:color="000000"/>
              <w:left w:val="single" w:sz="4" w:space="0" w:color="000000"/>
              <w:bottom w:val="nil" w:sz="6" w:space="0" w:color="auto"/>
              <w:right w:val="single" w:sz="4" w:space="0" w:color="000000"/>
            </w:tcBorders>
            <w:shd w:val="clear" w:color="auto" w:fill="D4D4D4"/>
          </w:tcPr>
          <w:p>
            <w:pPr/>
          </w:p>
        </w:tc>
        <w:tc>
          <w:tcPr>
            <w:tcW w:w="71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79"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542" w:right="89"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1974" w:type="dxa"/>
            <w:vMerge/>
            <w:tcBorders>
              <w:left w:val="single" w:sz="4" w:space="0" w:color="000000"/>
              <w:bottom w:val="nil" w:sz="6" w:space="0" w:color="auto"/>
              <w:right w:val="single" w:sz="4" w:space="0" w:color="000000"/>
            </w:tcBorders>
            <w:shd w:val="clear" w:color="auto" w:fill="D4D4D4"/>
          </w:tcPr>
          <w:p>
            <w:pPr/>
          </w:p>
        </w:tc>
        <w:tc>
          <w:tcPr>
            <w:tcW w:w="1146" w:type="dxa"/>
            <w:vMerge/>
            <w:tcBorders>
              <w:left w:val="single" w:sz="4" w:space="0" w:color="000000"/>
              <w:right w:val="single" w:sz="4" w:space="0" w:color="000000"/>
            </w:tcBorders>
            <w:shd w:val="clear" w:color="auto" w:fill="D4D4D4"/>
          </w:tcPr>
          <w:p>
            <w:pPr/>
          </w:p>
        </w:tc>
        <w:tc>
          <w:tcPr>
            <w:tcW w:w="11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4D4D4"/>
          </w:tcPr>
          <w:p>
            <w:pPr/>
          </w:p>
        </w:tc>
        <w:tc>
          <w:tcPr>
            <w:tcW w:w="569" w:type="dxa"/>
            <w:vMerge/>
            <w:tcBorders>
              <w:left w:val="single" w:sz="4" w:space="0" w:color="000000"/>
              <w:right w:val="single" w:sz="4" w:space="0" w:color="000000"/>
            </w:tcBorders>
            <w:shd w:val="clear" w:color="auto" w:fill="D4D4D4"/>
          </w:tcPr>
          <w:p>
            <w:pPr/>
          </w:p>
        </w:tc>
        <w:tc>
          <w:tcPr>
            <w:tcW w:w="11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0" w:type="dxa"/>
            <w:vMerge/>
            <w:tcBorders>
              <w:left w:val="single" w:sz="4" w:space="0" w:color="000000"/>
              <w:right w:val="single" w:sz="4" w:space="0" w:color="000000"/>
            </w:tcBorders>
            <w:shd w:val="clear" w:color="auto" w:fill="D4D4D4"/>
          </w:tcPr>
          <w:p>
            <w:pPr/>
          </w:p>
        </w:tc>
        <w:tc>
          <w:tcPr>
            <w:tcW w:w="12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4D4D4"/>
          </w:tcPr>
          <w:p>
            <w:pPr/>
          </w:p>
        </w:tc>
      </w:tr>
      <w:tr>
        <w:trPr>
          <w:trHeight w:val="202" w:hRule="exact"/>
        </w:trPr>
        <w:tc>
          <w:tcPr>
            <w:tcW w:w="1974" w:type="dxa"/>
            <w:vMerge w:val="restart"/>
            <w:tcBorders>
              <w:top w:val="nil" w:sz="6" w:space="0" w:color="auto"/>
              <w:left w:val="single" w:sz="4" w:space="0" w:color="000000"/>
              <w:right w:val="single" w:sz="4" w:space="0" w:color="000000"/>
            </w:tcBorders>
            <w:shd w:val="clear" w:color="auto" w:fill="D4D4D4"/>
          </w:tcPr>
          <w:p>
            <w:pPr/>
          </w:p>
        </w:tc>
        <w:tc>
          <w:tcPr>
            <w:tcW w:w="1146" w:type="dxa"/>
            <w:vMerge/>
            <w:tcBorders>
              <w:left w:val="single" w:sz="4" w:space="0" w:color="000000"/>
              <w:right w:val="single" w:sz="4" w:space="0" w:color="000000"/>
            </w:tcBorders>
            <w:shd w:val="clear" w:color="auto" w:fill="D4D4D4"/>
          </w:tcPr>
          <w:p>
            <w:pPr/>
          </w:p>
        </w:tc>
        <w:tc>
          <w:tcPr>
            <w:tcW w:w="1133" w:type="dxa"/>
            <w:vMerge/>
            <w:tcBorders>
              <w:left w:val="single" w:sz="4" w:space="0" w:color="000000"/>
              <w:bottom w:val="nil" w:sz="6" w:space="0" w:color="auto"/>
              <w:right w:val="single" w:sz="4" w:space="0" w:color="000000"/>
            </w:tcBorders>
            <w:shd w:val="clear" w:color="auto" w:fill="D4D4D4"/>
          </w:tcPr>
          <w:p>
            <w:pPr/>
          </w:p>
        </w:tc>
        <w:tc>
          <w:tcPr>
            <w:tcW w:w="566" w:type="dxa"/>
            <w:vMerge/>
            <w:tcBorders>
              <w:left w:val="single" w:sz="4" w:space="0" w:color="000000"/>
              <w:right w:val="single" w:sz="4" w:space="0" w:color="000000"/>
            </w:tcBorders>
            <w:shd w:val="clear" w:color="auto" w:fill="D4D4D4"/>
          </w:tcPr>
          <w:p>
            <w:pPr/>
          </w:p>
        </w:tc>
        <w:tc>
          <w:tcPr>
            <w:tcW w:w="569" w:type="dxa"/>
            <w:vMerge/>
            <w:tcBorders>
              <w:left w:val="single" w:sz="4" w:space="0" w:color="000000"/>
              <w:right w:val="single" w:sz="4" w:space="0" w:color="000000"/>
            </w:tcBorders>
            <w:shd w:val="clear" w:color="auto" w:fill="D4D4D4"/>
          </w:tcPr>
          <w:p>
            <w:pPr/>
          </w:p>
        </w:tc>
        <w:tc>
          <w:tcPr>
            <w:tcW w:w="1133" w:type="dxa"/>
            <w:vMerge/>
            <w:tcBorders>
              <w:left w:val="single" w:sz="4" w:space="0" w:color="000000"/>
              <w:bottom w:val="nil" w:sz="6" w:space="0" w:color="auto"/>
              <w:right w:val="single" w:sz="4" w:space="0" w:color="000000"/>
            </w:tcBorders>
            <w:shd w:val="clear" w:color="auto" w:fill="D4D4D4"/>
          </w:tcPr>
          <w:p>
            <w:pPr/>
          </w:p>
        </w:tc>
        <w:tc>
          <w:tcPr>
            <w:tcW w:w="710" w:type="dxa"/>
            <w:vMerge/>
            <w:tcBorders>
              <w:left w:val="single" w:sz="4" w:space="0" w:color="000000"/>
              <w:right w:val="single" w:sz="4" w:space="0" w:color="000000"/>
            </w:tcBorders>
            <w:shd w:val="clear" w:color="auto" w:fill="D4D4D4"/>
          </w:tcPr>
          <w:p>
            <w:pPr/>
          </w:p>
        </w:tc>
        <w:tc>
          <w:tcPr>
            <w:tcW w:w="1274" w:type="dxa"/>
            <w:vMerge/>
            <w:tcBorders>
              <w:left w:val="single" w:sz="4" w:space="0" w:color="000000"/>
              <w:bottom w:val="nil" w:sz="6" w:space="0" w:color="auto"/>
              <w:right w:val="single" w:sz="4" w:space="0" w:color="000000"/>
            </w:tcBorders>
            <w:shd w:val="clear" w:color="auto" w:fill="D4D4D4"/>
          </w:tcPr>
          <w:p>
            <w:pPr/>
          </w:p>
        </w:tc>
        <w:tc>
          <w:tcPr>
            <w:tcW w:w="1274" w:type="dxa"/>
            <w:vMerge/>
            <w:tcBorders>
              <w:left w:val="single" w:sz="4" w:space="0" w:color="000000"/>
              <w:right w:val="single" w:sz="4" w:space="0" w:color="000000"/>
            </w:tcBorders>
            <w:shd w:val="clear" w:color="auto" w:fill="D4D4D4"/>
          </w:tcPr>
          <w:p>
            <w:pPr/>
          </w:p>
        </w:tc>
      </w:tr>
      <w:tr>
        <w:trPr>
          <w:trHeight w:val="161" w:hRule="exact"/>
        </w:trPr>
        <w:tc>
          <w:tcPr>
            <w:tcW w:w="1974" w:type="dxa"/>
            <w:vMerge/>
            <w:tcBorders>
              <w:left w:val="single" w:sz="4" w:space="0" w:color="000000"/>
              <w:bottom w:val="single" w:sz="4" w:space="0" w:color="000000"/>
              <w:right w:val="single" w:sz="4" w:space="0" w:color="000000"/>
            </w:tcBorders>
            <w:shd w:val="clear" w:color="auto" w:fill="D4D4D4"/>
          </w:tcPr>
          <w:p>
            <w:pPr/>
          </w:p>
        </w:tc>
        <w:tc>
          <w:tcPr>
            <w:tcW w:w="1146" w:type="dxa"/>
            <w:vMerge/>
            <w:tcBorders>
              <w:left w:val="single" w:sz="4" w:space="0" w:color="000000"/>
              <w:bottom w:val="single" w:sz="4" w:space="0" w:color="000000"/>
              <w:right w:val="single" w:sz="4" w:space="0" w:color="000000"/>
            </w:tcBorders>
            <w:shd w:val="clear" w:color="auto" w:fill="D4D4D4"/>
          </w:tcPr>
          <w:p>
            <w:pPr/>
          </w:p>
        </w:tc>
        <w:tc>
          <w:tcPr>
            <w:tcW w:w="1133"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569" w:type="dxa"/>
            <w:vMerge/>
            <w:tcBorders>
              <w:left w:val="single" w:sz="4" w:space="0" w:color="000000"/>
              <w:bottom w:val="single" w:sz="4" w:space="0" w:color="000000"/>
              <w:right w:val="single" w:sz="4" w:space="0" w:color="000000"/>
            </w:tcBorders>
            <w:shd w:val="clear" w:color="auto" w:fill="D4D4D4"/>
          </w:tcPr>
          <w:p>
            <w:pPr/>
          </w:p>
        </w:tc>
        <w:tc>
          <w:tcPr>
            <w:tcW w:w="1133" w:type="dxa"/>
            <w:tcBorders>
              <w:top w:val="nil" w:sz="6" w:space="0" w:color="auto"/>
              <w:left w:val="single" w:sz="4" w:space="0" w:color="000000"/>
              <w:bottom w:val="single" w:sz="4" w:space="0" w:color="000000"/>
              <w:right w:val="single" w:sz="4" w:space="0" w:color="000000"/>
            </w:tcBorders>
            <w:shd w:val="clear" w:color="auto" w:fill="D4D4D4"/>
          </w:tcPr>
          <w:p>
            <w:pPr/>
          </w:p>
        </w:tc>
        <w:tc>
          <w:tcPr>
            <w:tcW w:w="710"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16,215,779.10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5,659,560.10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50,936,040.90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122,811,380.10</w:t>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4"/>
              <w:jc w:val="center"/>
              <w:rPr>
                <w:rFonts w:ascii="宋体" w:hAnsi="宋体" w:cs="宋体" w:eastAsia="宋体" w:hint="default"/>
                <w:sz w:val="18"/>
                <w:szCs w:val="18"/>
              </w:rPr>
            </w:pPr>
            <w:r>
              <w:rPr>
                <w:rFonts w:ascii="宋体" w:hAnsi="宋体" w:cs="宋体" w:eastAsia="宋体" w:hint="default"/>
                <w:sz w:val="18"/>
                <w:szCs w:val="18"/>
              </w:rPr>
              <w:t>其他</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16,215,779.10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5,659,560.10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50,936,040.90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122,811,380.10</w:t>
            </w:r>
            <w:r>
              <w:rPr>
                <w:rFonts w:ascii="Times New Roman"/>
                <w:sz w:val="18"/>
              </w:rPr>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tc>
        <w:tc>
          <w:tcPr>
            <w:tcW w:w="114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4,384,996.00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24,464,963.96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28,849,959.96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7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135"/>
        <w:gridCol w:w="1133"/>
        <w:gridCol w:w="566"/>
        <w:gridCol w:w="569"/>
        <w:gridCol w:w="1133"/>
        <w:gridCol w:w="710"/>
        <w:gridCol w:w="1274"/>
        <w:gridCol w:w="1274"/>
      </w:tblGrid>
      <w:tr>
        <w:trPr>
          <w:trHeight w:val="362"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43,849,959.96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43,849,959.96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上述（一）和（二）小计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43,849,959.96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43,849,959.96</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 权益的金额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4,384,996.00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-19,384,996.00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4,384,996.00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-4,384,996.00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（五）所有者权益内部结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16,215,779.10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10,044,556.10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75,401,004.86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151,661,340.06</w:t>
            </w:r>
            <w:r>
              <w:rPr>
                <w:rFonts w:ascii="Times New Roman"/>
                <w:sz w:val="18"/>
              </w:rPr>
            </w:r>
          </w:p>
        </w:tc>
      </w:tr>
    </w:tbl>
    <w:p>
      <w:pPr>
        <w:spacing w:line="240" w:lineRule="auto" w:before="2"/>
        <w:rPr>
          <w:rFonts w:ascii="宋体" w:hAnsi="宋体" w:cs="宋体" w:eastAsia="宋体" w:hint="default"/>
          <w:sz w:val="20"/>
          <w:szCs w:val="20"/>
        </w:rPr>
      </w:pPr>
    </w:p>
    <w:p>
      <w:pPr>
        <w:pStyle w:val="BodyText"/>
        <w:tabs>
          <w:tab w:pos="3726" w:val="left" w:leader="none"/>
          <w:tab w:pos="7958" w:val="left" w:leader="none"/>
        </w:tabs>
        <w:spacing w:line="240" w:lineRule="auto" w:before="44"/>
        <w:ind w:right="94"/>
        <w:jc w:val="left"/>
      </w:pPr>
      <w:r>
        <w:rPr/>
        <w:t>法定代表人：林皓</w:t>
        <w:tab/>
      </w:r>
      <w:r>
        <w:rPr>
          <w:spacing w:val="-1"/>
        </w:rPr>
        <w:t>主管会计工作负责人：严惠甜</w:t>
        <w:tab/>
        <w:t>会计机构负责人：李丹</w:t>
      </w:r>
    </w:p>
    <w:p>
      <w:pPr>
        <w:spacing w:line="240" w:lineRule="auto" w:before="3"/>
        <w:rPr>
          <w:rFonts w:ascii="宋体" w:hAnsi="宋体" w:cs="宋体" w:eastAsia="宋体" w:hint="default"/>
          <w:sz w:val="25"/>
          <w:szCs w:val="25"/>
        </w:rPr>
      </w:pPr>
    </w:p>
    <w:p>
      <w:pPr>
        <w:pStyle w:val="Heading3"/>
        <w:spacing w:line="240" w:lineRule="auto"/>
        <w:ind w:right="94"/>
        <w:jc w:val="left"/>
        <w:rPr>
          <w:b w:val="0"/>
          <w:bCs w:val="0"/>
        </w:rPr>
      </w:pPr>
      <w:bookmarkStart w:name="三、公司基本情况" w:id="137"/>
      <w:bookmarkEnd w:id="13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4" w:firstLine="360"/>
        <w:jc w:val="left"/>
      </w:pPr>
      <w:r>
        <w:rPr/>
        <w:t>北京北信源软件股份有限公司（以下简称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），前身为北京北信源自动化技术有限公司，成立于</w:t>
      </w:r>
      <w:r>
        <w:rPr>
          <w:rFonts w:ascii="Times New Roman" w:hAnsi="Times New Roman" w:cs="Times New Roman" w:eastAsia="Times New Roman" w:hint="default"/>
        </w:rPr>
        <w:t>1996</w:t>
      </w:r>
      <w:r>
        <w:rPr/>
        <w:t>年 </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日，是经北京市工商行政管理局批准，由林皓、李纪敏共同出资设立的有限责任公司。公司注册资本为人民币</w:t>
      </w:r>
      <w:r>
        <w:rPr>
          <w:rFonts w:ascii="Times New Roman" w:hAnsi="Times New Roman" w:cs="Times New Roman" w:eastAsia="Times New Roman" w:hint="default"/>
          <w:spacing w:val="-2"/>
        </w:rPr>
        <w:t>50</w:t>
      </w:r>
      <w:r>
        <w:rPr>
          <w:spacing w:val="-2"/>
        </w:rPr>
        <w:t>万元，</w:t>
      </w:r>
      <w:r>
        <w:rPr>
          <w:spacing w:val="-60"/>
        </w:rPr>
        <w:t> </w:t>
      </w:r>
      <w:r>
        <w:rPr/>
        <w:t>其中林皓以货币资金出资</w:t>
      </w:r>
      <w:r>
        <w:rPr>
          <w:rFonts w:ascii="Times New Roman" w:hAnsi="Times New Roman" w:cs="Times New Roman" w:eastAsia="Times New Roman" w:hint="default"/>
        </w:rPr>
        <w:t>5</w:t>
      </w:r>
      <w:r>
        <w:rPr/>
        <w:t>万元，以实物出资</w:t>
      </w:r>
      <w:r>
        <w:rPr>
          <w:rFonts w:ascii="Times New Roman" w:hAnsi="Times New Roman" w:cs="Times New Roman" w:eastAsia="Times New Roman" w:hint="default"/>
        </w:rPr>
        <w:t>26</w:t>
      </w:r>
      <w:r>
        <w:rPr/>
        <w:t>万元，合计出资</w:t>
      </w:r>
      <w:r>
        <w:rPr>
          <w:rFonts w:ascii="Times New Roman" w:hAnsi="Times New Roman" w:cs="Times New Roman" w:eastAsia="Times New Roman" w:hint="default"/>
        </w:rPr>
        <w:t>31</w:t>
      </w:r>
      <w:r>
        <w:rPr/>
        <w:t>万元，占注册资本的</w:t>
      </w:r>
      <w:r>
        <w:rPr>
          <w:rFonts w:ascii="Times New Roman" w:hAnsi="Times New Roman" w:cs="Times New Roman" w:eastAsia="Times New Roman" w:hint="default"/>
        </w:rPr>
        <w:t>62%</w:t>
      </w:r>
      <w:r>
        <w:rPr/>
        <w:t>；李纪敏以实物出资</w:t>
      </w:r>
      <w:r>
        <w:rPr>
          <w:rFonts w:ascii="Times New Roman" w:hAnsi="Times New Roman" w:cs="Times New Roman" w:eastAsia="Times New Roman" w:hint="default"/>
        </w:rPr>
        <w:t>19</w:t>
      </w:r>
      <w:r>
        <w:rPr/>
        <w:t>万元，占</w:t>
      </w:r>
      <w:r>
        <w:rPr>
          <w:spacing w:val="-59"/>
        </w:rPr>
        <w:t> </w:t>
      </w:r>
      <w:r>
        <w:rPr>
          <w:spacing w:val="-59"/>
        </w:rPr>
      </w:r>
      <w:r>
        <w:rPr/>
        <w:t>注册资本的</w:t>
      </w:r>
      <w:r>
        <w:rPr>
          <w:rFonts w:ascii="Times New Roman" w:hAnsi="Times New Roman" w:cs="Times New Roman" w:eastAsia="Times New Roman" w:hint="default"/>
        </w:rPr>
        <w:t>38%</w:t>
      </w:r>
      <w:r>
        <w:rPr/>
        <w:t>。上述出资业经北京同仁会计师事务所审验，并出具了开业验资报告予以验证。</w:t>
      </w:r>
    </w:p>
    <w:p>
      <w:pPr>
        <w:spacing w:after="0" w:line="300" w:lineRule="auto"/>
        <w:jc w:val="left"/>
        <w:sectPr>
          <w:pgSz w:w="11910" w:h="16840"/>
          <w:pgMar w:header="745" w:footer="982" w:top="1060" w:bottom="1180" w:left="980" w:right="880"/>
        </w:sectPr>
      </w:pPr>
    </w:p>
    <w:p>
      <w:pPr>
        <w:spacing w:line="240" w:lineRule="auto" w:before="9"/>
        <w:rPr>
          <w:rFonts w:ascii="宋体" w:hAnsi="宋体" w:cs="宋体" w:eastAsia="宋体" w:hint="default"/>
          <w:sz w:val="25"/>
          <w:szCs w:val="25"/>
        </w:rPr>
      </w:pPr>
    </w:p>
    <w:p>
      <w:pPr>
        <w:pStyle w:val="BodyText"/>
        <w:spacing w:line="240" w:lineRule="auto" w:before="44"/>
        <w:ind w:left="512" w:right="62"/>
        <w:jc w:val="left"/>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日，李纪敏与林皓、卢振栋签署《出资转让协议》，李纪敏将所持有的</w:t>
      </w:r>
      <w:r>
        <w:rPr>
          <w:rFonts w:ascii="Times New Roman" w:hAnsi="Times New Roman" w:cs="Times New Roman" w:eastAsia="Times New Roman" w:hint="default"/>
        </w:rPr>
        <w:t>9</w:t>
      </w:r>
      <w:r>
        <w:rPr/>
        <w:t>万元出资转让给林皓，将所持有的</w:t>
      </w:r>
    </w:p>
    <w:p>
      <w:pPr>
        <w:pStyle w:val="BodyText"/>
        <w:spacing w:line="300" w:lineRule="auto" w:before="62"/>
        <w:ind w:right="62"/>
        <w:jc w:val="left"/>
      </w:pPr>
      <w:r>
        <w:rPr>
          <w:rFonts w:ascii="Times New Roman" w:hAnsi="Times New Roman" w:cs="Times New Roman" w:eastAsia="Times New Roman" w:hint="default"/>
          <w:spacing w:val="-1"/>
        </w:rPr>
        <w:t>10</w:t>
      </w:r>
      <w:r>
        <w:rPr>
          <w:spacing w:val="-1"/>
        </w:rPr>
        <w:t>万元出资转让给卢振栋。转让后卢振栋出资额占公司注册资本的</w:t>
      </w:r>
      <w:r>
        <w:rPr>
          <w:rFonts w:ascii="Times New Roman" w:hAnsi="Times New Roman" w:cs="Times New Roman" w:eastAsia="Times New Roman" w:hint="default"/>
          <w:spacing w:val="-1"/>
        </w:rPr>
        <w:t>20%</w:t>
      </w:r>
      <w:r>
        <w:rPr>
          <w:spacing w:val="-1"/>
        </w:rPr>
        <w:t>；林皓出资额占公司注册资本的比例增加至</w:t>
      </w:r>
      <w:r>
        <w:rPr>
          <w:rFonts w:ascii="Times New Roman" w:hAnsi="Times New Roman" w:cs="Times New Roman" w:eastAsia="Times New Roman" w:hint="default"/>
          <w:spacing w:val="-1"/>
        </w:rPr>
        <w:t>80%</w:t>
      </w:r>
      <w:r>
        <w:rPr>
          <w:spacing w:val="-1"/>
        </w:rPr>
        <w:t>。上</w:t>
      </w:r>
      <w:r>
        <w:rPr>
          <w:spacing w:val="-66"/>
        </w:rPr>
        <w:t> </w:t>
      </w:r>
      <w:r>
        <w:rPr/>
        <w:t>述股权转让事宜已经公司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日召开的股东会审议通过并已办理相关工商变更登记手续。</w:t>
      </w:r>
    </w:p>
    <w:p>
      <w:pPr>
        <w:pStyle w:val="BodyText"/>
        <w:spacing w:line="300" w:lineRule="auto" w:before="13"/>
        <w:ind w:right="190" w:firstLine="360"/>
        <w:jc w:val="both"/>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日，卢振栋与林金侠签署《出资转让协议书》，卢振栋将所持有的</w:t>
      </w:r>
      <w:r>
        <w:rPr>
          <w:rFonts w:ascii="Times New Roman" w:hAnsi="Times New Roman" w:cs="Times New Roman" w:eastAsia="Times New Roman" w:hint="default"/>
        </w:rPr>
        <w:t>10</w:t>
      </w:r>
      <w:r>
        <w:rPr/>
        <w:t>万元出资转让给林金侠。转让后林金 侠出资额占公司注册资本的</w:t>
      </w:r>
      <w:r>
        <w:rPr>
          <w:rFonts w:ascii="Times New Roman" w:hAnsi="Times New Roman" w:cs="Times New Roman" w:eastAsia="Times New Roman" w:hint="default"/>
        </w:rPr>
        <w:t>20%</w:t>
      </w:r>
      <w:r>
        <w:rPr/>
        <w:t>。上述股权转让事宜已经公司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日召开的股东会审议通过并已办理相关工商变更</w:t>
      </w:r>
      <w:r>
        <w:rPr>
          <w:spacing w:val="-60"/>
        </w:rPr>
        <w:t> </w:t>
      </w:r>
      <w:r>
        <w:rPr>
          <w:spacing w:val="-60"/>
        </w:rPr>
      </w:r>
      <w:r>
        <w:rPr/>
        <w:t>登记手续。</w:t>
      </w:r>
    </w:p>
    <w:p>
      <w:pPr>
        <w:pStyle w:val="BodyText"/>
        <w:spacing w:line="300" w:lineRule="auto" w:before="31"/>
        <w:ind w:right="190" w:firstLine="36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日，根据公司股东会决议，林皓将所持有的</w:t>
      </w:r>
      <w:r>
        <w:rPr>
          <w:rFonts w:ascii="Times New Roman" w:hAnsi="Times New Roman" w:cs="Times New Roman" w:eastAsia="Times New Roman" w:hint="default"/>
        </w:rPr>
        <w:t>15</w:t>
      </w:r>
      <w:r>
        <w:rPr/>
        <w:t>万元出资转让给林金侠，同时公司注册资本从人民币</w:t>
      </w:r>
      <w:r>
        <w:rPr>
          <w:rFonts w:ascii="Times New Roman" w:hAnsi="Times New Roman" w:cs="Times New Roman" w:eastAsia="Times New Roman" w:hint="default"/>
        </w:rPr>
        <w:t>50</w:t>
      </w:r>
      <w:r>
        <w:rPr/>
        <w:t>万元 增加到人民币</w:t>
      </w:r>
      <w:r>
        <w:rPr>
          <w:rFonts w:ascii="Times New Roman" w:hAnsi="Times New Roman" w:cs="Times New Roman" w:eastAsia="Times New Roman" w:hint="default"/>
        </w:rPr>
        <w:t>500</w:t>
      </w:r>
      <w:r>
        <w:rPr/>
        <w:t>万元，新增的</w:t>
      </w:r>
      <w:r>
        <w:rPr>
          <w:rFonts w:ascii="Times New Roman" w:hAnsi="Times New Roman" w:cs="Times New Roman" w:eastAsia="Times New Roman" w:hint="default"/>
        </w:rPr>
        <w:t>450</w:t>
      </w:r>
      <w:r>
        <w:rPr/>
        <w:t>万元由林皓以无形资产出资。变更后林皓出资</w:t>
      </w:r>
      <w:r>
        <w:rPr>
          <w:rFonts w:ascii="Times New Roman" w:hAnsi="Times New Roman" w:cs="Times New Roman" w:eastAsia="Times New Roman" w:hint="default"/>
        </w:rPr>
        <w:t>475</w:t>
      </w:r>
      <w:r>
        <w:rPr/>
        <w:t>万元，占公司注册资本的</w:t>
      </w:r>
      <w:r>
        <w:rPr>
          <w:rFonts w:ascii="Times New Roman" w:hAnsi="Times New Roman" w:cs="Times New Roman" w:eastAsia="Times New Roman" w:hint="default"/>
        </w:rPr>
        <w:t>95%</w:t>
      </w:r>
      <w:r>
        <w:rPr/>
        <w:t>；林金侠</w:t>
      </w:r>
      <w:r>
        <w:rPr>
          <w:spacing w:val="-60"/>
        </w:rPr>
        <w:t> </w:t>
      </w:r>
      <w:r>
        <w:rPr>
          <w:spacing w:val="-60"/>
        </w:rPr>
      </w:r>
      <w:r>
        <w:rPr>
          <w:spacing w:val="-1"/>
        </w:rPr>
        <w:t>出资</w:t>
      </w:r>
      <w:r>
        <w:rPr>
          <w:rFonts w:ascii="Times New Roman" w:hAnsi="Times New Roman" w:cs="Times New Roman" w:eastAsia="Times New Roman" w:hint="default"/>
          <w:spacing w:val="-1"/>
        </w:rPr>
        <w:t>25</w:t>
      </w:r>
      <w:r>
        <w:rPr>
          <w:spacing w:val="-1"/>
        </w:rPr>
        <w:t>万元，占公司注册资本的</w:t>
      </w:r>
      <w:r>
        <w:rPr>
          <w:rFonts w:ascii="Times New Roman" w:hAnsi="Times New Roman" w:cs="Times New Roman" w:eastAsia="Times New Roman" w:hint="default"/>
          <w:spacing w:val="-1"/>
        </w:rPr>
        <w:t>5%</w:t>
      </w:r>
      <w:r>
        <w:rPr>
          <w:spacing w:val="-1"/>
        </w:rPr>
        <w:t>。上述增资业经北京公正会计师事务所有限公司京公正内验字（</w:t>
      </w:r>
      <w:r>
        <w:rPr>
          <w:rFonts w:ascii="Times New Roman" w:hAnsi="Times New Roman" w:cs="Times New Roman" w:eastAsia="Times New Roman" w:hint="default"/>
          <w:spacing w:val="-1"/>
        </w:rPr>
        <w:t>2002</w:t>
      </w:r>
      <w:r>
        <w:rPr>
          <w:spacing w:val="-1"/>
        </w:rPr>
        <w:t>）第</w:t>
      </w:r>
      <w:r>
        <w:rPr>
          <w:rFonts w:ascii="Times New Roman" w:hAnsi="Times New Roman" w:cs="Times New Roman" w:eastAsia="Times New Roman" w:hint="default"/>
          <w:spacing w:val="-1"/>
        </w:rPr>
        <w:t>038</w:t>
      </w:r>
      <w:r>
        <w:rPr>
          <w:spacing w:val="-1"/>
        </w:rPr>
        <w:t>号验资报告</w:t>
      </w:r>
      <w:r>
        <w:rPr>
          <w:spacing w:val="-87"/>
        </w:rPr>
        <w:t> </w:t>
      </w:r>
      <w:r>
        <w:rPr>
          <w:spacing w:val="-87"/>
        </w:rPr>
      </w:r>
      <w:r>
        <w:rPr/>
        <w:t>验证确认，并已完成工商变更登记手续。</w:t>
      </w:r>
    </w:p>
    <w:p>
      <w:pPr>
        <w:pStyle w:val="BodyText"/>
        <w:spacing w:line="300" w:lineRule="auto" w:before="31"/>
        <w:ind w:right="97" w:firstLine="360"/>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日，经公司股东会决议通过林皓将所持有的</w:t>
      </w:r>
      <w:r>
        <w:rPr>
          <w:rFonts w:ascii="Times New Roman" w:hAnsi="Times New Roman" w:cs="Times New Roman" w:eastAsia="Times New Roman" w:hint="default"/>
        </w:rPr>
        <w:t>27.50</w:t>
      </w:r>
      <w:r>
        <w:rPr/>
        <w:t>万元出资转让给林金侠，同时公司注册资本从人民币</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1"/>
        </w:rPr>
        <w:t>万元增加到人民币</w:t>
      </w:r>
      <w:r>
        <w:rPr>
          <w:rFonts w:ascii="Times New Roman" w:hAnsi="Times New Roman" w:cs="Times New Roman" w:eastAsia="Times New Roman" w:hint="default"/>
          <w:spacing w:val="-1"/>
        </w:rPr>
        <w:t>1,050</w:t>
      </w:r>
      <w:r>
        <w:rPr>
          <w:spacing w:val="-1"/>
        </w:rPr>
        <w:t>万元，新增的</w:t>
      </w:r>
      <w:r>
        <w:rPr>
          <w:rFonts w:ascii="Times New Roman" w:hAnsi="Times New Roman" w:cs="Times New Roman" w:eastAsia="Times New Roman" w:hint="default"/>
          <w:spacing w:val="-1"/>
        </w:rPr>
        <w:t>550</w:t>
      </w:r>
      <w:r>
        <w:rPr>
          <w:spacing w:val="-1"/>
        </w:rPr>
        <w:t>万元由林皓以无形资产出资。变更后林皓出资</w:t>
      </w:r>
      <w:r>
        <w:rPr>
          <w:rFonts w:ascii="Times New Roman" w:hAnsi="Times New Roman" w:cs="Times New Roman" w:eastAsia="Times New Roman" w:hint="default"/>
          <w:spacing w:val="-1"/>
        </w:rPr>
        <w:t>997.50</w:t>
      </w:r>
      <w:r>
        <w:rPr>
          <w:spacing w:val="-1"/>
        </w:rPr>
        <w:t>万元，占公司注册资本的</w:t>
      </w:r>
      <w:r>
        <w:rPr>
          <w:rFonts w:ascii="Times New Roman" w:hAnsi="Times New Roman" w:cs="Times New Roman" w:eastAsia="Times New Roman" w:hint="default"/>
          <w:spacing w:val="-1"/>
        </w:rPr>
        <w:t>95%</w:t>
      </w:r>
      <w:r>
        <w:rPr>
          <w:spacing w:val="-1"/>
        </w:rPr>
        <w:t>；</w:t>
      </w:r>
      <w:r>
        <w:rPr>
          <w:spacing w:val="-87"/>
        </w:rPr>
        <w:t> </w:t>
      </w:r>
      <w:r>
        <w:rPr/>
        <w:t>林金侠出资</w:t>
      </w:r>
      <w:r>
        <w:rPr>
          <w:rFonts w:ascii="Times New Roman" w:hAnsi="Times New Roman" w:cs="Times New Roman" w:eastAsia="Times New Roman" w:hint="default"/>
        </w:rPr>
        <w:t>52.50</w:t>
      </w:r>
      <w:r>
        <w:rPr/>
        <w:t>万元，占公司注册资本的</w:t>
      </w:r>
      <w:r>
        <w:rPr>
          <w:rFonts w:ascii="Times New Roman" w:hAnsi="Times New Roman" w:cs="Times New Roman" w:eastAsia="Times New Roman" w:hint="default"/>
        </w:rPr>
        <w:t>5%</w:t>
      </w:r>
      <w:r>
        <w:rPr/>
        <w:t>。上述增资业经北京公正会计师事务所有限公司京公正内验字（</w:t>
      </w:r>
      <w:r>
        <w:rPr>
          <w:rFonts w:ascii="Times New Roman" w:hAnsi="Times New Roman" w:cs="Times New Roman" w:eastAsia="Times New Roman" w:hint="default"/>
        </w:rPr>
        <w:t>2003</w:t>
      </w:r>
      <w:r>
        <w:rPr/>
        <w:t>）第</w:t>
      </w:r>
      <w:r>
        <w:rPr>
          <w:rFonts w:ascii="Times New Roman" w:hAnsi="Times New Roman" w:cs="Times New Roman" w:eastAsia="Times New Roman" w:hint="default"/>
        </w:rPr>
        <w:t>044</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号验资报告验证，并已完成工商变更登记手续。</w:t>
      </w:r>
    </w:p>
    <w:p>
      <w:pPr>
        <w:pStyle w:val="BodyText"/>
        <w:spacing w:line="300" w:lineRule="auto" w:before="31"/>
        <w:ind w:right="102"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日，根据公司股东会决议，公司注册资本从人民币</w:t>
      </w:r>
      <w:r>
        <w:rPr>
          <w:rFonts w:ascii="Times New Roman" w:hAnsi="Times New Roman" w:cs="Times New Roman" w:eastAsia="Times New Roman" w:hint="default"/>
        </w:rPr>
        <w:t>1,050</w:t>
      </w:r>
      <w:r>
        <w:rPr/>
        <w:t>万元增加到人民币</w:t>
      </w:r>
      <w:r>
        <w:rPr>
          <w:rFonts w:ascii="Times New Roman" w:hAnsi="Times New Roman" w:cs="Times New Roman" w:eastAsia="Times New Roman" w:hint="default"/>
        </w:rPr>
        <w:t>1,500</w:t>
      </w:r>
      <w:r>
        <w:rPr/>
        <w:t>万元，新增出资</w:t>
      </w:r>
      <w:r>
        <w:rPr>
          <w:rFonts w:ascii="Times New Roman" w:hAnsi="Times New Roman" w:cs="Times New Roman" w:eastAsia="Times New Roman" w:hint="default"/>
        </w:rPr>
        <w:t>450</w:t>
      </w:r>
      <w:r>
        <w:rPr/>
        <w:t>万元由 </w:t>
      </w:r>
      <w:r>
        <w:rPr>
          <w:spacing w:val="-1"/>
        </w:rPr>
        <w:t>各股东按出资比例以货币资金增资。变更后林皓出资</w:t>
      </w:r>
      <w:r>
        <w:rPr>
          <w:rFonts w:ascii="Times New Roman" w:hAnsi="Times New Roman" w:cs="Times New Roman" w:eastAsia="Times New Roman" w:hint="default"/>
          <w:spacing w:val="-1"/>
        </w:rPr>
        <w:t>1425</w:t>
      </w:r>
      <w:r>
        <w:rPr>
          <w:spacing w:val="-1"/>
        </w:rPr>
        <w:t>万元，占注册资本的</w:t>
      </w:r>
      <w:r>
        <w:rPr>
          <w:rFonts w:ascii="Times New Roman" w:hAnsi="Times New Roman" w:cs="Times New Roman" w:eastAsia="Times New Roman" w:hint="default"/>
          <w:spacing w:val="-1"/>
        </w:rPr>
        <w:t>95%</w:t>
      </w:r>
      <w:r>
        <w:rPr>
          <w:spacing w:val="-1"/>
        </w:rPr>
        <w:t>；林金侠出资</w:t>
      </w:r>
      <w:r>
        <w:rPr>
          <w:rFonts w:ascii="Times New Roman" w:hAnsi="Times New Roman" w:cs="Times New Roman" w:eastAsia="Times New Roman" w:hint="default"/>
          <w:spacing w:val="-1"/>
        </w:rPr>
        <w:t>75</w:t>
      </w:r>
      <w:r>
        <w:rPr>
          <w:spacing w:val="-1"/>
        </w:rPr>
        <w:t>万元，占注册资本的</w:t>
      </w:r>
      <w:r>
        <w:rPr>
          <w:rFonts w:ascii="Times New Roman" w:hAnsi="Times New Roman" w:cs="Times New Roman" w:eastAsia="Times New Roman" w:hint="default"/>
          <w:spacing w:val="-1"/>
        </w:rPr>
        <w:t>5%</w:t>
      </w:r>
      <w:r>
        <w:rPr>
          <w:spacing w:val="-1"/>
        </w:rPr>
        <w:t>。</w:t>
      </w:r>
      <w:r>
        <w:rPr>
          <w:spacing w:val="-61"/>
        </w:rPr>
        <w:t> </w:t>
      </w:r>
      <w:r>
        <w:rPr>
          <w:spacing w:val="-2"/>
        </w:rPr>
        <w:t>上述增资业经东审（北京）会计师事务所有限责任公司东审字</w:t>
      </w:r>
      <w:r>
        <w:rPr>
          <w:rFonts w:ascii="Times New Roman" w:hAnsi="Times New Roman" w:cs="Times New Roman" w:eastAsia="Times New Roman" w:hint="default"/>
          <w:spacing w:val="-2"/>
        </w:rPr>
        <w:t>[2009]</w:t>
      </w:r>
      <w:r>
        <w:rPr>
          <w:spacing w:val="-2"/>
        </w:rPr>
        <w:t>第</w:t>
      </w:r>
      <w:r>
        <w:rPr>
          <w:rFonts w:ascii="Times New Roman" w:hAnsi="Times New Roman" w:cs="Times New Roman" w:eastAsia="Times New Roman" w:hint="default"/>
          <w:spacing w:val="-2"/>
        </w:rPr>
        <w:t>06-068</w:t>
      </w:r>
      <w:r>
        <w:rPr>
          <w:spacing w:val="-2"/>
        </w:rPr>
        <w:t>号验资报告验证，并已完成工商变更登记手续。</w:t>
      </w:r>
    </w:p>
    <w:p>
      <w:pPr>
        <w:pStyle w:val="BodyText"/>
        <w:spacing w:line="302" w:lineRule="auto" w:before="13"/>
        <w:ind w:right="101"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日，根据公司股东会决议，公司注册资本从人民币</w:t>
      </w:r>
      <w:r>
        <w:rPr>
          <w:rFonts w:ascii="Times New Roman" w:hAnsi="Times New Roman" w:cs="Times New Roman" w:eastAsia="Times New Roman" w:hint="default"/>
        </w:rPr>
        <w:t>1,500</w:t>
      </w:r>
      <w:r>
        <w:rPr/>
        <w:t>万元增加到人民币</w:t>
      </w:r>
      <w:r>
        <w:rPr>
          <w:rFonts w:ascii="Times New Roman" w:hAnsi="Times New Roman" w:cs="Times New Roman" w:eastAsia="Times New Roman" w:hint="default"/>
        </w:rPr>
        <w:t>1,800</w:t>
      </w:r>
      <w:r>
        <w:rPr/>
        <w:t>万元，新增出资</w:t>
      </w:r>
      <w:r>
        <w:rPr>
          <w:rFonts w:ascii="Times New Roman" w:hAnsi="Times New Roman" w:cs="Times New Roman" w:eastAsia="Times New Roman" w:hint="default"/>
        </w:rPr>
        <w:t>300</w:t>
      </w:r>
      <w:r>
        <w:rPr/>
        <w:t>万元由 浙江天越创业投资有限公司（以下简称</w:t>
      </w:r>
      <w:r>
        <w:rPr>
          <w:rFonts w:ascii="Times New Roman" w:hAnsi="Times New Roman" w:cs="Times New Roman" w:eastAsia="Times New Roman" w:hint="default"/>
        </w:rPr>
        <w:t>“</w:t>
      </w:r>
      <w:r>
        <w:rPr/>
        <w:t>天越创投</w:t>
      </w:r>
      <w:r>
        <w:rPr>
          <w:rFonts w:ascii="Times New Roman" w:hAnsi="Times New Roman" w:cs="Times New Roman" w:eastAsia="Times New Roman" w:hint="default"/>
        </w:rPr>
        <w:t>”</w:t>
      </w:r>
      <w:r>
        <w:rPr/>
        <w:t>）和浙江华睿盛银创业投资有限公司（以下简称</w:t>
      </w:r>
      <w:r>
        <w:rPr>
          <w:rFonts w:ascii="Times New Roman" w:hAnsi="Times New Roman" w:cs="Times New Roman" w:eastAsia="Times New Roman" w:hint="default"/>
        </w:rPr>
        <w:t>“</w:t>
      </w:r>
      <w:r>
        <w:rPr/>
        <w:t>华睿盛银</w:t>
      </w:r>
      <w:r>
        <w:rPr>
          <w:rFonts w:ascii="Times New Roman" w:hAnsi="Times New Roman" w:cs="Times New Roman" w:eastAsia="Times New Roman" w:hint="default"/>
        </w:rPr>
        <w:t>”</w:t>
      </w:r>
      <w:r>
        <w:rPr/>
        <w:t>）以货币资金 </w:t>
      </w:r>
      <w:r>
        <w:rPr>
          <w:rFonts w:ascii="Times New Roman" w:hAnsi="Times New Roman" w:cs="Times New Roman" w:eastAsia="Times New Roman" w:hint="default"/>
          <w:spacing w:val="-2"/>
        </w:rPr>
        <w:t>3,000</w:t>
      </w:r>
      <w:r>
        <w:rPr>
          <w:spacing w:val="-2"/>
        </w:rPr>
        <w:t>万元认购，其中</w:t>
      </w:r>
      <w:r>
        <w:rPr>
          <w:rFonts w:ascii="Times New Roman" w:hAnsi="Times New Roman" w:cs="Times New Roman" w:eastAsia="Times New Roman" w:hint="default"/>
          <w:spacing w:val="-2"/>
        </w:rPr>
        <w:t>300</w:t>
      </w:r>
      <w:r>
        <w:rPr>
          <w:spacing w:val="-2"/>
        </w:rPr>
        <w:t>万元作为注册资本出资，</w:t>
      </w:r>
      <w:r>
        <w:rPr>
          <w:rFonts w:ascii="Times New Roman" w:hAnsi="Times New Roman" w:cs="Times New Roman" w:eastAsia="Times New Roman" w:hint="default"/>
          <w:spacing w:val="-2"/>
        </w:rPr>
        <w:t>2,700</w:t>
      </w:r>
      <w:r>
        <w:rPr>
          <w:spacing w:val="-2"/>
        </w:rPr>
        <w:t>万元作为资本溢价；林皓将其所持有的</w:t>
      </w:r>
      <w:r>
        <w:rPr>
          <w:rFonts w:ascii="Times New Roman" w:hAnsi="Times New Roman" w:cs="Times New Roman" w:eastAsia="Times New Roman" w:hint="default"/>
          <w:spacing w:val="-2"/>
        </w:rPr>
        <w:t>255</w:t>
      </w:r>
      <w:r>
        <w:rPr>
          <w:spacing w:val="-2"/>
        </w:rPr>
        <w:t>万元出资分别转让给檀霞、</w:t>
      </w:r>
      <w:r>
        <w:rPr>
          <w:spacing w:val="-54"/>
        </w:rPr>
        <w:t> </w:t>
      </w:r>
      <w:r>
        <w:rPr>
          <w:spacing w:val="-54"/>
        </w:rPr>
      </w:r>
      <w:r>
        <w:rPr>
          <w:spacing w:val="-4"/>
        </w:rPr>
        <w:t>宗佩民、王晓峰、孙燕琪、冯巍浩、杨维、苑惠、陈卫华、杨杰、高曦、胡安政、哈连琴、王夏娟、姜涛、尹子键、吴振芳、</w:t>
      </w:r>
      <w:r>
        <w:rPr>
          <w:spacing w:val="-41"/>
        </w:rPr>
        <w:t> </w:t>
      </w:r>
      <w:r>
        <w:rPr>
          <w:spacing w:val="-41"/>
        </w:rPr>
      </w:r>
      <w:r>
        <w:rPr/>
        <w:t>马潇潇、何悦、李涛、马承栋、张伶敏、王峰、程志远、姚翔、刘兴安、彭江波、李敬勋、毕永东、陈华治等</w:t>
      </w:r>
      <w:r>
        <w:rPr>
          <w:rFonts w:ascii="Times New Roman" w:hAnsi="Times New Roman" w:cs="Times New Roman" w:eastAsia="Times New Roman" w:hint="default"/>
        </w:rPr>
        <w:t>29</w:t>
      </w:r>
      <w:r>
        <w:rPr/>
        <w:t>位自然人； 林金侠将其所持有的</w:t>
      </w:r>
      <w:r>
        <w:rPr>
          <w:rFonts w:ascii="Times New Roman" w:hAnsi="Times New Roman" w:cs="Times New Roman" w:eastAsia="Times New Roman" w:hint="default"/>
        </w:rPr>
        <w:t>75</w:t>
      </w:r>
      <w:r>
        <w:rPr/>
        <w:t>万元出资分别转让给韩永毅、吴荣、冯惠芬、侯元彬和王晓峰等</w:t>
      </w:r>
      <w:r>
        <w:rPr>
          <w:rFonts w:ascii="Times New Roman" w:hAnsi="Times New Roman" w:cs="Times New Roman" w:eastAsia="Times New Roman" w:hint="default"/>
        </w:rPr>
        <w:t>5</w:t>
      </w:r>
      <w:r>
        <w:rPr/>
        <w:t>位自然人。上述事项业经东审（北</w:t>
      </w:r>
      <w:r>
        <w:rPr>
          <w:spacing w:val="-84"/>
        </w:rPr>
        <w:t> </w:t>
      </w:r>
      <w:r>
        <w:rPr>
          <w:spacing w:val="-84"/>
        </w:rPr>
      </w:r>
      <w:r>
        <w:rPr/>
        <w:t>京）会计师事务所有限责任公司东审字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06-083</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日完成工商变更登记手续。</w:t>
      </w:r>
    </w:p>
    <w:p>
      <w:pPr>
        <w:pStyle w:val="BodyText"/>
        <w:spacing w:line="300" w:lineRule="auto" w:before="11"/>
        <w:ind w:right="62"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日，公司采用有限责任公司整体改制变更的方式，以经审计的截至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日的净资产</w:t>
      </w:r>
      <w:r>
        <w:rPr>
          <w:rFonts w:ascii="Times New Roman" w:hAnsi="Times New Roman" w:cs="Times New Roman" w:eastAsia="Times New Roman" w:hint="default"/>
        </w:rPr>
        <w:t>6,453.87791</w:t>
      </w:r>
      <w:r>
        <w:rPr>
          <w:rFonts w:ascii="Times New Roman" w:hAnsi="Times New Roman" w:cs="Times New Roman" w:eastAsia="Times New Roman" w:hint="default"/>
          <w:spacing w:val="1"/>
        </w:rPr>
        <w:t> </w:t>
      </w:r>
      <w:r>
        <w:rPr/>
        <w:t>万元（包括实收资本</w:t>
      </w:r>
      <w:r>
        <w:rPr>
          <w:rFonts w:ascii="Times New Roman" w:hAnsi="Times New Roman" w:cs="Times New Roman" w:eastAsia="Times New Roman" w:hint="default"/>
        </w:rPr>
        <w:t>18,000,000.00</w:t>
      </w:r>
      <w:r>
        <w:rPr/>
        <w:t>元，资本公积</w:t>
      </w:r>
      <w:r>
        <w:rPr>
          <w:rFonts w:ascii="Times New Roman" w:hAnsi="Times New Roman" w:cs="Times New Roman" w:eastAsia="Times New Roman" w:hint="default"/>
        </w:rPr>
        <w:t>30,086,800.00</w:t>
      </w:r>
      <w:r>
        <w:rPr/>
        <w:t>元，留存收益</w:t>
      </w:r>
      <w:r>
        <w:rPr>
          <w:rFonts w:ascii="Times New Roman" w:hAnsi="Times New Roman" w:cs="Times New Roman" w:eastAsia="Times New Roman" w:hint="default"/>
        </w:rPr>
        <w:t>16,451,979.10</w:t>
      </w:r>
      <w:r>
        <w:rPr/>
        <w:t>元）为折股基数，按照</w:t>
      </w:r>
      <w:r>
        <w:rPr>
          <w:rFonts w:ascii="Times New Roman" w:hAnsi="Times New Roman" w:cs="Times New Roman" w:eastAsia="Times New Roman" w:hint="default"/>
        </w:rPr>
        <w:t>1</w:t>
      </w:r>
      <w:r>
        <w:rPr/>
        <w:t>：</w:t>
      </w:r>
      <w:r>
        <w:rPr>
          <w:rFonts w:ascii="Times New Roman" w:hAnsi="Times New Roman" w:cs="Times New Roman" w:eastAsia="Times New Roman" w:hint="default"/>
        </w:rPr>
        <w:t>0.774728</w:t>
      </w:r>
      <w:r>
        <w:rPr>
          <w:rFonts w:ascii="Times New Roman" w:hAnsi="Times New Roman" w:cs="Times New Roman" w:eastAsia="Times New Roman" w:hint="default"/>
          <w:spacing w:val="1"/>
        </w:rPr>
        <w:t> </w:t>
      </w:r>
      <w:r>
        <w:rPr>
          <w:spacing w:val="-3"/>
        </w:rPr>
        <w:t>的折股比例折为公司股本，并更名为北京北信源软件股份有限公司。变更后注册资本为人民币</w:t>
      </w:r>
      <w:r>
        <w:rPr>
          <w:rFonts w:ascii="Times New Roman" w:hAnsi="Times New Roman" w:cs="Times New Roman" w:eastAsia="Times New Roman" w:hint="default"/>
          <w:spacing w:val="-3"/>
        </w:rPr>
        <w:t>5,000</w:t>
      </w:r>
      <w:r>
        <w:rPr>
          <w:spacing w:val="-3"/>
        </w:rPr>
        <w:t>万元，其中林皓出资</w:t>
      </w:r>
      <w:r>
        <w:rPr>
          <w:rFonts w:ascii="Times New Roman" w:hAnsi="Times New Roman" w:cs="Times New Roman" w:eastAsia="Times New Roman" w:hint="default"/>
          <w:spacing w:val="-3"/>
        </w:rPr>
        <w:t>3,250</w:t>
      </w:r>
      <w:r>
        <w:rPr>
          <w:rFonts w:ascii="Times New Roman" w:hAnsi="Times New Roman" w:cs="Times New Roman" w:eastAsia="Times New Roman" w:hint="default"/>
          <w:spacing w:val="-2"/>
        </w:rPr>
        <w:t> </w:t>
      </w:r>
      <w:r>
        <w:rPr>
          <w:spacing w:val="-2"/>
        </w:rPr>
        <w:t>万元，占注册资本的</w:t>
      </w:r>
      <w:r>
        <w:rPr>
          <w:rFonts w:ascii="Times New Roman" w:hAnsi="Times New Roman" w:cs="Times New Roman" w:eastAsia="Times New Roman" w:hint="default"/>
          <w:spacing w:val="-2"/>
        </w:rPr>
        <w:t>65.0000%</w:t>
      </w:r>
      <w:r>
        <w:rPr>
          <w:spacing w:val="-2"/>
        </w:rPr>
        <w:t>；浙江天越创业投资有限公司出资</w:t>
      </w:r>
      <w:r>
        <w:rPr>
          <w:rFonts w:ascii="Times New Roman" w:hAnsi="Times New Roman" w:cs="Times New Roman" w:eastAsia="Times New Roman" w:hint="default"/>
          <w:spacing w:val="-2"/>
        </w:rPr>
        <w:t>416.665</w:t>
      </w:r>
      <w:r>
        <w:rPr>
          <w:spacing w:val="-2"/>
        </w:rPr>
        <w:t>万元，占注册资本的</w:t>
      </w:r>
      <w:r>
        <w:rPr>
          <w:rFonts w:ascii="Times New Roman" w:hAnsi="Times New Roman" w:cs="Times New Roman" w:eastAsia="Times New Roman" w:hint="default"/>
          <w:spacing w:val="-2"/>
        </w:rPr>
        <w:t>8.3333%</w:t>
      </w:r>
      <w:r>
        <w:rPr>
          <w:spacing w:val="-2"/>
        </w:rPr>
        <w:t>；浙江华睿盛银创业投</w:t>
      </w:r>
      <w:r>
        <w:rPr>
          <w:spacing w:val="-37"/>
        </w:rPr>
        <w:t> </w:t>
      </w:r>
      <w:r>
        <w:rPr>
          <w:spacing w:val="-37"/>
        </w:rPr>
      </w:r>
      <w:r>
        <w:rPr/>
        <w:t>资有限公司出资</w:t>
      </w:r>
      <w:r>
        <w:rPr>
          <w:rFonts w:ascii="Times New Roman" w:hAnsi="Times New Roman" w:cs="Times New Roman" w:eastAsia="Times New Roman" w:hint="default"/>
        </w:rPr>
        <w:t>416.665</w:t>
      </w:r>
      <w:r>
        <w:rPr/>
        <w:t>万元，占注册资本的</w:t>
      </w:r>
      <w:r>
        <w:rPr>
          <w:rFonts w:ascii="Times New Roman" w:hAnsi="Times New Roman" w:cs="Times New Roman" w:eastAsia="Times New Roman" w:hint="default"/>
        </w:rPr>
        <w:t>8.3333%</w:t>
      </w:r>
      <w:r>
        <w:rPr/>
        <w:t>；檀霞出资</w:t>
      </w:r>
      <w:r>
        <w:rPr>
          <w:rFonts w:ascii="Times New Roman" w:hAnsi="Times New Roman" w:cs="Times New Roman" w:eastAsia="Times New Roman" w:hint="default"/>
        </w:rPr>
        <w:t>166.665</w:t>
      </w:r>
      <w:r>
        <w:rPr/>
        <w:t>万元，占注册资本的</w:t>
      </w:r>
      <w:r>
        <w:rPr>
          <w:rFonts w:ascii="Times New Roman" w:hAnsi="Times New Roman" w:cs="Times New Roman" w:eastAsia="Times New Roman" w:hint="default"/>
        </w:rPr>
        <w:t>3.3333%</w:t>
      </w:r>
      <w:r>
        <w:rPr/>
        <w:t>；宗佩民出资</w:t>
      </w:r>
      <w:r>
        <w:rPr>
          <w:rFonts w:ascii="Times New Roman" w:hAnsi="Times New Roman" w:cs="Times New Roman" w:eastAsia="Times New Roman" w:hint="default"/>
        </w:rPr>
        <w:t>138.89</w:t>
      </w:r>
      <w:r>
        <w:rPr/>
        <w:t>万</w:t>
      </w:r>
      <w:r>
        <w:rPr>
          <w:spacing w:val="-80"/>
        </w:rPr>
        <w:t> </w:t>
      </w:r>
      <w:r>
        <w:rPr>
          <w:spacing w:val="-1"/>
        </w:rPr>
        <w:t>元，占注册资本的</w:t>
      </w:r>
      <w:r>
        <w:rPr>
          <w:rFonts w:ascii="Times New Roman" w:hAnsi="Times New Roman" w:cs="Times New Roman" w:eastAsia="Times New Roman" w:hint="default"/>
          <w:spacing w:val="-1"/>
        </w:rPr>
        <w:t>2.7778%</w:t>
      </w:r>
      <w:r>
        <w:rPr>
          <w:spacing w:val="-1"/>
        </w:rPr>
        <w:t>；王晓峰出资</w:t>
      </w:r>
      <w:r>
        <w:rPr>
          <w:rFonts w:ascii="Times New Roman" w:hAnsi="Times New Roman" w:cs="Times New Roman" w:eastAsia="Times New Roman" w:hint="default"/>
          <w:spacing w:val="-1"/>
        </w:rPr>
        <w:t>105.555</w:t>
      </w:r>
      <w:r>
        <w:rPr>
          <w:spacing w:val="-1"/>
        </w:rPr>
        <w:t>万元，占注册资本的</w:t>
      </w:r>
      <w:r>
        <w:rPr>
          <w:rFonts w:ascii="Times New Roman" w:hAnsi="Times New Roman" w:cs="Times New Roman" w:eastAsia="Times New Roman" w:hint="default"/>
          <w:spacing w:val="-1"/>
        </w:rPr>
        <w:t>2.1111%</w:t>
      </w:r>
      <w:r>
        <w:rPr>
          <w:spacing w:val="-1"/>
        </w:rPr>
        <w:t>；吴荣出资</w:t>
      </w:r>
      <w:r>
        <w:rPr>
          <w:rFonts w:ascii="Times New Roman" w:hAnsi="Times New Roman" w:cs="Times New Roman" w:eastAsia="Times New Roman" w:hint="default"/>
          <w:spacing w:val="-1"/>
        </w:rPr>
        <w:t>97.22</w:t>
      </w:r>
      <w:r>
        <w:rPr>
          <w:spacing w:val="-1"/>
        </w:rPr>
        <w:t>万元，占注册资本的</w:t>
      </w:r>
      <w:r>
        <w:rPr>
          <w:rFonts w:ascii="Times New Roman" w:hAnsi="Times New Roman" w:cs="Times New Roman" w:eastAsia="Times New Roman" w:hint="default"/>
          <w:spacing w:val="-1"/>
        </w:rPr>
        <w:t>1.9444%</w:t>
      </w:r>
      <w:r>
        <w:rPr>
          <w:spacing w:val="-1"/>
        </w:rPr>
        <w:t>；</w:t>
      </w:r>
      <w:r>
        <w:rPr>
          <w:spacing w:val="-72"/>
        </w:rPr>
        <w:t> </w:t>
      </w:r>
      <w:r>
        <w:rPr/>
        <w:t>冯惠芬出资</w:t>
      </w:r>
      <w:r>
        <w:rPr>
          <w:rFonts w:ascii="Times New Roman" w:hAnsi="Times New Roman" w:cs="Times New Roman" w:eastAsia="Times New Roman" w:hint="default"/>
        </w:rPr>
        <w:t>83.335</w:t>
      </w:r>
      <w:r>
        <w:rPr/>
        <w:t>万元，占注册资本的</w:t>
      </w:r>
      <w:r>
        <w:rPr>
          <w:rFonts w:ascii="Times New Roman" w:hAnsi="Times New Roman" w:cs="Times New Roman" w:eastAsia="Times New Roman" w:hint="default"/>
        </w:rPr>
        <w:t>1.6667%</w:t>
      </w:r>
      <w:r>
        <w:rPr/>
        <w:t>；孙燕琪出资</w:t>
      </w:r>
      <w:r>
        <w:rPr>
          <w:rFonts w:ascii="Times New Roman" w:hAnsi="Times New Roman" w:cs="Times New Roman" w:eastAsia="Times New Roman" w:hint="default"/>
        </w:rPr>
        <w:t>55.555</w:t>
      </w:r>
      <w:r>
        <w:rPr/>
        <w:t>万元，占注册资本的</w:t>
      </w:r>
      <w:r>
        <w:rPr>
          <w:rFonts w:ascii="Times New Roman" w:hAnsi="Times New Roman" w:cs="Times New Roman" w:eastAsia="Times New Roman" w:hint="default"/>
        </w:rPr>
        <w:t>1.1111%</w:t>
      </w:r>
      <w:r>
        <w:rPr/>
        <w:t>；冯巍浩出资</w:t>
      </w:r>
      <w:r>
        <w:rPr>
          <w:rFonts w:ascii="Times New Roman" w:hAnsi="Times New Roman" w:cs="Times New Roman" w:eastAsia="Times New Roman" w:hint="default"/>
        </w:rPr>
        <w:t>25</w:t>
      </w:r>
      <w:r>
        <w:rPr/>
        <w:t>万元，占注 册资本的</w:t>
      </w:r>
      <w:r>
        <w:rPr>
          <w:rFonts w:ascii="Times New Roman" w:hAnsi="Times New Roman" w:cs="Times New Roman" w:eastAsia="Times New Roman" w:hint="default"/>
        </w:rPr>
        <w:t>0.5000%</w:t>
      </w:r>
      <w:r>
        <w:rPr/>
        <w:t>；杨维出资</w:t>
      </w:r>
      <w:r>
        <w:rPr>
          <w:rFonts w:ascii="Times New Roman" w:hAnsi="Times New Roman" w:cs="Times New Roman" w:eastAsia="Times New Roman" w:hint="default"/>
        </w:rPr>
        <w:t>24.165</w:t>
      </w:r>
      <w:r>
        <w:rPr/>
        <w:t>万元，占注册资本的</w:t>
      </w:r>
      <w:r>
        <w:rPr>
          <w:rFonts w:ascii="Times New Roman" w:hAnsi="Times New Roman" w:cs="Times New Roman" w:eastAsia="Times New Roman" w:hint="default"/>
        </w:rPr>
        <w:t>0.4833%</w:t>
      </w:r>
      <w:r>
        <w:rPr/>
        <w:t>；苑惠出资</w:t>
      </w:r>
      <w:r>
        <w:rPr>
          <w:rFonts w:ascii="Times New Roman" w:hAnsi="Times New Roman" w:cs="Times New Roman" w:eastAsia="Times New Roman" w:hint="default"/>
        </w:rPr>
        <w:t>22.22</w:t>
      </w:r>
      <w:r>
        <w:rPr/>
        <w:t>万元，占注册资本的</w:t>
      </w:r>
      <w:r>
        <w:rPr>
          <w:rFonts w:ascii="Times New Roman" w:hAnsi="Times New Roman" w:cs="Times New Roman" w:eastAsia="Times New Roman" w:hint="default"/>
        </w:rPr>
        <w:t>0.4444%</w:t>
      </w:r>
      <w:r>
        <w:rPr/>
        <w:t>；陈卫华出资 </w:t>
      </w:r>
      <w:r>
        <w:rPr>
          <w:rFonts w:ascii="Times New Roman" w:hAnsi="Times New Roman" w:cs="Times New Roman" w:eastAsia="Times New Roman" w:hint="default"/>
          <w:spacing w:val="-5"/>
        </w:rPr>
        <w:t>16.665</w:t>
      </w:r>
      <w:r>
        <w:rPr>
          <w:spacing w:val="-5"/>
        </w:rPr>
        <w:t>万元，占注册资本的</w:t>
      </w:r>
      <w:r>
        <w:rPr>
          <w:rFonts w:ascii="Times New Roman" w:hAnsi="Times New Roman" w:cs="Times New Roman" w:eastAsia="Times New Roman" w:hint="default"/>
          <w:spacing w:val="-5"/>
        </w:rPr>
        <w:t>0.3333%</w:t>
      </w:r>
      <w:r>
        <w:rPr>
          <w:spacing w:val="-5"/>
        </w:rPr>
        <w:t>；杨杰出资</w:t>
      </w:r>
      <w:r>
        <w:rPr>
          <w:rFonts w:ascii="Times New Roman" w:hAnsi="Times New Roman" w:cs="Times New Roman" w:eastAsia="Times New Roman" w:hint="default"/>
          <w:spacing w:val="-5"/>
        </w:rPr>
        <w:t>15</w:t>
      </w:r>
      <w:r>
        <w:rPr>
          <w:spacing w:val="-5"/>
        </w:rPr>
        <w:t>万元，占注册资本的</w:t>
      </w:r>
      <w:r>
        <w:rPr>
          <w:rFonts w:ascii="Times New Roman" w:hAnsi="Times New Roman" w:cs="Times New Roman" w:eastAsia="Times New Roman" w:hint="default"/>
          <w:spacing w:val="-5"/>
        </w:rPr>
        <w:t>0.3000%</w:t>
      </w:r>
      <w:r>
        <w:rPr>
          <w:spacing w:val="-5"/>
        </w:rPr>
        <w:t>；韩永毅出资</w:t>
      </w:r>
      <w:r>
        <w:rPr>
          <w:rFonts w:ascii="Times New Roman" w:hAnsi="Times New Roman" w:cs="Times New Roman" w:eastAsia="Times New Roman" w:hint="default"/>
          <w:spacing w:val="-5"/>
        </w:rPr>
        <w:t>13.89</w:t>
      </w:r>
      <w:r>
        <w:rPr>
          <w:spacing w:val="-5"/>
        </w:rPr>
        <w:t>万元，占注册资本的</w:t>
      </w:r>
      <w:r>
        <w:rPr>
          <w:rFonts w:ascii="Times New Roman" w:hAnsi="Times New Roman" w:cs="Times New Roman" w:eastAsia="Times New Roman" w:hint="default"/>
          <w:spacing w:val="-5"/>
        </w:rPr>
        <w:t>0.2778%</w:t>
      </w:r>
      <w:r>
        <w:rPr>
          <w:spacing w:val="-5"/>
        </w:rPr>
        <w:t>；</w:t>
      </w:r>
      <w:r>
        <w:rPr>
          <w:spacing w:val="-49"/>
        </w:rPr>
        <w:t> </w:t>
      </w:r>
      <w:r>
        <w:rPr>
          <w:spacing w:val="-2"/>
        </w:rPr>
        <w:t>高曦出资</w:t>
      </w:r>
      <w:r>
        <w:rPr>
          <w:rFonts w:ascii="Times New Roman" w:hAnsi="Times New Roman" w:cs="Times New Roman" w:eastAsia="Times New Roman" w:hint="default"/>
          <w:spacing w:val="-2"/>
        </w:rPr>
        <w:t>13.335</w:t>
      </w:r>
      <w:r>
        <w:rPr>
          <w:spacing w:val="-2"/>
        </w:rPr>
        <w:t>万元，占注册资本的</w:t>
      </w:r>
      <w:r>
        <w:rPr>
          <w:rFonts w:ascii="Times New Roman" w:hAnsi="Times New Roman" w:cs="Times New Roman" w:eastAsia="Times New Roman" w:hint="default"/>
          <w:spacing w:val="-2"/>
        </w:rPr>
        <w:t>0.2667%</w:t>
      </w:r>
      <w:r>
        <w:rPr>
          <w:spacing w:val="-2"/>
        </w:rPr>
        <w:t>；胡安政出资</w:t>
      </w:r>
      <w:r>
        <w:rPr>
          <w:rFonts w:ascii="Times New Roman" w:hAnsi="Times New Roman" w:cs="Times New Roman" w:eastAsia="Times New Roman" w:hint="default"/>
          <w:spacing w:val="-2"/>
        </w:rPr>
        <w:t>12.5</w:t>
      </w:r>
      <w:r>
        <w:rPr>
          <w:spacing w:val="-2"/>
        </w:rPr>
        <w:t>万元，占注册资本的</w:t>
      </w:r>
      <w:r>
        <w:rPr>
          <w:rFonts w:ascii="Times New Roman" w:hAnsi="Times New Roman" w:cs="Times New Roman" w:eastAsia="Times New Roman" w:hint="default"/>
          <w:spacing w:val="-2"/>
        </w:rPr>
        <w:t>0.2500%</w:t>
      </w:r>
      <w:r>
        <w:rPr>
          <w:spacing w:val="-2"/>
        </w:rPr>
        <w:t>；哈连琴出资</w:t>
      </w:r>
      <w:r>
        <w:rPr>
          <w:rFonts w:ascii="Times New Roman" w:hAnsi="Times New Roman" w:cs="Times New Roman" w:eastAsia="Times New Roman" w:hint="default"/>
          <w:spacing w:val="-2"/>
        </w:rPr>
        <w:t>10.28</w:t>
      </w:r>
      <w:r>
        <w:rPr>
          <w:spacing w:val="-2"/>
        </w:rPr>
        <w:t>万元，占注册</w:t>
      </w:r>
      <w:r>
        <w:rPr>
          <w:spacing w:val="-33"/>
        </w:rPr>
        <w:t> </w:t>
      </w:r>
      <w:r>
        <w:rPr>
          <w:spacing w:val="-33"/>
        </w:rPr>
      </w:r>
      <w:r>
        <w:rPr/>
        <w:t>资本的</w:t>
      </w:r>
      <w:r>
        <w:rPr>
          <w:rFonts w:ascii="Times New Roman" w:hAnsi="Times New Roman" w:cs="Times New Roman" w:eastAsia="Times New Roman" w:hint="default"/>
        </w:rPr>
        <w:t>0.2056%</w:t>
      </w:r>
      <w:r>
        <w:rPr/>
        <w:t>；侯元彬出资</w:t>
      </w:r>
      <w:r>
        <w:rPr>
          <w:rFonts w:ascii="Times New Roman" w:hAnsi="Times New Roman" w:cs="Times New Roman" w:eastAsia="Times New Roman" w:hint="default"/>
        </w:rPr>
        <w:t>8.335</w:t>
      </w:r>
      <w:r>
        <w:rPr/>
        <w:t>万元，占注册资本的</w:t>
      </w:r>
      <w:r>
        <w:rPr>
          <w:rFonts w:ascii="Times New Roman" w:hAnsi="Times New Roman" w:cs="Times New Roman" w:eastAsia="Times New Roman" w:hint="default"/>
        </w:rPr>
        <w:t>0.1667%</w:t>
      </w:r>
      <w:r>
        <w:rPr/>
        <w:t>；王夏娟出资</w:t>
      </w:r>
      <w:r>
        <w:rPr>
          <w:rFonts w:ascii="Times New Roman" w:hAnsi="Times New Roman" w:cs="Times New Roman" w:eastAsia="Times New Roman" w:hint="default"/>
        </w:rPr>
        <w:t>8.335</w:t>
      </w:r>
      <w:r>
        <w:rPr/>
        <w:t>万元，占注册资本的</w:t>
      </w:r>
      <w:r>
        <w:rPr>
          <w:rFonts w:ascii="Times New Roman" w:hAnsi="Times New Roman" w:cs="Times New Roman" w:eastAsia="Times New Roman" w:hint="default"/>
        </w:rPr>
        <w:t>0.1667%</w:t>
      </w:r>
      <w:r>
        <w:rPr/>
        <w:t>；姜涛出资</w:t>
      </w:r>
      <w:r>
        <w:rPr>
          <w:spacing w:val="-59"/>
        </w:rPr>
        <w:t> </w:t>
      </w:r>
      <w:r>
        <w:rPr>
          <w:spacing w:val="-59"/>
        </w:rPr>
      </w:r>
      <w:r>
        <w:rPr>
          <w:rFonts w:ascii="Times New Roman" w:hAnsi="Times New Roman" w:cs="Times New Roman" w:eastAsia="Times New Roman" w:hint="default"/>
          <w:spacing w:val="-7"/>
        </w:rPr>
        <w:t>8.335</w:t>
      </w:r>
      <w:r>
        <w:rPr>
          <w:spacing w:val="-7"/>
        </w:rPr>
        <w:t>万元，占注册资本的</w:t>
      </w:r>
      <w:r>
        <w:rPr>
          <w:rFonts w:ascii="Times New Roman" w:hAnsi="Times New Roman" w:cs="Times New Roman" w:eastAsia="Times New Roman" w:hint="default"/>
          <w:spacing w:val="-7"/>
        </w:rPr>
        <w:t>0.1667%</w:t>
      </w:r>
      <w:r>
        <w:rPr>
          <w:spacing w:val="-7"/>
        </w:rPr>
        <w:t>；尹子健出资</w:t>
      </w:r>
      <w:r>
        <w:rPr>
          <w:rFonts w:ascii="Times New Roman" w:hAnsi="Times New Roman" w:cs="Times New Roman" w:eastAsia="Times New Roman" w:hint="default"/>
          <w:spacing w:val="-7"/>
        </w:rPr>
        <w:t>8.335</w:t>
      </w:r>
      <w:r>
        <w:rPr>
          <w:spacing w:val="-7"/>
        </w:rPr>
        <w:t>万元，占注册资本的</w:t>
      </w:r>
      <w:r>
        <w:rPr>
          <w:rFonts w:ascii="Times New Roman" w:hAnsi="Times New Roman" w:cs="Times New Roman" w:eastAsia="Times New Roman" w:hint="default"/>
          <w:spacing w:val="-7"/>
        </w:rPr>
        <w:t>0.1667%</w:t>
      </w:r>
      <w:r>
        <w:rPr>
          <w:spacing w:val="-7"/>
        </w:rPr>
        <w:t>；吴振芳出资</w:t>
      </w:r>
      <w:r>
        <w:rPr>
          <w:rFonts w:ascii="Times New Roman" w:hAnsi="Times New Roman" w:cs="Times New Roman" w:eastAsia="Times New Roman" w:hint="default"/>
          <w:spacing w:val="-7"/>
        </w:rPr>
        <w:t>7.5</w:t>
      </w:r>
      <w:r>
        <w:rPr>
          <w:spacing w:val="-7"/>
        </w:rPr>
        <w:t>万元，占注册资本的</w:t>
      </w:r>
      <w:r>
        <w:rPr>
          <w:rFonts w:ascii="Times New Roman" w:hAnsi="Times New Roman" w:cs="Times New Roman" w:eastAsia="Times New Roman" w:hint="default"/>
          <w:spacing w:val="-7"/>
        </w:rPr>
        <w:t>0.1500%</w:t>
      </w:r>
      <w:r>
        <w:rPr>
          <w:spacing w:val="-7"/>
        </w:rPr>
        <w:t>；</w:t>
      </w:r>
      <w:r>
        <w:rPr>
          <w:spacing w:val="-30"/>
        </w:rPr>
        <w:t> </w:t>
      </w:r>
      <w:r>
        <w:rPr>
          <w:spacing w:val="-2"/>
        </w:rPr>
        <w:t>马潇潇出资</w:t>
      </w:r>
      <w:r>
        <w:rPr>
          <w:rFonts w:ascii="Times New Roman" w:hAnsi="Times New Roman" w:cs="Times New Roman" w:eastAsia="Times New Roman" w:hint="default"/>
          <w:spacing w:val="-2"/>
        </w:rPr>
        <w:t>7.5</w:t>
      </w:r>
      <w:r>
        <w:rPr>
          <w:spacing w:val="-2"/>
        </w:rPr>
        <w:t>万元，占注册资本的</w:t>
      </w:r>
      <w:r>
        <w:rPr>
          <w:rFonts w:ascii="Times New Roman" w:hAnsi="Times New Roman" w:cs="Times New Roman" w:eastAsia="Times New Roman" w:hint="default"/>
          <w:spacing w:val="-2"/>
        </w:rPr>
        <w:t>0.1500%</w:t>
      </w:r>
      <w:r>
        <w:rPr>
          <w:spacing w:val="-2"/>
        </w:rPr>
        <w:t>；何悦出资</w:t>
      </w:r>
      <w:r>
        <w:rPr>
          <w:rFonts w:ascii="Times New Roman" w:hAnsi="Times New Roman" w:cs="Times New Roman" w:eastAsia="Times New Roman" w:hint="default"/>
          <w:spacing w:val="-2"/>
        </w:rPr>
        <w:t>7.5</w:t>
      </w:r>
      <w:r>
        <w:rPr>
          <w:spacing w:val="-2"/>
        </w:rPr>
        <w:t>万元，占注册资本的</w:t>
      </w:r>
      <w:r>
        <w:rPr>
          <w:rFonts w:ascii="Times New Roman" w:hAnsi="Times New Roman" w:cs="Times New Roman" w:eastAsia="Times New Roman" w:hint="default"/>
          <w:spacing w:val="-2"/>
        </w:rPr>
        <w:t>0.1500%</w:t>
      </w:r>
      <w:r>
        <w:rPr>
          <w:spacing w:val="-2"/>
        </w:rPr>
        <w:t>；李涛出资</w:t>
      </w:r>
      <w:r>
        <w:rPr>
          <w:rFonts w:ascii="Times New Roman" w:hAnsi="Times New Roman" w:cs="Times New Roman" w:eastAsia="Times New Roman" w:hint="default"/>
          <w:spacing w:val="-2"/>
        </w:rPr>
        <w:t>6.665</w:t>
      </w:r>
      <w:r>
        <w:rPr>
          <w:spacing w:val="-2"/>
        </w:rPr>
        <w:t>万元，占注册资本的</w:t>
      </w:r>
      <w:r>
        <w:rPr>
          <w:spacing w:val="-38"/>
        </w:rPr>
        <w:t> </w:t>
      </w:r>
      <w:r>
        <w:rPr>
          <w:spacing w:val="-38"/>
        </w:rPr>
      </w:r>
      <w:r>
        <w:rPr>
          <w:rFonts w:ascii="Times New Roman" w:hAnsi="Times New Roman" w:cs="Times New Roman" w:eastAsia="Times New Roman" w:hint="default"/>
        </w:rPr>
        <w:t>0.1333%</w:t>
      </w:r>
      <w:r>
        <w:rPr/>
        <w:t>；张伶敏出资</w:t>
      </w:r>
      <w:r>
        <w:rPr>
          <w:rFonts w:ascii="Times New Roman" w:hAnsi="Times New Roman" w:cs="Times New Roman" w:eastAsia="Times New Roman" w:hint="default"/>
        </w:rPr>
        <w:t>6.6650</w:t>
      </w:r>
      <w:r>
        <w:rPr/>
        <w:t>万元，占注册资本的</w:t>
      </w:r>
      <w:r>
        <w:rPr>
          <w:rFonts w:ascii="Times New Roman" w:hAnsi="Times New Roman" w:cs="Times New Roman" w:eastAsia="Times New Roman" w:hint="default"/>
        </w:rPr>
        <w:t>0.1333%</w:t>
      </w:r>
      <w:r>
        <w:rPr/>
        <w:t>；王峰出资</w:t>
      </w:r>
      <w:r>
        <w:rPr>
          <w:rFonts w:ascii="Times New Roman" w:hAnsi="Times New Roman" w:cs="Times New Roman" w:eastAsia="Times New Roman" w:hint="default"/>
        </w:rPr>
        <w:t>6.39</w:t>
      </w:r>
      <w:r>
        <w:rPr/>
        <w:t>万元，占注册资本的</w:t>
      </w:r>
      <w:r>
        <w:rPr>
          <w:rFonts w:ascii="Times New Roman" w:hAnsi="Times New Roman" w:cs="Times New Roman" w:eastAsia="Times New Roman" w:hint="default"/>
        </w:rPr>
        <w:t>0.1278%</w:t>
      </w:r>
      <w:r>
        <w:rPr/>
        <w:t>；程志远出资</w:t>
      </w:r>
      <w:r>
        <w:rPr>
          <w:rFonts w:ascii="Times New Roman" w:hAnsi="Times New Roman" w:cs="Times New Roman" w:eastAsia="Times New Roman" w:hint="default"/>
        </w:rPr>
        <w:t>5.835</w:t>
      </w:r>
      <w:r>
        <w:rPr/>
        <w:t>万 元，占注册资本的</w:t>
      </w:r>
      <w:r>
        <w:rPr>
          <w:rFonts w:ascii="Times New Roman" w:hAnsi="Times New Roman" w:cs="Times New Roman" w:eastAsia="Times New Roman" w:hint="default"/>
        </w:rPr>
        <w:t>0.1167%</w:t>
      </w:r>
      <w:r>
        <w:rPr/>
        <w:t>；马承栋出资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；姚翔出资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；刘兴安出 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；彭江波出资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；李敬勋出资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w:t>
      </w:r>
      <w:r>
        <w:rPr>
          <w:spacing w:val="-51"/>
        </w:rPr>
        <w:t> </w:t>
      </w:r>
      <w:r>
        <w:rPr/>
        <w:t>毕永东出资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；陈华治出资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。上述事项业经中瑞岳华会计师事务</w:t>
      </w:r>
      <w:r>
        <w:rPr>
          <w:spacing w:val="-38"/>
        </w:rPr>
        <w:t> </w:t>
      </w:r>
      <w:r>
        <w:rPr>
          <w:spacing w:val="-38"/>
        </w:rPr>
      </w:r>
      <w:r>
        <w:rPr/>
        <w:t>所中瑞岳华验字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244</w:t>
      </w:r>
      <w:r>
        <w:rPr/>
        <w:t>号验资报告验证。</w:t>
      </w:r>
    </w:p>
    <w:p>
      <w:pPr>
        <w:pStyle w:val="BodyText"/>
        <w:spacing w:line="300" w:lineRule="auto" w:before="13"/>
        <w:ind w:left="154" w:right="182" w:firstLine="36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日，根据公司</w:t>
      </w:r>
      <w:r>
        <w:rPr>
          <w:rFonts w:ascii="Times New Roman" w:hAnsi="Times New Roman" w:cs="Times New Roman" w:eastAsia="Times New Roman" w:hint="default"/>
        </w:rPr>
        <w:t>2010</w:t>
      </w:r>
      <w:r>
        <w:rPr/>
        <w:t>年第三次（临时）股东大会决议，彭江波将其持有的公司</w:t>
      </w:r>
      <w:r>
        <w:rPr>
          <w:rFonts w:ascii="Times New Roman" w:hAnsi="Times New Roman" w:cs="Times New Roman" w:eastAsia="Times New Roman" w:hint="default"/>
        </w:rPr>
        <w:t>5</w:t>
      </w:r>
      <w:r>
        <w:rPr/>
        <w:t>万股股份转让给公司股东林 皓。上述事项已于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日完成工商变更登记。</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1" w:firstLine="36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日，根据公司</w:t>
      </w:r>
      <w:r>
        <w:rPr>
          <w:rFonts w:ascii="Times New Roman" w:hAnsi="Times New Roman" w:cs="Times New Roman" w:eastAsia="Times New Roman" w:hint="default"/>
        </w:rPr>
        <w:t>2011</w:t>
      </w:r>
      <w:r>
        <w:rPr/>
        <w:t>年第一届董事会第五次临时会议审议通过了《关于马潇潇转让所持北京北信源软件股份 </w:t>
      </w:r>
      <w:r>
        <w:rPr>
          <w:spacing w:val="-3"/>
        </w:rPr>
        <w:t>有限公司七万五千股股份的议案》，股东马潇潇将其持有的公司</w:t>
      </w:r>
      <w:r>
        <w:rPr>
          <w:rFonts w:ascii="Times New Roman" w:hAnsi="Times New Roman" w:cs="Times New Roman" w:eastAsia="Times New Roman" w:hint="default"/>
          <w:spacing w:val="-3"/>
        </w:rPr>
        <w:t>7.5</w:t>
      </w:r>
      <w:r>
        <w:rPr>
          <w:spacing w:val="-3"/>
        </w:rPr>
        <w:t>万股股份转让给公司第一大股东林皓。上述事项已于</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日完成工商变更登记。</w:t>
      </w:r>
    </w:p>
    <w:p>
      <w:pPr>
        <w:pStyle w:val="BodyText"/>
        <w:spacing w:line="300" w:lineRule="auto" w:before="13"/>
        <w:ind w:right="190" w:firstLine="360"/>
        <w:jc w:val="both"/>
      </w:pPr>
      <w:r>
        <w:rPr/>
        <w:t>根据本公司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2011</w:t>
      </w:r>
      <w:r>
        <w:rPr/>
        <w:t>年第一次临时股东大会决议及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2012</w:t>
      </w:r>
      <w:r>
        <w:rPr/>
        <w:t>年第一次临时股东大会决 </w:t>
      </w:r>
      <w:r>
        <w:rPr>
          <w:spacing w:val="-2"/>
        </w:rPr>
        <w:t>议，经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日中国证券监督管理委员会（</w:t>
      </w:r>
      <w:r>
        <w:rPr>
          <w:rFonts w:ascii="Times New Roman" w:hAnsi="Times New Roman" w:cs="Times New Roman" w:eastAsia="Times New Roman" w:hint="default"/>
          <w:spacing w:val="-2"/>
        </w:rPr>
        <w:t>“</w:t>
      </w:r>
      <w:r>
        <w:rPr>
          <w:spacing w:val="-2"/>
        </w:rPr>
        <w:t>证监会</w:t>
      </w:r>
      <w:r>
        <w:rPr>
          <w:rFonts w:ascii="Times New Roman" w:hAnsi="Times New Roman" w:cs="Times New Roman" w:eastAsia="Times New Roman" w:hint="default"/>
          <w:spacing w:val="-2"/>
        </w:rPr>
        <w:t>”</w:t>
      </w:r>
      <w:r>
        <w:rPr>
          <w:spacing w:val="-2"/>
        </w:rPr>
        <w:t>）《关于核准北京北信源软件股份有限公司首次公开发行股票并在</w:t>
      </w:r>
      <w:r>
        <w:rPr>
          <w:spacing w:val="-41"/>
        </w:rPr>
        <w:t> </w:t>
      </w:r>
      <w:r>
        <w:rPr>
          <w:spacing w:val="-41"/>
        </w:rPr>
      </w:r>
      <w:r>
        <w:rPr>
          <w:spacing w:val="-1"/>
        </w:rPr>
        <w:t>创业板上市的批复》（证监许可【</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1054</w:t>
      </w:r>
      <w:r>
        <w:rPr>
          <w:spacing w:val="-1"/>
        </w:rPr>
        <w:t>号），本公司向社会公开发行人民币普通股（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1670</w:t>
      </w:r>
      <w:r>
        <w:rPr>
          <w:spacing w:val="-1"/>
        </w:rPr>
        <w:t>万股，每股面值为人</w:t>
      </w:r>
      <w:r>
        <w:rPr>
          <w:spacing w:val="-73"/>
        </w:rPr>
        <w:t> </w:t>
      </w:r>
      <w:r>
        <w:rPr>
          <w:spacing w:val="-73"/>
        </w:rPr>
      </w:r>
      <w:r>
        <w:rPr>
          <w:spacing w:val="-5"/>
        </w:rPr>
        <w:t>民币壹元。经深圳证券交易所《关于北京北信源软件股份有限公司人民币普通股股票在创业板上市的通知》（深证上</w:t>
      </w:r>
      <w:r>
        <w:rPr>
          <w:rFonts w:ascii="Times New Roman" w:hAnsi="Times New Roman" w:cs="Times New Roman" w:eastAsia="Times New Roman" w:hint="default"/>
          <w:spacing w:val="-5"/>
        </w:rPr>
        <w:t>[2012]301</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号）同意，公司公开发行的人民币普通股股票于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日在深圳证券交易所创业板上市交易，证券代码为</w:t>
      </w:r>
      <w:r>
        <w:rPr>
          <w:rFonts w:ascii="Times New Roman" w:hAnsi="Times New Roman" w:cs="Times New Roman" w:eastAsia="Times New Roman" w:hint="default"/>
        </w:rPr>
        <w:t>300352</w:t>
      </w:r>
      <w:r>
        <w:rPr/>
        <w:t>。发</w:t>
      </w:r>
      <w:r>
        <w:rPr>
          <w:spacing w:val="-3"/>
        </w:rPr>
        <w:t> </w:t>
      </w:r>
      <w:r>
        <w:rPr>
          <w:spacing w:val="-2"/>
        </w:rPr>
        <w:t>行后，本公司注册资本增至人民币</w:t>
      </w:r>
      <w:r>
        <w:rPr>
          <w:rFonts w:ascii="Times New Roman" w:hAnsi="Times New Roman" w:cs="Times New Roman" w:eastAsia="Times New Roman" w:hint="default"/>
          <w:spacing w:val="-2"/>
        </w:rPr>
        <w:t>6670</w:t>
      </w:r>
      <w:r>
        <w:rPr>
          <w:spacing w:val="-2"/>
        </w:rPr>
        <w:t>万元。本公司于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日，取得北京市工商行政管理局换发的《企业法人营业</w:t>
      </w:r>
      <w:r>
        <w:rPr>
          <w:spacing w:val="-57"/>
        </w:rPr>
        <w:t> </w:t>
      </w:r>
      <w:r>
        <w:rPr>
          <w:spacing w:val="-57"/>
        </w:rPr>
      </w:r>
      <w:r>
        <w:rPr/>
        <w:t>执照》，完成了工商变更登记手续。</w:t>
      </w:r>
    </w:p>
    <w:p>
      <w:pPr>
        <w:pStyle w:val="BodyText"/>
        <w:spacing w:line="300" w:lineRule="auto" w:before="31"/>
        <w:ind w:left="513" w:right="62" w:hanging="1"/>
        <w:jc w:val="left"/>
      </w:pPr>
      <w:r>
        <w:rPr/>
        <w:t>本公司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日被北京市软件企业认定和软件产品登记机关认定为软件企业（证书编号：京</w:t>
      </w:r>
      <w:r>
        <w:rPr>
          <w:rFonts w:ascii="Times New Roman" w:hAnsi="Times New Roman" w:cs="Times New Roman" w:eastAsia="Times New Roman" w:hint="default"/>
        </w:rPr>
        <w:t>R-2000-0026</w:t>
      </w:r>
      <w:r>
        <w:rPr/>
        <w:t>）。 </w:t>
      </w: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日取得了北京市科学技术委员会、北京市财政局、北京市国家税务局和北京市地方税务局联合颁</w:t>
      </w:r>
    </w:p>
    <w:p>
      <w:pPr>
        <w:pStyle w:val="BodyText"/>
        <w:spacing w:line="309" w:lineRule="auto" w:before="13"/>
        <w:ind w:left="513" w:right="4723" w:hanging="360"/>
        <w:jc w:val="left"/>
        <w:rPr>
          <w:rFonts w:ascii="Times New Roman" w:hAnsi="Times New Roman" w:cs="Times New Roman" w:eastAsia="Times New Roman" w:hint="default"/>
        </w:rPr>
      </w:pPr>
      <w:r>
        <w:rPr>
          <w:spacing w:val="-1"/>
        </w:rPr>
        <w:t>发的《高新技术企业证书》（证书编号：</w:t>
      </w:r>
      <w:r>
        <w:rPr>
          <w:rFonts w:ascii="Times New Roman" w:hAnsi="Times New Roman" w:cs="Times New Roman" w:eastAsia="Times New Roman" w:hint="default"/>
          <w:spacing w:val="-1"/>
        </w:rPr>
        <w:t>GR201111001810</w:t>
      </w:r>
      <w:r>
        <w:rPr>
          <w:spacing w:val="-1"/>
        </w:rPr>
        <w:t>）。</w:t>
      </w:r>
      <w:r>
        <w:rPr>
          <w:spacing w:val="-66"/>
        </w:rPr>
        <w:t> </w:t>
      </w:r>
      <w:r>
        <w:rPr/>
        <w:t>法定代表人：林皓。</w:t>
      </w:r>
      <w:r>
        <w:rPr/>
        <w:t> 企业法人营业执照号：</w:t>
      </w:r>
      <w:r>
        <w:rPr>
          <w:rFonts w:ascii="Times New Roman" w:hAnsi="Times New Roman" w:cs="Times New Roman" w:eastAsia="Times New Roman" w:hint="default"/>
        </w:rPr>
        <w:t>110108004645099</w:t>
      </w:r>
    </w:p>
    <w:p>
      <w:pPr>
        <w:pStyle w:val="BodyText"/>
        <w:spacing w:line="300" w:lineRule="auto" w:before="5"/>
        <w:ind w:left="513" w:right="62"/>
        <w:jc w:val="left"/>
      </w:pPr>
      <w:r>
        <w:rPr/>
        <w:t>注册地址：北京市海淀区中关村南大街</w:t>
      </w:r>
      <w:r>
        <w:rPr>
          <w:rFonts w:ascii="Times New Roman" w:hAnsi="Times New Roman" w:cs="Times New Roman" w:eastAsia="Times New Roman" w:hint="default"/>
        </w:rPr>
        <w:t>34</w:t>
      </w:r>
      <w:r>
        <w:rPr/>
        <w:t>号中关村科技发展大厦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1602</w:t>
      </w:r>
      <w:r>
        <w:rPr/>
        <w:t>室。 </w:t>
      </w:r>
      <w:r>
        <w:rPr>
          <w:spacing w:val="-2"/>
        </w:rPr>
        <w:t>本公司及子公司（统称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）主要经营范围：销售计算机信息系统安全专用产品、经国家密码管理局审批并通过指</w:t>
      </w:r>
    </w:p>
    <w:p>
      <w:pPr>
        <w:pStyle w:val="BodyText"/>
        <w:spacing w:line="316" w:lineRule="auto" w:before="13"/>
        <w:ind w:left="153" w:right="93"/>
        <w:jc w:val="left"/>
      </w:pPr>
      <w:r>
        <w:rPr/>
        <w:t>定检测机构产品质量检测的商用密码产品；经国家密码管理机构批准的商用密码产品的开发。计算机系统服务；数据处理； </w:t>
      </w:r>
      <w:r>
        <w:rPr>
          <w:spacing w:val="-2"/>
        </w:rPr>
        <w:t>基础软件服务；应用软件服务；计算机软硬件及通信设备的研发、技术推广、技术转让、技术培训、维修、咨询、服务、销</w:t>
      </w:r>
      <w:r>
        <w:rPr>
          <w:spacing w:val="-68"/>
        </w:rPr>
        <w:t> </w:t>
      </w:r>
      <w:r>
        <w:rPr>
          <w:spacing w:val="-68"/>
        </w:rPr>
      </w:r>
      <w:r>
        <w:rPr/>
        <w:t>售；计算机软硬件的生产、组装；复制记录媒介（不含出版物）；技术进出口、货物进出口、代理进出口。</w:t>
      </w:r>
    </w:p>
    <w:p>
      <w:pPr>
        <w:spacing w:line="240" w:lineRule="auto" w:before="0"/>
        <w:rPr>
          <w:rFonts w:ascii="宋体" w:hAnsi="宋体" w:cs="宋体" w:eastAsia="宋体" w:hint="default"/>
          <w:sz w:val="18"/>
          <w:szCs w:val="18"/>
        </w:rPr>
      </w:pPr>
    </w:p>
    <w:p>
      <w:pPr>
        <w:pStyle w:val="BodyText"/>
        <w:spacing w:line="316" w:lineRule="auto" w:before="136"/>
        <w:ind w:left="153" w:right="62"/>
        <w:jc w:val="left"/>
      </w:pPr>
      <w:r>
        <w:rPr>
          <w:spacing w:val="-4"/>
        </w:rPr>
        <w:t>注：首次公开发行证券的公司，应披露公司历史沿革、改制情况、行业性质、经营范围、主要产品或提供的劳务，主业变更、</w:t>
      </w:r>
      <w:r>
        <w:rPr>
          <w:spacing w:val="-41"/>
        </w:rPr>
        <w:t> </w:t>
      </w:r>
      <w:r>
        <w:rPr>
          <w:spacing w:val="-41"/>
        </w:rPr>
      </w:r>
      <w:r>
        <w:rPr/>
        <w:t>公司基本组织架构等内容。</w:t>
      </w:r>
    </w:p>
    <w:p>
      <w:pPr>
        <w:pStyle w:val="BodyText"/>
        <w:spacing w:line="316" w:lineRule="auto" w:before="57"/>
        <w:ind w:left="153" w:right="62"/>
        <w:jc w:val="left"/>
      </w:pPr>
      <w:r>
        <w:rPr>
          <w:spacing w:val="-2"/>
        </w:rPr>
        <w:t>注：首次公开发行证券的公司若从其设立为股份有限公司时起运行不足三年的，应说明设立为股份公司之前各会计期间的财</w:t>
      </w:r>
      <w:r>
        <w:rPr>
          <w:spacing w:val="-64"/>
        </w:rPr>
        <w:t> </w:t>
      </w:r>
      <w:r>
        <w:rPr>
          <w:spacing w:val="-64"/>
        </w:rPr>
      </w:r>
      <w:r>
        <w:rPr/>
        <w:t>务报表主体及其确定方法和所有者权益变动情况。</w:t>
      </w:r>
    </w:p>
    <w:p>
      <w:pPr>
        <w:spacing w:line="240" w:lineRule="auto" w:before="12"/>
        <w:rPr>
          <w:rFonts w:ascii="宋体" w:hAnsi="宋体" w:cs="宋体" w:eastAsia="宋体" w:hint="default"/>
          <w:sz w:val="20"/>
          <w:szCs w:val="20"/>
        </w:rPr>
      </w:pPr>
    </w:p>
    <w:p>
      <w:pPr>
        <w:pStyle w:val="Heading3"/>
        <w:spacing w:line="240" w:lineRule="auto"/>
        <w:ind w:right="62"/>
        <w:jc w:val="left"/>
        <w:rPr>
          <w:b w:val="0"/>
          <w:bCs w:val="0"/>
        </w:rPr>
      </w:pPr>
      <w:bookmarkStart w:name="四、公司主要会计政策、会计估计和前期差错" w:id="138"/>
      <w:bookmarkEnd w:id="138"/>
      <w:r>
        <w:rPr>
          <w:b w:val="0"/>
          <w:bCs w:val="0"/>
        </w:rPr>
      </w:r>
      <w:r>
        <w:rPr/>
        <w:t>四、公司主要会计政策、会计估计和前期差错</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62"/>
        <w:jc w:val="left"/>
        <w:rPr>
          <w:b w:val="0"/>
          <w:bCs w:val="0"/>
        </w:rPr>
      </w:pPr>
      <w:bookmarkStart w:name="1、财务报表的编制基础" w:id="139"/>
      <w:bookmarkEnd w:id="139"/>
      <w:r>
        <w:rPr>
          <w:b w:val="0"/>
          <w:bCs w:val="0"/>
        </w:rPr>
      </w:r>
      <w:r>
        <w:rPr>
          <w:rFonts w:ascii="Times New Roman" w:hAnsi="Times New Roman" w:cs="Times New Roman" w:eastAsia="Times New Roman" w:hint="default"/>
        </w:rPr>
        <w:t>1</w:t>
      </w:r>
      <w:r>
        <w:rPr/>
        <w:t>、财务报表的编制基础</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right="190" w:firstLine="360"/>
        <w:jc w:val="both"/>
      </w:pPr>
      <w:r>
        <w:rPr/>
        <w:t>本集团编制财务报表以持续经营假设为基础，根据实际发生的交易和事项，按照财政部于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w:t>
      </w:r>
      <w:r>
        <w:rPr>
          <w:spacing w:val="-2"/>
        </w:rPr>
        <w:t>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w:t>
      </w:r>
      <w:r>
        <w:rPr>
          <w:spacing w:val="-62"/>
        </w:rPr>
        <w:t> </w:t>
      </w:r>
      <w:r>
        <w:rPr>
          <w:spacing w:val="-62"/>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r>
        <w:rPr>
          <w:spacing w:val="-45"/>
        </w:rPr>
        <w:t> </w:t>
      </w:r>
      <w:r>
        <w:rPr>
          <w:spacing w:val="-45"/>
        </w:rPr>
      </w:r>
      <w:r>
        <w:rPr/>
        <w:t>般规定》（</w:t>
      </w:r>
      <w:r>
        <w:rPr>
          <w:rFonts w:ascii="Times New Roman" w:hAnsi="Times New Roman" w:cs="Times New Roman" w:eastAsia="Times New Roman" w:hint="default"/>
        </w:rPr>
        <w:t>2010</w:t>
      </w:r>
      <w:r>
        <w:rPr/>
        <w:t>年修订）的披露规定编制。</w:t>
      </w:r>
    </w:p>
    <w:p>
      <w:pPr>
        <w:pStyle w:val="BodyText"/>
        <w:spacing w:line="338" w:lineRule="auto" w:before="13"/>
        <w:ind w:right="62" w:firstLine="360"/>
        <w:jc w:val="left"/>
      </w:pPr>
      <w:r>
        <w:rPr>
          <w:spacing w:val="-2"/>
        </w:rPr>
        <w:t>根据企业会计准则的相关规定，本集团会计核算以权责发生制为基础。除某些金融工具外，本财务报表均以历史成本为</w:t>
      </w:r>
      <w:r>
        <w:rPr/>
        <w:t> 计量基础。资产如果发生减值，则按照相关规定计提相应的减值准备。 注：如公司编制报告期内合并备考报表的，需披露合并备考报表的编制基础。</w:t>
      </w:r>
    </w:p>
    <w:p>
      <w:pPr>
        <w:spacing w:line="240" w:lineRule="auto" w:before="8"/>
        <w:rPr>
          <w:rFonts w:ascii="宋体" w:hAnsi="宋体" w:cs="宋体" w:eastAsia="宋体" w:hint="default"/>
          <w:sz w:val="19"/>
          <w:szCs w:val="19"/>
        </w:rPr>
      </w:pPr>
    </w:p>
    <w:p>
      <w:pPr>
        <w:pStyle w:val="Heading3"/>
        <w:spacing w:line="240" w:lineRule="auto"/>
        <w:ind w:right="62"/>
        <w:jc w:val="left"/>
        <w:rPr>
          <w:b w:val="0"/>
          <w:bCs w:val="0"/>
        </w:rPr>
      </w:pPr>
      <w:bookmarkStart w:name="2、遵循企业会计准则的声明" w:id="140"/>
      <w:bookmarkEnd w:id="140"/>
      <w:r>
        <w:rPr>
          <w:b w:val="0"/>
          <w:bCs w:val="0"/>
        </w:rPr>
      </w:r>
      <w:r>
        <w:rPr>
          <w:rFonts w:ascii="Times New Roman" w:hAnsi="Times New Roman" w:cs="Times New Roman" w:eastAsia="Times New Roman" w:hint="default"/>
        </w:rPr>
        <w:t>2</w:t>
      </w:r>
      <w:r>
        <w:rPr/>
        <w:t>、遵循企业会计准则的声明</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88" w:firstLine="360"/>
        <w:jc w:val="both"/>
      </w:pPr>
      <w:r>
        <w:rPr>
          <w:spacing w:val="-2"/>
        </w:rPr>
        <w:t>本集团编制的申报财务报表符合企业会计准则的要求，真实、完整地反映了本公司及本集团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w:t>
      </w:r>
      <w:r>
        <w:rPr/>
        <w:t> </w:t>
      </w:r>
      <w:r>
        <w:rPr>
          <w:spacing w:val="-2"/>
        </w:rPr>
        <w:t>及</w:t>
      </w:r>
      <w:r>
        <w:rPr>
          <w:rFonts w:ascii="Times New Roman" w:hAnsi="Times New Roman" w:cs="Times New Roman" w:eastAsia="Times New Roman" w:hint="default"/>
          <w:spacing w:val="-2"/>
        </w:rPr>
        <w:t>2012</w:t>
      </w:r>
      <w:r>
        <w:rPr>
          <w:spacing w:val="-2"/>
        </w:rPr>
        <w:t>年度的经营成果和现金流量等有关信息。此外，本公司及本集团的财务报表在所有重大方面符合中国证券监督管理委</w:t>
      </w:r>
      <w:r>
        <w:rPr>
          <w:spacing w:val="-62"/>
        </w:rPr>
        <w:t> </w:t>
      </w:r>
      <w:r>
        <w:rPr>
          <w:spacing w:val="-62"/>
        </w:rPr>
      </w:r>
      <w:r>
        <w:rPr>
          <w:spacing w:val="-2"/>
        </w:rPr>
        <w:t>员会</w:t>
      </w:r>
      <w:r>
        <w:rPr>
          <w:rFonts w:ascii="Times New Roman" w:hAnsi="Times New Roman" w:cs="Times New Roman" w:eastAsia="Times New Roman" w:hint="default"/>
          <w:spacing w:val="-2"/>
        </w:rPr>
        <w:t>2010</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号－财务报告的一般规定》有关财务报表及其附注的披露要</w:t>
      </w:r>
      <w:r>
        <w:rPr>
          <w:spacing w:val="-61"/>
        </w:rPr>
        <w:t> </w:t>
      </w:r>
      <w:r>
        <w:rPr>
          <w:spacing w:val="-61"/>
        </w:rPr>
      </w:r>
      <w:r>
        <w:rPr/>
        <w:t>求。</w:t>
      </w:r>
    </w:p>
    <w:p>
      <w:pPr>
        <w:spacing w:after="0" w:line="300"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62"/>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94" w:firstLine="360"/>
        <w:jc w:val="left"/>
      </w:pPr>
      <w:bookmarkStart w:name="3、会计期间" w:id="141"/>
      <w:bookmarkEnd w:id="141"/>
      <w:r>
        <w:rPr/>
      </w:r>
      <w:r>
        <w:rPr/>
        <w:t>本集团的会计期间分为年度和中期，会计中期指短于一个完整的会计年度的报告期间。本集团会计年度采用公历年度，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right="62"/>
        <w:jc w:val="left"/>
        <w:rPr>
          <w:b w:val="0"/>
          <w:bCs w:val="0"/>
        </w:rPr>
      </w:pPr>
      <w:bookmarkStart w:name="4、记账本位币" w:id="142"/>
      <w:bookmarkEnd w:id="14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4"/>
          <w:szCs w:val="24"/>
        </w:rPr>
      </w:pPr>
    </w:p>
    <w:p>
      <w:pPr>
        <w:pStyle w:val="BodyText"/>
        <w:spacing w:line="338" w:lineRule="auto"/>
        <w:ind w:right="62" w:firstLine="360"/>
        <w:jc w:val="left"/>
      </w:pPr>
      <w:r>
        <w:rPr>
          <w:spacing w:val="-2"/>
        </w:rPr>
        <w:t>人民币为本公司及境内子公司经营所处的主要经济环境中的货币，本公司及境内子公司以人民币为记账本位币。本集团</w:t>
      </w:r>
      <w:r>
        <w:rPr/>
        <w:t> 编制本财务报表时所采用的货币为人民币。 注：若记账本位币为人民币以外的其他货币的，说明选定记账本位币的考虑因素及折算成人民币时的折算方法。</w:t>
      </w:r>
    </w:p>
    <w:p>
      <w:pPr>
        <w:spacing w:line="240" w:lineRule="auto" w:before="6"/>
        <w:rPr>
          <w:rFonts w:ascii="宋体" w:hAnsi="宋体" w:cs="宋体" w:eastAsia="宋体" w:hint="default"/>
          <w:sz w:val="19"/>
          <w:szCs w:val="19"/>
        </w:rPr>
      </w:pPr>
    </w:p>
    <w:p>
      <w:pPr>
        <w:pStyle w:val="Heading3"/>
        <w:spacing w:line="240" w:lineRule="auto"/>
        <w:ind w:right="62"/>
        <w:jc w:val="left"/>
        <w:rPr>
          <w:b w:val="0"/>
          <w:bCs w:val="0"/>
        </w:rPr>
      </w:pPr>
      <w:bookmarkStart w:name="5、同一控制下和非同一控制下企业合并的会计处理方法" w:id="143"/>
      <w:bookmarkEnd w:id="14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同一控制下企业合并" w:id="144"/>
      <w:bookmarkEnd w:id="144"/>
      <w:r>
        <w:rPr>
          <w:b w:val="0"/>
          <w:bCs w:val="0"/>
        </w:rPr>
      </w:r>
      <w:r>
        <w:rPr/>
        <w:t>（</w:t>
      </w:r>
      <w:r>
        <w:rPr>
          <w:rFonts w:ascii="Times New Roman" w:hAnsi="Times New Roman" w:cs="Times New Roman" w:eastAsia="Times New Roman" w:hint="default"/>
        </w:rPr>
        <w:t>1</w:t>
      </w:r>
      <w:r>
        <w:rPr/>
        <w:t>）同一控制下企业合并</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参与合并的企业在合并前后均受同一方或相同的多方最终控制，且该控制并非暂时性的，为同一控制下的企业合并。同</w:t>
      </w:r>
      <w:r>
        <w:rPr/>
        <w:t> </w:t>
      </w: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8"/>
        <w:ind w:right="94"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8"/>
        <w:ind w:left="572" w:right="62"/>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62"/>
        <w:jc w:val="left"/>
        <w:rPr>
          <w:b w:val="0"/>
          <w:bCs w:val="0"/>
        </w:rPr>
      </w:pPr>
      <w:bookmarkStart w:name="（2）非同一控制下的企业合并" w:id="145"/>
      <w:bookmarkEnd w:id="145"/>
      <w:r>
        <w:rPr>
          <w:b w:val="0"/>
          <w:bCs w:val="0"/>
        </w:rPr>
      </w: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90"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07" w:lineRule="auto" w:before="18"/>
        <w:ind w:right="94" w:firstLine="360"/>
        <w:jc w:val="left"/>
      </w:pPr>
      <w:r>
        <w:rPr>
          <w:spacing w:val="-2"/>
        </w:rPr>
        <w:t>对于非同一控制下的企业合并，购买日在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日或之前的，合并成本为购买日购买方为取得对被购买方的控制</w:t>
      </w:r>
      <w:r>
        <w:rPr/>
        <w:t> </w:t>
      </w:r>
      <w:r>
        <w:rPr>
          <w:spacing w:val="-2"/>
        </w:rPr>
        <w:t>权而付出的资产、发生或承担的负债和发行的权益性证券的公允价值，以及为企业合并而发生的各项直接相关费用；购买日</w:t>
      </w:r>
      <w:r>
        <w:rPr>
          <w:spacing w:val="-63"/>
        </w:rPr>
        <w:t> </w:t>
      </w:r>
      <w:r>
        <w:rPr>
          <w:spacing w:val="-63"/>
        </w:rPr>
      </w:r>
      <w:r>
        <w:rPr>
          <w:spacing w:val="-2"/>
        </w:rPr>
        <w:t>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日或之后的，合并成本仅包含购买日购买方为取得对被购买方的控制权而付出的资产、发生或承担的负债以及</w:t>
      </w:r>
      <w:r>
        <w:rPr>
          <w:spacing w:val="-61"/>
        </w:rPr>
        <w:t> </w:t>
      </w:r>
      <w:r>
        <w:rPr>
          <w:spacing w:val="-61"/>
        </w:rPr>
      </w:r>
      <w:r>
        <w:rPr>
          <w:spacing w:val="-2"/>
        </w:rPr>
        <w:t>发行的权益性证券的公允价值，为企业合并发生的审计、法律服务、评估咨询等中介费用以及其他管理费用于发生时计入当</w:t>
      </w:r>
      <w:r>
        <w:rPr>
          <w:spacing w:val="-66"/>
        </w:rPr>
        <w:t> </w:t>
      </w:r>
      <w:r>
        <w:rPr>
          <w:spacing w:val="-66"/>
        </w:rPr>
      </w:r>
      <w:r>
        <w:rPr/>
        <w:t>期损益。购买方作为合并对价发行的权益性证券或债务性证券的交易费用，计入权益性证券或债务性证券的初始确认金额。 </w:t>
      </w:r>
      <w:r>
        <w:rPr>
          <w:spacing w:val="-2"/>
        </w:rPr>
        <w:t>对于所涉及的或有对价，如购买日在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日或之前的，购买日如果估计未来事项很可能发生并且对合并成本的影响</w:t>
      </w:r>
      <w:r>
        <w:rPr>
          <w:spacing w:val="-60"/>
        </w:rPr>
        <w:t> </w:t>
      </w:r>
      <w:r>
        <w:rPr>
          <w:spacing w:val="-60"/>
        </w:rPr>
      </w:r>
      <w:r>
        <w:rPr>
          <w:spacing w:val="-2"/>
        </w:rPr>
        <w:t>金额能够可靠计量的，则将或有对价计入合并成本；购买日在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日或之后的，或有对价按其在购买日的公允价值计</w:t>
      </w:r>
      <w:r>
        <w:rPr>
          <w:spacing w:val="-60"/>
        </w:rPr>
        <w:t> </w:t>
      </w:r>
      <w:r>
        <w:rPr>
          <w:spacing w:val="-60"/>
        </w:rPr>
      </w:r>
      <w:r>
        <w:rPr/>
        <w:t>入合并成本，购买日后</w:t>
      </w:r>
      <w:r>
        <w:rPr>
          <w:rFonts w:ascii="Times New Roman" w:hAnsi="Times New Roman" w:cs="Times New Roman" w:eastAsia="Times New Roman" w:hint="default"/>
        </w:rPr>
        <w:t>12</w:t>
      </w:r>
      <w:r>
        <w:rPr/>
        <w:t>个月内出现对购买日已存在情况的新的或进一步证据而需要调整或有对价的，相应调整合并商誉。 </w:t>
      </w:r>
      <w:r>
        <w:rPr>
          <w:spacing w:val="-2"/>
        </w:rPr>
        <w:t>通过多次交换交易分步实现的企业合并，购买日在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日或之前的，合并成本为每一单项交易成本之和；购买日在</w:t>
      </w:r>
      <w:r>
        <w:rPr>
          <w:spacing w:val="-59"/>
        </w:rPr>
        <w:t> </w:t>
      </w:r>
      <w:r>
        <w:rPr>
          <w:spacing w:val="-59"/>
        </w:rPr>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日或之后的，在本集团合并财务报表中，对于购买日之前持有的被购买方的股权，按照该股权在购买日的公允价</w:t>
      </w:r>
      <w:r>
        <w:rPr>
          <w:spacing w:val="-60"/>
        </w:rPr>
        <w:t> </w:t>
      </w:r>
      <w:r>
        <w:rPr>
          <w:spacing w:val="-60"/>
        </w:rPr>
      </w:r>
      <w:r>
        <w:rPr>
          <w:spacing w:val="-2"/>
        </w:rPr>
        <w:t>值进行重新计量，公允价值与其账面价值的差额计入购买日所属当期投资收益，同时将与购买日之前持有的被购买方的股权</w:t>
      </w:r>
      <w:r>
        <w:rPr>
          <w:spacing w:val="-64"/>
        </w:rPr>
        <w:t> </w:t>
      </w:r>
      <w:r>
        <w:rPr>
          <w:spacing w:val="-64"/>
        </w:rPr>
      </w:r>
      <w:r>
        <w:rPr>
          <w:spacing w:val="-2"/>
        </w:rPr>
        <w:t>相关的其他综合收益转为当期投资收益，合并成本为购买日之前持有的被购买方的股权在购买日的公允价值与购买日增持的</w:t>
      </w:r>
      <w:r>
        <w:rPr>
          <w:spacing w:val="-64"/>
        </w:rPr>
        <w:t> </w:t>
      </w:r>
      <w:r>
        <w:rPr>
          <w:spacing w:val="-64"/>
        </w:rPr>
      </w:r>
      <w:r>
        <w:rPr/>
        <w:t>被购买方股权在购买日的公允价值之和。</w:t>
      </w:r>
    </w:p>
    <w:p>
      <w:pPr>
        <w:pStyle w:val="BodyText"/>
        <w:spacing w:line="316" w:lineRule="auto" w:before="26"/>
        <w:ind w:left="153" w:right="190"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62" w:hanging="360"/>
        <w:jc w:val="left"/>
        <w:rPr>
          <w:rFonts w:ascii="Times New Roman" w:hAnsi="Times New Roman" w:cs="Times New Roman" w:eastAsia="Times New Roman" w:hint="default"/>
        </w:rPr>
      </w:pPr>
      <w:r>
        <w:rPr/>
        <w:t>小于合并中取得的被购买方可辨认净资产公允价值份额的，其差额计入当期损益。 购买方取得被购买方的可抵扣暂时性差异，在购买日因不符合递延所得税资产确认条件而未予确认的，在购买日后</w:t>
      </w:r>
      <w:r>
        <w:rPr>
          <w:rFonts w:ascii="Times New Roman" w:hAnsi="Times New Roman" w:cs="Times New Roman" w:eastAsia="Times New Roman" w:hint="default"/>
        </w:rPr>
        <w:t>12</w:t>
      </w:r>
    </w:p>
    <w:p>
      <w:pPr>
        <w:pStyle w:val="BodyText"/>
        <w:spacing w:line="316" w:lineRule="auto"/>
        <w:ind w:right="193"/>
        <w:jc w:val="both"/>
      </w:pP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6、合并财务报表的编制方法" w:id="146"/>
      <w:bookmarkEnd w:id="14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1）合并财务报表的编制方法" w:id="147"/>
      <w:bookmarkEnd w:id="147"/>
      <w:r>
        <w:rPr>
          <w:b w:val="0"/>
          <w:bCs w:val="0"/>
        </w:rPr>
      </w: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62" w:firstLine="360"/>
        <w:jc w:val="left"/>
      </w:pPr>
      <w:r>
        <w:rPr>
          <w:spacing w:val="-2"/>
        </w:rPr>
        <w:t>从取得子公司的净资产和生产经营决策的实际控制权之日起，本集团开始将其纳入合并范围；从丧失实际控制权之日起</w:t>
      </w:r>
      <w:r>
        <w:rPr/>
        <w:t> </w:t>
      </w: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时调整合并财务报表的期初数和对比数。</w:t>
      </w:r>
    </w:p>
    <w:p>
      <w:pPr>
        <w:pStyle w:val="BodyText"/>
        <w:spacing w:line="316" w:lineRule="auto" w:before="18"/>
        <w:ind w:right="193"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8"/>
        <w:ind w:left="512" w:right="62"/>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8"/>
        <w:ind w:right="19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4"/>
        </w:rPr>
        <w:t> </w:t>
      </w:r>
      <w:r>
        <w:rPr/>
        <w:t>股东损益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w:t>
      </w:r>
      <w:r>
        <w:rPr>
          <w:spacing w:val="-76"/>
        </w:rPr>
        <w:t> </w:t>
      </w:r>
      <w:r>
        <w:rPr>
          <w:spacing w:val="-76"/>
        </w:rPr>
      </w:r>
      <w:r>
        <w:rPr/>
        <w:t>股东权益。</w:t>
      </w:r>
    </w:p>
    <w:p>
      <w:pPr>
        <w:pStyle w:val="BodyText"/>
        <w:spacing w:line="309" w:lineRule="auto" w:before="31"/>
        <w:ind w:right="190" w:firstLine="360"/>
        <w:jc w:val="both"/>
      </w:pPr>
      <w:r>
        <w:rPr>
          <w:spacing w:val="-2"/>
        </w:rPr>
        <w:t>当因处置部分股权投资或其他原因丧失了对原有子公司的控制权时，如控制权丧失发生于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日或之前的，对</w:t>
      </w:r>
      <w:r>
        <w:rPr/>
        <w:t> </w:t>
      </w:r>
      <w:r>
        <w:rPr>
          <w:spacing w:val="-2"/>
        </w:rPr>
        <w:t>于剩余股权，以本公司个别财务报表中成本法下长期股权投资的账面价值作为剩余股权的初始投资成本；如控制权丧失发生</w:t>
      </w:r>
      <w:r>
        <w:rPr>
          <w:spacing w:val="-64"/>
        </w:rPr>
        <w:t> </w:t>
      </w:r>
      <w:r>
        <w:rPr>
          <w:spacing w:val="-64"/>
        </w:rPr>
      </w:r>
      <w:r>
        <w:rPr>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日或之后的，对于剩余股权，按照其在丧失控制权日的公允价值进行重新计量。处置股权取得的对价与剩余股</w:t>
      </w:r>
      <w:r>
        <w:rPr>
          <w:spacing w:val="-60"/>
        </w:rPr>
        <w:t> </w:t>
      </w:r>
      <w:r>
        <w:rPr>
          <w:spacing w:val="-60"/>
        </w:rPr>
      </w:r>
      <w:r>
        <w:rPr>
          <w:spacing w:val="-2"/>
        </w:rPr>
        <w:t>权公允价值之和，减去按原持股比例计算应享有原有子公司自购买日开始持续计算的净资产的份额之间的差额，计入丧失控</w:t>
      </w:r>
      <w:r>
        <w:rPr>
          <w:spacing w:val="-64"/>
        </w:rPr>
        <w:t> </w:t>
      </w:r>
      <w:r>
        <w:rPr>
          <w:spacing w:val="-64"/>
        </w:rPr>
      </w:r>
      <w:r>
        <w:rPr>
          <w:spacing w:val="-2"/>
        </w:rPr>
        <w:t>制权当期的投资收益。与原有子公司股权投资相关的其他综合收益，在丧失控制权时一并转为当期投资收益。其后，对该部</w:t>
      </w:r>
      <w:r>
        <w:rPr>
          <w:spacing w:val="-64"/>
        </w:rPr>
        <w:t> </w:t>
      </w:r>
      <w:r>
        <w:rPr>
          <w:spacing w:val="-64"/>
        </w:rPr>
      </w:r>
      <w:r>
        <w:rPr/>
        <w:t>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w:t>
      </w:r>
      <w:r>
        <w:rPr>
          <w:spacing w:val="-84"/>
        </w:rPr>
        <w:t> </w:t>
      </w:r>
      <w:r>
        <w:rPr>
          <w:spacing w:val="-84"/>
        </w:rPr>
      </w:r>
      <w:r>
        <w:rPr/>
        <w:t>进行后续计量。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314" w:lineRule="exact" w:before="149"/>
        <w:ind w:right="193"/>
        <w:jc w:val="both"/>
        <w:rPr>
          <w:b w:val="0"/>
          <w:bCs w:val="0"/>
        </w:rPr>
      </w:pPr>
      <w:bookmarkStart w:name="（2）对同一子公司的股权在连续两个会计年度买入再卖出，或卖出再买入的应披露相关的" w:id="148"/>
      <w:bookmarkEnd w:id="148"/>
      <w:r>
        <w:rPr>
          <w:b w:val="0"/>
          <w:bCs w:val="0"/>
        </w:rPr>
      </w:r>
      <w:r>
        <w:rPr>
          <w:spacing w:val="-3"/>
        </w:rPr>
        <w:t>（</w:t>
      </w:r>
      <w:r>
        <w:rPr>
          <w:rFonts w:ascii="Times New Roman" w:hAnsi="Times New Roman" w:cs="Times New Roman" w:eastAsia="Times New Roman" w:hint="default"/>
          <w:spacing w:val="-3"/>
        </w:rPr>
        <w:t>2</w:t>
      </w:r>
      <w:r>
        <w:rPr>
          <w:spacing w:val="-3"/>
        </w:rPr>
        <w:t>）对同一子公司的股权在连续两个会计年度买入再卖出，或卖出再买入的应披露相关的会</w:t>
      </w:r>
      <w:r>
        <w:rPr>
          <w:w w:val="99"/>
        </w:rPr>
        <w:t> </w:t>
      </w:r>
      <w:r>
        <w:rPr/>
        <w:t>计处理方法</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注：如有对同一子公司的股权在连续两个会计年度买入再卖出，或卖出再买入的，应披露相关的会计处理方法。</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7、现金及现金等价物的确定标准" w:id="149"/>
      <w:bookmarkEnd w:id="149"/>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0" w:firstLine="360"/>
        <w:jc w:val="both"/>
      </w:pPr>
      <w:r>
        <w:rPr>
          <w:spacing w:val="-2"/>
        </w:rPr>
        <w:t>本集团现金及现金等价物包括库存现金、可以随时用于支付的存款以及本集团持有的期限短（一般为从购买日起，三个</w:t>
      </w:r>
      <w:r>
        <w:rPr/>
        <w:t> 月内到期）、流动性强、易于转换为已知金额的现金、价值变动风险很小的投资。</w:t>
      </w:r>
    </w:p>
    <w:p>
      <w:pPr>
        <w:spacing w:after="0" w:line="316" w:lineRule="auto"/>
        <w:jc w:val="both"/>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8、外币业务和外币报表折算" w:id="150"/>
      <w:bookmarkEnd w:id="150"/>
      <w:r>
        <w:rPr>
          <w:b w:val="0"/>
          <w:bCs w:val="0"/>
        </w:rPr>
      </w:r>
      <w:bookmarkStart w:name="（1）外币业务" w:id="151"/>
      <w:bookmarkEnd w:id="151"/>
      <w:r>
        <w:rPr>
          <w:b w:val="0"/>
          <w:bCs w:val="0"/>
        </w:rPr>
      </w:r>
      <w:r>
        <w:rPr/>
        <w:t>（</w:t>
      </w:r>
      <w:r>
        <w:rPr>
          <w:rFonts w:ascii="Times New Roman" w:hAnsi="Times New Roman" w:cs="Times New Roman" w:eastAsia="Times New Roman" w:hint="default"/>
        </w:rPr>
        <w:t>1</w:t>
      </w:r>
      <w:r>
        <w:rPr/>
        <w:t>）外币业务</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62" w:firstLine="360"/>
        <w:jc w:val="left"/>
      </w:pPr>
      <w:r>
        <w:rPr>
          <w:spacing w:val="-2"/>
        </w:rPr>
        <w:t>本集团发生的外币交易在初始确认时，按交易日的即期汇率折算为记账本位币金额，但公司发生的外币兑换业务或涉及</w:t>
      </w:r>
      <w:r>
        <w:rPr/>
        <w:t> 外币兑换的交易事项，按照实际采用的汇率折算为记账本位币金额。</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bookmarkStart w:name="（2）外币财务报表的折算" w:id="152"/>
      <w:bookmarkEnd w:id="152"/>
      <w:r>
        <w:rPr>
          <w:b w:val="0"/>
          <w:bCs w:val="0"/>
        </w:rPr>
      </w:r>
      <w:r>
        <w:rPr/>
        <w:t>（</w:t>
      </w:r>
      <w:r>
        <w:rPr>
          <w:rFonts w:ascii="Times New Roman" w:hAnsi="Times New Roman" w:cs="Times New Roman" w:eastAsia="Times New Roman" w:hint="default"/>
        </w:rPr>
        <w:t>2</w:t>
      </w:r>
      <w:r>
        <w:rPr/>
        <w:t>）外币财务报表的折算</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编制合并财务报表涉及境外经营的，如有实质上构成对境外经营净投资的外币货币性项目，因汇率变动而产生的汇兑差</w:t>
      </w:r>
      <w:r>
        <w:rPr/>
        <w:t> 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4" w:lineRule="auto"/>
        <w:ind w:right="94" w:firstLine="360"/>
        <w:jc w:val="left"/>
      </w:pPr>
      <w:r>
        <w:rPr>
          <w:spacing w:val="-2"/>
        </w:rPr>
        <w:t>境外经营的外币财务报表按以下方法折算为人民币报表：资产负债表中的资产和负债项目，采用资产负债表日的即期汇</w:t>
      </w:r>
      <w:r>
        <w:rPr/>
        <w:t> </w:t>
      </w:r>
      <w:r>
        <w:rPr>
          <w:spacing w:val="-2"/>
        </w:rPr>
        <w:t>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w:t>
      </w:r>
      <w:r>
        <w:rPr>
          <w:spacing w:val="-42"/>
        </w:rPr>
        <w:t> </w:t>
      </w:r>
      <w:r>
        <w:rPr>
          <w:spacing w:val="-42"/>
        </w:rPr>
      </w:r>
      <w:r>
        <w:rPr>
          <w:spacing w:val="-2"/>
        </w:rPr>
        <w:t>用交易发生日的即期汇率折算。年初未分配利润为上一年折算后的年末未分配利润；年末未分配利润按折算后的利润分配各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项目计算列示；折算后资产类项目与负债类项目和股东权益类项目合计数的差额，作为外币报表折算差额，确认为其他综合</w:t>
      </w:r>
      <w:r>
        <w:rPr>
          <w:spacing w:val="-63"/>
        </w:rPr>
        <w:t> </w:t>
      </w:r>
      <w:r>
        <w:rPr>
          <w:spacing w:val="-63"/>
        </w:rPr>
      </w:r>
      <w:r>
        <w:rPr/>
        <w:t>收益并在资产负债表中股东权益项目下单独列示。处置境外经营并丧失控制权时，将资产负债表中股东权益项目下列示的、 与该境外经营相关的外币报表折算差额，全部或按处置该境外经营的比例转入处置当期损益。</w:t>
      </w:r>
    </w:p>
    <w:p>
      <w:pPr>
        <w:pStyle w:val="BodyText"/>
        <w:spacing w:line="316" w:lineRule="auto" w:before="20"/>
        <w:ind w:right="62" w:firstLine="360"/>
        <w:jc w:val="left"/>
      </w:pPr>
      <w:r>
        <w:rPr>
          <w:spacing w:val="-2"/>
        </w:rPr>
        <w:t>外币现金流量，采用现金流量发生日的即期汇率折算。汇率变动对现金的影响额作为调节项目，在现金流量表中单独列</w:t>
      </w:r>
      <w:r>
        <w:rPr/>
        <w:t> 报。</w:t>
      </w:r>
    </w:p>
    <w:p>
      <w:pPr>
        <w:pStyle w:val="BodyText"/>
        <w:spacing w:line="338" w:lineRule="auto" w:before="18"/>
        <w:ind w:right="62" w:firstLine="360"/>
        <w:jc w:val="left"/>
      </w:pPr>
      <w:r>
        <w:rPr/>
        <w:t>年初数和上年实际数按照上年财务报表折算后的数额列示。 </w:t>
      </w:r>
      <w:r>
        <w:rPr>
          <w:spacing w:val="-2"/>
        </w:rPr>
        <w:t>注：说明发生外币交易时折算汇率的确定、在资产负债表日外币项目采用的折算方法、汇兑损益的处理方法、外币报表折算</w:t>
      </w:r>
      <w:r>
        <w:rPr>
          <w:spacing w:val="-65"/>
        </w:rPr>
        <w:t> </w:t>
      </w:r>
      <w:r>
        <w:rPr>
          <w:spacing w:val="-65"/>
        </w:rPr>
      </w:r>
      <w:r>
        <w:rPr/>
        <w:t>的会计处理方法。</w:t>
      </w: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bookmarkStart w:name="9、金融工具" w:id="153"/>
      <w:bookmarkEnd w:id="153"/>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jc w:val="both"/>
      </w:pPr>
      <w:r>
        <w:rPr>
          <w:spacing w:val="-2"/>
        </w:rPr>
        <w:t>注：说明金融工具的分类、确认依据和计量方法；金融资产转移的确认依据和计量方法；金融负债终止确认条件；金融资产</w:t>
      </w:r>
      <w:r>
        <w:rPr>
          <w:spacing w:val="-67"/>
        </w:rPr>
        <w:t> </w:t>
      </w:r>
      <w:r>
        <w:rPr>
          <w:spacing w:val="-67"/>
        </w:rPr>
      </w:r>
      <w:r>
        <w:rPr>
          <w:spacing w:val="-2"/>
        </w:rPr>
        <w:t>和金融负债的公允价值确定方法，包括因继续涉入形成的金融资产和金融负债的公允价值确定方法；金融资产（此处不含应</w:t>
      </w:r>
      <w:r>
        <w:rPr>
          <w:spacing w:val="-66"/>
        </w:rPr>
        <w:t> </w:t>
      </w:r>
      <w:r>
        <w:rPr>
          <w:spacing w:val="-66"/>
        </w:rPr>
      </w:r>
      <w:r>
        <w:rPr/>
        <w:t>收款项）减值测试方法、减值准备计提方法。</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1）金融工具的分类" w:id="154"/>
      <w:bookmarkEnd w:id="154"/>
      <w:r>
        <w:rPr>
          <w:b w:val="0"/>
          <w:bCs w:val="0"/>
        </w:rPr>
      </w:r>
      <w:r>
        <w:rPr>
          <w:sz w:val="21"/>
          <w:szCs w:val="21"/>
        </w:rPr>
        <w:t>（</w:t>
      </w:r>
      <w:r>
        <w:rPr>
          <w:rFonts w:ascii="Times New Roman" w:hAnsi="Times New Roman" w:cs="Times New Roman" w:eastAsia="Times New Roman" w:hint="default"/>
        </w:rPr>
        <w:t>1</w:t>
      </w:r>
      <w:r>
        <w:rPr/>
        <w:t>）金融工具的分类</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金融资产在初始确认时划分为以公允价值计量且其变动计入当期损益的金融资产、持有至到期投资、贷款和应收款项以</w:t>
      </w:r>
      <w:r>
        <w:rPr/>
        <w:t> 及可供出售金融资产。</w:t>
      </w:r>
    </w:p>
    <w:p>
      <w:pPr>
        <w:pStyle w:val="BodyText"/>
        <w:spacing w:line="240" w:lineRule="auto" w:before="18"/>
        <w:ind w:left="512" w:right="62"/>
        <w:jc w:val="left"/>
      </w:pPr>
      <w:r>
        <w:rPr/>
        <w:t>金融负债在初始确认时划分为以公允价值计量且其变动计入当期损益的金融负债和其他金融负债。</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2）金融工具的确认依据和计量方法" w:id="155"/>
      <w:bookmarkEnd w:id="155"/>
      <w:r>
        <w:rPr>
          <w:b w:val="0"/>
          <w:bCs w:val="0"/>
        </w:rPr>
      </w: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0" w:firstLine="72"/>
        <w:jc w:val="both"/>
      </w:pPr>
      <w:r>
        <w:rPr/>
        <w:t>一、以常规方式买卖金融资产，按交易日进行会计确认和终止确认。初始确认金融资产，以公允价值计量。对于以公允价 </w:t>
      </w:r>
      <w:r>
        <w:rPr>
          <w:spacing w:val="-2"/>
        </w:rPr>
        <w:t>值计量且其变动计入当期损益的金融资产，相关的交易费用直接计入当期损益，对于其他类别的金融资产，相关交易费用计</w:t>
      </w:r>
      <w:r>
        <w:rPr>
          <w:spacing w:val="-63"/>
        </w:rPr>
        <w:t> </w:t>
      </w:r>
      <w:r>
        <w:rPr>
          <w:spacing w:val="-63"/>
        </w:rPr>
      </w:r>
      <w:r>
        <w:rPr/>
        <w:t>入初始确认金额。</w:t>
      </w:r>
    </w:p>
    <w:p>
      <w:pPr>
        <w:pStyle w:val="BodyText"/>
        <w:spacing w:line="316" w:lineRule="auto" w:before="18"/>
        <w:ind w:left="512" w:right="62"/>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248" w:lineRule="exact"/>
        <w:ind w:right="0"/>
        <w:jc w:val="both"/>
      </w:pPr>
      <w:r>
        <w:rPr/>
        <w:t>中管理的可辨认金融工具组合的一部分，且有客观证据表明本集团近期采用短期获利方式对该组合进行管理；</w:t>
      </w:r>
      <w:r>
        <w:rPr>
          <w:rFonts w:ascii="Times New Roman" w:hAnsi="Times New Roman" w:cs="Times New Roman" w:eastAsia="Times New Roman" w:hint="default"/>
        </w:rPr>
        <w:t>C.</w:t>
      </w:r>
      <w:r>
        <w:rPr/>
        <w:t>属于衍生工</w:t>
      </w:r>
    </w:p>
    <w:p>
      <w:pPr>
        <w:spacing w:after="0" w:line="248" w:lineRule="exact"/>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62"/>
        <w:jc w:val="left"/>
      </w:pP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7" w:lineRule="auto" w:before="18"/>
        <w:ind w:right="193"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本集团风险</w:t>
      </w:r>
      <w:r>
        <w:rPr>
          <w:spacing w:val="-48"/>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93"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8"/>
        <w:ind w:left="512" w:right="62"/>
        <w:jc w:val="left"/>
      </w:pPr>
      <w:r>
        <w:rPr/>
        <w:t>②</w:t>
      </w:r>
      <w:r>
        <w:rPr>
          <w:spacing w:val="-18"/>
        </w:rPr>
        <w:t> </w:t>
      </w:r>
      <w:r>
        <w:rPr/>
        <w:t>持有至到期投资</w:t>
      </w:r>
      <w:r>
        <w:rPr/>
        <w:t> 是指到期日固定、回收金额固定或可确定，且本集团有明确意图和能力持有至到期的非衍生金融资产。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8"/>
        <w:ind w:right="62"/>
        <w:jc w:val="left"/>
      </w:pPr>
      <w:r>
        <w:rPr/>
        <w:t>当期损益。</w:t>
      </w:r>
    </w:p>
    <w:p>
      <w:pPr>
        <w:pStyle w:val="BodyText"/>
        <w:spacing w:line="316" w:lineRule="auto" w:before="76"/>
        <w:ind w:right="193"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8"/>
        <w:ind w:right="190" w:firstLine="360"/>
        <w:jc w:val="both"/>
      </w:pPr>
      <w:r>
        <w:rPr>
          <w:spacing w:val="-2"/>
        </w:rPr>
        <w:t>在计算实际利率时，本集团将在考虑金融资产或金融负债所有合同条款的基础上预计未来现金流量（不考虑未来的信用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316" w:lineRule="auto" w:before="18"/>
        <w:ind w:left="512" w:right="62"/>
        <w:jc w:val="left"/>
      </w:pPr>
      <w:r>
        <w:rPr/>
        <w:t>③</w:t>
      </w:r>
      <w:r>
        <w:rPr>
          <w:spacing w:val="-18"/>
        </w:rPr>
        <w:t> </w:t>
      </w:r>
      <w:r>
        <w:rPr/>
        <w:t>贷款和应收款项</w:t>
      </w:r>
      <w:r>
        <w:rPr/>
        <w:t> </w:t>
      </w:r>
      <w:r>
        <w:rPr>
          <w:spacing w:val="-2"/>
        </w:rPr>
        <w:t>是指在活跃市场中没有报价、回收金额固定或可确定的非衍生金融资产。本集团划分为贷款和应收款的金融资产包括应</w:t>
      </w:r>
    </w:p>
    <w:p>
      <w:pPr>
        <w:pStyle w:val="BodyText"/>
        <w:spacing w:line="316" w:lineRule="auto" w:before="18"/>
        <w:ind w:left="512" w:right="62"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8"/>
        <w:ind w:right="62"/>
        <w:jc w:val="left"/>
      </w:pPr>
      <w:r>
        <w:rPr/>
        <w:t>当期损益。</w:t>
      </w:r>
    </w:p>
    <w:p>
      <w:pPr>
        <w:pStyle w:val="BodyText"/>
        <w:spacing w:line="316" w:lineRule="auto" w:before="76"/>
        <w:ind w:left="512" w:right="94"/>
        <w:jc w:val="left"/>
      </w:pPr>
      <w:r>
        <w:rPr/>
        <w:t>④</w:t>
      </w:r>
      <w:r>
        <w:rPr>
          <w:spacing w:val="-18"/>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8"/>
        <w:ind w:left="512" w:right="62" w:hanging="360"/>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8"/>
        <w:ind w:right="62"/>
        <w:jc w:val="left"/>
      </w:pPr>
      <w:r>
        <w:rPr>
          <w:spacing w:val="-2"/>
        </w:rPr>
        <w:t>摊余成本相关的汇兑差额计入当期损益外，确认为其他综合收益并计入资本公积，在该金融资产终止确认时转出，计入当期</w:t>
      </w:r>
      <w:r>
        <w:rPr>
          <w:spacing w:val="-63"/>
        </w:rPr>
        <w:t> </w:t>
      </w:r>
      <w:r>
        <w:rPr>
          <w:spacing w:val="-63"/>
        </w:rPr>
      </w:r>
      <w:r>
        <w:rPr/>
        <w:t>损益。</w:t>
      </w:r>
    </w:p>
    <w:p>
      <w:pPr>
        <w:pStyle w:val="BodyText"/>
        <w:spacing w:line="316" w:lineRule="auto" w:before="18"/>
        <w:ind w:left="512" w:right="62"/>
        <w:jc w:val="left"/>
      </w:pPr>
      <w:r>
        <w:rPr/>
        <w:t>可供出售金融资产持有期间取得的利息及被投资单位宣告发放的现金股利，计入投资收益。 </w:t>
      </w:r>
      <w:r>
        <w:rPr>
          <w:spacing w:val="-2"/>
        </w:rPr>
        <w:t>二、初始确认金融负债，以公允价值计量。对于以公允价值计量且其变动计入当期损益的金融负债，相关的交易费用直</w:t>
      </w:r>
    </w:p>
    <w:p>
      <w:pPr>
        <w:pStyle w:val="BodyText"/>
        <w:spacing w:line="240" w:lineRule="auto" w:before="18"/>
        <w:ind w:right="62"/>
        <w:jc w:val="left"/>
      </w:pPr>
      <w:r>
        <w:rPr/>
        <w:t>接计入当期损益，对于其他金融负债，相关交易费用计入初始确认金额。</w:t>
      </w:r>
    </w:p>
    <w:p>
      <w:pPr>
        <w:pStyle w:val="BodyText"/>
        <w:spacing w:line="316" w:lineRule="auto" w:before="76"/>
        <w:ind w:left="512" w:right="274"/>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8"/>
        <w:ind w:left="512" w:right="62"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8"/>
        <w:ind w:right="62"/>
        <w:jc w:val="left"/>
      </w:pPr>
      <w:r>
        <w:rPr/>
        <w:t>与该等金融负债相关的股利和利息支出计入当期损益。</w:t>
      </w:r>
    </w:p>
    <w:p>
      <w:pPr>
        <w:pStyle w:val="BodyText"/>
        <w:spacing w:line="316" w:lineRule="auto" w:before="76"/>
        <w:ind w:left="512" w:right="62"/>
        <w:jc w:val="left"/>
      </w:pPr>
      <w:r>
        <w:rPr/>
        <w:t>②</w:t>
      </w:r>
      <w:r>
        <w:rPr>
          <w:spacing w:val="1"/>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8"/>
        <w:ind w:right="62"/>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16" w:lineRule="auto" w:before="18"/>
        <w:ind w:left="512" w:right="62"/>
        <w:jc w:val="left"/>
      </w:pPr>
      <w:r>
        <w:rPr/>
        <w:t>③</w:t>
      </w:r>
      <w:r>
        <w:rPr>
          <w:spacing w:val="1"/>
        </w:rPr>
        <w:t> </w:t>
      </w:r>
      <w:r>
        <w:rPr/>
        <w:t>财务担保合同</w:t>
      </w:r>
      <w:r>
        <w:rPr/>
        <w:t> </w:t>
      </w:r>
      <w:r>
        <w:rPr>
          <w:spacing w:val="-2"/>
        </w:rPr>
        <w:t>不属于指定为以公允价值计量且其变动计入当期损益的金融负债的财务担保合同，以公允价值进行初始确认，在初始确</w:t>
      </w:r>
    </w:p>
    <w:p>
      <w:pPr>
        <w:pStyle w:val="BodyText"/>
        <w:spacing w:line="240" w:lineRule="auto" w:before="18"/>
        <w:ind w:right="62"/>
        <w:jc w:val="left"/>
      </w:pPr>
      <w:r>
        <w:rPr/>
        <w:t>认后按照《企业会计准则第</w:t>
      </w:r>
      <w:r>
        <w:rPr>
          <w:rFonts w:ascii="宋体" w:hAnsi="宋体" w:cs="宋体" w:eastAsia="宋体" w:hint="default"/>
        </w:rPr>
        <w:t>13</w:t>
      </w:r>
      <w:r>
        <w:rPr/>
        <w:t>号</w:t>
      </w:r>
      <w:r>
        <w:rPr>
          <w:rFonts w:ascii="宋体" w:hAnsi="宋体" w:cs="宋体" w:eastAsia="宋体" w:hint="default"/>
        </w:rPr>
        <w:t>—</w:t>
      </w:r>
      <w:r>
        <w:rPr/>
        <w:t>或有事项》确定的金额和初始确认金额扣除按照《企业会计准则第</w:t>
      </w:r>
      <w:r>
        <w:rPr>
          <w:rFonts w:ascii="宋体" w:hAnsi="宋体" w:cs="宋体" w:eastAsia="宋体" w:hint="default"/>
        </w:rPr>
        <w:t>14</w:t>
      </w:r>
      <w:r>
        <w:rPr/>
        <w:t>号</w:t>
      </w:r>
      <w:r>
        <w:rPr>
          <w:rFonts w:ascii="宋体" w:hAnsi="宋体" w:cs="宋体" w:eastAsia="宋体" w:hint="default"/>
        </w:rPr>
        <w:t>—</w:t>
      </w:r>
      <w:r>
        <w:rPr/>
        <w:t>收入》的原则确</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定的累计摊销额后的余额之中的较高者进行后续计量。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bookmarkStart w:name="（3）金融资产转移的确认依据和计量方法" w:id="156"/>
      <w:bookmarkEnd w:id="156"/>
      <w:r>
        <w:rPr>
          <w:b w:val="0"/>
          <w:bCs w:val="0"/>
        </w:rPr>
      </w: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07" w:firstLine="362"/>
        <w:jc w:val="both"/>
      </w:pPr>
      <w:r>
        <w:rPr/>
        <w:t>满足下列条件之一的金融资产，予以终止确认：① 收取该金融资产现金流量的合同权利终止；②</w:t>
      </w:r>
      <w:r>
        <w:rPr>
          <w:spacing w:val="-40"/>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8"/>
        <w:ind w:right="150" w:firstLine="362"/>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8"/>
        <w:ind w:right="153" w:firstLine="362"/>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8"/>
        <w:ind w:right="153" w:firstLine="362"/>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金融负债终止确认条件" w:id="157"/>
      <w:bookmarkEnd w:id="157"/>
      <w:r>
        <w:rPr>
          <w:b w:val="0"/>
          <w:bCs w:val="0"/>
        </w:rPr>
      </w: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50" w:firstLine="360"/>
        <w:jc w:val="both"/>
      </w:pPr>
      <w:r>
        <w:rPr>
          <w:spacing w:val="-2"/>
        </w:rPr>
        <w:t>金融负债的现时义务全部或部分已经解除的，才能终止确认该金融负债或其一部分。本集团（债务人）与债权人之间签</w:t>
      </w:r>
      <w:r>
        <w:rPr/>
        <w:t> </w:t>
      </w: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316" w:lineRule="auto" w:before="18"/>
        <w:ind w:right="150" w:firstLine="360"/>
        <w:jc w:val="both"/>
      </w:pPr>
      <w:r>
        <w:rPr>
          <w:spacing w:val="-2"/>
        </w:rPr>
        <w:t>全部或部分终止确认的，将终止确认部分的账面价值与支付的对价（包括转出的非现金资产或承担的新金融负债）之间</w:t>
      </w:r>
      <w:r>
        <w:rPr/>
        <w:t> 的差额，计入当期损益。</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5）金融资产和金融负债公允价值的确定方法" w:id="158"/>
      <w:bookmarkEnd w:id="158"/>
      <w:r>
        <w:rPr>
          <w:b w:val="0"/>
          <w:bCs w:val="0"/>
        </w:rPr>
      </w: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50" w:firstLine="360"/>
        <w:jc w:val="both"/>
      </w:pPr>
      <w:r>
        <w:rPr>
          <w:spacing w:val="-2"/>
        </w:rPr>
        <w:t>公允价值，指在公平交易中，熟悉情况的交易双方自愿进行资产交换或债务清偿的金额。金融工具存在活跃市场的，本</w:t>
      </w:r>
      <w:r>
        <w:rPr/>
        <w:t> </w:t>
      </w:r>
      <w:r>
        <w:rPr>
          <w:spacing w:val="-2"/>
        </w:rPr>
        <w:t>集团采用活跃市场中的报价确定其公允价值。活跃市场中的报价是指易于定期从交易所、经纪商、行业协会、定价服务机构</w:t>
      </w:r>
      <w:r>
        <w:rPr>
          <w:spacing w:val="-64"/>
        </w:rPr>
        <w:t> </w:t>
      </w:r>
      <w:r>
        <w:rPr>
          <w:spacing w:val="-64"/>
        </w:rPr>
      </w:r>
      <w:r>
        <w:rPr>
          <w:spacing w:val="-2"/>
        </w:rPr>
        <w:t>等获得的价格，且代表了在公平交易中实际发生的市场交易的价格。金融工具不存在活跃市场的，本集团采用估值技术确定</w:t>
      </w:r>
      <w:r>
        <w:rPr>
          <w:spacing w:val="-63"/>
        </w:rPr>
        <w:t> </w:t>
      </w:r>
      <w:r>
        <w:rPr>
          <w:spacing w:val="-63"/>
        </w:rPr>
      </w:r>
      <w:r>
        <w:rPr>
          <w:spacing w:val="-2"/>
        </w:rPr>
        <w:t>其公允价值。估值技术包括参考熟悉情况并自愿交易的各方最近进行的市场交易中使用的价格、参照实质上相同的其他金融</w:t>
      </w:r>
      <w:r>
        <w:rPr>
          <w:spacing w:val="-64"/>
        </w:rPr>
        <w:t> </w:t>
      </w:r>
      <w:r>
        <w:rPr>
          <w:spacing w:val="-64"/>
        </w:rPr>
      </w:r>
      <w:r>
        <w:rPr/>
        <w:t>工具当前的公允价值、现金流量折现法和期权定价模型等。</w:t>
      </w:r>
    </w:p>
    <w:p>
      <w:pPr>
        <w:pStyle w:val="BodyText"/>
        <w:spacing w:line="240" w:lineRule="auto" w:before="59"/>
        <w:ind w:right="0"/>
        <w:jc w:val="left"/>
      </w:pPr>
      <w:r>
        <w:rPr/>
        <w:t>注：金融资产和金融负债的公允价值确定方法，包括因继续涉入形成的金融资产和金融负债的公允价值确定方法。</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金融资产（不含应收款项）减值测试方法、减值准备计提方法" w:id="159"/>
      <w:bookmarkEnd w:id="159"/>
      <w:r>
        <w:rPr>
          <w:b w:val="0"/>
          <w:bCs w:val="0"/>
        </w:rPr>
      </w: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53" w:firstLine="360"/>
        <w:jc w:val="both"/>
      </w:pPr>
      <w:r>
        <w:rPr>
          <w:spacing w:val="-2"/>
        </w:rPr>
        <w:t>除了以公允价值计量且其变动计入当期损益的金融资产外，本集团在每个资产负债表日对其他金融资产的账面价值进行</w:t>
      </w:r>
      <w:r>
        <w:rPr/>
        <w:t> 检查，有客观证据表明金融资产发生减值的，计提减值准备。</w:t>
      </w:r>
    </w:p>
    <w:p>
      <w:pPr>
        <w:pStyle w:val="BodyText"/>
        <w:spacing w:line="316" w:lineRule="auto" w:before="18"/>
        <w:ind w:right="150" w:firstLine="360"/>
        <w:jc w:val="both"/>
      </w:pPr>
      <w:r>
        <w:rPr>
          <w:spacing w:val="-2"/>
        </w:rPr>
        <w:t>本集团对单项金额重大的金融资产单独进行减值测试；对单项金额不重大的金融资产，单独进行减值测试或包括在具有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360" w:lineRule="auto" w:before="18"/>
        <w:ind w:left="512" w:right="0"/>
        <w:jc w:val="left"/>
      </w:pPr>
      <w:r>
        <w:rPr/>
        <w:t>①</w:t>
      </w:r>
      <w:r>
        <w:rPr>
          <w:spacing w:val="-18"/>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spacing w:after="0" w:line="36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59"/>
        <w:ind w:left="512" w:right="62"/>
        <w:jc w:val="left"/>
      </w:pPr>
      <w:r>
        <w:rPr/>
        <w:t>②</w:t>
      </w:r>
      <w:r>
        <w:rPr>
          <w:spacing w:val="-18"/>
        </w:rPr>
        <w:t> </w:t>
      </w:r>
      <w:r>
        <w:rPr/>
        <w:t>可供出售金融资产减值</w:t>
      </w:r>
      <w:r>
        <w:rPr/>
        <w:t> </w:t>
      </w:r>
      <w:r>
        <w:rPr>
          <w:spacing w:val="-2"/>
        </w:rPr>
        <w:t>可供出售金融资产发生减值时，将原计入资本公积的因公允价值下降形成的累计损失予以转出并计入当期损益，该转出</w:t>
      </w:r>
    </w:p>
    <w:p>
      <w:pPr>
        <w:pStyle w:val="BodyText"/>
        <w:spacing w:line="316" w:lineRule="auto" w:before="18"/>
        <w:ind w:left="512" w:right="62" w:hanging="360"/>
        <w:jc w:val="left"/>
      </w:pP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8"/>
        <w:ind w:right="193"/>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8"/>
        <w:ind w:right="62" w:firstLine="360"/>
        <w:jc w:val="left"/>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line="240" w:lineRule="auto" w:before="3"/>
        <w:rPr>
          <w:rFonts w:ascii="宋体" w:hAnsi="宋体" w:cs="宋体" w:eastAsia="宋体" w:hint="default"/>
          <w:sz w:val="23"/>
          <w:szCs w:val="23"/>
        </w:rPr>
      </w:pPr>
    </w:p>
    <w:p>
      <w:pPr>
        <w:pStyle w:val="Heading3"/>
        <w:spacing w:line="312" w:lineRule="exact"/>
        <w:ind w:right="193"/>
        <w:jc w:val="both"/>
        <w:rPr>
          <w:b w:val="0"/>
          <w:bCs w:val="0"/>
        </w:rPr>
      </w:pPr>
      <w:bookmarkStart w:name="（7）将尚未到期的持有至到期投资重分类为可供出售金融资产的，说明持有意图或能力发" w:id="160"/>
      <w:bookmarkEnd w:id="160"/>
      <w:r>
        <w:rPr>
          <w:b w:val="0"/>
          <w:bCs w:val="0"/>
        </w:rPr>
      </w:r>
      <w:r>
        <w:rPr>
          <w:spacing w:val="-3"/>
        </w:rPr>
        <w:t>（</w:t>
      </w:r>
      <w:r>
        <w:rPr>
          <w:rFonts w:ascii="Times New Roman" w:hAnsi="Times New Roman" w:cs="Times New Roman" w:eastAsia="Times New Roman" w:hint="default"/>
          <w:spacing w:val="-3"/>
        </w:rPr>
        <w:t>7</w:t>
      </w:r>
      <w:r>
        <w:rPr>
          <w:spacing w:val="-3"/>
        </w:rPr>
        <w:t>）将尚未到期的持有至到期投资重分类为可供出售金融资产的，说明持有意图或能力发生</w:t>
      </w:r>
      <w:r>
        <w:rPr>
          <w:w w:val="99"/>
        </w:rPr>
        <w:t> </w:t>
      </w:r>
      <w:r>
        <w:rPr/>
        <w:t>改变的依据</w:t>
      </w:r>
      <w:r>
        <w:rPr>
          <w:b w:val="0"/>
          <w:bCs w:val="0"/>
        </w:rPr>
      </w:r>
    </w:p>
    <w:p>
      <w:pPr>
        <w:spacing w:line="240" w:lineRule="auto" w:before="10"/>
        <w:rPr>
          <w:rFonts w:ascii="宋体" w:hAnsi="宋体" w:cs="宋体" w:eastAsia="宋体" w:hint="default"/>
          <w:b/>
          <w:bCs/>
          <w:sz w:val="20"/>
          <w:szCs w:val="20"/>
        </w:rPr>
      </w:pPr>
    </w:p>
    <w:p>
      <w:pPr>
        <w:pStyle w:val="Heading3"/>
        <w:spacing w:line="240" w:lineRule="auto"/>
        <w:ind w:right="0"/>
        <w:jc w:val="both"/>
        <w:rPr>
          <w:b w:val="0"/>
          <w:bCs w:val="0"/>
        </w:rPr>
      </w:pPr>
      <w:bookmarkStart w:name="10、应收款项坏账准备的确认标准和计提方法" w:id="161"/>
      <w:bookmarkEnd w:id="161"/>
      <w:r>
        <w:rPr>
          <w:b w:val="0"/>
          <w:bCs w:val="0"/>
        </w:rPr>
      </w: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12" w:right="62"/>
        <w:jc w:val="left"/>
      </w:pPr>
      <w:r>
        <w:rPr/>
        <w:t>本集团在资产负债表日对应收款项账面价值进行检查，对存在下列客观证据表明应收款项发生减值的，计提减值准备：</w:t>
      </w:r>
    </w:p>
    <w:p>
      <w:pPr>
        <w:pStyle w:val="BodyText"/>
        <w:spacing w:line="316" w:lineRule="auto" w:before="76"/>
        <w:ind w:right="190"/>
        <w:jc w:val="both"/>
      </w:pPr>
      <w:r>
        <w:rPr/>
        <w:t>①债务人发生严重的财务困难；②债务人违反合同条款（如偿付利息或本金发生违约或逾期等）； ③债务人很可能倒闭或</w:t>
      </w:r>
      <w:r>
        <w:rPr>
          <w:spacing w:val="-85"/>
        </w:rPr>
        <w:t> </w:t>
      </w:r>
      <w:r>
        <w:rPr>
          <w:spacing w:val="-85"/>
        </w:rPr>
      </w:r>
      <w:r>
        <w:rPr/>
        <w:t>进行其他财务重组；</w:t>
      </w:r>
      <w:r>
        <w:rPr>
          <w:spacing w:val="-18"/>
        </w:rPr>
        <w:t> </w:t>
      </w:r>
      <w:r>
        <w:rPr/>
        <w:t>④其他表明应收款项发生减值的客观依据。</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1）单项金额重大的应收款项坏账准备" w:id="162"/>
      <w:bookmarkEnd w:id="162"/>
      <w:r>
        <w:rPr>
          <w:b w:val="0"/>
          <w:bCs w:val="0"/>
        </w:rPr>
      </w: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053"/>
        <w:gridCol w:w="4514"/>
      </w:tblGrid>
      <w:tr>
        <w:trPr>
          <w:trHeight w:val="713"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万元以上的应收款项确认为单 项金额重大的应收款项。</w:t>
            </w:r>
          </w:p>
        </w:tc>
      </w:tr>
      <w:tr>
        <w:trPr>
          <w:trHeight w:val="1651" w:hRule="exact"/>
        </w:trPr>
        <w:tc>
          <w:tcPr>
            <w:tcW w:w="5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独测试未发生减值的金融资产，包括在具有类似信用风险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特征的金融资产组合中进行减值测试。单项测试已确认减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值损失的应收款项，不再包括在具有类似信用风险特征的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应收款项组合中进行减值测试。</w:t>
            </w:r>
          </w:p>
        </w:tc>
      </w:tr>
    </w:tbl>
    <w:p>
      <w:pPr>
        <w:spacing w:line="240" w:lineRule="auto" w:before="1"/>
        <w:rPr>
          <w:rFonts w:ascii="宋体" w:hAnsi="宋体" w:cs="宋体" w:eastAsia="宋体" w:hint="default"/>
          <w:b/>
          <w:bCs/>
          <w:sz w:val="18"/>
          <w:szCs w:val="18"/>
        </w:rPr>
      </w:pPr>
    </w:p>
    <w:p>
      <w:pPr>
        <w:pStyle w:val="Heading3"/>
        <w:spacing w:line="240" w:lineRule="auto" w:before="26"/>
        <w:ind w:right="62"/>
        <w:jc w:val="left"/>
        <w:rPr>
          <w:b w:val="0"/>
          <w:bCs w:val="0"/>
        </w:rPr>
      </w:pPr>
      <w:bookmarkStart w:name="（2）按组合计提坏账准备的应收款项" w:id="163"/>
      <w:bookmarkEnd w:id="163"/>
      <w:r>
        <w:rPr>
          <w:b w:val="0"/>
          <w:bCs w:val="0"/>
        </w:rPr>
      </w: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65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信用风险特征</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本集团对单项金额不重大以及金额重大但单项测试未发生减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pStyle w:val="BodyText"/>
        <w:spacing w:line="357" w:lineRule="auto" w:before="49"/>
        <w:ind w:right="3514"/>
        <w:jc w:val="left"/>
      </w:pPr>
      <w:r>
        <w:rPr/>
        <w:t>注：按具体组合的名称，分别填写确定组合的依据和采用的坏账准备计提方法。 组合中，采用账龄分析法计提坏账准备的</w:t>
      </w:r>
    </w:p>
    <w:p>
      <w:pPr>
        <w:pStyle w:val="BodyText"/>
        <w:spacing w:line="240" w:lineRule="auto" w:before="29"/>
        <w:ind w:right="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9"/>
        <w:gridCol w:w="2976"/>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3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
        </w:tc>
        <w:tc>
          <w:tcPr>
            <w:tcW w:w="3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39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6"/>
        <w:gridCol w:w="2690"/>
        <w:gridCol w:w="2940"/>
      </w:tblGrid>
      <w:tr>
        <w:trPr>
          <w:trHeight w:val="403" w:hRule="exact"/>
        </w:trPr>
        <w:tc>
          <w:tcPr>
            <w:tcW w:w="3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3936" w:type="dxa"/>
            <w:tcBorders>
              <w:top w:val="single" w:sz="4" w:space="0" w:color="000000"/>
              <w:left w:val="single" w:sz="4" w:space="0" w:color="000000"/>
              <w:bottom w:val="single" w:sz="4" w:space="0" w:color="000000"/>
              <w:right w:val="single" w:sz="4" w:space="0" w:color="000000"/>
            </w:tcBorders>
          </w:tcPr>
          <w:p>
            <w:pPr/>
          </w:p>
        </w:tc>
        <w:tc>
          <w:tcPr>
            <w:tcW w:w="2690"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714"/>
        <w:jc w:val="left"/>
      </w:pPr>
      <w:r>
        <w:rPr/>
        <w:t>注：填写具体组合名称。 组合中，采用其他方法计提坏账准备的</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1"/>
        <w:gridCol w:w="5638"/>
      </w:tblGrid>
      <w:tr>
        <w:trPr>
          <w:trHeight w:val="401" w:hRule="exact"/>
        </w:trPr>
        <w:tc>
          <w:tcPr>
            <w:tcW w:w="3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3" w:hRule="exact"/>
        </w:trPr>
        <w:tc>
          <w:tcPr>
            <w:tcW w:w="3931" w:type="dxa"/>
            <w:tcBorders>
              <w:top w:val="single" w:sz="4" w:space="0" w:color="000000"/>
              <w:left w:val="single" w:sz="4" w:space="0" w:color="000000"/>
              <w:bottom w:val="single" w:sz="4" w:space="0" w:color="000000"/>
              <w:right w:val="single" w:sz="4" w:space="0" w:color="000000"/>
            </w:tcBorders>
          </w:tcPr>
          <w:p>
            <w:pPr/>
          </w:p>
        </w:tc>
        <w:tc>
          <w:tcPr>
            <w:tcW w:w="56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注：填写具体组合名称。</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单项金额虽不重大但单项计提坏账准备的应收账款" w:id="164"/>
      <w:bookmarkEnd w:id="164"/>
      <w:r>
        <w:rPr>
          <w:b w:val="0"/>
          <w:bCs w:val="0"/>
        </w:rPr>
      </w: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3"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万元以下且账龄在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w:t>
            </w:r>
          </w:p>
        </w:tc>
      </w:tr>
      <w:tr>
        <w:trPr>
          <w:trHeight w:val="715"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单独进行减值测试，有客观证据表明其发生了减值的，根据其未来现金流量现 值低于其账面价值的差额，确认减值损失，计提坏账准备。</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11、存货" w:id="165"/>
      <w:bookmarkEnd w:id="165"/>
      <w:r>
        <w:rPr>
          <w:b w:val="0"/>
          <w:bCs w:val="0"/>
        </w:rPr>
      </w: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存货的分类" w:id="166"/>
      <w:bookmarkEnd w:id="166"/>
      <w:r>
        <w:rPr>
          <w:b w:val="0"/>
          <w:bCs w:val="0"/>
        </w:rPr>
      </w:r>
      <w:r>
        <w:rPr/>
        <w:t>（</w:t>
      </w:r>
      <w:r>
        <w:rPr>
          <w:rFonts w:ascii="Times New Roman" w:hAnsi="Times New Roman" w:cs="Times New Roman" w:eastAsia="Times New Roman" w:hint="default"/>
        </w:rPr>
        <w:t>1</w:t>
      </w:r>
      <w:r>
        <w:rPr/>
        <w:t>）存货的分类</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存货主要包括原材料、低值易耗品、库存商品等。</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发出存货的计价方法" w:id="167"/>
      <w:bookmarkEnd w:id="167"/>
      <w:r>
        <w:rPr>
          <w:b w:val="0"/>
          <w:bCs w:val="0"/>
        </w:rPr>
      </w:r>
      <w:r>
        <w:rPr/>
        <w:t>（</w:t>
      </w:r>
      <w:r>
        <w:rPr>
          <w:rFonts w:ascii="Times New Roman" w:hAnsi="Times New Roman" w:cs="Times New Roman" w:eastAsia="Times New Roman" w:hint="default"/>
        </w:rPr>
        <w:t>2</w:t>
      </w:r>
      <w:r>
        <w:rPr/>
        <w:t>）发出存货的计价方法</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计价方法：加权平均法</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3）存货可变现净值的确定依据及存货跌价准备的计提方法" w:id="168"/>
      <w:bookmarkEnd w:id="168"/>
      <w:r>
        <w:rPr>
          <w:b w:val="0"/>
          <w:bCs w:val="0"/>
        </w:rPr>
      </w: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11" w:firstLine="360"/>
        <w:jc w:val="both"/>
      </w:pPr>
      <w:r>
        <w:rPr>
          <w:spacing w:val="-2"/>
        </w:rPr>
        <w:t>可变现净值是指在日常活动中，存货的估计售价减去至完工时估计将要发生的成本、估计的销售费用以及相关税费后的</w:t>
      </w:r>
      <w:r>
        <w:rPr/>
        <w:t> 金额。在确定存货的可变现净值时，以取得的确凿证据为基础，同时考虑持有存货的目的以及资产负债表日后事项的影响。</w:t>
      </w:r>
    </w:p>
    <w:p>
      <w:pPr>
        <w:pStyle w:val="BodyText"/>
        <w:spacing w:line="316" w:lineRule="auto" w:before="18"/>
        <w:ind w:right="193" w:firstLine="360"/>
        <w:jc w:val="both"/>
      </w:pPr>
      <w:r>
        <w:rPr>
          <w:spacing w:val="-2"/>
        </w:rPr>
        <w:t>在资产负债表日，存货按照成本与可变现净值孰低计量。当其可变现净值低于成本时，提取存货跌价准备。存货跌价准</w:t>
      </w:r>
      <w:r>
        <w:rPr/>
        <w:t> 备按单个存货项目的成本高于其可变现净值的差额提取。</w:t>
      </w:r>
    </w:p>
    <w:p>
      <w:pPr>
        <w:pStyle w:val="BodyText"/>
        <w:spacing w:line="316" w:lineRule="auto" w:before="18"/>
        <w:ind w:right="19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4）存货的盘存制度" w:id="169"/>
      <w:bookmarkEnd w:id="169"/>
      <w:r>
        <w:rPr>
          <w:b w:val="0"/>
          <w:bCs w:val="0"/>
        </w:rPr>
      </w:r>
      <w:r>
        <w:rPr/>
        <w:t>（</w:t>
      </w:r>
      <w:r>
        <w:rPr>
          <w:rFonts w:ascii="Times New Roman" w:hAnsi="Times New Roman" w:cs="Times New Roman" w:eastAsia="Times New Roman" w:hint="default"/>
        </w:rPr>
        <w:t>4</w:t>
      </w:r>
      <w:r>
        <w:rPr/>
        <w:t>）存货的盘存制度</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both"/>
      </w:pPr>
      <w:r>
        <w:rPr/>
        <w:t>盘存制度：永续盘存制</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5）低值易耗品和包装物的摊销方法" w:id="170"/>
      <w:bookmarkEnd w:id="170"/>
      <w:r>
        <w:rPr>
          <w:b w:val="0"/>
          <w:bCs w:val="0"/>
        </w:rPr>
      </w: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8014"/>
        <w:jc w:val="left"/>
      </w:pPr>
      <w:r>
        <w:rPr/>
        <w:t>低值易耗品 摊销方法：一次摊销法</w:t>
      </w:r>
    </w:p>
    <w:p>
      <w:pPr>
        <w:pStyle w:val="BodyText"/>
        <w:spacing w:line="240" w:lineRule="auto" w:before="29"/>
        <w:ind w:right="0"/>
        <w:jc w:val="both"/>
      </w:pPr>
      <w:r>
        <w:rPr/>
        <w:t>注：</w:t>
      </w:r>
      <w:r>
        <w:rPr>
          <w:spacing w:val="1"/>
        </w:rPr>
        <w:t> </w:t>
      </w:r>
      <w:r>
        <w:rPr/>
        <w:t>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3"/>
        <w:spacing w:line="240" w:lineRule="auto"/>
        <w:ind w:right="0"/>
        <w:jc w:val="both"/>
        <w:rPr>
          <w:b w:val="0"/>
          <w:bCs w:val="0"/>
        </w:rPr>
      </w:pPr>
      <w:bookmarkStart w:name="12、长期股权投资" w:id="171"/>
      <w:bookmarkEnd w:id="171"/>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1）投资成本的确定" w:id="172"/>
      <w:bookmarkEnd w:id="172"/>
      <w:r>
        <w:rPr>
          <w:b w:val="0"/>
          <w:bCs w:val="0"/>
        </w:rPr>
      </w:r>
      <w:r>
        <w:rPr/>
        <w:t>（</w:t>
      </w:r>
      <w:r>
        <w:rPr>
          <w:rFonts w:ascii="Times New Roman" w:hAnsi="Times New Roman" w:cs="Times New Roman" w:eastAsia="Times New Roman" w:hint="default"/>
        </w:rPr>
        <w:t>1</w:t>
      </w:r>
      <w:r>
        <w:rPr/>
        <w:t>）投资成本的确定</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对于企业合并形成的长期股权投资，如为同一控制下的企业合并取得的长期股权投资，在合并日按照取得被合并方股东</w:t>
      </w:r>
      <w:r>
        <w:rPr/>
        <w:t> 权益账面价值的份额作为初始投资成本；通过非同一控制下的企业合并取得的长期股权投资，购买日在</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314" w:lineRule="auto"/>
        <w:ind w:right="191"/>
        <w:jc w:val="both"/>
      </w:pPr>
      <w:r>
        <w:rPr/>
        <w:t>或之前的，按照合并成本作为长期股权投资的初始投资成本；购买日在</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日或之后的，企业合并成本包括购买 </w:t>
      </w:r>
      <w:r>
        <w:rPr>
          <w:spacing w:val="-2"/>
        </w:rPr>
        <w:t>方付出的资产、发生或承担的负债、发行的权益性证券的公允价值之和，购买方为企业合并发生的审计、法律服务、评估咨</w:t>
      </w:r>
      <w:r>
        <w:rPr>
          <w:spacing w:val="-67"/>
        </w:rPr>
        <w:t> </w:t>
      </w:r>
      <w:r>
        <w:rPr>
          <w:spacing w:val="-67"/>
        </w:rPr>
      </w:r>
      <w:r>
        <w:rPr>
          <w:spacing w:val="-2"/>
        </w:rPr>
        <w:t>询等中介费用以及其他相关管理费用，应当于发生时计入当期损益，购买方作为合并对价发行的权益性证券或债务性证券的</w:t>
      </w:r>
      <w:r>
        <w:rPr>
          <w:spacing w:val="-64"/>
        </w:rPr>
        <w:t> </w:t>
      </w:r>
      <w:r>
        <w:rPr>
          <w:spacing w:val="-64"/>
        </w:rPr>
      </w:r>
      <w:r>
        <w:rPr>
          <w:spacing w:val="-2"/>
        </w:rPr>
        <w:t>交易费用，应当计入权益性证券或债务性证券的初始确认金额。除企业合并形成的长期股权投资外的其他股权投资，按成本</w:t>
      </w:r>
      <w:r>
        <w:rPr>
          <w:spacing w:val="-63"/>
        </w:rPr>
        <w:t> </w:t>
      </w:r>
      <w:r>
        <w:rPr>
          <w:spacing w:val="-63"/>
        </w:rPr>
      </w:r>
      <w:r>
        <w:rPr>
          <w:spacing w:val="-2"/>
        </w:rPr>
        <w:t>进行初始计量，该成本视长期股权投资取得方式的不同，分别按照本集团实际支付的现金购买价款、本集团发行的权益性证</w:t>
      </w:r>
      <w:r>
        <w:rPr>
          <w:spacing w:val="-63"/>
        </w:rPr>
        <w:t> </w:t>
      </w:r>
      <w:r>
        <w:rPr>
          <w:spacing w:val="-63"/>
        </w:rPr>
      </w:r>
      <w:r>
        <w:rPr>
          <w:spacing w:val="-2"/>
        </w:rPr>
        <w:t>券的公允价值、投资合同或协议约定的价值、非货币性资产交换交易中换出资产的公允价值或原账面价值、该项长期股权投</w:t>
      </w:r>
      <w:r>
        <w:rPr>
          <w:spacing w:val="-63"/>
        </w:rPr>
        <w:t> </w:t>
      </w:r>
      <w:r>
        <w:rPr>
          <w:spacing w:val="-63"/>
        </w:rPr>
      </w:r>
      <w:r>
        <w:rPr/>
        <w:t>资自身的公允价值等方式确定。与取得长期股权投资直接相关的费用、税金及其他必要支出也计入投资成本。</w:t>
      </w:r>
    </w:p>
    <w:p>
      <w:pPr>
        <w:pStyle w:val="Heading3"/>
        <w:spacing w:line="240" w:lineRule="auto" w:before="11"/>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pStyle w:val="BodyText"/>
        <w:spacing w:line="316" w:lineRule="auto" w:before="69"/>
        <w:ind w:right="190" w:firstLine="360"/>
        <w:jc w:val="both"/>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本法核算；对被投资单位具有共同控制或重大影响的长期股权投资，采用权益法核算；对被投资单位不具有控制、共同控制</w:t>
      </w:r>
      <w:r>
        <w:rPr>
          <w:spacing w:val="-64"/>
        </w:rPr>
        <w:t> </w:t>
      </w:r>
      <w:r>
        <w:rPr>
          <w:spacing w:val="-64"/>
        </w:rPr>
      </w:r>
      <w:r>
        <w:rPr>
          <w:spacing w:val="-2"/>
        </w:rPr>
        <w:t>或重大影响并且公允价值能够可靠计量的长期股权投资，作为可供出售金融资产或以公允价值计量且其变动计入当期损益的</w:t>
      </w:r>
      <w:r>
        <w:rPr>
          <w:spacing w:val="-64"/>
        </w:rPr>
        <w:t> </w:t>
      </w:r>
      <w:r>
        <w:rPr>
          <w:spacing w:val="-64"/>
        </w:rPr>
      </w:r>
      <w:r>
        <w:rPr/>
        <w:t>金融资产核算。此外，公司财务报表采用成本法核算能够对被投资单位实施控制的长期股权投资。①</w:t>
      </w:r>
      <w:r>
        <w:rPr>
          <w:spacing w:val="1"/>
        </w:rPr>
        <w:t> </w:t>
      </w:r>
      <w:r>
        <w:rPr/>
        <w:t>成本法核算的长期股</w:t>
      </w:r>
      <w:r>
        <w:rPr/>
        <w:t> </w:t>
      </w:r>
      <w:r>
        <w:rPr>
          <w:spacing w:val="-2"/>
        </w:rPr>
        <w:t>权投资采用成本法核算时，长期股权投资按初始投资成本计价，除取得投资时实际支付的价款或者对价中包含的已宣告但尚</w:t>
      </w:r>
      <w:r>
        <w:rPr>
          <w:spacing w:val="-64"/>
        </w:rPr>
        <w:t> </w:t>
      </w:r>
      <w:r>
        <w:rPr>
          <w:spacing w:val="-64"/>
        </w:rPr>
      </w:r>
      <w:r>
        <w:rPr/>
        <w:t>未发放的现金股利或者利润外，当期投资收益按照享有被投资单位宣告发放的现金股利或利润确认。②</w:t>
      </w:r>
      <w:r>
        <w:rPr>
          <w:spacing w:val="1"/>
        </w:rPr>
        <w:t> </w:t>
      </w:r>
      <w:r>
        <w:rPr/>
        <w:t>权益法核算的长期</w:t>
      </w:r>
      <w:r>
        <w:rPr/>
        <w:t> </w:t>
      </w:r>
      <w:r>
        <w:rPr>
          <w:spacing w:val="-2"/>
        </w:rPr>
        <w:t>股权投资采用权益法核算时，长期股权投资的初始投资成本大于投资时应享有被投资单位可辨认净资产公允价值份额的，不</w:t>
      </w:r>
      <w:r>
        <w:rPr>
          <w:spacing w:val="-64"/>
        </w:rPr>
        <w:t> </w:t>
      </w:r>
      <w:r>
        <w:rPr>
          <w:spacing w:val="-64"/>
        </w:rPr>
      </w:r>
      <w:r>
        <w:rPr>
          <w:spacing w:val="-2"/>
        </w:rPr>
        <w:t>调整长期股权投资的初始投资成本；初始投资成本小于投资时应享有被投资单位可辨认净资产公允价值份额的，其差额计入</w:t>
      </w:r>
      <w:r>
        <w:rPr>
          <w:spacing w:val="-64"/>
        </w:rPr>
        <w:t> </w:t>
      </w:r>
      <w:r>
        <w:rPr>
          <w:spacing w:val="-64"/>
        </w:rPr>
      </w:r>
      <w:r>
        <w:rPr>
          <w:spacing w:val="-2"/>
        </w:rPr>
        <w:t>当期损益，同时调整长期股权投资的成本。采用权益法核算时，当期投资损益为应享有或应分担的被投资单位当年实现的净</w:t>
      </w:r>
      <w:r>
        <w:rPr>
          <w:spacing w:val="-63"/>
        </w:rPr>
        <w:t> </w:t>
      </w:r>
      <w:r>
        <w:rPr>
          <w:spacing w:val="-63"/>
        </w:rPr>
      </w:r>
      <w:r>
        <w:rPr>
          <w:spacing w:val="-2"/>
        </w:rPr>
        <w:t>损益的份额。在确认应享有被投资单位净损益的份额时，以取得投资时被投资单位各项可辨认资产等的公允价值为基础，并</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4"/>
        <w:jc w:val="left"/>
      </w:pPr>
      <w:r>
        <w:rPr>
          <w:spacing w:val="-2"/>
        </w:rPr>
        <w:t>按照本集团的会计政策及会计期间，对被投资单位的净利润进行调整后确认。对于本集团与联营企业及合营之间发生的未实</w:t>
      </w:r>
      <w:r>
        <w:rPr>
          <w:spacing w:val="-64"/>
        </w:rPr>
        <w:t> </w:t>
      </w:r>
      <w:r>
        <w:rPr>
          <w:spacing w:val="-64"/>
        </w:rPr>
      </w:r>
      <w:r>
        <w:rPr>
          <w:spacing w:val="-2"/>
        </w:rPr>
        <w:t>现内部交易损益，按照持股比例计算属于本集团的部分予以抵销，在此基础上确认投资损益。但本集团与被投资单位发生的</w:t>
      </w:r>
      <w:r>
        <w:rPr>
          <w:spacing w:val="-63"/>
        </w:rPr>
        <w:t> </w:t>
      </w:r>
      <w:r>
        <w:rPr>
          <w:spacing w:val="-63"/>
        </w:rPr>
      </w:r>
      <w:r>
        <w:rPr/>
        <w:t>未实现内部交易损失，按照《企业会计准则第</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资产减值》等规定属于所转让资产减值损失的，不予以抵销。对被投 </w:t>
      </w:r>
      <w:r>
        <w:rPr>
          <w:spacing w:val="-2"/>
        </w:rPr>
        <w:t>资单位的其他综合收益，相应调整长期股权投资的账面价值确认为其他综合收益并计入资本公积。在确认应分担被投资单位</w:t>
      </w:r>
      <w:r>
        <w:rPr>
          <w:spacing w:val="-64"/>
        </w:rPr>
        <w:t> </w:t>
      </w:r>
      <w:r>
        <w:rPr>
          <w:spacing w:val="-64"/>
        </w:rPr>
      </w:r>
      <w:r>
        <w:rPr>
          <w:spacing w:val="-2"/>
        </w:rPr>
        <w:t>发生的净亏损时，以长期股权投资的账面价值和其他实质上构成对被投资单位净投资的长期权益减记至零为限。此外，如本</w:t>
      </w:r>
      <w:r>
        <w:rPr>
          <w:spacing w:val="-65"/>
        </w:rPr>
        <w:t> </w:t>
      </w:r>
      <w:r>
        <w:rPr>
          <w:spacing w:val="-65"/>
        </w:rPr>
      </w:r>
      <w:r>
        <w:rPr>
          <w:spacing w:val="-2"/>
        </w:rPr>
        <w:t>集团对被投资单位负有承担额外损失的义务，则按预计承担的义务确认预计负债，计入当期投资损失。被投资单位以后期间</w:t>
      </w:r>
      <w:r>
        <w:rPr>
          <w:spacing w:val="-63"/>
        </w:rPr>
        <w:t> </w:t>
      </w:r>
      <w:r>
        <w:rPr>
          <w:spacing w:val="-63"/>
        </w:rPr>
      </w:r>
      <w:r>
        <w:rPr>
          <w:spacing w:val="-2"/>
        </w:rPr>
        <w:t>实现净利润的，本集团在收益分享额弥补未确认的亏损分担额后，恢复确认收益分享额。对于本集团首次执行新会计准则之</w:t>
      </w:r>
      <w:r>
        <w:rPr>
          <w:spacing w:val="-65"/>
        </w:rPr>
        <w:t> </w:t>
      </w:r>
      <w:r>
        <w:rPr>
          <w:spacing w:val="-65"/>
        </w:rPr>
      </w:r>
      <w:r>
        <w:rPr>
          <w:spacing w:val="-2"/>
        </w:rPr>
        <w:t>前已经持有的对联营企业和合营企业的长期股权投资，如存在与该投资相关的股权投资借方差额，按原剩余期限直线摊销的</w:t>
      </w:r>
      <w:r>
        <w:rPr>
          <w:spacing w:val="-64"/>
        </w:rPr>
        <w:t> </w:t>
      </w:r>
      <w:r>
        <w:rPr>
          <w:spacing w:val="-64"/>
        </w:rPr>
      </w:r>
      <w:r>
        <w:rPr/>
        <w:t>金额计入当期损益。③</w:t>
      </w:r>
      <w:r>
        <w:rPr>
          <w:spacing w:val="1"/>
        </w:rPr>
        <w:t> </w:t>
      </w:r>
      <w:r>
        <w:rPr/>
        <w:t>收购少数股权在编制合并财务报表时，因购买少数股权新增的长期股权投资与按照新增持股比例计</w:t>
      </w:r>
      <w:r>
        <w:rPr/>
        <w:t> </w:t>
      </w:r>
      <w:r>
        <w:rPr>
          <w:spacing w:val="-2"/>
        </w:rPr>
        <w:t>算应享有子公司自购买日（或合并日）开始持续计算的净资产份额之间的差额，调整资本公积，资本公积不足冲减的，调整</w:t>
      </w:r>
      <w:r>
        <w:rPr>
          <w:spacing w:val="-67"/>
        </w:rPr>
        <w:t> </w:t>
      </w:r>
      <w:r>
        <w:rPr>
          <w:spacing w:val="-67"/>
        </w:rPr>
      </w:r>
      <w:r>
        <w:rPr/>
        <w:t>留存收益。④</w:t>
      </w:r>
      <w:r>
        <w:rPr>
          <w:spacing w:val="1"/>
        </w:rPr>
        <w:t> </w:t>
      </w:r>
      <w:r>
        <w:rPr/>
        <w:t>处置长期股权投资在合并财务报表中，母公司在不丧失控制权的情况下部分处置对子公司的长期股权投资，</w:t>
      </w:r>
      <w:r>
        <w:rPr/>
        <w:t> </w:t>
      </w:r>
      <w:r>
        <w:rPr>
          <w:spacing w:val="-2"/>
        </w:rPr>
        <w:t>处置价款与处置长期股权投资相对应享有子公司净资产的差额计入所有者权益；母公司部分处置对子公司的长期股权投资导</w:t>
      </w:r>
      <w:r>
        <w:rPr>
          <w:spacing w:val="-64"/>
        </w:rPr>
        <w:t> </w:t>
      </w:r>
      <w:r>
        <w:rPr>
          <w:spacing w:val="-64"/>
        </w:rPr>
      </w:r>
      <w:r>
        <w:rPr>
          <w:spacing w:val="-2"/>
        </w:rPr>
        <w:t>致丧失对子公司控制权的，按本附注四、</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合并财务报表编制的方法</w:t>
      </w:r>
      <w:r>
        <w:rPr>
          <w:rFonts w:ascii="Times New Roman" w:hAnsi="Times New Roman" w:cs="Times New Roman" w:eastAsia="Times New Roman" w:hint="default"/>
          <w:spacing w:val="-2"/>
        </w:rPr>
        <w:t>”</w:t>
      </w:r>
      <w:r>
        <w:rPr>
          <w:spacing w:val="-2"/>
        </w:rPr>
        <w:t>中所述的相关会计政策处理。其他情形下的长</w:t>
      </w:r>
      <w:r>
        <w:rPr>
          <w:spacing w:val="-70"/>
        </w:rPr>
        <w:t> </w:t>
      </w:r>
      <w:r>
        <w:rPr/>
        <w:t>期股权投资处置，对于处置的股权，其账面价值与实际取得价款的差额，计入当期损益；采用权益法核算的长期股权投资， </w:t>
      </w:r>
      <w:r>
        <w:rPr>
          <w:spacing w:val="-2"/>
        </w:rPr>
        <w:t>在处置时将原计入股东权益的其他综合收益部分按相应的比例转入当期损益。对于剩余股权，按其账面价值确认为长期股权</w:t>
      </w:r>
      <w:r>
        <w:rPr>
          <w:spacing w:val="-64"/>
        </w:rPr>
        <w:t> </w:t>
      </w:r>
      <w:r>
        <w:rPr>
          <w:spacing w:val="-64"/>
        </w:rPr>
      </w:r>
      <w:r>
        <w:rPr>
          <w:spacing w:val="-2"/>
        </w:rPr>
        <w:t>投资或其他相关金融资产，并按前述长期股权投资或金融资产的会计政策进行后续计量。涉及对剩余股权由成本法核算转为</w:t>
      </w:r>
      <w:r>
        <w:rPr>
          <w:spacing w:val="-64"/>
        </w:rPr>
        <w:t> </w:t>
      </w:r>
      <w:r>
        <w:rPr>
          <w:spacing w:val="-64"/>
        </w:rPr>
      </w:r>
      <w:r>
        <w:rPr/>
        <w:t>权益法核算的，按相关规定进行追溯调整。</w:t>
      </w:r>
    </w:p>
    <w:p>
      <w:pPr>
        <w:spacing w:line="240" w:lineRule="auto" w:before="12"/>
        <w:rPr>
          <w:rFonts w:ascii="宋体" w:hAnsi="宋体" w:cs="宋体" w:eastAsia="宋体" w:hint="default"/>
          <w:sz w:val="20"/>
          <w:szCs w:val="20"/>
        </w:rPr>
      </w:pPr>
    </w:p>
    <w:p>
      <w:pPr>
        <w:pStyle w:val="Heading3"/>
        <w:spacing w:line="240" w:lineRule="auto"/>
        <w:ind w:right="62"/>
        <w:jc w:val="left"/>
        <w:rPr>
          <w:b w:val="0"/>
          <w:bCs w:val="0"/>
        </w:rPr>
      </w:pPr>
      <w:bookmarkStart w:name="（3）确定对被投资单位具有共同控制、重大影响的依据" w:id="173"/>
      <w:bookmarkEnd w:id="173"/>
      <w:r>
        <w:rPr>
          <w:b w:val="0"/>
          <w:bCs w:val="0"/>
        </w:rPr>
      </w: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94" w:firstLine="360"/>
        <w:jc w:val="left"/>
      </w:pPr>
      <w:r>
        <w:rPr>
          <w:spacing w:val="-2"/>
        </w:rPr>
        <w:t>控制是指有权决定一个企业的财务和经营政策，并能据以从该企业的经营活动中获取利益。共同控制是指按照合同约定</w:t>
      </w:r>
      <w:r>
        <w:rPr/>
        <w:t>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定。在确定能否对被投资单位实施控制或施加重大影响时，已考虑投资企业和其他持有的被投资单位当期可转换公司债券、 当期可执行认股权证等潜在表决权因素。</w:t>
      </w:r>
    </w:p>
    <w:p>
      <w:pPr>
        <w:spacing w:line="240" w:lineRule="auto" w:before="9"/>
        <w:rPr>
          <w:rFonts w:ascii="宋体" w:hAnsi="宋体" w:cs="宋体" w:eastAsia="宋体" w:hint="default"/>
          <w:sz w:val="20"/>
          <w:szCs w:val="20"/>
        </w:rPr>
      </w:pPr>
    </w:p>
    <w:p>
      <w:pPr>
        <w:pStyle w:val="Heading3"/>
        <w:spacing w:line="240" w:lineRule="auto"/>
        <w:ind w:right="62"/>
        <w:jc w:val="left"/>
        <w:rPr>
          <w:b w:val="0"/>
          <w:bCs w:val="0"/>
        </w:rPr>
      </w:pPr>
      <w:bookmarkStart w:name="（4）减值测试方法及减值准备计提方法" w:id="174"/>
      <w:bookmarkEnd w:id="174"/>
      <w:r>
        <w:rPr>
          <w:b w:val="0"/>
          <w:bCs w:val="0"/>
        </w:rPr>
      </w: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本集团在每一个资产负债表日检查长期股权投资是否存在可能发生减值的迹象。如果该资产存在减值迹象，则估计其可</w:t>
      </w:r>
      <w:r>
        <w:rPr/>
        <w:t> 收回金额。如果资产的可收回金额低于其账面价值，按其差额计提资产减值准备，并计入当期损益。</w:t>
      </w:r>
    </w:p>
    <w:p>
      <w:pPr>
        <w:pStyle w:val="BodyText"/>
        <w:spacing w:line="284" w:lineRule="exact"/>
        <w:ind w:left="512" w:right="62"/>
        <w:jc w:val="left"/>
        <w:rPr>
          <w:sz w:val="24"/>
          <w:szCs w:val="24"/>
        </w:rPr>
      </w:pPr>
      <w:r>
        <w:rPr/>
        <w:t>长期股权投资的减值损失一经确认，在以后会计期间不予转回</w:t>
      </w:r>
      <w:r>
        <w:rPr>
          <w:sz w:val="24"/>
          <w:szCs w:val="24"/>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3"/>
        <w:spacing w:line="240" w:lineRule="auto"/>
        <w:ind w:right="62"/>
        <w:jc w:val="left"/>
        <w:rPr>
          <w:b w:val="0"/>
          <w:bCs w:val="0"/>
        </w:rPr>
      </w:pPr>
      <w:bookmarkStart w:name="13、投资性房地产" w:id="175"/>
      <w:bookmarkEnd w:id="175"/>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316" w:lineRule="auto" w:before="18"/>
        <w:ind w:right="62" w:firstLine="360"/>
        <w:jc w:val="left"/>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16" w:lineRule="auto" w:before="18"/>
        <w:ind w:right="62" w:firstLine="360"/>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pStyle w:val="BodyText"/>
        <w:spacing w:line="240" w:lineRule="auto" w:before="136"/>
        <w:ind w:right="62"/>
        <w:jc w:val="left"/>
      </w:pPr>
      <w:r>
        <w:rPr/>
        <w:t>注：</w:t>
      </w:r>
      <w:r>
        <w:rPr>
          <w:rFonts w:ascii="Times New Roman" w:hAnsi="Times New Roman" w:cs="Times New Roman" w:eastAsia="Times New Roman" w:hint="default"/>
        </w:rPr>
        <w:t>1</w:t>
      </w:r>
      <w:r>
        <w:rPr/>
        <w:t>、采用成本模式的，披露投资性房地产的折旧或摊销方法以及减值准备计提依据；</w:t>
      </w:r>
    </w:p>
    <w:p>
      <w:pPr>
        <w:pStyle w:val="BodyText"/>
        <w:spacing w:line="240" w:lineRule="auto" w:before="101"/>
        <w:ind w:left="512" w:right="62"/>
        <w:jc w:val="left"/>
      </w:pPr>
      <w:r>
        <w:rPr>
          <w:rFonts w:ascii="Times New Roman" w:hAnsi="Times New Roman" w:cs="Times New Roman" w:eastAsia="Times New Roman" w:hint="default"/>
        </w:rPr>
        <w:t>2</w:t>
      </w:r>
      <w:r>
        <w:rPr/>
        <w:t>、采用公允价值模式的，应披露该项会计政策选择的依据，包括认定投资性房地产所在地有活跃的房地产交易市场的</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62"/>
        <w:jc w:val="left"/>
      </w:pPr>
      <w:r>
        <w:rPr>
          <w:spacing w:val="-2"/>
        </w:rPr>
        <w:t>依据；公司能够从房地产交易市场取得同类或类似房地产的市场价格及其他相关信息，从而对投资性房地产的公允价值进行</w:t>
      </w:r>
      <w:r>
        <w:rPr>
          <w:spacing w:val="-64"/>
        </w:rPr>
        <w:t> </w:t>
      </w:r>
      <w:r>
        <w:rPr>
          <w:spacing w:val="-64"/>
        </w:rPr>
      </w:r>
      <w:r>
        <w:rPr/>
        <w:t>估计的依据；同时说明对投资性房地产的公允价值进行估计时涉及的关键假设和主要不确定因素。</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14、固定资产" w:id="176"/>
      <w:bookmarkEnd w:id="176"/>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固定资产确认条件" w:id="177"/>
      <w:bookmarkEnd w:id="177"/>
      <w:r>
        <w:rPr>
          <w:b w:val="0"/>
          <w:bCs w:val="0"/>
        </w:rPr>
      </w:r>
      <w:r>
        <w:rPr/>
        <w:t>（</w:t>
      </w:r>
      <w:r>
        <w:rPr>
          <w:rFonts w:ascii="Times New Roman" w:hAnsi="Times New Roman" w:cs="Times New Roman" w:eastAsia="Times New Roman" w:hint="default"/>
        </w:rPr>
        <w:t>1</w:t>
      </w:r>
      <w:r>
        <w:rPr/>
        <w:t>）固定资产确认条件</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固定资产是指为生产商品、提供劳务、出租或经营管理而持有的，使用寿命超过一个会计年度的有形资产。</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2）融资租入固定资产的认定依据、计价方法" w:id="178"/>
      <w:bookmarkEnd w:id="178"/>
      <w:r>
        <w:rPr>
          <w:b w:val="0"/>
          <w:bCs w:val="0"/>
        </w:rPr>
      </w: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9"/>
        <w:rPr>
          <w:rFonts w:ascii="宋体" w:hAnsi="宋体" w:cs="宋体" w:eastAsia="宋体" w:hint="default"/>
          <w:sz w:val="20"/>
          <w:szCs w:val="20"/>
        </w:rPr>
      </w:pPr>
    </w:p>
    <w:p>
      <w:pPr>
        <w:pStyle w:val="Heading3"/>
        <w:spacing w:line="240" w:lineRule="auto"/>
        <w:ind w:right="62"/>
        <w:jc w:val="left"/>
        <w:rPr>
          <w:b w:val="0"/>
          <w:bCs w:val="0"/>
        </w:rPr>
      </w:pPr>
      <w:bookmarkStart w:name="（3）各类固定资产的折旧方法" w:id="179"/>
      <w:bookmarkEnd w:id="179"/>
      <w:r>
        <w:rPr>
          <w:b w:val="0"/>
          <w:bCs w:val="0"/>
        </w:rPr>
      </w: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固定资产按成本并考虑预计弃置费用因素的影响进行初始计量。固定资产从达到预定可使用状态的次月起，采用年限平</w:t>
      </w:r>
      <w:r>
        <w:rPr/>
        <w:t> 均法在使用寿命内计提折旧。各类固定资产的使用寿命、预计净残值和年折旧率如下：</w:t>
      </w:r>
    </w:p>
    <w:p>
      <w:pPr>
        <w:spacing w:line="240" w:lineRule="auto" w:before="9"/>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6"/>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116"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4）固定资产的减值测试方法、减值准备计提方法" w:id="180"/>
      <w:bookmarkEnd w:id="180"/>
      <w:r>
        <w:rPr>
          <w:b w:val="0"/>
          <w:bCs w:val="0"/>
        </w:rPr>
      </w: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left="512" w:right="62"/>
        <w:jc w:val="left"/>
      </w:pPr>
      <w:r>
        <w:rPr/>
        <w:t>本集团于资产负债表日判断是否存在减值迹象。如存在减值迹象的，则估计其可收回金额，进行减值测试。 </w:t>
      </w:r>
      <w:r>
        <w:rPr>
          <w:spacing w:val="-2"/>
        </w:rPr>
        <w:t>减值测试结果表明资产的可收回金额低于其账面价值的，按其差额计提减值准备并计入减值损失。可收回金额为资产的</w:t>
      </w:r>
    </w:p>
    <w:p>
      <w:pPr>
        <w:pStyle w:val="BodyText"/>
        <w:spacing w:line="316" w:lineRule="auto" w:before="18"/>
        <w:ind w:right="62"/>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2"/>
        <w:rPr>
          <w:rFonts w:ascii="宋体" w:hAnsi="宋体" w:cs="宋体" w:eastAsia="宋体" w:hint="default"/>
          <w:sz w:val="20"/>
          <w:szCs w:val="20"/>
        </w:rPr>
      </w:pPr>
    </w:p>
    <w:p>
      <w:pPr>
        <w:pStyle w:val="Heading3"/>
        <w:spacing w:line="240" w:lineRule="auto"/>
        <w:ind w:right="62"/>
        <w:jc w:val="left"/>
        <w:rPr>
          <w:b w:val="0"/>
          <w:bCs w:val="0"/>
        </w:rPr>
      </w:pPr>
      <w:bookmarkStart w:name="（5）其他说明" w:id="181"/>
      <w:bookmarkEnd w:id="181"/>
      <w:r>
        <w:rPr>
          <w:b w:val="0"/>
          <w:bCs w:val="0"/>
        </w:rPr>
      </w:r>
      <w:r>
        <w:rPr/>
        <w:t>（</w:t>
      </w:r>
      <w:r>
        <w:rPr>
          <w:rFonts w:ascii="Times New Roman" w:hAnsi="Times New Roman" w:cs="Times New Roman" w:eastAsia="Times New Roman" w:hint="default"/>
        </w:rPr>
        <w:t>5</w:t>
      </w:r>
      <w:r>
        <w:rPr/>
        <w:t>）其他说明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12" w:right="62"/>
        <w:jc w:val="left"/>
      </w:pPr>
      <w:r>
        <w:rPr/>
        <w:t>与固定资产有关的后续支出，如果与该固定资产有关的经济利益很可能流入且其成本能可靠地计量，则计入固定资产成</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left="512" w:right="62" w:hanging="360"/>
        <w:jc w:val="left"/>
      </w:pPr>
      <w:r>
        <w:rPr/>
        <w:t>本，并终止确认被替换部分的账面价值。除此以外的其他后续支出，在发生时计入当期损益。 固定资产出售、转让、报废或毁损的处置收入扣除其账面价值和相关税费后的差额计入当期损益。 </w:t>
      </w:r>
      <w:r>
        <w:rPr>
          <w:spacing w:val="-4"/>
        </w:rPr>
        <w:t>本集团至少于年度终了对固定资产的使用寿命、预计净残值和折旧方法进行复核，如发生改变则作为会计估计变更处理。</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62"/>
        <w:jc w:val="left"/>
        <w:rPr>
          <w:b w:val="0"/>
          <w:bCs w:val="0"/>
        </w:rPr>
      </w:pPr>
      <w:bookmarkStart w:name="15、在建工程" w:id="182"/>
      <w:bookmarkEnd w:id="182"/>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在建工程的类别" w:id="183"/>
      <w:bookmarkEnd w:id="183"/>
      <w:r>
        <w:rPr>
          <w:b w:val="0"/>
          <w:bCs w:val="0"/>
        </w:rPr>
      </w:r>
      <w:r>
        <w:rPr/>
        <w:t>（</w:t>
      </w:r>
      <w:r>
        <w:rPr>
          <w:rFonts w:ascii="Times New Roman" w:hAnsi="Times New Roman" w:cs="Times New Roman" w:eastAsia="Times New Roman" w:hint="default"/>
        </w:rPr>
        <w:t>1</w:t>
      </w:r>
      <w:r>
        <w:rPr/>
        <w:t>）在建工程的类别</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在建工程成本按实际工程支出确定，包括在建期间发生的各项工程支出以及其他相关费用等。</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2）在建工程结转为固定资产的标准和时点" w:id="184"/>
      <w:bookmarkEnd w:id="184"/>
      <w:r>
        <w:rPr>
          <w:b w:val="0"/>
          <w:bCs w:val="0"/>
        </w:rPr>
      </w: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r>
        <w:rPr/>
        <w:t>在建工程在达到预定可使用状态后结转为固定资产。</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3）在建工程的减值测试方法、减值准备计提方法" w:id="185"/>
      <w:bookmarkEnd w:id="185"/>
      <w:r>
        <w:rPr>
          <w:b w:val="0"/>
          <w:bCs w:val="0"/>
        </w:rPr>
      </w: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left="512" w:right="62"/>
        <w:jc w:val="left"/>
      </w:pPr>
      <w:r>
        <w:rPr/>
        <w:t>本集团于资产负债表日判断是否存在减值迹象。如存在减值迹象的，则估计其可收回金额，进行减值测试。 </w:t>
      </w:r>
      <w:r>
        <w:rPr>
          <w:spacing w:val="-2"/>
        </w:rPr>
        <w:t>减值测试结果表明资产的可收回金额低于其账面价值的，按其差额计提减值准备并计入减值损失。可收回金额为资产的</w:t>
      </w:r>
    </w:p>
    <w:p>
      <w:pPr>
        <w:pStyle w:val="BodyText"/>
        <w:spacing w:line="316" w:lineRule="auto" w:before="18"/>
        <w:ind w:right="62"/>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2"/>
        <w:rPr>
          <w:rFonts w:ascii="宋体" w:hAnsi="宋体" w:cs="宋体" w:eastAsia="宋体" w:hint="default"/>
          <w:sz w:val="20"/>
          <w:szCs w:val="20"/>
        </w:rPr>
      </w:pPr>
    </w:p>
    <w:p>
      <w:pPr>
        <w:pStyle w:val="Heading3"/>
        <w:spacing w:line="240" w:lineRule="auto"/>
        <w:ind w:right="62"/>
        <w:jc w:val="left"/>
        <w:rPr>
          <w:b w:val="0"/>
          <w:bCs w:val="0"/>
        </w:rPr>
      </w:pPr>
      <w:bookmarkStart w:name="16、借款费用" w:id="186"/>
      <w:bookmarkEnd w:id="186"/>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借款费用资本化的确认原则" w:id="187"/>
      <w:bookmarkEnd w:id="187"/>
      <w:r>
        <w:rPr>
          <w:b w:val="0"/>
          <w:bCs w:val="0"/>
        </w:rPr>
      </w: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t>所必要的购建或生产活动已经开始时，开始资本化。</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2）借款费用资本化期间" w:id="188"/>
      <w:bookmarkEnd w:id="188"/>
      <w:r>
        <w:rPr>
          <w:b w:val="0"/>
          <w:bCs w:val="0"/>
        </w:rPr>
      </w:r>
      <w:r>
        <w:rPr/>
        <w:t>（</w:t>
      </w:r>
      <w:r>
        <w:rPr>
          <w:rFonts w:ascii="Times New Roman" w:hAnsi="Times New Roman" w:cs="Times New Roman" w:eastAsia="Times New Roman" w:hint="default"/>
        </w:rPr>
        <w:t>2</w:t>
      </w:r>
      <w:r>
        <w:rPr/>
        <w:t>）借款费用资本化期间</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专门借款当期实际发生的利息费用，减去尚未动用的借款资金存入银行取得的利息收入或进行暂时性投资取得的投资收</w:t>
      </w:r>
      <w:r>
        <w:rPr/>
        <w:t> 益后的金额予以资本化。</w:t>
      </w:r>
    </w:p>
    <w:p>
      <w:pPr>
        <w:pStyle w:val="BodyText"/>
        <w:spacing w:line="316" w:lineRule="auto" w:before="18"/>
        <w:ind w:left="512" w:right="6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40" w:lineRule="auto" w:before="18"/>
        <w:ind w:right="62"/>
        <w:jc w:val="left"/>
      </w:pPr>
      <w:r>
        <w:rPr/>
        <w:t>性房地产和存货等资产。</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62"/>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95" w:firstLine="360"/>
        <w:jc w:val="both"/>
      </w:pPr>
      <w:bookmarkStart w:name="（3）暂停资本化期间" w:id="189"/>
      <w:bookmarkEnd w:id="189"/>
      <w:r>
        <w:rPr/>
      </w: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right="62"/>
        <w:jc w:val="left"/>
        <w:rPr>
          <w:b w:val="0"/>
          <w:bCs w:val="0"/>
        </w:rPr>
      </w:pPr>
      <w:bookmarkStart w:name="（4）借款费用资本化金额的计算方法" w:id="190"/>
      <w:bookmarkEnd w:id="190"/>
      <w:r>
        <w:rPr>
          <w:b w:val="0"/>
          <w:bCs w:val="0"/>
        </w:rPr>
      </w: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274" w:firstLine="360"/>
        <w:jc w:val="left"/>
      </w:pPr>
      <w:r>
        <w:rPr/>
        <w:t>一般借款根据累计资产支出超过专门借款部分的资产支出加权平均数乘以所占用一般借款的资本化率，确定资本化金 额。资本化率根据一般借款的加权平均利率计算确定。</w:t>
      </w:r>
    </w:p>
    <w:p>
      <w:pPr>
        <w:pStyle w:val="BodyText"/>
        <w:spacing w:line="240" w:lineRule="auto" w:before="59"/>
        <w:ind w:right="62"/>
        <w:jc w:val="left"/>
      </w:pPr>
      <w:r>
        <w:rPr/>
        <w:t>注：采用实际利率计算利息费用的，说明实际利率的计算过程。</w:t>
      </w:r>
    </w:p>
    <w:p>
      <w:pPr>
        <w:pStyle w:val="Heading3"/>
        <w:spacing w:line="254" w:lineRule="auto" w:before="66"/>
        <w:ind w:left="752" w:right="8369" w:hanging="600"/>
        <w:jc w:val="left"/>
        <w:rPr>
          <w:rFonts w:ascii="宋体" w:hAnsi="宋体" w:cs="宋体" w:eastAsia="宋体" w:hint="default"/>
          <w:b w:val="0"/>
          <w:bCs w:val="0"/>
        </w:rPr>
      </w:pPr>
      <w:r>
        <w:rPr>
          <w:rFonts w:ascii="Times New Roman" w:hAnsi="Times New Roman" w:cs="Times New Roman" w:eastAsia="Times New Roman" w:hint="default"/>
        </w:rPr>
        <w:t>17</w:t>
      </w:r>
      <w:r>
        <w:rPr/>
        <w:t>、生物资产</w:t>
      </w:r>
      <w:r>
        <w:rPr>
          <w:w w:val="99"/>
        </w:rPr>
        <w:t> </w:t>
      </w:r>
      <w:r>
        <w:rPr>
          <w:rFonts w:ascii="宋体" w:hAnsi="宋体" w:cs="宋体" w:eastAsia="宋体" w:hint="default"/>
          <w:b w:val="0"/>
          <w:bCs w:val="0"/>
        </w:rPr>
        <w:t>无</w:t>
      </w:r>
    </w:p>
    <w:p>
      <w:pPr>
        <w:pStyle w:val="BodyText"/>
        <w:spacing w:line="240" w:lineRule="auto" w:before="73"/>
        <w:ind w:right="62"/>
        <w:jc w:val="left"/>
      </w:pPr>
      <w:r>
        <w:rPr/>
        <w:t>注：需披露具体的确定标准、分类、减值准备的计提等。</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18、油气资产" w:id="191"/>
      <w:bookmarkEnd w:id="191"/>
      <w:r>
        <w:rPr>
          <w:b w:val="0"/>
          <w:bCs w:val="0"/>
        </w:rPr>
      </w:r>
      <w:r>
        <w:rPr>
          <w:rFonts w:ascii="Times New Roman" w:hAnsi="Times New Roman" w:cs="Times New Roman" w:eastAsia="Times New Roman" w:hint="default"/>
        </w:rPr>
        <w:t>18</w:t>
      </w:r>
      <w:r>
        <w:rPr/>
        <w:t>、油气资产</w:t>
      </w:r>
      <w:r>
        <w:rPr>
          <w:b w:val="0"/>
          <w:bCs w:val="0"/>
        </w:rPr>
      </w:r>
    </w:p>
    <w:p>
      <w:pPr>
        <w:spacing w:line="240" w:lineRule="auto" w:before="5"/>
        <w:rPr>
          <w:rFonts w:ascii="宋体" w:hAnsi="宋体" w:cs="宋体" w:eastAsia="宋体" w:hint="default"/>
          <w:b/>
          <w:bCs/>
          <w:sz w:val="21"/>
          <w:szCs w:val="21"/>
        </w:rPr>
      </w:pPr>
    </w:p>
    <w:p>
      <w:pPr>
        <w:pStyle w:val="Heading4"/>
        <w:spacing w:line="240" w:lineRule="auto"/>
        <w:ind w:left="632" w:right="62"/>
        <w:jc w:val="left"/>
      </w:pPr>
      <w:r>
        <w:rPr/>
        <w:t>无</w:t>
      </w:r>
    </w:p>
    <w:p>
      <w:pPr>
        <w:pStyle w:val="BodyText"/>
        <w:spacing w:line="240" w:lineRule="auto" w:before="87"/>
        <w:ind w:right="62"/>
        <w:jc w:val="left"/>
      </w:pPr>
      <w:r>
        <w:rPr/>
        <w:t>注：需按下列内容进行详细披露：</w:t>
      </w:r>
    </w:p>
    <w:p>
      <w:pPr>
        <w:pStyle w:val="BodyText"/>
        <w:spacing w:line="240" w:lineRule="auto" w:before="117"/>
        <w:ind w:right="62"/>
        <w:jc w:val="left"/>
      </w:pPr>
      <w:r>
        <w:rPr>
          <w:rFonts w:ascii="Times New Roman" w:hAnsi="Times New Roman" w:cs="Times New Roman" w:eastAsia="Times New Roman" w:hint="default"/>
        </w:rPr>
        <w:t>1</w:t>
      </w:r>
      <w:r>
        <w:rPr/>
        <w:t>、与各类油气资产相关支出的资本化标准；</w:t>
      </w:r>
    </w:p>
    <w:p>
      <w:pPr>
        <w:pStyle w:val="BodyText"/>
        <w:spacing w:line="240" w:lineRule="auto" w:before="101"/>
        <w:ind w:right="62"/>
        <w:jc w:val="left"/>
      </w:pPr>
      <w:r>
        <w:rPr>
          <w:rFonts w:ascii="Times New Roman" w:hAnsi="Times New Roman" w:cs="Times New Roman" w:eastAsia="Times New Roman" w:hint="default"/>
        </w:rPr>
        <w:t>2</w:t>
      </w:r>
      <w:r>
        <w:rPr/>
        <w:t>、各类油气资产的折耗或摊销方法；</w:t>
      </w:r>
    </w:p>
    <w:p>
      <w:pPr>
        <w:pStyle w:val="BodyText"/>
        <w:spacing w:line="240" w:lineRule="auto" w:before="103"/>
        <w:ind w:right="62"/>
        <w:jc w:val="left"/>
      </w:pPr>
      <w:r>
        <w:rPr>
          <w:rFonts w:ascii="Times New Roman" w:hAnsi="Times New Roman" w:cs="Times New Roman" w:eastAsia="Times New Roman" w:hint="default"/>
        </w:rPr>
        <w:t>3</w:t>
      </w:r>
      <w:r>
        <w:rPr/>
        <w:t>、减值测试方法、减值准备计提方法；</w:t>
      </w:r>
    </w:p>
    <w:p>
      <w:pPr>
        <w:pStyle w:val="BodyText"/>
        <w:spacing w:line="240" w:lineRule="auto" w:before="103"/>
        <w:ind w:right="62"/>
        <w:jc w:val="left"/>
      </w:pPr>
      <w:r>
        <w:rPr>
          <w:rFonts w:ascii="Times New Roman" w:hAnsi="Times New Roman" w:cs="Times New Roman" w:eastAsia="Times New Roman" w:hint="default"/>
        </w:rPr>
        <w:t>4</w:t>
      </w:r>
      <w:r>
        <w:rPr/>
        <w:t>、采矿许可证等执照费用的会计处理方法；</w:t>
      </w:r>
    </w:p>
    <w:p>
      <w:pPr>
        <w:pStyle w:val="BodyText"/>
        <w:spacing w:line="240" w:lineRule="auto" w:before="101"/>
        <w:ind w:right="62"/>
        <w:jc w:val="left"/>
      </w:pPr>
      <w:r>
        <w:rPr>
          <w:rFonts w:ascii="Times New Roman" w:hAnsi="Times New Roman" w:cs="Times New Roman" w:eastAsia="Times New Roman" w:hint="default"/>
        </w:rPr>
        <w:t>5</w:t>
      </w:r>
      <w:r>
        <w:rPr/>
        <w:t>、油气储量估计的判断依据。</w:t>
      </w:r>
    </w:p>
    <w:p>
      <w:pPr>
        <w:spacing w:line="240" w:lineRule="auto" w:before="3"/>
        <w:rPr>
          <w:rFonts w:ascii="宋体" w:hAnsi="宋体" w:cs="宋体" w:eastAsia="宋体" w:hint="default"/>
          <w:sz w:val="24"/>
          <w:szCs w:val="24"/>
        </w:rPr>
      </w:pPr>
    </w:p>
    <w:p>
      <w:pPr>
        <w:pStyle w:val="Heading3"/>
        <w:spacing w:line="240" w:lineRule="auto"/>
        <w:ind w:right="62"/>
        <w:jc w:val="left"/>
        <w:rPr>
          <w:b w:val="0"/>
          <w:bCs w:val="0"/>
        </w:rPr>
      </w:pPr>
      <w:bookmarkStart w:name="19、无形资产" w:id="192"/>
      <w:bookmarkEnd w:id="192"/>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无形资产的计价方法" w:id="193"/>
      <w:bookmarkEnd w:id="193"/>
      <w:r>
        <w:rPr>
          <w:b w:val="0"/>
          <w:bCs w:val="0"/>
        </w:rPr>
      </w:r>
      <w:r>
        <w:rPr/>
        <w:t>（</w:t>
      </w:r>
      <w:r>
        <w:rPr>
          <w:rFonts w:ascii="Times New Roman" w:hAnsi="Times New Roman" w:cs="Times New Roman" w:eastAsia="Times New Roman" w:hint="default"/>
        </w:rPr>
        <w:t>1</w:t>
      </w:r>
      <w:r>
        <w:rPr/>
        <w:t>）无形资产的计价方法</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04" w:firstLine="360"/>
        <w:jc w:val="both"/>
      </w:pPr>
      <w:r>
        <w:rPr>
          <w:spacing w:val="-4"/>
        </w:rPr>
        <w:t>无形资产按成本进行初始计量。与无形资产有关的支出，如果相关的经济利益很可能流入本集团且其成本能可靠地计量，</w:t>
      </w:r>
      <w:r>
        <w:rPr/>
        <w:t> 则计入无形资产成本。除此以外的其他项目的支出，在发生时计入当期损益。</w:t>
      </w:r>
    </w:p>
    <w:p>
      <w:pPr>
        <w:pStyle w:val="BodyText"/>
        <w:spacing w:line="316" w:lineRule="auto" w:before="18"/>
        <w:ind w:right="190"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2）使用寿命有限的无形资产的使用寿命估计情况" w:id="194"/>
      <w:bookmarkEnd w:id="194"/>
      <w:r>
        <w:rPr>
          <w:b w:val="0"/>
          <w:bCs w:val="0"/>
        </w:rPr>
      </w: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left="512" w:right="994"/>
        <w:jc w:val="left"/>
      </w:pPr>
      <w:r>
        <w:rPr/>
        <w:t>使用寿命有限的无形资产自可供使用时起，对其原值在其预计使用寿命内采用直线法分期平均摊销。 期末，对使用寿命有限的无形资产的使用寿命和摊销方法进行复核，如发生变更则作为会计估计变更处理。</w:t>
      </w: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杀毒专</w:t>
            </w:r>
            <w:r>
              <w:rPr>
                <w:rFonts w:ascii="宋体" w:hAnsi="宋体" w:cs="宋体" w:eastAsia="宋体" w:hint="default"/>
                <w:spacing w:val="-82"/>
                <w:sz w:val="18"/>
                <w:szCs w:val="18"/>
              </w:rPr>
              <w:t>家</w:t>
            </w:r>
            <w:r>
              <w:rPr>
                <w:rFonts w:ascii="宋体" w:hAnsi="宋体" w:cs="宋体" w:eastAsia="宋体" w:hint="default"/>
                <w:sz w:val="18"/>
                <w:szCs w:val="18"/>
              </w:rPr>
              <w:t>（网络</w:t>
            </w:r>
            <w:r>
              <w:rPr>
                <w:rFonts w:ascii="宋体" w:hAnsi="宋体" w:cs="宋体" w:eastAsia="宋体" w:hint="default"/>
                <w:spacing w:val="-82"/>
                <w:sz w:val="18"/>
                <w:szCs w:val="18"/>
              </w:rPr>
              <w:t>、</w:t>
            </w:r>
            <w:r>
              <w:rPr>
                <w:rFonts w:ascii="宋体" w:hAnsi="宋体" w:cs="宋体" w:eastAsia="宋体" w:hint="default"/>
                <w:sz w:val="18"/>
                <w:szCs w:val="18"/>
              </w:rPr>
              <w:t>单机</w:t>
            </w:r>
            <w:r>
              <w:rPr>
                <w:rFonts w:ascii="宋体" w:hAnsi="宋体" w:cs="宋体" w:eastAsia="宋体" w:hint="default"/>
                <w:spacing w:val="-82"/>
                <w:sz w:val="18"/>
                <w:szCs w:val="18"/>
              </w:rPr>
              <w:t>）</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after="0" w:line="240" w:lineRule="auto"/>
        <w:jc w:val="left"/>
        <w:rPr>
          <w:rFonts w:ascii="宋体" w:hAnsi="宋体" w:cs="宋体" w:eastAsia="宋体" w:hint="default"/>
          <w:sz w:val="18"/>
          <w:szCs w:val="18"/>
        </w:rPr>
        <w:sectPr>
          <w:footerReference w:type="default" r:id="rId19"/>
          <w:pgSz w:w="11910" w:h="16840"/>
          <w:pgMar w:footer="982" w:header="745"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71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平台及控件源码版</w:t>
            </w:r>
            <w:r>
              <w:rPr>
                <w:rFonts w:ascii="宋体" w:hAnsi="宋体" w:cs="宋体" w:eastAsia="宋体" w:hint="default"/>
                <w:w w:val="99"/>
                <w:sz w:val="18"/>
                <w:szCs w:val="18"/>
              </w:rPr>
              <w:t> </w:t>
            </w: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715"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236"/>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240" w:lineRule="auto" w:before="49"/>
        <w:ind w:right="62"/>
        <w:jc w:val="left"/>
      </w:pPr>
      <w:r>
        <w:rPr/>
        <w:t>注：列示每项无形资产的预计使用寿命及依据。</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3）使用寿命不确定的无形资产的判断依据" w:id="195"/>
      <w:bookmarkEnd w:id="195"/>
      <w:r>
        <w:rPr>
          <w:b w:val="0"/>
          <w:bCs w:val="0"/>
        </w:rPr>
      </w: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274" w:firstLine="360"/>
        <w:jc w:val="left"/>
      </w:pPr>
      <w:r>
        <w:rPr/>
        <w:t>对使用寿命不确定的无形资产的使用寿命进行复核，如果有证据表明该无形资产为企业带来经济利益的期限是可预见 的，则估计其使用寿命并按照使用寿命有限的无形资产的摊销政策进行摊销。</w:t>
      </w:r>
    </w:p>
    <w:p>
      <w:pPr>
        <w:spacing w:line="240" w:lineRule="auto" w:before="0"/>
        <w:rPr>
          <w:rFonts w:ascii="宋体" w:hAnsi="宋体" w:cs="宋体" w:eastAsia="宋体" w:hint="default"/>
          <w:sz w:val="18"/>
          <w:szCs w:val="18"/>
        </w:rPr>
      </w:pPr>
    </w:p>
    <w:p>
      <w:pPr>
        <w:pStyle w:val="BodyText"/>
        <w:spacing w:line="240" w:lineRule="auto" w:before="136"/>
        <w:ind w:right="62"/>
        <w:jc w:val="left"/>
      </w:pPr>
      <w:r>
        <w:rPr/>
        <w:t>注：应逐项说明使用寿命不确定的依据。</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4）无形资产减值准备的计提" w:id="196"/>
      <w:bookmarkEnd w:id="196"/>
      <w:r>
        <w:rPr>
          <w:b w:val="0"/>
          <w:bCs w:val="0"/>
        </w:rPr>
      </w: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5）划分公司内部研究开发项目的研究阶段和开发阶段具体标准" w:id="197"/>
      <w:bookmarkEnd w:id="197"/>
      <w:r>
        <w:rPr>
          <w:b w:val="0"/>
          <w:bCs w:val="0"/>
        </w:rPr>
      </w: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12" w:right="62"/>
        <w:jc w:val="left"/>
      </w:pPr>
      <w:r>
        <w:rPr/>
        <w:t>本集团内部研究开发项目的支出分为研究阶段支出与开发阶段支出。</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6）内部研究开发项目支出的核算" w:id="198"/>
      <w:bookmarkEnd w:id="198"/>
      <w:r>
        <w:rPr>
          <w:b w:val="0"/>
          <w:bCs w:val="0"/>
        </w:rPr>
      </w: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left="512" w:right="814"/>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18"/>
        <w:ind w:left="512" w:right="62"/>
        <w:jc w:val="left"/>
      </w:pPr>
      <w:r>
        <w:rPr/>
        <w:t>①</w:t>
      </w:r>
      <w:r>
        <w:rPr>
          <w:spacing w:val="-18"/>
        </w:rPr>
        <w:t> </w:t>
      </w:r>
      <w:r>
        <w:rPr/>
        <w:t>完成该无形资产以使其能够使用或出售在技术上具有可行性；</w:t>
      </w:r>
    </w:p>
    <w:p>
      <w:pPr>
        <w:pStyle w:val="BodyText"/>
        <w:spacing w:line="240" w:lineRule="auto" w:before="76"/>
        <w:ind w:left="512" w:right="62"/>
        <w:jc w:val="left"/>
      </w:pPr>
      <w:r>
        <w:rPr/>
        <w:t>②</w:t>
      </w:r>
      <w:r>
        <w:rPr>
          <w:spacing w:val="-18"/>
        </w:rPr>
        <w:t> </w:t>
      </w:r>
      <w:r>
        <w:rPr/>
        <w:t>具有完成该无形资产并使用或出售的意图；</w:t>
      </w:r>
    </w:p>
    <w:p>
      <w:pPr>
        <w:pStyle w:val="BodyText"/>
        <w:spacing w:line="316" w:lineRule="auto" w:before="76"/>
        <w:ind w:right="202" w:firstLine="360"/>
        <w:jc w:val="left"/>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8"/>
        <w:ind w:left="512" w:right="62"/>
        <w:jc w:val="left"/>
      </w:pPr>
      <w:r>
        <w:rPr/>
        <w:t>④</w:t>
      </w:r>
      <w:r>
        <w:rPr>
          <w:spacing w:val="-18"/>
        </w:rPr>
        <w:t> </w:t>
      </w:r>
      <w:r>
        <w:rPr/>
        <w:t>有足够的技术、财务资源和其他资源支持，以完成该无形资产的开发，并有能力使用或出售该无形资产；</w:t>
      </w:r>
    </w:p>
    <w:p>
      <w:pPr>
        <w:pStyle w:val="BodyText"/>
        <w:spacing w:line="316" w:lineRule="auto" w:before="76"/>
        <w:ind w:left="512" w:right="2974"/>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12"/>
        <w:rPr>
          <w:rFonts w:ascii="宋体" w:hAnsi="宋体" w:cs="宋体" w:eastAsia="宋体" w:hint="default"/>
          <w:sz w:val="20"/>
          <w:szCs w:val="20"/>
        </w:rPr>
      </w:pPr>
    </w:p>
    <w:p>
      <w:pPr>
        <w:pStyle w:val="Heading3"/>
        <w:spacing w:line="240" w:lineRule="auto"/>
        <w:ind w:right="62"/>
        <w:jc w:val="left"/>
        <w:rPr>
          <w:b w:val="0"/>
          <w:bCs w:val="0"/>
        </w:rPr>
      </w:pPr>
      <w:bookmarkStart w:name="20、长期待摊费用" w:id="199"/>
      <w:bookmarkEnd w:id="199"/>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12" w:right="62"/>
        <w:jc w:val="left"/>
      </w:pPr>
      <w:r>
        <w:rPr/>
        <w:t>长期待摊费用为已经发生但应由报告期和以后各期负担的分摊期限在一年以上的各项费用</w:t>
      </w:r>
      <w:r>
        <w:rPr>
          <w:spacing w:val="-82"/>
        </w:rPr>
        <w:t>。</w:t>
      </w:r>
      <w:r>
        <w:rPr/>
        <w:t>长期待摊费用在预计受益期</w:t>
      </w:r>
    </w:p>
    <w:p>
      <w:pPr>
        <w:spacing w:after="0" w:line="240" w:lineRule="auto"/>
        <w:jc w:val="left"/>
        <w:sectPr>
          <w:footerReference w:type="default" r:id="rId20"/>
          <w:pgSz w:w="11910" w:h="16840"/>
          <w:pgMar w:footer="982" w:header="745" w:top="1060" w:bottom="1180" w:left="980" w:right="94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bookmarkStart w:name="21、附回购条件的资产转让" w:id="200"/>
      <w:bookmarkEnd w:id="200"/>
      <w:r>
        <w:rPr>
          <w:b w:val="0"/>
          <w:bCs w:val="0"/>
        </w:rPr>
      </w:r>
      <w:r>
        <w:rPr>
          <w:rFonts w:ascii="Times New Roman" w:hAnsi="Times New Roman" w:cs="Times New Roman" w:eastAsia="Times New Roman" w:hint="default"/>
        </w:rPr>
        <w:t>21</w:t>
      </w:r>
      <w:r>
        <w:rPr/>
        <w:t>、附回购条件的资产转让</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2、预计负债" w:id="201"/>
      <w:bookmarkEnd w:id="201"/>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预计负债的确认标准" w:id="202"/>
      <w:bookmarkEnd w:id="202"/>
      <w:r>
        <w:rPr>
          <w:b w:val="0"/>
          <w:bCs w:val="0"/>
        </w:rPr>
      </w:r>
      <w:r>
        <w:rPr/>
        <w:t>（</w:t>
      </w:r>
      <w:r>
        <w:rPr>
          <w:rFonts w:ascii="Times New Roman" w:hAnsi="Times New Roman" w:cs="Times New Roman" w:eastAsia="Times New Roman" w:hint="default"/>
        </w:rPr>
        <w:t>1</w:t>
      </w:r>
      <w:r>
        <w:rPr/>
        <w:t>）预计负债的确认标准</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53" w:firstLine="359"/>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）该义务是本集团承担的现时义务；（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bookmarkStart w:name="（2）预计负债的计量方法" w:id="203"/>
      <w:bookmarkEnd w:id="203"/>
      <w:r>
        <w:rPr>
          <w:b w:val="0"/>
          <w:bCs w:val="0"/>
        </w:rPr>
      </w:r>
      <w:r>
        <w:rPr/>
        <w:t>（</w:t>
      </w:r>
      <w:r>
        <w:rPr>
          <w:rFonts w:ascii="Times New Roman" w:hAnsi="Times New Roman" w:cs="Times New Roman" w:eastAsia="Times New Roman" w:hint="default"/>
        </w:rPr>
        <w:t>2</w:t>
      </w:r>
      <w:r>
        <w:rPr/>
        <w:t>）预计负债的计量方法</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50"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8"/>
        <w:ind w:right="150"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8"/>
        <w:ind w:left="512" w:right="0"/>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0"/>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8"/>
        <w:ind w:left="512" w:right="0"/>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31"/>
        <w:ind w:right="0"/>
        <w:jc w:val="left"/>
      </w:pPr>
      <w:r>
        <w:rPr/>
        <w:t>出确定预计负债金额。</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3、股份支付及权益工具" w:id="204"/>
      <w:bookmarkEnd w:id="204"/>
      <w:r>
        <w:rPr>
          <w:b w:val="0"/>
          <w:bCs w:val="0"/>
        </w:rPr>
      </w: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股份支付的种类" w:id="205"/>
      <w:bookmarkEnd w:id="205"/>
      <w:r>
        <w:rPr>
          <w:b w:val="0"/>
          <w:bCs w:val="0"/>
        </w:rPr>
      </w:r>
      <w:r>
        <w:rPr/>
        <w:t>（</w:t>
      </w:r>
      <w:r>
        <w:rPr>
          <w:rFonts w:ascii="Times New Roman" w:hAnsi="Times New Roman" w:cs="Times New Roman" w:eastAsia="Times New Roman" w:hint="default"/>
        </w:rPr>
        <w:t>1</w:t>
      </w:r>
      <w:r>
        <w:rPr/>
        <w:t>）股份支付的种类</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50" w:firstLine="360"/>
        <w:jc w:val="both"/>
      </w:pPr>
      <w:r>
        <w:rPr>
          <w:spacing w:val="-2"/>
        </w:rPr>
        <w:t>股份支付是为了获取职工或其他方提供服务而授予权益工具或者承担以权益工具为基础确定的负债的交易。股份支付分</w:t>
      </w:r>
      <w:r>
        <w:rPr/>
        <w:t> 为以权益结算的股份支付和以现金结算的股份支付。①</w:t>
      </w:r>
      <w:r>
        <w:rPr>
          <w:spacing w:val="1"/>
        </w:rPr>
        <w:t> </w:t>
      </w:r>
      <w:r>
        <w:rPr/>
        <w:t>以权益结算的股份支付用以换取职工提供的服务的权益结算的股份</w:t>
      </w:r>
      <w:r>
        <w:rPr/>
        <w:t> </w:t>
      </w:r>
      <w:r>
        <w:rPr>
          <w:spacing w:val="-2"/>
        </w:rPr>
        <w:t>支付，以授予职工权益工具在授予日的公允价值计量。该公允价值的金额在完成等待期内的服务或达到规定业绩条件才可行</w:t>
      </w:r>
      <w:r>
        <w:rPr>
          <w:spacing w:val="-64"/>
        </w:rPr>
        <w:t> </w:t>
      </w:r>
      <w:r>
        <w:rPr>
          <w:spacing w:val="-64"/>
        </w:rPr>
      </w:r>
      <w:r>
        <w:rPr>
          <w:spacing w:val="-2"/>
        </w:rPr>
        <w:t>权的情况下，在等待期内以对可行权权益工具数量的最佳估计为基础，按直线法计算计入相关成本或费用，相应增加资本公</w:t>
      </w:r>
      <w:r>
        <w:rPr>
          <w:spacing w:val="-63"/>
        </w:rPr>
        <w:t> </w:t>
      </w:r>
      <w:r>
        <w:rPr>
          <w:spacing w:val="-63"/>
        </w:rPr>
      </w:r>
      <w:r>
        <w:rPr>
          <w:spacing w:val="-2"/>
        </w:rPr>
        <w:t>积。用以换取其他方服务的权益结算的股份支付，如果其他方服务的公允价值能够可靠计量，按照其他方服务在取得日的公</w:t>
      </w:r>
      <w:r>
        <w:rPr>
          <w:spacing w:val="-63"/>
        </w:rPr>
        <w:t> </w:t>
      </w:r>
      <w:r>
        <w:rPr>
          <w:spacing w:val="-63"/>
        </w:rPr>
      </w:r>
      <w:r>
        <w:rPr>
          <w:spacing w:val="-2"/>
        </w:rPr>
        <w:t>允价值计量，如果其他方服务的公允价值不能可靠计量，但权益工具的公允价值能够可靠计量的，按照权益工具在服务取得</w:t>
      </w:r>
      <w:r>
        <w:rPr>
          <w:spacing w:val="-63"/>
        </w:rPr>
        <w:t> </w:t>
      </w:r>
      <w:r>
        <w:rPr>
          <w:spacing w:val="-63"/>
        </w:rPr>
      </w:r>
      <w:r>
        <w:rPr/>
        <w:t>日的公允价值计量，计入相关成本或费用，相应增加所有者权益。②</w:t>
      </w:r>
      <w:r>
        <w:rPr>
          <w:spacing w:val="1"/>
        </w:rPr>
        <w:t> </w:t>
      </w:r>
      <w:r>
        <w:rPr/>
        <w:t>以现金结算的股份支付以现金结算的股份支付，按照</w:t>
      </w:r>
      <w:r>
        <w:rPr/>
        <w:t> </w:t>
      </w:r>
      <w:r>
        <w:rPr>
          <w:spacing w:val="-2"/>
        </w:rPr>
        <w:t>本集团承担的以股份或其他权益工具为基础确定的负债的公允价值计量。如授予后立即可行权，在授予日计入相关成本或费</w:t>
      </w:r>
      <w:r>
        <w:rPr>
          <w:spacing w:val="-64"/>
        </w:rPr>
        <w:t> </w:t>
      </w:r>
      <w:r>
        <w:rPr>
          <w:spacing w:val="-64"/>
        </w:rPr>
      </w:r>
      <w:r>
        <w:rPr>
          <w:spacing w:val="-2"/>
        </w:rPr>
        <w:t>用，相应增加负债；如须完成等待期内的服务或达到规定业绩条件以后才可行权，在等待期的每个资产负债表日，以对可行</w:t>
      </w:r>
      <w:r>
        <w:rPr>
          <w:spacing w:val="-64"/>
        </w:rPr>
        <w:t> </w:t>
      </w:r>
      <w:r>
        <w:rPr>
          <w:spacing w:val="-64"/>
        </w:rPr>
      </w:r>
      <w:r>
        <w:rPr>
          <w:spacing w:val="-2"/>
        </w:rPr>
        <w:t>权情况的最佳估计为基础，按照本集团承担负债的公允价值金额，将当期取得的服务计入成本或费用，相应增加负债。在相</w:t>
      </w:r>
      <w:r>
        <w:rPr>
          <w:spacing w:val="-64"/>
        </w:rPr>
        <w:t> </w:t>
      </w:r>
      <w:r>
        <w:rPr>
          <w:spacing w:val="-64"/>
        </w:rPr>
      </w:r>
      <w:r>
        <w:rPr/>
        <w:t>关负债结算前的每个资产负债表日以及结算日，对负债的公允价值重新计量，其变动计入当期损益。</w:t>
      </w:r>
    </w:p>
    <w:p>
      <w:pPr>
        <w:spacing w:after="0" w:line="316" w:lineRule="auto"/>
        <w:jc w:val="both"/>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权益工具公允价值的确定方法" w:id="206"/>
      <w:bookmarkEnd w:id="206"/>
      <w:r>
        <w:rPr>
          <w:b w:val="0"/>
          <w:bCs w:val="0"/>
        </w:rPr>
      </w: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本集团授予的股份期权采用二项式期权定价模型定价。</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确认可行权权益工具最佳估计的依据" w:id="207"/>
      <w:bookmarkEnd w:id="207"/>
      <w:r>
        <w:rPr>
          <w:b w:val="0"/>
          <w:bCs w:val="0"/>
        </w:rPr>
      </w: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0"/>
        <w:jc w:val="left"/>
      </w:pPr>
      <w:r>
        <w:rPr>
          <w:spacing w:val="-2"/>
        </w:rPr>
        <w:t>在等待期内的每个资产负债表日，根据最新取得的可行权职工人数变动等后续信息做出最佳估计，修正预计可行权的权益工</w:t>
      </w:r>
      <w:r>
        <w:rPr>
          <w:spacing w:val="-64"/>
        </w:rPr>
        <w:t> </w:t>
      </w:r>
      <w:r>
        <w:rPr>
          <w:spacing w:val="-64"/>
        </w:rPr>
      </w:r>
      <w:r>
        <w:rPr/>
        <w:t>具数量。</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4）实施、修改、终止股份支付计划的相关会计处理" w:id="208"/>
      <w:bookmarkEnd w:id="208"/>
      <w:r>
        <w:rPr>
          <w:b w:val="0"/>
          <w:bCs w:val="0"/>
        </w:rPr>
      </w: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50" w:firstLine="360"/>
        <w:jc w:val="both"/>
      </w:pPr>
      <w:r>
        <w:rPr>
          <w:spacing w:val="-2"/>
        </w:rPr>
        <w:t>本集团对股份支付计划进行修改时，若修改增加了所授予权益工具的公允价值，按照权益工具公允价值的增加相应确认</w:t>
      </w:r>
      <w:r>
        <w:rPr/>
        <w:t> </w:t>
      </w: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付公允价值总额或采用了其他不利于职工的方式，则仍继续对取得的服务进行会计处理，视同该变更从未发生，除非本集团</w:t>
      </w:r>
      <w:r>
        <w:rPr>
          <w:spacing w:val="-63"/>
        </w:rPr>
        <w:t> </w:t>
      </w:r>
      <w:r>
        <w:rPr>
          <w:spacing w:val="-63"/>
        </w:rPr>
      </w:r>
      <w:r>
        <w:rPr/>
        <w:t>取消了部分或全部已授予的权益工具。</w:t>
      </w:r>
    </w:p>
    <w:p>
      <w:pPr>
        <w:pStyle w:val="BodyText"/>
        <w:spacing w:line="316" w:lineRule="auto" w:before="18"/>
        <w:ind w:right="150" w:firstLine="360"/>
        <w:jc w:val="both"/>
      </w:pPr>
      <w:r>
        <w:rPr>
          <w:spacing w:val="-2"/>
        </w:rPr>
        <w:t>在等待期内，如果取消了授予的权益工具，本集团对取消所授予的权益性工具作为加速行权处理，将剩余等待期内应确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认的金额立即计入当期损益，同时确认资本公积。职工或其他方能够选择满足非可行权条件但在等待期内未满足的，本集团</w:t>
      </w:r>
      <w:r>
        <w:rPr>
          <w:spacing w:val="-63"/>
        </w:rPr>
        <w:t> </w:t>
      </w:r>
      <w:r>
        <w:rPr>
          <w:spacing w:val="-63"/>
        </w:rPr>
      </w:r>
      <w:r>
        <w:rPr/>
        <w:t>将其作为授予权益工具的取消处理。</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4、回购本公司股份" w:id="209"/>
      <w:bookmarkEnd w:id="209"/>
      <w:r>
        <w:rPr>
          <w:b w:val="0"/>
          <w:bCs w:val="0"/>
        </w:rPr>
      </w:r>
      <w:r>
        <w:rPr>
          <w:rFonts w:ascii="Times New Roman" w:hAnsi="Times New Roman" w:cs="Times New Roman" w:eastAsia="Times New Roman" w:hint="default"/>
        </w:rPr>
        <w:t>24</w:t>
      </w:r>
      <w:r>
        <w:rPr/>
        <w:t>、回购本公司股份</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5、收入" w:id="210"/>
      <w:bookmarkEnd w:id="210"/>
      <w:r>
        <w:rPr>
          <w:b w:val="0"/>
          <w:bCs w:val="0"/>
        </w:rPr>
      </w: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销售商品收入确认时间的具体判断标准" w:id="211"/>
      <w:bookmarkEnd w:id="211"/>
      <w:r>
        <w:rPr>
          <w:b w:val="0"/>
          <w:bCs w:val="0"/>
        </w:rPr>
      </w: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50" w:firstLine="271"/>
        <w:jc w:val="both"/>
      </w:pPr>
      <w:r>
        <w:rPr/>
        <w:t>在已将商品所有权上的主要风险和报酬转移给买方，既没有保留通常与所有权相联系的继续管理权，也没有对已售商品 </w:t>
      </w: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确认让渡资产使用权收入的依据" w:id="212"/>
      <w:bookmarkEnd w:id="212"/>
      <w:r>
        <w:rPr>
          <w:b w:val="0"/>
          <w:bCs w:val="0"/>
        </w:rPr>
      </w: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424"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确认提供劳务收入的依据" w:id="213"/>
      <w:bookmarkEnd w:id="213"/>
      <w:r>
        <w:rPr>
          <w:b w:val="0"/>
          <w:bCs w:val="0"/>
        </w:rPr>
      </w: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50" w:firstLine="360"/>
        <w:jc w:val="both"/>
      </w:pPr>
      <w:r>
        <w:rPr>
          <w:spacing w:val="-2"/>
        </w:rPr>
        <w:t>在提供劳务交易的结果能够可靠估计的情况下，于资产负债表日按照完工百分比法确认提供的劳务收入。提供劳务交易</w:t>
      </w:r>
      <w:r>
        <w:rPr/>
        <w:t> </w:t>
      </w:r>
      <w:r>
        <w:rPr>
          <w:spacing w:val="-2"/>
        </w:rPr>
        <w:t>的结果能够可靠估计是指同时满足：①收入的金额能够可靠地计量；②相关的经济利益很可能流入企业；③交易的完工程度</w:t>
      </w:r>
      <w:r>
        <w:rPr>
          <w:spacing w:val="-63"/>
        </w:rPr>
        <w:t> </w:t>
      </w:r>
      <w:r>
        <w:rPr>
          <w:spacing w:val="-63"/>
        </w:rPr>
      </w:r>
      <w:r>
        <w:rPr/>
        <w:t>能够可靠地确定；④交易中已发生和将发生的成本能够可靠地计量。</w:t>
      </w:r>
    </w:p>
    <w:p>
      <w:pPr>
        <w:pStyle w:val="BodyText"/>
        <w:spacing w:line="316" w:lineRule="auto" w:before="18"/>
        <w:ind w:right="153"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6" w:lineRule="auto" w:before="18"/>
        <w:ind w:right="150" w:firstLine="360"/>
        <w:jc w:val="both"/>
      </w:pPr>
      <w:r>
        <w:rPr>
          <w:spacing w:val="-2"/>
        </w:rPr>
        <w:t>本集团与其他企业签订的合同或协议包括销售商品和提供劳务时，如销售商品部分和提供劳务部分能够区分并单独计量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p>
    <w:p>
      <w:pPr>
        <w:spacing w:after="0" w:line="316"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62"/>
        <w:jc w:val="left"/>
      </w:pPr>
      <w:r>
        <w:rPr/>
        <w:t>的，将该合同全部作为销售商品处理。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3"/>
        <w:spacing w:line="314" w:lineRule="exact"/>
        <w:ind w:right="179"/>
        <w:jc w:val="left"/>
        <w:rPr>
          <w:b w:val="0"/>
          <w:bCs w:val="0"/>
        </w:rPr>
      </w:pPr>
      <w:bookmarkStart w:name="（4）按完工百分比法确认提供劳务的收入和建造合同收入时，确定合同完工进度的依据和" w:id="214"/>
      <w:bookmarkEnd w:id="214"/>
      <w:r>
        <w:rPr>
          <w:b w:val="0"/>
          <w:bCs w:val="0"/>
        </w:rPr>
      </w:r>
      <w:r>
        <w:rPr>
          <w:spacing w:val="-3"/>
        </w:rPr>
        <w:t>（</w:t>
      </w:r>
      <w:r>
        <w:rPr>
          <w:rFonts w:ascii="Times New Roman" w:hAnsi="Times New Roman" w:cs="Times New Roman" w:eastAsia="Times New Roman" w:hint="default"/>
          <w:spacing w:val="-3"/>
        </w:rPr>
        <w:t>4</w:t>
      </w:r>
      <w:r>
        <w:rPr>
          <w:spacing w:val="-3"/>
        </w:rPr>
        <w:t>）按完工百分比法确认提供劳务的收入和建造合同收入时，确定合同完工进度的依据和方</w:t>
      </w:r>
      <w:r>
        <w:rPr>
          <w:w w:val="99"/>
        </w:rPr>
        <w:t> </w:t>
      </w:r>
      <w:r>
        <w:rPr/>
        <w:t>法</w:t>
      </w:r>
      <w:r>
        <w:rPr>
          <w:b w:val="0"/>
          <w:bCs w:val="0"/>
        </w:rPr>
      </w:r>
    </w:p>
    <w:p>
      <w:pPr>
        <w:spacing w:line="240" w:lineRule="auto" w:before="7"/>
        <w:rPr>
          <w:rFonts w:ascii="宋体" w:hAnsi="宋体" w:cs="宋体" w:eastAsia="宋体" w:hint="default"/>
          <w:b/>
          <w:bCs/>
          <w:sz w:val="20"/>
          <w:szCs w:val="20"/>
        </w:rPr>
      </w:pPr>
    </w:p>
    <w:p>
      <w:pPr>
        <w:pStyle w:val="Heading3"/>
        <w:spacing w:line="240" w:lineRule="auto"/>
        <w:ind w:right="62"/>
        <w:jc w:val="left"/>
        <w:rPr>
          <w:b w:val="0"/>
          <w:bCs w:val="0"/>
        </w:rPr>
      </w:pPr>
      <w:bookmarkStart w:name="26、政府补助" w:id="215"/>
      <w:bookmarkEnd w:id="215"/>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类型" w:id="216"/>
      <w:bookmarkEnd w:id="216"/>
      <w:r>
        <w:rPr>
          <w:b w:val="0"/>
          <w:bCs w:val="0"/>
        </w:rPr>
      </w:r>
      <w:r>
        <w:rPr/>
        <w:t>（</w:t>
      </w:r>
      <w:r>
        <w:rPr>
          <w:rFonts w:ascii="Times New Roman" w:hAnsi="Times New Roman" w:cs="Times New Roman" w:eastAsia="Times New Roman" w:hint="default"/>
        </w:rPr>
        <w:t>1</w:t>
      </w:r>
      <w:r>
        <w:rPr/>
        <w:t>）类型</w:t>
      </w:r>
      <w:r>
        <w:rPr>
          <w:b w:val="0"/>
          <w:bCs w:val="0"/>
        </w:rPr>
      </w:r>
    </w:p>
    <w:p>
      <w:pPr>
        <w:spacing w:line="240" w:lineRule="auto" w:before="12"/>
        <w:rPr>
          <w:rFonts w:ascii="宋体" w:hAnsi="宋体" w:cs="宋体" w:eastAsia="宋体" w:hint="default"/>
          <w:b/>
          <w:bCs/>
          <w:sz w:val="24"/>
          <w:szCs w:val="24"/>
        </w:rPr>
      </w:pPr>
    </w:p>
    <w:p>
      <w:pPr>
        <w:pStyle w:val="BodyText"/>
        <w:spacing w:line="316" w:lineRule="auto"/>
        <w:ind w:right="193" w:firstLine="360"/>
        <w:jc w:val="both"/>
      </w:pPr>
      <w:r>
        <w:rPr>
          <w:spacing w:val="-2"/>
        </w:rPr>
        <w:t>政府补助是指本集团从政府无偿取得货币性资产和非货币性资产，不包括政府作为所有者投入的资本。政府补助分为与</w:t>
      </w:r>
      <w:r>
        <w:rPr/>
        <w:t> 资产相关的政府补助和与收益相关的政府补助。</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2）会计处理方法" w:id="217"/>
      <w:bookmarkEnd w:id="217"/>
      <w:r>
        <w:rPr>
          <w:b w:val="0"/>
          <w:bCs w:val="0"/>
        </w:rPr>
      </w:r>
      <w:r>
        <w:rPr/>
        <w:t>（</w:t>
      </w:r>
      <w:r>
        <w:rPr>
          <w:rFonts w:ascii="Times New Roman" w:hAnsi="Times New Roman" w:cs="Times New Roman" w:eastAsia="Times New Roman" w:hint="default"/>
        </w:rPr>
        <w:t>2</w:t>
      </w:r>
      <w:r>
        <w:rPr/>
        <w:t>）会计处理方法</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8"/>
        <w:ind w:right="62"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5"/>
        </w:rPr>
        <w:t> </w:t>
      </w:r>
      <w:r>
        <w:rPr>
          <w:spacing w:val="-65"/>
        </w:rPr>
      </w:r>
      <w:r>
        <w:rPr/>
        <w:t>关费用和损失的，直接计入当期损益。</w:t>
      </w:r>
    </w:p>
    <w:p>
      <w:pPr>
        <w:pStyle w:val="BodyText"/>
        <w:spacing w:line="316" w:lineRule="auto" w:before="18"/>
        <w:ind w:right="193" w:firstLine="360"/>
        <w:jc w:val="both"/>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62"/>
        <w:jc w:val="left"/>
        <w:rPr>
          <w:b w:val="0"/>
          <w:bCs w:val="0"/>
        </w:rPr>
      </w:pPr>
      <w:bookmarkStart w:name="27、递延所得税资产和递延所得税负债" w:id="218"/>
      <w:bookmarkEnd w:id="218"/>
      <w:r>
        <w:rPr>
          <w:b w:val="0"/>
          <w:bCs w:val="0"/>
        </w:rPr>
      </w: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62"/>
        <w:jc w:val="left"/>
        <w:rPr>
          <w:b w:val="0"/>
          <w:bCs w:val="0"/>
        </w:rPr>
      </w:pPr>
      <w:bookmarkStart w:name="（1）确认递延所得税资产的依据" w:id="219"/>
      <w:bookmarkEnd w:id="219"/>
      <w:r>
        <w:rPr>
          <w:b w:val="0"/>
          <w:bCs w:val="0"/>
        </w:rPr>
      </w: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9"/>
        <w:rPr>
          <w:rFonts w:ascii="宋体" w:hAnsi="宋体" w:cs="宋体" w:eastAsia="宋体" w:hint="default"/>
          <w:sz w:val="20"/>
          <w:szCs w:val="20"/>
        </w:rPr>
      </w:pPr>
    </w:p>
    <w:p>
      <w:pPr>
        <w:pStyle w:val="Heading3"/>
        <w:spacing w:line="240" w:lineRule="auto"/>
        <w:ind w:right="62"/>
        <w:jc w:val="left"/>
        <w:rPr>
          <w:b w:val="0"/>
          <w:bCs w:val="0"/>
        </w:rPr>
      </w:pPr>
      <w:bookmarkStart w:name="（2）确认递延所得税负债的依据" w:id="220"/>
      <w:bookmarkEnd w:id="220"/>
      <w:r>
        <w:rPr>
          <w:b w:val="0"/>
          <w:bCs w:val="0"/>
        </w:rPr>
      </w: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193"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28、经营租赁、融资租赁" w:id="221"/>
      <w:bookmarkEnd w:id="221"/>
      <w:r>
        <w:rPr>
          <w:b w:val="0"/>
          <w:bCs w:val="0"/>
        </w:rPr>
      </w:r>
      <w:r>
        <w:rPr>
          <w:rFonts w:ascii="Times New Roman" w:hAnsi="Times New Roman" w:cs="Times New Roman" w:eastAsia="Times New Roman" w:hint="default"/>
        </w:rPr>
        <w:t>28</w:t>
      </w:r>
      <w:r>
        <w:rPr/>
        <w:t>、经营租赁、融资租赁</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经营租赁会计处理" w:id="222"/>
      <w:bookmarkEnd w:id="222"/>
      <w:r>
        <w:rPr>
          <w:b w:val="0"/>
          <w:bCs w:val="0"/>
        </w:rPr>
      </w:r>
      <w:r>
        <w:rPr/>
        <w:t>（</w:t>
      </w:r>
      <w:r>
        <w:rPr>
          <w:rFonts w:ascii="Times New Roman" w:hAnsi="Times New Roman" w:cs="Times New Roman" w:eastAsia="Times New Roman" w:hint="default"/>
        </w:rPr>
        <w:t>1</w:t>
      </w:r>
      <w:r>
        <w:rPr/>
        <w:t>）经营租赁会计处理</w:t>
      </w:r>
      <w:r>
        <w:rPr>
          <w:b w:val="0"/>
          <w:bCs w:val="0"/>
        </w:rPr>
      </w:r>
    </w:p>
    <w:p>
      <w:pPr>
        <w:spacing w:line="240" w:lineRule="auto" w:before="12"/>
        <w:rPr>
          <w:rFonts w:ascii="宋体" w:hAnsi="宋体" w:cs="宋体" w:eastAsia="宋体" w:hint="default"/>
          <w:b/>
          <w:bCs/>
          <w:sz w:val="24"/>
          <w:szCs w:val="24"/>
        </w:rPr>
      </w:pPr>
    </w:p>
    <w:p>
      <w:pPr>
        <w:pStyle w:val="BodyText"/>
        <w:spacing w:line="300" w:lineRule="auto"/>
        <w:ind w:left="512" w:right="62"/>
        <w:jc w:val="left"/>
      </w:pPr>
      <w:r>
        <w:rPr/>
        <w:t>（</w:t>
      </w:r>
      <w:r>
        <w:rPr>
          <w:rFonts w:ascii="Times New Roman" w:hAnsi="Times New Roman" w:cs="Times New Roman" w:eastAsia="Times New Roman" w:hint="default"/>
        </w:rPr>
        <w:t>1</w:t>
      </w:r>
      <w:r>
        <w:rPr/>
        <w:t>）本集团作为承租人记录经营租赁业务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62"/>
        <w:jc w:val="left"/>
      </w:pPr>
      <w:r>
        <w:rPr/>
        <w:t>租金于实际发生时计入当期损益。</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2" w:right="274"/>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62"/>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62"/>
        <w:jc w:val="left"/>
        <w:rPr>
          <w:b w:val="0"/>
          <w:bCs w:val="0"/>
        </w:rPr>
      </w:pPr>
      <w:bookmarkStart w:name="（2）融资租赁会计处理" w:id="223"/>
      <w:bookmarkEnd w:id="223"/>
      <w:r>
        <w:rPr>
          <w:b w:val="0"/>
          <w:bCs w:val="0"/>
        </w:rPr>
      </w:r>
      <w:r>
        <w:rPr/>
        <w:t>（</w:t>
      </w:r>
      <w:r>
        <w:rPr>
          <w:rFonts w:ascii="Times New Roman" w:hAnsi="Times New Roman" w:cs="Times New Roman" w:eastAsia="Times New Roman" w:hint="default"/>
        </w:rPr>
        <w:t>2</w:t>
      </w:r>
      <w:r>
        <w:rPr/>
        <w:t>）融资租赁会计处理</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left="512" w:right="62"/>
        <w:jc w:val="left"/>
      </w:pPr>
      <w:r>
        <w:rPr/>
        <w:t>（</w:t>
      </w:r>
      <w:r>
        <w:rPr>
          <w:rFonts w:ascii="Times New Roman" w:hAnsi="Times New Roman" w:cs="Times New Roman" w:eastAsia="Times New Roman" w:hint="default"/>
        </w:rPr>
        <w:t>3</w:t>
      </w:r>
      <w:r>
        <w:rPr/>
        <w:t>）本集团作为承租人记录融资租赁业务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62"/>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8"/>
        <w:ind w:left="512" w:right="62"/>
        <w:jc w:val="left"/>
      </w:pPr>
      <w:r>
        <w:rPr/>
        <w:t>未确认融资费用在租赁期内采用实际利率法计算确认当期的融资费用。或有租金于实际发生时计入当期损益。</w:t>
      </w:r>
    </w:p>
    <w:p>
      <w:pPr>
        <w:pStyle w:val="BodyText"/>
        <w:spacing w:line="300" w:lineRule="auto" w:before="76"/>
        <w:ind w:left="512" w:right="62"/>
        <w:jc w:val="left"/>
      </w:pPr>
      <w:r>
        <w:rPr/>
        <w:t>（</w:t>
      </w:r>
      <w:r>
        <w:rPr>
          <w:rFonts w:ascii="Times New Roman" w:hAnsi="Times New Roman" w:cs="Times New Roman" w:eastAsia="Times New Roman" w:hint="default"/>
        </w:rPr>
        <w:t>4</w:t>
      </w:r>
      <w:r>
        <w:rPr/>
        <w:t>）本集团作为出租人记录融资租赁业务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6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8"/>
        <w:ind w:left="512" w:right="62"/>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62"/>
        <w:jc w:val="left"/>
        <w:rPr>
          <w:b w:val="0"/>
          <w:bCs w:val="0"/>
        </w:rPr>
      </w:pPr>
      <w:bookmarkStart w:name="（3）售后租回的会计处理" w:id="224"/>
      <w:bookmarkEnd w:id="224"/>
      <w:r>
        <w:rPr>
          <w:b w:val="0"/>
          <w:bCs w:val="0"/>
        </w:rPr>
      </w:r>
      <w:r>
        <w:rPr/>
        <w:t>（</w:t>
      </w:r>
      <w:r>
        <w:rPr>
          <w:rFonts w:ascii="Times New Roman" w:hAnsi="Times New Roman" w:cs="Times New Roman" w:eastAsia="Times New Roman" w:hint="default"/>
        </w:rPr>
        <w:t>3</w:t>
      </w:r>
      <w:r>
        <w:rPr/>
        <w:t>）售后租回的会计处理</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无</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29、持有待售资产" w:id="225"/>
      <w:bookmarkEnd w:id="225"/>
      <w:r>
        <w:rPr>
          <w:b w:val="0"/>
          <w:bCs w:val="0"/>
        </w:rPr>
      </w: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持有待售资产确认标准" w:id="226"/>
      <w:bookmarkEnd w:id="226"/>
      <w:r>
        <w:rPr>
          <w:b w:val="0"/>
          <w:bCs w:val="0"/>
        </w:rPr>
      </w: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无</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2）持有待售资产的会计处理方法" w:id="227"/>
      <w:bookmarkEnd w:id="227"/>
      <w:r>
        <w:rPr>
          <w:b w:val="0"/>
          <w:bCs w:val="0"/>
        </w:rPr>
      </w: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r>
        <w:rPr/>
        <w:t>无</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30、资产证券化业务" w:id="228"/>
      <w:bookmarkEnd w:id="228"/>
      <w:r>
        <w:rPr>
          <w:b w:val="0"/>
          <w:bCs w:val="0"/>
        </w:rPr>
      </w:r>
      <w:r>
        <w:rPr>
          <w:rFonts w:ascii="Times New Roman" w:hAnsi="Times New Roman" w:cs="Times New Roman" w:eastAsia="Times New Roman" w:hint="default"/>
        </w:rPr>
        <w:t>30</w:t>
      </w:r>
      <w:r>
        <w:rPr/>
        <w:t>、资产证券化业务</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无</w:t>
      </w:r>
    </w:p>
    <w:p>
      <w:pPr>
        <w:spacing w:line="240" w:lineRule="auto" w:before="3"/>
        <w:rPr>
          <w:rFonts w:ascii="宋体" w:hAnsi="宋体" w:cs="宋体" w:eastAsia="宋体" w:hint="default"/>
          <w:sz w:val="25"/>
          <w:szCs w:val="25"/>
        </w:rPr>
      </w:pPr>
    </w:p>
    <w:p>
      <w:pPr>
        <w:pStyle w:val="Heading3"/>
        <w:spacing w:line="240" w:lineRule="auto"/>
        <w:ind w:right="62"/>
        <w:jc w:val="left"/>
        <w:rPr>
          <w:b w:val="0"/>
          <w:bCs w:val="0"/>
        </w:rPr>
      </w:pPr>
      <w:bookmarkStart w:name="31、套期会计" w:id="229"/>
      <w:bookmarkEnd w:id="229"/>
      <w:r>
        <w:rPr>
          <w:b w:val="0"/>
          <w:bCs w:val="0"/>
        </w:rPr>
      </w:r>
      <w:r>
        <w:rPr>
          <w:rFonts w:ascii="Times New Roman" w:hAnsi="Times New Roman" w:cs="Times New Roman" w:eastAsia="Times New Roman" w:hint="default"/>
        </w:rPr>
        <w:t>31</w:t>
      </w:r>
      <w:r>
        <w:rPr/>
        <w:t>、套期会计</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r>
        <w:rPr/>
        <w:t>无</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62"/>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bookmarkStart w:name="32、主要会计政策、会计估计的变更" w:id="230"/>
      <w:bookmarkEnd w:id="230"/>
      <w:r>
        <w:rPr/>
      </w:r>
      <w:r>
        <w:rPr/>
        <w:t>本报告期主要会计政策、会计估计是否变更</w:t>
      </w:r>
    </w:p>
    <w:p>
      <w:pPr>
        <w:pStyle w:val="BodyText"/>
        <w:spacing w:line="240" w:lineRule="auto" w:before="115"/>
        <w:ind w:right="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62"/>
        <w:jc w:val="left"/>
        <w:rPr>
          <w:b w:val="0"/>
          <w:bCs w:val="0"/>
        </w:rPr>
      </w:pPr>
      <w:bookmarkStart w:name="（1）会计政策变更" w:id="231"/>
      <w:bookmarkEnd w:id="231"/>
      <w:r>
        <w:rPr>
          <w:b w:val="0"/>
          <w:bCs w:val="0"/>
        </w:rPr>
      </w: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5" w:footer="982" w:top="1060" w:bottom="1180" w:left="980" w:right="940"/>
        </w:sectPr>
      </w:pPr>
    </w:p>
    <w:p>
      <w:pPr>
        <w:pStyle w:val="BodyText"/>
        <w:spacing w:line="240" w:lineRule="auto" w:before="44"/>
        <w:ind w:right="-20"/>
        <w:jc w:val="left"/>
      </w:pPr>
      <w:r>
        <w:rPr/>
        <w:t>本报告期主要会计政策是否变更</w:t>
      </w:r>
    </w:p>
    <w:p>
      <w:pPr>
        <w:pStyle w:val="BodyText"/>
        <w:spacing w:line="340" w:lineRule="auto" w:before="115"/>
        <w:ind w:right="1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940"/>
          <w:cols w:num="2" w:equalWidth="0">
            <w:col w:w="2673" w:space="6154"/>
            <w:col w:w="116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08"/>
        <w:gridCol w:w="2690"/>
        <w:gridCol w:w="1466"/>
        <w:gridCol w:w="1901"/>
      </w:tblGrid>
      <w:tr>
        <w:trPr>
          <w:trHeight w:val="714" w:hRule="exact"/>
        </w:trPr>
        <w:tc>
          <w:tcPr>
            <w:tcW w:w="35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6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403" w:hRule="exact"/>
        </w:trPr>
        <w:tc>
          <w:tcPr>
            <w:tcW w:w="3508" w:type="dxa"/>
            <w:tcBorders>
              <w:top w:val="single" w:sz="4" w:space="0" w:color="000000"/>
              <w:left w:val="single" w:sz="4" w:space="0" w:color="000000"/>
              <w:bottom w:val="single" w:sz="4" w:space="0" w:color="000000"/>
              <w:right w:val="single" w:sz="4" w:space="0" w:color="000000"/>
            </w:tcBorders>
          </w:tcPr>
          <w:p>
            <w:pPr/>
          </w:p>
        </w:tc>
        <w:tc>
          <w:tcPr>
            <w:tcW w:w="2690"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2）会计估计变更" w:id="232"/>
      <w:bookmarkEnd w:id="232"/>
      <w:r>
        <w:rPr>
          <w:b w:val="0"/>
          <w:bCs w:val="0"/>
        </w:rPr>
      </w: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80" w:left="980" w:right="940"/>
        </w:sectPr>
      </w:pPr>
    </w:p>
    <w:p>
      <w:pPr>
        <w:pStyle w:val="BodyText"/>
        <w:spacing w:line="240" w:lineRule="auto" w:before="44"/>
        <w:ind w:right="-20"/>
        <w:jc w:val="left"/>
      </w:pPr>
      <w:r>
        <w:rPr/>
        <w:t>本报告期主要会计估计是否变更</w:t>
      </w:r>
    </w:p>
    <w:p>
      <w:pPr>
        <w:pStyle w:val="BodyText"/>
        <w:spacing w:line="338" w:lineRule="auto" w:before="117"/>
        <w:ind w:right="1073"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940"/>
          <w:cols w:num="2" w:equalWidth="0">
            <w:col w:w="2673" w:space="6154"/>
            <w:col w:w="116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12"/>
        <w:gridCol w:w="2686"/>
        <w:gridCol w:w="1466"/>
        <w:gridCol w:w="1901"/>
      </w:tblGrid>
      <w:tr>
        <w:trPr>
          <w:trHeight w:val="713" w:hRule="exact"/>
        </w:trPr>
        <w:tc>
          <w:tcPr>
            <w:tcW w:w="3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0"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33、前期会计差错更正" w:id="233"/>
      <w:bookmarkEnd w:id="233"/>
      <w:r>
        <w:rPr>
          <w:b w:val="0"/>
          <w:bCs w:val="0"/>
        </w:rPr>
      </w:r>
      <w:r>
        <w:rPr>
          <w:rFonts w:ascii="Times New Roman" w:hAnsi="Times New Roman" w:cs="Times New Roman" w:eastAsia="Times New Roman" w:hint="default"/>
        </w:rPr>
        <w:t>33</w:t>
      </w:r>
      <w:r>
        <w:rPr/>
        <w:t>、前期会计差错更正</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62"/>
        <w:jc w:val="left"/>
      </w:pPr>
      <w:r>
        <w:rPr/>
        <w:t>本报告期是否发现前期会计差错</w:t>
      </w:r>
    </w:p>
    <w:p>
      <w:pPr>
        <w:pStyle w:val="BodyText"/>
        <w:spacing w:line="340" w:lineRule="auto" w:before="117"/>
        <w:ind w:right="892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pStyle w:val="BodyText"/>
        <w:spacing w:line="316" w:lineRule="auto" w:before="41"/>
        <w:ind w:right="94"/>
        <w:jc w:val="left"/>
      </w:pPr>
      <w:r>
        <w:rPr/>
        <w:t>注：如有，应详细说明本报告期发现的前期会计差错，采用追溯重述法处理的，应披露前期会计差错内容、批准处理情况、 </w:t>
      </w:r>
      <w:r>
        <w:rPr>
          <w:spacing w:val="-2"/>
        </w:rPr>
        <w:t>受影响的各个比较报表项目名称和累积影响数；采用未来适用法的，应披露重大会计差错更正的内容、批准处理情况、采用</w:t>
      </w:r>
      <w:r>
        <w:rPr>
          <w:spacing w:val="-64"/>
        </w:rPr>
        <w:t> </w:t>
      </w:r>
      <w:r>
        <w:rPr>
          <w:spacing w:val="-64"/>
        </w:rPr>
      </w:r>
      <w:r>
        <w:rPr/>
        <w:t>未来使用法的原因。如表式无法清晰、完整地说明，则应补充采用文字说明。</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1）追溯重述法" w:id="234"/>
      <w:bookmarkEnd w:id="23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80" w:left="980" w:right="940"/>
        </w:sectPr>
      </w:pPr>
    </w:p>
    <w:p>
      <w:pPr>
        <w:pStyle w:val="BodyText"/>
        <w:spacing w:line="240" w:lineRule="auto" w:before="44"/>
        <w:ind w:right="-20"/>
        <w:jc w:val="left"/>
      </w:pPr>
      <w:r>
        <w:rPr/>
        <w:t>本报告期是否发现采用追溯重述法的前期会计差错</w:t>
      </w:r>
    </w:p>
    <w:p>
      <w:pPr>
        <w:pStyle w:val="BodyText"/>
        <w:spacing w:line="338" w:lineRule="auto" w:before="117"/>
        <w:ind w:right="2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详细说明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80" w:left="980" w:right="940"/>
          <w:cols w:num="2" w:equalWidth="0">
            <w:col w:w="4113" w:space="4714"/>
            <w:col w:w="116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25"/>
        <w:gridCol w:w="2453"/>
        <w:gridCol w:w="2273"/>
        <w:gridCol w:w="2114"/>
      </w:tblGrid>
      <w:tr>
        <w:trPr>
          <w:trHeight w:val="401" w:hRule="exact"/>
        </w:trPr>
        <w:tc>
          <w:tcPr>
            <w:tcW w:w="2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50"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1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26"/>
        <w:gridCol w:w="2453"/>
        <w:gridCol w:w="2273"/>
        <w:gridCol w:w="2114"/>
      </w:tblGrid>
      <w:tr>
        <w:trPr>
          <w:trHeight w:val="362" w:hRule="exact"/>
        </w:trPr>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114"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72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未来适用法" w:id="235"/>
      <w:bookmarkEnd w:id="23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本报告期是否发现采用未来适用法的前期会计差错</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详细说明</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54"/>
        <w:gridCol w:w="2940"/>
        <w:gridCol w:w="3775"/>
      </w:tblGrid>
      <w:tr>
        <w:trPr>
          <w:trHeight w:val="403" w:hRule="exact"/>
        </w:trPr>
        <w:tc>
          <w:tcPr>
            <w:tcW w:w="2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3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1" w:hRule="exact"/>
        </w:trPr>
        <w:tc>
          <w:tcPr>
            <w:tcW w:w="2854"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
        </w:tc>
        <w:tc>
          <w:tcPr>
            <w:tcW w:w="3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4、其他主要会计政策、会计估计和财务报表编制方法" w:id="236"/>
      <w:bookmarkEnd w:id="236"/>
      <w:r>
        <w:rPr>
          <w:b w:val="0"/>
          <w:bCs w:val="0"/>
        </w:rPr>
      </w: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五、税项" w:id="237"/>
      <w:bookmarkEnd w:id="237"/>
      <w:r>
        <w:rPr>
          <w:b w:val="0"/>
          <w:bCs w:val="0"/>
        </w:rPr>
      </w:r>
      <w:r>
        <w:rPr/>
        <w:t>五、税项</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bookmarkStart w:name="1、公司主要税种和税率" w:id="238"/>
      <w:bookmarkEnd w:id="238"/>
      <w:r>
        <w:rPr>
          <w:b w:val="0"/>
          <w:bCs w:val="0"/>
        </w:rPr>
      </w:r>
      <w:r>
        <w:rPr>
          <w:rFonts w:ascii="Times New Roman" w:hAnsi="Times New Roman" w:cs="Times New Roman" w:eastAsia="Times New Roman" w:hint="default"/>
        </w:rPr>
        <w:t>1</w:t>
      </w:r>
      <w:r>
        <w:rPr/>
        <w:t>、公司主要税种和税率</w:t>
      </w:r>
      <w:r>
        <w:rPr>
          <w:b w:val="0"/>
          <w:bCs w:val="0"/>
        </w:rPr>
      </w: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492"/>
        <w:gridCol w:w="3036"/>
        <w:gridCol w:w="3026"/>
      </w:tblGrid>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629" w:hRule="exact"/>
        </w:trPr>
        <w:tc>
          <w:tcPr>
            <w:tcW w:w="3492" w:type="dxa"/>
            <w:tcBorders>
              <w:top w:val="single" w:sz="4" w:space="0" w:color="000000"/>
              <w:left w:val="single" w:sz="4" w:space="0" w:color="000000"/>
              <w:bottom w:val="nil" w:sz="6" w:space="0" w:color="auto"/>
              <w:right w:val="single" w:sz="4" w:space="0" w:color="000000"/>
            </w:tcBorders>
            <w:shd w:val="clear" w:color="auto" w:fill="D4D4D4"/>
          </w:tcPr>
          <w:p>
            <w:pPr/>
          </w:p>
        </w:tc>
        <w:tc>
          <w:tcPr>
            <w:tcW w:w="3036"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年度按应纳税所得额的 </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计缴；江苏神州信源系统工程有限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计缴；上 海北信源信息技术有限公司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年度免交企业所得税。</w:t>
            </w:r>
          </w:p>
        </w:tc>
      </w:tr>
      <w:tr>
        <w:trPr>
          <w:trHeight w:val="394" w:hRule="exact"/>
        </w:trPr>
        <w:tc>
          <w:tcPr>
            <w:tcW w:w="34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vMerge/>
            <w:tcBorders>
              <w:left w:val="single" w:sz="10" w:space="0" w:color="D4D4D4"/>
              <w:right w:val="single" w:sz="4" w:space="0" w:color="000000"/>
            </w:tcBorders>
          </w:tcPr>
          <w:p>
            <w:pPr/>
          </w:p>
        </w:tc>
        <w:tc>
          <w:tcPr>
            <w:tcW w:w="3026" w:type="dxa"/>
            <w:vMerge/>
            <w:tcBorders>
              <w:left w:val="single" w:sz="4" w:space="0" w:color="000000"/>
              <w:right w:val="single" w:sz="4" w:space="0" w:color="000000"/>
            </w:tcBorders>
          </w:tcPr>
          <w:p>
            <w:pPr/>
          </w:p>
        </w:tc>
      </w:tr>
      <w:tr>
        <w:trPr>
          <w:trHeight w:val="629" w:hRule="exact"/>
        </w:trPr>
        <w:tc>
          <w:tcPr>
            <w:tcW w:w="3492" w:type="dxa"/>
            <w:tcBorders>
              <w:top w:val="nil" w:sz="6" w:space="0" w:color="auto"/>
              <w:left w:val="single" w:sz="4" w:space="0" w:color="000000"/>
              <w:bottom w:val="single" w:sz="4" w:space="0" w:color="000000"/>
              <w:right w:val="single" w:sz="4" w:space="0" w:color="000000"/>
            </w:tcBorders>
            <w:shd w:val="clear" w:color="auto" w:fill="D4D4D4"/>
          </w:tcPr>
          <w:p>
            <w:pPr/>
          </w:p>
        </w:tc>
        <w:tc>
          <w:tcPr>
            <w:tcW w:w="3036" w:type="dxa"/>
            <w:vMerge/>
            <w:tcBorders>
              <w:left w:val="single" w:sz="10" w:space="0" w:color="D4D4D4"/>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1"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00" w:lineRule="auto" w:before="49"/>
        <w:ind w:right="144"/>
        <w:jc w:val="left"/>
      </w:pPr>
      <w:r>
        <w:rPr/>
        <w:t>注：</w:t>
      </w:r>
      <w:r>
        <w:rPr>
          <w:rFonts w:ascii="Times New Roman" w:hAnsi="Times New Roman" w:cs="Times New Roman" w:eastAsia="Times New Roman" w:hint="default"/>
        </w:rPr>
        <w:t>1</w:t>
      </w:r>
      <w:r>
        <w:rPr/>
        <w:t>、按税种分项说明报告期执行的法定税率。各分公司、分厂异地独立缴纳所得税的，应说明各分公司、分厂执行的所 得税税率。</w:t>
      </w:r>
    </w:p>
    <w:p>
      <w:pPr>
        <w:pStyle w:val="BodyText"/>
        <w:spacing w:line="340" w:lineRule="auto" w:before="70"/>
        <w:ind w:right="0" w:firstLine="360"/>
        <w:jc w:val="left"/>
      </w:pPr>
      <w:r>
        <w:rPr>
          <w:rFonts w:ascii="Times New Roman" w:hAnsi="Times New Roman" w:cs="Times New Roman" w:eastAsia="Times New Roman" w:hint="default"/>
        </w:rPr>
        <w:t>2</w:t>
      </w:r>
      <w:r>
        <w:rPr/>
        <w:t>、若公司同一税种在同一期间适用不同税率，应分别税率详细列示，并分别说明适用范围。 各分公司、分厂执行的所得税税率</w:t>
      </w:r>
    </w:p>
    <w:p>
      <w:pPr>
        <w:pStyle w:val="BodyText"/>
        <w:spacing w:line="300" w:lineRule="auto" w:before="41"/>
        <w:ind w:right="143"/>
        <w:jc w:val="left"/>
      </w:pPr>
      <w:r>
        <w:rPr>
          <w:spacing w:val="-1"/>
        </w:rPr>
        <w:t>江苏神州信源系统工程有限公司按应纳税所得额的</w:t>
      </w:r>
      <w:r>
        <w:rPr>
          <w:rFonts w:ascii="Times New Roman" w:hAnsi="Times New Roman" w:cs="Times New Roman" w:eastAsia="Times New Roman" w:hint="default"/>
          <w:spacing w:val="-1"/>
        </w:rPr>
        <w:t>25%</w:t>
      </w:r>
      <w:r>
        <w:rPr>
          <w:spacing w:val="-1"/>
        </w:rPr>
        <w:t>计缴；上海北信源信息技术有限公司</w:t>
      </w:r>
      <w:r>
        <w:rPr>
          <w:rFonts w:ascii="Times New Roman" w:hAnsi="Times New Roman" w:cs="Times New Roman" w:eastAsia="Times New Roman" w:hint="default"/>
          <w:spacing w:val="-1"/>
        </w:rPr>
        <w:t>2011</w:t>
      </w:r>
      <w:r>
        <w:rPr>
          <w:spacing w:val="-1"/>
        </w:rPr>
        <w:t>年度、</w:t>
      </w:r>
      <w:r>
        <w:rPr>
          <w:rFonts w:ascii="Times New Roman" w:hAnsi="Times New Roman" w:cs="Times New Roman" w:eastAsia="Times New Roman" w:hint="default"/>
          <w:spacing w:val="-1"/>
        </w:rPr>
        <w:t>2012</w:t>
      </w:r>
      <w:r>
        <w:rPr>
          <w:spacing w:val="-1"/>
        </w:rPr>
        <w:t>年度免交企业所</w:t>
      </w:r>
      <w:r>
        <w:rPr/>
        <w:t> 得税。</w:t>
      </w:r>
    </w:p>
    <w:p>
      <w:pPr>
        <w:pStyle w:val="BodyText"/>
        <w:spacing w:line="240" w:lineRule="auto" w:before="72"/>
        <w:ind w:right="0"/>
        <w:jc w:val="left"/>
      </w:pPr>
      <w:r>
        <w:rPr/>
        <w:t>注：各分公司、分厂异地独立缴纳所得税的，应说明各分公司、分厂执行的所得税税率。</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2、税收优惠及批文" w:id="239"/>
      <w:bookmarkEnd w:id="239"/>
      <w:r>
        <w:rPr>
          <w:b w:val="0"/>
          <w:bCs w:val="0"/>
        </w:rPr>
      </w:r>
      <w:r>
        <w:rPr>
          <w:rFonts w:ascii="Times New Roman" w:hAnsi="Times New Roman" w:cs="Times New Roman" w:eastAsia="Times New Roman" w:hint="default"/>
        </w:rPr>
        <w:t>2</w:t>
      </w:r>
      <w:r>
        <w:rPr/>
        <w:t>、税收优惠及批文</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88" w:firstLine="360"/>
        <w:jc w:val="left"/>
      </w:pPr>
      <w:r>
        <w:rPr/>
        <w:t>（</w:t>
      </w:r>
      <w:r>
        <w:rPr>
          <w:rFonts w:ascii="Times New Roman" w:hAnsi="Times New Roman" w:cs="Times New Roman" w:eastAsia="Times New Roman" w:hint="default"/>
        </w:rPr>
        <w:t>1</w:t>
      </w:r>
      <w:r>
        <w:rPr/>
        <w:t>）根据国务院国发</w:t>
      </w:r>
      <w:r>
        <w:rPr>
          <w:rFonts w:ascii="Times New Roman" w:hAnsi="Times New Roman" w:cs="Times New Roman" w:eastAsia="Times New Roman" w:hint="default"/>
        </w:rPr>
        <w:t>[2000]18</w:t>
      </w:r>
      <w:r>
        <w:rPr/>
        <w:t>号文件《国务院关于印发</w:t>
      </w:r>
      <w:r>
        <w:rPr>
          <w:rFonts w:ascii="Times New Roman" w:hAnsi="Times New Roman" w:cs="Times New Roman" w:eastAsia="Times New Roman" w:hint="default"/>
        </w:rPr>
        <w:t>&lt;</w:t>
      </w:r>
      <w:r>
        <w:rPr/>
        <w:t>鼓励软件产业和集成电路产业发展若干政策</w:t>
      </w:r>
      <w:r>
        <w:rPr>
          <w:rFonts w:ascii="Times New Roman" w:hAnsi="Times New Roman" w:cs="Times New Roman" w:eastAsia="Times New Roman" w:hint="default"/>
        </w:rPr>
        <w:t>&gt;</w:t>
      </w:r>
      <w:r>
        <w:rPr/>
        <w:t>的通知》和财政 部、国家税务总局、海关总署下发财税</w:t>
      </w:r>
      <w:r>
        <w:rPr>
          <w:rFonts w:ascii="Times New Roman" w:hAnsi="Times New Roman" w:cs="Times New Roman" w:eastAsia="Times New Roman" w:hint="default"/>
        </w:rPr>
        <w:t>[2000]25</w:t>
      </w:r>
      <w:r>
        <w:rPr>
          <w:rFonts w:ascii="Times New Roman" w:hAnsi="Times New Roman" w:cs="Times New Roman" w:eastAsia="Times New Roman" w:hint="default"/>
          <w:spacing w:val="21"/>
        </w:rPr>
        <w:t> </w:t>
      </w:r>
      <w:r>
        <w:rPr/>
        <w:t>号文《关于鼓励软件产业和集成电路产业发展有关税收政策问题的通知》， </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年底以前，公司自行开发研制软件产品销售收入按</w:t>
      </w:r>
      <w:r>
        <w:rPr>
          <w:rFonts w:ascii="Times New Roman" w:hAnsi="Times New Roman" w:cs="Times New Roman" w:eastAsia="Times New Roman" w:hint="default"/>
        </w:rPr>
        <w:t>17%</w:t>
      </w:r>
      <w:r>
        <w:rPr/>
        <w:t>的法定税率计缴增值税，对实际税负超过</w:t>
      </w:r>
      <w:r>
        <w:rPr>
          <w:rFonts w:ascii="Times New Roman" w:hAnsi="Times New Roman" w:cs="Times New Roman" w:eastAsia="Times New Roman" w:hint="default"/>
        </w:rPr>
        <w:t>3%</w:t>
      </w:r>
      <w:r>
        <w:rPr/>
        <w:t>的部分实行即征即 退政策。</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日，国务院《关于印发进一步鼓励软件产业和集成电路产业发展若干政策的通知》（国发</w:t>
      </w:r>
      <w:r>
        <w:rPr>
          <w:rFonts w:ascii="Times New Roman" w:hAnsi="Times New Roman" w:cs="Times New Roman" w:eastAsia="Times New Roman" w:hint="default"/>
        </w:rPr>
        <w:t>[2011]4</w:t>
      </w:r>
      <w:r>
        <w:rPr/>
        <w:t>号）</w:t>
      </w:r>
      <w:r>
        <w:rPr>
          <w:spacing w:val="-3"/>
        </w:rPr>
        <w:t> </w:t>
      </w:r>
      <w:r>
        <w:rPr/>
        <w:t>继续实施上述软件增值税税收优惠政策。</w:t>
      </w:r>
    </w:p>
    <w:p>
      <w:pPr>
        <w:pStyle w:val="BodyText"/>
        <w:spacing w:line="300" w:lineRule="auto" w:before="31"/>
        <w:ind w:right="193"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日，本公司取得了北京市科学技术委员会、北京市财政局、北京市国家税务局和北京市地方税务局 </w:t>
      </w:r>
      <w:r>
        <w:rPr>
          <w:spacing w:val="-2"/>
        </w:rPr>
        <w:t>联合颁发的《高新技术企业证书》。根据《中华人民共和国企业所得税法》、《中华人民共和国企业所得税暂行条例》以及</w:t>
      </w:r>
    </w:p>
    <w:p>
      <w:pPr>
        <w:pStyle w:val="BodyText"/>
        <w:spacing w:line="240" w:lineRule="auto" w:before="31"/>
        <w:ind w:right="0"/>
        <w:jc w:val="both"/>
      </w:pPr>
      <w:r>
        <w:rPr/>
        <w:t>《高新技术企业认定管理办法》的相关规定，</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年本公司适用的企业所得税税率为</w:t>
      </w:r>
      <w:r>
        <w:rPr>
          <w:rFonts w:ascii="Times New Roman" w:hAnsi="Times New Roman" w:cs="Times New Roman" w:eastAsia="Times New Roman" w:hint="default"/>
        </w:rPr>
        <w:t>15%</w:t>
      </w:r>
      <w:r>
        <w:rPr/>
        <w:t>。</w:t>
      </w:r>
    </w:p>
    <w:p>
      <w:pPr>
        <w:pStyle w:val="BodyText"/>
        <w:spacing w:line="300" w:lineRule="auto" w:before="62"/>
        <w:ind w:right="169" w:firstLine="359"/>
        <w:jc w:val="both"/>
      </w:pPr>
      <w:r>
        <w:rPr/>
        <w:t>（</w:t>
      </w:r>
      <w:r>
        <w:rPr>
          <w:rFonts w:ascii="Times New Roman" w:hAnsi="Times New Roman" w:cs="Times New Roman" w:eastAsia="Times New Roman" w:hint="default"/>
        </w:rPr>
        <w:t>3</w:t>
      </w:r>
      <w:r>
        <w:rPr/>
        <w:t>）根据财政部、国家税务总局下发财税</w:t>
      </w:r>
      <w:r>
        <w:rPr>
          <w:rFonts w:ascii="Times New Roman" w:hAnsi="Times New Roman" w:cs="Times New Roman" w:eastAsia="Times New Roman" w:hint="default"/>
        </w:rPr>
        <w:t>[2003]244</w:t>
      </w:r>
      <w:r>
        <w:rPr/>
        <w:t>号文《关于扩大企业技术开发费加计扣除政策适用范围的通知》， </w:t>
      </w:r>
      <w:r>
        <w:rPr>
          <w:spacing w:val="-1"/>
        </w:rPr>
        <w:t>企业研究开发新产品、新技术、新工艺所实际发生的费用，除按规定据实列支外，可再按当年实际发生额的</w:t>
      </w:r>
      <w:r>
        <w:rPr>
          <w:rFonts w:ascii="Times New Roman" w:hAnsi="Times New Roman" w:cs="Times New Roman" w:eastAsia="Times New Roman" w:hint="default"/>
          <w:spacing w:val="-1"/>
        </w:rPr>
        <w:t>50%</w:t>
      </w:r>
      <w:r>
        <w:rPr>
          <w:spacing w:val="-1"/>
        </w:rPr>
        <w:t>抵扣企业当</w:t>
      </w:r>
      <w:r>
        <w:rPr>
          <w:spacing w:val="-86"/>
        </w:rPr>
        <w:t> </w:t>
      </w:r>
      <w:r>
        <w:rPr/>
        <w:t>年应纳税所得额。本公司</w:t>
      </w:r>
      <w:r>
        <w:rPr>
          <w:rFonts w:ascii="Times New Roman" w:hAnsi="Times New Roman" w:cs="Times New Roman" w:eastAsia="Times New Roman" w:hint="default"/>
        </w:rPr>
        <w:t>2012</w:t>
      </w:r>
      <w:r>
        <w:rPr/>
        <w:t>年度享受此优惠政策。</w:t>
      </w:r>
    </w:p>
    <w:p>
      <w:pPr>
        <w:pStyle w:val="BodyText"/>
        <w:spacing w:line="309" w:lineRule="auto" w:before="13"/>
        <w:ind w:right="191" w:firstLine="360"/>
        <w:jc w:val="both"/>
      </w:pPr>
      <w:r>
        <w:rPr/>
        <w:t>（</w:t>
      </w:r>
      <w:r>
        <w:rPr>
          <w:rFonts w:ascii="Times New Roman" w:hAnsi="Times New Roman" w:cs="Times New Roman" w:eastAsia="Times New Roman" w:hint="default"/>
        </w:rPr>
        <w:t>4</w:t>
      </w:r>
      <w:r>
        <w:rPr/>
        <w:t>）根据财政部、国家税务总局下发财税字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36"/>
        </w:rPr>
        <w:t> </w:t>
      </w:r>
      <w:r>
        <w:rPr/>
        <w:t>号文《关于贯彻落实〈中共中央、国务院关于加强技术创新，</w:t>
      </w:r>
      <w:r>
        <w:rPr>
          <w:spacing w:val="2"/>
        </w:rPr>
        <w:t> </w:t>
      </w:r>
      <w:r>
        <w:rPr>
          <w:spacing w:val="-2"/>
        </w:rPr>
        <w:t>发展高科技，实现产业化的决定〉有关税收问题的通知》，本公司从事技术转让、技术开发业务和与之相关的技术咨询、技</w:t>
      </w:r>
      <w:r>
        <w:rPr>
          <w:spacing w:val="-69"/>
        </w:rPr>
        <w:t> </w:t>
      </w:r>
      <w:r>
        <w:rPr>
          <w:spacing w:val="-69"/>
        </w:rPr>
      </w:r>
      <w:r>
        <w:rPr/>
        <w:t>术服务业务取得的收入，免征营业税。</w:t>
      </w:r>
    </w:p>
    <w:p>
      <w:pPr>
        <w:pStyle w:val="BodyText"/>
        <w:spacing w:line="300" w:lineRule="auto" w:before="24"/>
        <w:ind w:right="188" w:firstLine="360"/>
        <w:jc w:val="both"/>
      </w:pPr>
      <w:r>
        <w:rPr/>
        <w:t>（</w:t>
      </w:r>
      <w:r>
        <w:rPr>
          <w:rFonts w:ascii="Times New Roman" w:hAnsi="Times New Roman" w:cs="Times New Roman" w:eastAsia="Times New Roman" w:hint="default"/>
        </w:rPr>
        <w:t>5</w:t>
      </w:r>
      <w:r>
        <w:rPr/>
        <w:t>）根据财税（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w:t>
      </w:r>
      <w:r>
        <w:rPr/>
        <w:t>号文、沪地税闸十六</w:t>
      </w:r>
      <w:r>
        <w:rPr>
          <w:rFonts w:ascii="Times New Roman" w:hAnsi="Times New Roman" w:cs="Times New Roman" w:eastAsia="Times New Roman" w:hint="default"/>
        </w:rPr>
        <w:t>[2011]000003</w:t>
      </w:r>
      <w:r>
        <w:rPr/>
        <w:t>号企业所得税优惠审批结果通知书，本公司的全资子公司</w:t>
      </w:r>
      <w:r>
        <w:rPr>
          <w:spacing w:val="2"/>
        </w:rPr>
        <w:t> </w:t>
      </w:r>
      <w:r>
        <w:rPr>
          <w:spacing w:val="-2"/>
        </w:rPr>
        <w:t>上海北信源信息技术有限公司自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日免征企业所得税，自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日减半征</w:t>
      </w:r>
      <w:r>
        <w:rPr>
          <w:spacing w:val="-44"/>
        </w:rPr>
        <w:t> </w:t>
      </w:r>
      <w:r>
        <w:rPr/>
        <w:t>收企业所得税。</w:t>
      </w:r>
    </w:p>
    <w:p>
      <w:pPr>
        <w:spacing w:line="240" w:lineRule="auto" w:before="0"/>
        <w:rPr>
          <w:rFonts w:ascii="宋体" w:hAnsi="宋体" w:cs="宋体" w:eastAsia="宋体" w:hint="default"/>
          <w:sz w:val="18"/>
          <w:szCs w:val="18"/>
        </w:rPr>
      </w:pPr>
    </w:p>
    <w:p>
      <w:pPr>
        <w:pStyle w:val="BodyText"/>
        <w:spacing w:line="316" w:lineRule="auto" w:before="148"/>
        <w:ind w:right="190"/>
        <w:jc w:val="both"/>
      </w:pPr>
      <w:r>
        <w:rPr>
          <w:spacing w:val="-2"/>
        </w:rPr>
        <w:t>注：公司如存在各种税种的减免情况，应按税种分项说明相关法律法规或政策依据、批准机关、批准文号、减免幅度及有效</w:t>
      </w:r>
      <w:r>
        <w:rPr>
          <w:spacing w:val="-67"/>
        </w:rPr>
        <w:t> </w:t>
      </w:r>
      <w:r>
        <w:rPr>
          <w:spacing w:val="-67"/>
        </w:rPr>
      </w:r>
      <w:r>
        <w:rPr>
          <w:spacing w:val="-2"/>
        </w:rPr>
        <w:t>期限。对于超过法定纳税期限尚未缴纳的税款，应列示主管税务机关的批准文件。享有其他特殊税收优惠政策的，应说明该</w:t>
      </w:r>
      <w:r>
        <w:rPr>
          <w:spacing w:val="-65"/>
        </w:rPr>
        <w:t> </w:t>
      </w:r>
      <w:r>
        <w:rPr>
          <w:spacing w:val="-65"/>
        </w:rPr>
      </w:r>
      <w:r>
        <w:rPr/>
        <w:t>政策的有效期限、累计获得的税收优惠以及已获得但尚未执行的税收优惠。</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其他说明" w:id="240"/>
      <w:bookmarkEnd w:id="240"/>
      <w:r>
        <w:rPr>
          <w:b w:val="0"/>
          <w:bCs w:val="0"/>
        </w:rPr>
      </w:r>
      <w:r>
        <w:rPr>
          <w:rFonts w:ascii="Times New Roman" w:hAnsi="Times New Roman" w:cs="Times New Roman" w:eastAsia="Times New Roman" w:hint="default"/>
        </w:rPr>
        <w:t>3</w:t>
      </w:r>
      <w:r>
        <w:rPr/>
        <w:t>、其他说明</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93" w:firstLine="360"/>
        <w:jc w:val="both"/>
      </w:pPr>
      <w:r>
        <w:rPr/>
        <w:t>本集团从事软件服务业收入，原先按</w:t>
      </w:r>
      <w:r>
        <w:rPr>
          <w:rFonts w:ascii="Times New Roman" w:hAnsi="Times New Roman" w:cs="Times New Roman" w:eastAsia="Times New Roman" w:hint="default"/>
        </w:rPr>
        <w:t>5%</w:t>
      </w:r>
      <w:r>
        <w:rPr/>
        <w:t>税率计缴营业税。根据《财政部、国家税务总局关于在上海市开展交通运输业 和部分现代服务业营业税改征增值税试点的通知》（财税</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rFonts w:ascii="Times New Roman" w:hAnsi="Times New Roman" w:cs="Times New Roman" w:eastAsia="Times New Roman" w:hint="default"/>
        </w:rPr>
        <w:t>111</w:t>
      </w:r>
      <w:r>
        <w:rPr/>
        <w:t>号）等相关规定，本集团位于上海市的子公司上海北信 源信息技术有限公司从事软件服务业的收入，自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日起改为征收增值税，税率为</w:t>
      </w:r>
      <w:r>
        <w:rPr>
          <w:rFonts w:ascii="Times New Roman" w:hAnsi="Times New Roman" w:cs="Times New Roman" w:eastAsia="Times New Roman" w:hint="default"/>
        </w:rPr>
        <w:t>6</w:t>
      </w:r>
      <w:r>
        <w:rPr/>
        <w:t>％。</w:t>
      </w:r>
    </w:p>
    <w:p>
      <w:pPr>
        <w:pStyle w:val="BodyText"/>
        <w:spacing w:line="300" w:lineRule="auto" w:before="13"/>
        <w:ind w:right="193" w:firstLine="360"/>
        <w:jc w:val="both"/>
      </w:pPr>
      <w:r>
        <w:rPr>
          <w:spacing w:val="-4"/>
        </w:rPr>
        <w:t>根据《财政部、国家税务总局关于在北京等</w:t>
      </w:r>
      <w:r>
        <w:rPr>
          <w:rFonts w:ascii="Times New Roman" w:hAnsi="Times New Roman" w:cs="Times New Roman" w:eastAsia="Times New Roman" w:hint="default"/>
          <w:spacing w:val="-4"/>
        </w:rPr>
        <w:t>8</w:t>
      </w:r>
      <w:r>
        <w:rPr>
          <w:spacing w:val="-4"/>
        </w:rPr>
        <w:t>省市开展交通运输业和部分现代服务业营业税改征增值税试点的通知》（财</w:t>
      </w:r>
      <w:r>
        <w:rPr/>
        <w:t> 税</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rFonts w:ascii="Times New Roman" w:hAnsi="Times New Roman" w:cs="Times New Roman" w:eastAsia="Times New Roman" w:hint="default"/>
        </w:rPr>
        <w:t>71</w:t>
      </w:r>
      <w:r>
        <w:rPr/>
        <w:t>号）等相关规定，母公司从事软件服务业收入，自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日起改为征收增值税，税率为</w:t>
      </w:r>
      <w:r>
        <w:rPr>
          <w:rFonts w:ascii="Times New Roman" w:hAnsi="Times New Roman" w:cs="Times New Roman" w:eastAsia="Times New Roman" w:hint="default"/>
        </w:rPr>
        <w:t>6</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bookmarkStart w:name="六、企业合并及合并财务报表" w:id="241"/>
      <w:bookmarkEnd w:id="241"/>
      <w:r>
        <w:rPr>
          <w:b w:val="0"/>
          <w:bCs w:val="0"/>
        </w:rPr>
      </w:r>
      <w:r>
        <w:rPr/>
        <w:t>六、企业合并及合并财务报表</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both"/>
        <w:rPr>
          <w:b w:val="0"/>
          <w:bCs w:val="0"/>
        </w:rPr>
      </w:pPr>
      <w:bookmarkStart w:name="1、子公司情况" w:id="242"/>
      <w:bookmarkEnd w:id="242"/>
      <w:r>
        <w:rPr>
          <w:b w:val="0"/>
          <w:bCs w:val="0"/>
        </w:rPr>
      </w: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both"/>
        <w:rPr>
          <w:b w:val="0"/>
          <w:bCs w:val="0"/>
        </w:rPr>
      </w:pPr>
      <w:bookmarkStart w:name="（1）通过设立或投资等方式取得的子公司" w:id="243"/>
      <w:bookmarkEnd w:id="243"/>
      <w:r>
        <w:rPr>
          <w:b w:val="0"/>
          <w:bCs w:val="0"/>
        </w:rPr>
      </w: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1298"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4418"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公司少 数股东 分担的 本期亏 损超过 少数股 东在该 子公司 年初所 有者权 益中所 享有份 额后的 余额</w:t>
            </w:r>
          </w:p>
        </w:tc>
      </w:tr>
      <w:tr>
        <w:trPr>
          <w:trHeight w:val="88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08"/>
              <w:jc w:val="both"/>
              <w:rPr>
                <w:rFonts w:ascii="宋体" w:hAnsi="宋体" w:cs="宋体" w:eastAsia="宋体" w:hint="default"/>
                <w:sz w:val="18"/>
                <w:szCs w:val="18"/>
              </w:rPr>
            </w:pPr>
            <w:r>
              <w:rPr>
                <w:rFonts w:ascii="宋体" w:hAnsi="宋体" w:cs="宋体" w:eastAsia="宋体" w:hint="default"/>
                <w:sz w:val="18"/>
                <w:szCs w:val="18"/>
              </w:rPr>
              <w:t>上海北 信源信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在信 息、计 算机软 硬件、 通信设 备科技 专业领 域内从 事技术 开发、 技术咨 询、技 术服 务、技 术转 让，网 络工 程，电 子商务</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（不得 从事增 值电 信、金 融业 </w:t>
            </w:r>
            <w:r>
              <w:rPr>
                <w:rFonts w:ascii="宋体" w:hAnsi="宋体" w:cs="宋体" w:eastAsia="宋体" w:hint="default"/>
                <w:spacing w:val="-24"/>
                <w:sz w:val="18"/>
                <w:szCs w:val="18"/>
              </w:rPr>
              <w:t>务），计</w:t>
            </w:r>
            <w:r>
              <w:rPr>
                <w:rFonts w:ascii="宋体" w:hAnsi="宋体" w:cs="宋体" w:eastAsia="宋体" w:hint="default"/>
                <w:sz w:val="18"/>
                <w:szCs w:val="18"/>
              </w:rPr>
              <w:t> 算机软 硬件销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江苏神 州信源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软件开 发，计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86"/>
        <w:gridCol w:w="684"/>
        <w:gridCol w:w="684"/>
        <w:gridCol w:w="682"/>
        <w:gridCol w:w="684"/>
        <w:gridCol w:w="682"/>
        <w:gridCol w:w="684"/>
        <w:gridCol w:w="684"/>
        <w:gridCol w:w="682"/>
        <w:gridCol w:w="684"/>
        <w:gridCol w:w="682"/>
        <w:gridCol w:w="684"/>
        <w:gridCol w:w="682"/>
        <w:gridCol w:w="684"/>
      </w:tblGrid>
      <w:tr>
        <w:trPr>
          <w:trHeight w:val="137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both"/>
              <w:rPr>
                <w:rFonts w:ascii="宋体" w:hAnsi="宋体" w:cs="宋体" w:eastAsia="宋体" w:hint="default"/>
                <w:sz w:val="18"/>
                <w:szCs w:val="18"/>
              </w:rPr>
            </w:pPr>
            <w:r>
              <w:rPr>
                <w:rFonts w:ascii="宋体" w:hAnsi="宋体" w:cs="宋体" w:eastAsia="宋体" w:hint="default"/>
                <w:sz w:val="18"/>
                <w:szCs w:val="18"/>
              </w:rPr>
              <w:t>系统工 程有限 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算机系 统服 务，数 据处 理，计 算机维 修，基 础软件 服务， 应用软 件服 务，计 算机硬 件、通 信设备 的研 发、技 术推 广、技 术转 让、维 修、咨 询、服 务，国 内贸 易，计 算机 软、硬 件的生 产，计 算机网 络工程 的设 计、施 工，建 筑安 装，室 内外装 饰，经 济信息 咨询， 自营和 代理各 类商品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4"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2" w:header="745" w:top="1060" w:bottom="118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及技术 的进出 口业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right="150"/>
        <w:jc w:val="left"/>
      </w:pPr>
      <w:r>
        <w:rPr>
          <w:spacing w:val="-1"/>
        </w:rPr>
        <w:t>注：</w:t>
      </w:r>
      <w:r>
        <w:rPr>
          <w:rFonts w:ascii="Times New Roman" w:hAnsi="Times New Roman" w:cs="Times New Roman" w:eastAsia="Times New Roman" w:hint="default"/>
          <w:spacing w:val="-1"/>
        </w:rPr>
        <w:t>“</w:t>
      </w:r>
      <w:r>
        <w:rPr>
          <w:spacing w:val="-1"/>
        </w:rPr>
        <w:t>持股比例</w:t>
      </w:r>
      <w:r>
        <w:rPr>
          <w:rFonts w:ascii="Times New Roman" w:hAnsi="Times New Roman" w:cs="Times New Roman" w:eastAsia="Times New Roman" w:hint="default"/>
          <w:spacing w:val="-1"/>
        </w:rPr>
        <w:t>”</w:t>
      </w:r>
      <w:r>
        <w:rPr>
          <w:spacing w:val="-1"/>
        </w:rPr>
        <w:t>填列享有被投资单位权益份额的比例，</w:t>
      </w:r>
      <w:r>
        <w:rPr>
          <w:rFonts w:ascii="Times New Roman" w:hAnsi="Times New Roman" w:cs="Times New Roman" w:eastAsia="Times New Roman" w:hint="default"/>
          <w:spacing w:val="-1"/>
        </w:rPr>
        <w:t>“</w:t>
      </w:r>
      <w:r>
        <w:rPr>
          <w:spacing w:val="-1"/>
        </w:rPr>
        <w:t>表决权比例</w:t>
      </w:r>
      <w:r>
        <w:rPr>
          <w:rFonts w:ascii="Times New Roman" w:hAnsi="Times New Roman" w:cs="Times New Roman" w:eastAsia="Times New Roman" w:hint="default"/>
          <w:spacing w:val="-1"/>
        </w:rPr>
        <w:t>”</w:t>
      </w:r>
      <w:r>
        <w:rPr>
          <w:spacing w:val="-1"/>
        </w:rPr>
        <w:t>填列直接持有的比例和通过所控制的被投资单位间接持</w:t>
      </w:r>
      <w:r>
        <w:rPr>
          <w:spacing w:val="-78"/>
        </w:rPr>
        <w:t> </w:t>
      </w:r>
      <w:r>
        <w:rPr/>
        <w:t>有的比例。</w:t>
      </w:r>
    </w:p>
    <w:p>
      <w:pPr>
        <w:pStyle w:val="BodyText"/>
        <w:spacing w:line="360" w:lineRule="auto" w:before="70"/>
        <w:ind w:left="512" w:right="5634"/>
        <w:jc w:val="left"/>
      </w:pPr>
      <w:r>
        <w:rPr/>
        <w:t>通过设立或投资等方式取得的子公司的其他说明 无</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同一控制下企业合并取得的子公司" w:id="244"/>
      <w:bookmarkEnd w:id="244"/>
      <w:r>
        <w:rPr>
          <w:b w:val="0"/>
          <w:bCs w:val="0"/>
        </w:rPr>
      </w: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1"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通过同一控制下企业合并取得的子公司的其他说明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非同一控制下企业合并取得的子公司" w:id="245"/>
      <w:bookmarkEnd w:id="245"/>
      <w:r>
        <w:rPr>
          <w:b w:val="0"/>
          <w:bCs w:val="0"/>
        </w:rPr>
      </w: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2234"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4"/>
        <w:gridCol w:w="682"/>
        <w:gridCol w:w="684"/>
      </w:tblGrid>
      <w:tr>
        <w:trPr>
          <w:trHeight w:val="3482" w:hRule="exact"/>
        </w:trPr>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本期亏 损超过 少数股 东在该 子公司 年初所 有者权 益中所 享有份 额后的 余额</w:t>
            </w:r>
          </w:p>
        </w:tc>
      </w:tr>
      <w:tr>
        <w:trPr>
          <w:trHeight w:val="401" w:hRule="exact"/>
        </w:trPr>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通过非同一控制下企业合并取得的子公司的其他说明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特殊目的主体或通过受托经营或承租等方式形成控制权的经营实体" w:id="246"/>
      <w:bookmarkEnd w:id="246"/>
      <w:r>
        <w:rPr>
          <w:b w:val="0"/>
          <w:bCs w:val="0"/>
        </w:rPr>
      </w: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81"/>
        <w:gridCol w:w="4699"/>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c>
          <w:tcPr>
            <w:tcW w:w="46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特殊目的主体或通过受托经营或承租等方式形成控制权的经营实体的其他说明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合并范围发生变更的说明" w:id="247"/>
      <w:bookmarkEnd w:id="247"/>
      <w:r>
        <w:rPr>
          <w:b w:val="0"/>
          <w:bCs w:val="0"/>
        </w:rPr>
      </w:r>
      <w:r>
        <w:rPr>
          <w:rFonts w:ascii="Times New Roman" w:hAnsi="Times New Roman" w:cs="Times New Roman" w:eastAsia="Times New Roman" w:hint="default"/>
        </w:rPr>
        <w:t>3</w:t>
      </w:r>
      <w:r>
        <w:rPr/>
        <w:t>、合并范围发生变更的说明</w:t>
      </w:r>
      <w:r>
        <w:rPr>
          <w:b w:val="0"/>
          <w:bCs w:val="0"/>
        </w:rPr>
      </w:r>
    </w:p>
    <w:p>
      <w:pPr>
        <w:spacing w:line="240" w:lineRule="auto" w:before="1"/>
        <w:rPr>
          <w:rFonts w:ascii="宋体" w:hAnsi="宋体" w:cs="宋体" w:eastAsia="宋体" w:hint="default"/>
          <w:b/>
          <w:bCs/>
          <w:sz w:val="25"/>
          <w:szCs w:val="25"/>
        </w:rPr>
      </w:pPr>
    </w:p>
    <w:p>
      <w:pPr>
        <w:pStyle w:val="BodyText"/>
        <w:spacing w:line="357" w:lineRule="auto"/>
        <w:ind w:right="6714"/>
        <w:jc w:val="left"/>
      </w:pPr>
      <w:r>
        <w:rPr/>
        <w:t>合并报表范围发生变更说明 本公司</w:t>
      </w:r>
      <w:r>
        <w:rPr>
          <w:rFonts w:ascii="Times New Roman" w:hAnsi="Times New Roman" w:cs="Times New Roman" w:eastAsia="Times New Roman" w:hint="default"/>
        </w:rPr>
        <w:t>2012</w:t>
      </w:r>
      <w:r>
        <w:rPr/>
        <w:t>年度合并范围未发生变更。</w:t>
      </w:r>
    </w:p>
    <w:p>
      <w:pPr>
        <w:pStyle w:val="BodyText"/>
        <w:spacing w:line="348" w:lineRule="auto" w:before="6"/>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与上年相比本年（期）新增合并单位家，原因为 与上年相比本年（期）减少合并单位家，原因为</w:t>
      </w:r>
    </w:p>
    <w:p>
      <w:pPr>
        <w:pStyle w:val="BodyText"/>
        <w:spacing w:line="316" w:lineRule="auto" w:before="36"/>
        <w:ind w:right="0"/>
        <w:jc w:val="left"/>
      </w:pPr>
      <w:r>
        <w:rPr>
          <w:spacing w:val="-2"/>
        </w:rPr>
        <w:t>注：持有半数及半数以上表决权比例但未纳入合并范围，或持有半数及半数以下表决权比例，但纳入合并范围，需要详细说</w:t>
      </w:r>
      <w:r>
        <w:rPr>
          <w:spacing w:val="-64"/>
        </w:rPr>
        <w:t> </w:t>
      </w:r>
      <w:r>
        <w:rPr>
          <w:spacing w:val="-64"/>
        </w:rPr>
      </w:r>
      <w:r>
        <w:rPr/>
        <w:t>明原因，不能只填写是否控制。</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4、报告期内新纳入合并范围的主体和报告期内不再纳入合并范围的主体" w:id="248"/>
      <w:bookmarkEnd w:id="248"/>
      <w:r>
        <w:rPr>
          <w:b w:val="0"/>
          <w:bCs w:val="0"/>
        </w:rPr>
      </w: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512" w:right="0"/>
        <w:jc w:val="left"/>
      </w:pPr>
      <w:r>
        <w:rPr/>
        <w:t>本期新纳入合并范围的子公司、特殊目的主体、通过受托经营或承租等方式形成控制权的经营实体</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3"/>
        <w:gridCol w:w="2851"/>
        <w:gridCol w:w="2645"/>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512" w:right="0"/>
        <w:jc w:val="left"/>
      </w:pPr>
      <w:r>
        <w:rPr/>
        <w:t>本期不再纳入合并范围的子公司、特殊目的主体、通过受托经营或承租等方式形成控制权的经营实体</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5"/>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73"/>
        <w:gridCol w:w="2851"/>
        <w:gridCol w:w="2645"/>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2"/>
        <w:jc w:val="left"/>
      </w:pPr>
      <w:r>
        <w:rPr/>
        <w:t>新纳入合并范围的主体和不再纳入合并范围的主体的其他说明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5、报告期内发生的同一控制下企业合并" w:id="249"/>
      <w:bookmarkEnd w:id="249"/>
      <w:r>
        <w:rPr>
          <w:b w:val="0"/>
          <w:bCs w:val="0"/>
        </w:rPr>
      </w: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3"/>
        <w:gridCol w:w="1555"/>
        <w:gridCol w:w="1555"/>
        <w:gridCol w:w="1555"/>
        <w:gridCol w:w="1555"/>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 w:right="48"/>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95"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23" w:right="50"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3" w:hRule="exact"/>
        </w:trPr>
        <w:tc>
          <w:tcPr>
            <w:tcW w:w="1794"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2"/>
        <w:jc w:val="left"/>
      </w:pPr>
      <w:r>
        <w:rPr/>
        <w:t>同一控制下企业合并的其他说明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6、报告期内发生的非同一控制下企业合并" w:id="250"/>
      <w:bookmarkEnd w:id="250"/>
      <w:r>
        <w:rPr>
          <w:b w:val="0"/>
          <w:bCs w:val="0"/>
        </w:rPr>
      </w: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6"/>
        <w:gridCol w:w="3031"/>
        <w:gridCol w:w="3862"/>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3" w:hRule="exact"/>
        </w:trPr>
        <w:tc>
          <w:tcPr>
            <w:tcW w:w="2676" w:type="dxa"/>
            <w:tcBorders>
              <w:top w:val="single" w:sz="4" w:space="0" w:color="000000"/>
              <w:left w:val="single" w:sz="4" w:space="0" w:color="000000"/>
              <w:bottom w:val="single" w:sz="4" w:space="0" w:color="000000"/>
              <w:right w:val="single" w:sz="4" w:space="0" w:color="000000"/>
            </w:tcBorders>
          </w:tcPr>
          <w:p>
            <w:pPr/>
          </w:p>
        </w:tc>
        <w:tc>
          <w:tcPr>
            <w:tcW w:w="3031"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2"/>
        <w:jc w:val="left"/>
      </w:pPr>
      <w:r>
        <w:rPr/>
        <w:t>非同一控制下企业合并的其他说明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7、报告期内出售丧失控制权的股权而减少子公司" w:id="251"/>
      <w:bookmarkEnd w:id="251"/>
      <w:r>
        <w:rPr>
          <w:b w:val="0"/>
          <w:bCs w:val="0"/>
        </w:rPr>
      </w: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984"/>
        <w:gridCol w:w="2489"/>
        <w:gridCol w:w="3096"/>
      </w:tblGrid>
      <w:tr>
        <w:trPr>
          <w:trHeight w:val="401" w:hRule="exact"/>
        </w:trPr>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3" w:hRule="exact"/>
        </w:trPr>
        <w:tc>
          <w:tcPr>
            <w:tcW w:w="3984"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3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62"/>
        <w:jc w:val="left"/>
      </w:pPr>
      <w:r>
        <w:rPr/>
        <w:t>出售丧失控制权的股权而减少的子公司的其他说明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8、报告期内发生的反向购买" w:id="252"/>
      <w:bookmarkEnd w:id="252"/>
      <w:r>
        <w:rPr>
          <w:b w:val="0"/>
          <w:bCs w:val="0"/>
        </w:rPr>
      </w:r>
      <w:r>
        <w:rPr>
          <w:rFonts w:ascii="Times New Roman" w:hAnsi="Times New Roman" w:cs="Times New Roman" w:eastAsia="Times New Roman" w:hint="default"/>
        </w:rPr>
        <w:t>8</w:t>
      </w:r>
      <w:r>
        <w:rPr/>
        <w:t>、报告期内发生的反向购买</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1" w:right="110"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94"/>
        <w:jc w:val="left"/>
      </w:pPr>
      <w:r>
        <w:rPr/>
        <w:t>反向购买的其他说明 注：公司以发行股份购买资产等方式实现非上市公司或业务借壳上市并构成反向购买的，应说明判断构成反向购买的依据、 </w:t>
      </w:r>
      <w:r>
        <w:rPr>
          <w:spacing w:val="-2"/>
        </w:rPr>
        <w:t>企业合并成本的确定方法、合并中确认的商誉或计入当期的损益的计算方法。如表式无法清晰、完整地说明，则应补充采用</w:t>
      </w:r>
    </w:p>
    <w:p>
      <w:pPr>
        <w:pStyle w:val="BodyText"/>
        <w:spacing w:line="240" w:lineRule="auto" w:before="2"/>
        <w:ind w:right="62"/>
        <w:jc w:val="left"/>
      </w:pPr>
      <w:r>
        <w:rPr/>
        <w:t>文字说明。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9、本报告期发生的吸收合并" w:id="253"/>
      <w:bookmarkEnd w:id="253"/>
      <w:r>
        <w:rPr>
          <w:b w:val="0"/>
          <w:bCs w:val="0"/>
        </w:rPr>
      </w:r>
      <w:r>
        <w:rPr>
          <w:rFonts w:ascii="Times New Roman" w:hAnsi="Times New Roman" w:cs="Times New Roman" w:eastAsia="Times New Roman" w:hint="default"/>
        </w:rPr>
        <w:t>9</w:t>
      </w:r>
      <w:r>
        <w:rPr/>
        <w:t>、本报告期发生的吸收合并</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0"/>
        <w:gridCol w:w="1481"/>
        <w:gridCol w:w="1483"/>
        <w:gridCol w:w="1481"/>
        <w:gridCol w:w="1483"/>
      </w:tblGrid>
      <w:tr>
        <w:trPr>
          <w:trHeight w:val="403" w:hRule="exact"/>
        </w:trPr>
        <w:tc>
          <w:tcPr>
            <w:tcW w:w="36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41"/>
        <w:gridCol w:w="1481"/>
        <w:gridCol w:w="1483"/>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4"/>
        <w:jc w:val="left"/>
      </w:pPr>
      <w:r>
        <w:rPr/>
        <w:t>注：报告期内发生吸收合并的，应分别同一控制下和非同一控制下的吸收合并，披露并入的主要资产、负债项目及其金额。 吸收合并的其他说明</w:t>
      </w:r>
    </w:p>
    <w:p>
      <w:pPr>
        <w:spacing w:line="240" w:lineRule="auto" w:before="7"/>
        <w:rPr>
          <w:rFonts w:ascii="宋体" w:hAnsi="宋体" w:cs="宋体" w:eastAsia="宋体" w:hint="default"/>
          <w:sz w:val="18"/>
          <w:szCs w:val="18"/>
        </w:rPr>
      </w:pPr>
    </w:p>
    <w:p>
      <w:pPr>
        <w:pStyle w:val="Heading3"/>
        <w:spacing w:line="240" w:lineRule="auto"/>
        <w:ind w:right="62"/>
        <w:jc w:val="left"/>
        <w:rPr>
          <w:b w:val="0"/>
          <w:bCs w:val="0"/>
        </w:rPr>
      </w:pPr>
      <w:bookmarkStart w:name="10、境外经营实体主要报表项目的折算汇率" w:id="254"/>
      <w:bookmarkEnd w:id="254"/>
      <w:r>
        <w:rPr>
          <w:b w:val="0"/>
          <w:bCs w:val="0"/>
        </w:rPr>
      </w: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1"/>
        <w:rPr>
          <w:rFonts w:ascii="宋体" w:hAnsi="宋体" w:cs="宋体" w:eastAsia="宋体" w:hint="default"/>
          <w:b/>
          <w:bCs/>
          <w:sz w:val="25"/>
          <w:szCs w:val="25"/>
        </w:rPr>
      </w:pPr>
    </w:p>
    <w:p>
      <w:pPr>
        <w:pStyle w:val="BodyText"/>
        <w:spacing w:line="316" w:lineRule="auto"/>
        <w:ind w:right="62"/>
        <w:jc w:val="left"/>
      </w:pPr>
      <w:r>
        <w:rPr>
          <w:spacing w:val="-2"/>
        </w:rPr>
        <w:t>注：如报告期内合并报表中包含境外经营实体时，还应披露各主要财务报表项目的折算汇率以及外币报表折算差额的处理方</w:t>
      </w:r>
      <w:r>
        <w:rPr>
          <w:spacing w:val="-64"/>
        </w:rPr>
        <w:t> </w:t>
      </w:r>
      <w:r>
        <w:rPr>
          <w:spacing w:val="-64"/>
        </w:rPr>
      </w:r>
      <w:r>
        <w:rPr/>
        <w:t>法。</w:t>
      </w:r>
    </w:p>
    <w:p>
      <w:pPr>
        <w:spacing w:line="240" w:lineRule="auto" w:before="11"/>
        <w:rPr>
          <w:rFonts w:ascii="宋体" w:hAnsi="宋体" w:cs="宋体" w:eastAsia="宋体" w:hint="default"/>
          <w:sz w:val="20"/>
          <w:szCs w:val="20"/>
        </w:rPr>
      </w:pPr>
    </w:p>
    <w:p>
      <w:pPr>
        <w:pStyle w:val="Heading3"/>
        <w:spacing w:line="240" w:lineRule="auto"/>
        <w:ind w:right="62"/>
        <w:jc w:val="left"/>
        <w:rPr>
          <w:b w:val="0"/>
          <w:bCs w:val="0"/>
        </w:rPr>
      </w:pPr>
      <w:bookmarkStart w:name="七、合并财务报表主要项目注释" w:id="255"/>
      <w:bookmarkEnd w:id="255"/>
      <w:r>
        <w:rPr>
          <w:b w:val="0"/>
          <w:bCs w:val="0"/>
        </w:rPr>
      </w:r>
      <w:r>
        <w:rPr/>
        <w:t>七、合并财务报表主要项目注释</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62"/>
        <w:jc w:val="left"/>
        <w:rPr>
          <w:b w:val="0"/>
          <w:bCs w:val="0"/>
        </w:rPr>
      </w:pPr>
      <w:bookmarkStart w:name="1、货币资金" w:id="256"/>
      <w:bookmarkEnd w:id="25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325"/>
        <w:gridCol w:w="931"/>
        <w:gridCol w:w="1462"/>
        <w:gridCol w:w="1327"/>
        <w:gridCol w:w="931"/>
        <w:gridCol w:w="1594"/>
      </w:tblGrid>
      <w:tr>
        <w:trPr>
          <w:trHeight w:val="206" w:hRule="exact"/>
        </w:trPr>
        <w:tc>
          <w:tcPr>
            <w:tcW w:w="19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71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vMerge/>
            <w:tcBorders>
              <w:left w:val="single" w:sz="4" w:space="0" w:color="000000"/>
              <w:bottom w:val="single" w:sz="4" w:space="0" w:color="000000"/>
              <w:right w:val="single" w:sz="4" w:space="0" w:color="000000"/>
            </w:tcBorders>
            <w:shd w:val="clear" w:color="auto" w:fill="D4D4D4"/>
          </w:tcPr>
          <w:p>
            <w:pPr/>
          </w:p>
        </w:tc>
        <w:tc>
          <w:tcPr>
            <w:tcW w:w="385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99" w:type="dxa"/>
            <w:vMerge/>
            <w:tcBorders>
              <w:left w:val="single" w:sz="4" w:space="0" w:color="000000"/>
              <w:bottom w:val="nil" w:sz="6" w:space="0" w:color="auto"/>
              <w:right w:val="single" w:sz="4" w:space="0" w:color="000000"/>
            </w:tcBorders>
            <w:shd w:val="clear" w:color="auto" w:fill="D4D4D4"/>
          </w:tcPr>
          <w:p>
            <w:pPr/>
          </w:p>
        </w:tc>
        <w:tc>
          <w:tcPr>
            <w:tcW w:w="132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5"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39,135.87</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144,460.15</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39,135.87</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144,460.15</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432,796,781.16</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78,603,513.42</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432,796,781.16</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78,603,513.42</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448,000.00</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488,310.00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448,000.00</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488,310.00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433,283,917.03</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79,236,283.57</w:t>
            </w:r>
          </w:p>
        </w:tc>
      </w:tr>
    </w:tbl>
    <w:p>
      <w:pPr>
        <w:pStyle w:val="BodyText"/>
        <w:spacing w:line="240" w:lineRule="auto" w:before="49"/>
        <w:ind w:right="62"/>
        <w:jc w:val="left"/>
      </w:pPr>
      <w:r>
        <w:rPr/>
        <w:t>如有因抵押、质押或冻结等对使用有限制、存放在境外、有潜在回收风险的款项应单独说明</w:t>
      </w:r>
    </w:p>
    <w:p>
      <w:pPr>
        <w:spacing w:line="240" w:lineRule="auto" w:before="1"/>
        <w:rPr>
          <w:rFonts w:ascii="宋体" w:hAnsi="宋体" w:cs="宋体" w:eastAsia="宋体" w:hint="default"/>
          <w:sz w:val="25"/>
          <w:szCs w:val="25"/>
        </w:rPr>
      </w:pPr>
    </w:p>
    <w:p>
      <w:pPr>
        <w:pStyle w:val="Heading3"/>
        <w:spacing w:line="240" w:lineRule="auto"/>
        <w:ind w:right="62"/>
        <w:jc w:val="left"/>
        <w:rPr>
          <w:b w:val="0"/>
          <w:bCs w:val="0"/>
        </w:rPr>
      </w:pPr>
      <w:bookmarkStart w:name="2、交易性金融资产" w:id="257"/>
      <w:bookmarkEnd w:id="257"/>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交易性金融资产" w:id="258"/>
      <w:bookmarkEnd w:id="258"/>
      <w:r>
        <w:rPr>
          <w:b w:val="0"/>
          <w:bCs w:val="0"/>
        </w:rPr>
      </w:r>
      <w:r>
        <w:rPr/>
        <w:t>（</w:t>
      </w:r>
      <w:r>
        <w:rPr>
          <w:rFonts w:ascii="Times New Roman" w:hAnsi="Times New Roman" w:cs="Times New Roman" w:eastAsia="Times New Roman" w:hint="default"/>
        </w:rPr>
        <w:t>1</w:t>
      </w:r>
      <w:r>
        <w:rPr/>
        <w:t>）交易性金融资产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668"/>
        <w:gridCol w:w="2657"/>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42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8"/>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4"/>
        <w:gridCol w:w="2657"/>
        <w:gridCol w:w="2657"/>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变现有限制的交易性金融资产" w:id="259"/>
      <w:bookmarkEnd w:id="259"/>
      <w:r>
        <w:rPr>
          <w:b w:val="0"/>
          <w:bCs w:val="0"/>
        </w:rPr>
      </w: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0"/>
        <w:gridCol w:w="3852"/>
        <w:gridCol w:w="2177"/>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3540" w:type="dxa"/>
            <w:tcBorders>
              <w:top w:val="single" w:sz="4" w:space="0" w:color="000000"/>
              <w:left w:val="single" w:sz="4" w:space="0" w:color="000000"/>
              <w:bottom w:val="single" w:sz="4" w:space="0" w:color="000000"/>
              <w:right w:val="single" w:sz="4" w:space="0" w:color="000000"/>
            </w:tcBorders>
          </w:tcPr>
          <w:p>
            <w:pPr/>
          </w:p>
        </w:tc>
        <w:tc>
          <w:tcPr>
            <w:tcW w:w="385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套期工具及对相关套期交易的说明" w:id="260"/>
      <w:bookmarkEnd w:id="260"/>
      <w:r>
        <w:rPr>
          <w:b w:val="0"/>
          <w:bCs w:val="0"/>
        </w:rPr>
      </w: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3、应收票据" w:id="261"/>
      <w:bookmarkEnd w:id="261"/>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应收票据的分类" w:id="262"/>
      <w:bookmarkEnd w:id="262"/>
      <w:r>
        <w:rPr>
          <w:b w:val="0"/>
          <w:bCs w:val="0"/>
        </w:rPr>
      </w:r>
      <w:r>
        <w:rPr/>
        <w:t>（</w:t>
      </w:r>
      <w:r>
        <w:rPr>
          <w:rFonts w:ascii="Times New Roman" w:hAnsi="Times New Roman" w:cs="Times New Roman" w:eastAsia="Times New Roman" w:hint="default"/>
        </w:rPr>
        <w:t>1</w:t>
      </w:r>
      <w:r>
        <w:rPr/>
        <w:t>）应收票据的分类</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730,175.06</w:t>
            </w:r>
          </w:p>
        </w:tc>
      </w:tr>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730,175.06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期末已质押的应收票据情况" w:id="263"/>
      <w:bookmarkEnd w:id="263"/>
      <w:r>
        <w:rPr>
          <w:b w:val="0"/>
          <w:bCs w:val="0"/>
        </w:rPr>
      </w: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注：披露金额最大的前五项已质押的应收票据。</w:t>
      </w:r>
    </w:p>
    <w:p>
      <w:pPr>
        <w:spacing w:line="240" w:lineRule="auto" w:before="0"/>
        <w:rPr>
          <w:rFonts w:ascii="宋体" w:hAnsi="宋体" w:cs="宋体" w:eastAsia="宋体" w:hint="default"/>
          <w:sz w:val="18"/>
          <w:szCs w:val="18"/>
        </w:rPr>
      </w:pPr>
    </w:p>
    <w:p>
      <w:pPr>
        <w:pStyle w:val="Heading3"/>
        <w:spacing w:line="314" w:lineRule="exact" w:before="124"/>
        <w:ind w:right="139"/>
        <w:jc w:val="left"/>
        <w:rPr>
          <w:b w:val="0"/>
          <w:bCs w:val="0"/>
        </w:rPr>
      </w:pPr>
      <w:bookmarkStart w:name="（3）因出票人无力履约而将票据转为应收账款的票据，以及期末公司已经背书给他方但尚" w:id="264"/>
      <w:bookmarkEnd w:id="264"/>
      <w:r>
        <w:rPr>
          <w:b w:val="0"/>
          <w:bCs w:val="0"/>
        </w:rPr>
      </w:r>
      <w:r>
        <w:rPr>
          <w:spacing w:val="-3"/>
        </w:rPr>
        <w:t>（</w:t>
      </w:r>
      <w:r>
        <w:rPr>
          <w:rFonts w:ascii="Times New Roman" w:hAnsi="Times New Roman" w:cs="Times New Roman" w:eastAsia="Times New Roman" w:hint="default"/>
          <w:spacing w:val="-3"/>
        </w:rPr>
        <w:t>3</w:t>
      </w:r>
      <w:r>
        <w:rPr>
          <w:spacing w:val="-3"/>
        </w:rPr>
        <w:t>）因出票人无力履约而将票据转为应收账款的票据，以及期末公司已经背书给他方但尚未</w:t>
      </w:r>
      <w:r>
        <w:rPr>
          <w:w w:val="99"/>
        </w:rPr>
        <w:t> </w:t>
      </w:r>
      <w:r>
        <w:rPr/>
        <w:t>到期的票据情况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0"/>
        <w:jc w:val="left"/>
      </w:pPr>
      <w:r>
        <w:rPr/>
        <w:t>因出票人无力履约而将票据转为应收账款的票据</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2" w:top="1060" w:bottom="1180" w:left="980" w:right="980"/>
        </w:sectPr>
      </w:pPr>
    </w:p>
    <w:p>
      <w:pPr>
        <w:pStyle w:val="BodyText"/>
        <w:spacing w:line="360" w:lineRule="auto" w:before="44"/>
        <w:ind w:left="512" w:right="-20" w:hanging="360"/>
        <w:jc w:val="left"/>
      </w:pPr>
      <w:r>
        <w:rPr/>
        <w:t>注：披露金额最大的前五名。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3753" w:space="507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434"/>
        <w:jc w:val="left"/>
      </w:pPr>
      <w:r>
        <w:rPr/>
        <w:t>说明 注：披露金额最大的前五名。</w:t>
      </w:r>
    </w:p>
    <w:p>
      <w:pPr>
        <w:spacing w:line="240" w:lineRule="auto" w:before="0"/>
        <w:rPr>
          <w:rFonts w:ascii="宋体" w:hAnsi="宋体" w:cs="宋体" w:eastAsia="宋体" w:hint="default"/>
          <w:sz w:val="18"/>
          <w:szCs w:val="18"/>
        </w:rPr>
      </w:pPr>
    </w:p>
    <w:p>
      <w:pPr>
        <w:pStyle w:val="BodyText"/>
        <w:spacing w:line="360" w:lineRule="auto" w:before="144"/>
        <w:ind w:right="6894"/>
        <w:jc w:val="left"/>
      </w:pPr>
      <w:r>
        <w:rPr/>
        <w:t>已贴现或质押的商业承兑票据的说明 注：如有，请说明。</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4、应收股利" w:id="265"/>
      <w:bookmarkEnd w:id="265"/>
      <w:r>
        <w:rPr>
          <w:b w:val="0"/>
          <w:bCs w:val="0"/>
        </w:rPr>
      </w:r>
      <w:r>
        <w:rPr>
          <w:rFonts w:ascii="Times New Roman" w:hAnsi="Times New Roman" w:cs="Times New Roman" w:eastAsia="Times New Roman" w:hint="default"/>
        </w:rPr>
        <w:t>4</w:t>
      </w:r>
      <w:r>
        <w:rPr/>
        <w:t>、应收股利</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39"/>
        <w:gridCol w:w="1339"/>
        <w:gridCol w:w="1433"/>
        <w:gridCol w:w="1339"/>
        <w:gridCol w:w="1337"/>
        <w:gridCol w:w="1339"/>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9"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9" w:type="dxa"/>
            <w:tcBorders>
              <w:top w:val="single" w:sz="4" w:space="0" w:color="000000"/>
              <w:left w:val="single" w:sz="4" w:space="0" w:color="000000"/>
              <w:bottom w:val="nil" w:sz="6" w:space="0" w:color="auto"/>
              <w:right w:val="single" w:sz="4" w:space="0" w:color="000000"/>
            </w:tcBorders>
            <w:shd w:val="clear" w:color="auto" w:fill="D4D4D4"/>
          </w:tcPr>
          <w:p>
            <w:pPr/>
          </w:p>
        </w:tc>
        <w:tc>
          <w:tcPr>
            <w:tcW w:w="143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9"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33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vMerge/>
            <w:tcBorders>
              <w:left w:val="single" w:sz="4" w:space="0" w:color="000000"/>
              <w:right w:val="single" w:sz="4" w:space="0" w:color="000000"/>
            </w:tcBorders>
            <w:shd w:val="clear" w:color="auto" w:fill="D4D4D4"/>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9" w:type="dxa"/>
            <w:tcBorders>
              <w:top w:val="nil" w:sz="6" w:space="0" w:color="auto"/>
              <w:left w:val="single" w:sz="4" w:space="0" w:color="000000"/>
              <w:bottom w:val="single" w:sz="4" w:space="0" w:color="000000"/>
              <w:right w:val="single" w:sz="4" w:space="0" w:color="000000"/>
            </w:tcBorders>
            <w:shd w:val="clear" w:color="auto" w:fill="D4D4D4"/>
          </w:tcPr>
          <w:p>
            <w:pPr/>
          </w:p>
        </w:tc>
        <w:tc>
          <w:tcPr>
            <w:tcW w:w="143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39"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39" w:type="dxa"/>
            <w:tcBorders>
              <w:top w:val="single" w:sz="4" w:space="0" w:color="000000"/>
              <w:left w:val="single" w:sz="9" w:space="0" w:color="D4D4D4"/>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账龄一年以上的 应收股利</w:t>
            </w:r>
          </w:p>
        </w:tc>
        <w:tc>
          <w:tcPr>
            <w:tcW w:w="1339" w:type="dxa"/>
            <w:tcBorders>
              <w:top w:val="single" w:sz="4" w:space="0" w:color="000000"/>
              <w:left w:val="single" w:sz="9" w:space="0" w:color="D4D4D4"/>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说明</w:t>
      </w:r>
    </w:p>
    <w:p>
      <w:pPr>
        <w:pStyle w:val="BodyText"/>
        <w:spacing w:line="300" w:lineRule="auto" w:before="115"/>
        <w:ind w:right="135"/>
        <w:jc w:val="left"/>
      </w:pPr>
      <w:r>
        <w:rPr>
          <w:spacing w:val="-14"/>
        </w:rPr>
        <w:t>注：对</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年以上应收未收的应收股利金额较大的，应分别被投资单位或投资项目说明每项应收股利未收回的原因和对相关款 项是否发生减值的判断。</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5、应收利息" w:id="266"/>
      <w:bookmarkEnd w:id="266"/>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应收利息" w:id="267"/>
      <w:bookmarkEnd w:id="26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2"/>
        <w:gridCol w:w="1860"/>
        <w:gridCol w:w="1862"/>
        <w:gridCol w:w="1860"/>
        <w:gridCol w:w="2126"/>
      </w:tblGrid>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2）逾期利息" w:id="268"/>
      <w:bookmarkEnd w:id="268"/>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应收利息的说明" w:id="269"/>
      <w:bookmarkEnd w:id="269"/>
      <w:r>
        <w:rPr>
          <w:b w:val="0"/>
          <w:bCs w:val="0"/>
        </w:rPr>
      </w:r>
      <w:r>
        <w:rPr/>
        <w:t>（</w:t>
      </w:r>
      <w:r>
        <w:rPr>
          <w:rFonts w:ascii="Times New Roman" w:hAnsi="Times New Roman" w:cs="Times New Roman" w:eastAsia="Times New Roman" w:hint="default"/>
        </w:rPr>
        <w:t>3</w:t>
      </w:r>
      <w:r>
        <w:rPr/>
        <w:t>）应收利息的说明</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6、应收账款" w:id="270"/>
      <w:bookmarkEnd w:id="270"/>
      <w:r>
        <w:rPr>
          <w:b w:val="0"/>
          <w:bCs w:val="0"/>
        </w:rPr>
      </w: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应收账款按种类披露" w:id="271"/>
      <w:bookmarkEnd w:id="271"/>
      <w:r>
        <w:rPr>
          <w:b w:val="0"/>
          <w:bCs w:val="0"/>
        </w:rPr>
      </w:r>
      <w:r>
        <w:rPr/>
        <w:t>（</w:t>
      </w:r>
      <w:r>
        <w:rPr>
          <w:rFonts w:ascii="Times New Roman" w:hAnsi="Times New Roman" w:cs="Times New Roman" w:eastAsia="Times New Roman" w:hint="default"/>
        </w:rPr>
        <w:t>1</w:t>
      </w:r>
      <w:r>
        <w:rPr/>
        <w:t>）应收账款按种类披露</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262"/>
        <w:gridCol w:w="592"/>
        <w:gridCol w:w="1110"/>
        <w:gridCol w:w="754"/>
        <w:gridCol w:w="1229"/>
        <w:gridCol w:w="491"/>
        <w:gridCol w:w="1210"/>
        <w:gridCol w:w="924"/>
      </w:tblGrid>
      <w:tr>
        <w:trPr>
          <w:trHeight w:val="398" w:hRule="exact"/>
        </w:trPr>
        <w:tc>
          <w:tcPr>
            <w:tcW w:w="1999" w:type="dxa"/>
            <w:vMerge w:val="restart"/>
            <w:tcBorders>
              <w:top w:val="single" w:sz="4" w:space="0" w:color="000000"/>
              <w:left w:val="single" w:sz="4" w:space="0" w:color="000000"/>
              <w:right w:val="single" w:sz="4" w:space="0" w:color="000000"/>
            </w:tcBorders>
            <w:shd w:val="clear" w:color="auto" w:fill="D4D4D4"/>
          </w:tcPr>
          <w:p>
            <w:pP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9" w:type="dxa"/>
            <w:vMerge/>
            <w:tcBorders>
              <w:left w:val="single" w:sz="4" w:space="0" w:color="000000"/>
              <w:bottom w:val="nil" w:sz="6" w:space="0" w:color="auto"/>
              <w:right w:val="single" w:sz="4" w:space="0" w:color="000000"/>
            </w:tcBorders>
            <w:shd w:val="clear" w:color="auto" w:fill="D4D4D4"/>
          </w:tcPr>
          <w:p>
            <w:pPr/>
          </w:p>
        </w:tc>
        <w:tc>
          <w:tcPr>
            <w:tcW w:w="185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19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54" w:type="dxa"/>
            <w:gridSpan w:val="2"/>
            <w:vMerge/>
            <w:tcBorders>
              <w:left w:val="single" w:sz="4" w:space="0" w:color="000000"/>
              <w:bottom w:val="single" w:sz="4" w:space="0" w:color="000000"/>
              <w:right w:val="single" w:sz="4" w:space="0" w:color="000000"/>
            </w:tcBorders>
            <w:shd w:val="clear" w:color="auto" w:fill="D4D4D4"/>
          </w:tcPr>
          <w:p>
            <w:pPr/>
          </w:p>
        </w:tc>
        <w:tc>
          <w:tcPr>
            <w:tcW w:w="1864" w:type="dxa"/>
            <w:gridSpan w:val="2"/>
            <w:vMerge/>
            <w:tcBorders>
              <w:left w:val="single" w:sz="4" w:space="0" w:color="000000"/>
              <w:bottom w:val="single" w:sz="4" w:space="0" w:color="000000"/>
              <w:right w:val="single" w:sz="4" w:space="0" w:color="000000"/>
            </w:tcBorders>
            <w:shd w:val="clear" w:color="auto" w:fill="D4D4D4"/>
          </w:tcPr>
          <w:p>
            <w:pPr/>
          </w:p>
        </w:tc>
        <w:tc>
          <w:tcPr>
            <w:tcW w:w="1720" w:type="dxa"/>
            <w:gridSpan w:val="2"/>
            <w:vMerge/>
            <w:tcBorders>
              <w:left w:val="single" w:sz="4" w:space="0" w:color="000000"/>
              <w:bottom w:val="single" w:sz="4" w:space="0" w:color="000000"/>
              <w:right w:val="single" w:sz="4" w:space="0" w:color="000000"/>
            </w:tcBorders>
            <w:shd w:val="clear" w:color="auto" w:fill="D4D4D4"/>
          </w:tcPr>
          <w:p>
            <w:pPr/>
          </w:p>
        </w:tc>
        <w:tc>
          <w:tcPr>
            <w:tcW w:w="2134" w:type="dxa"/>
            <w:gridSpan w:val="2"/>
            <w:vMerge/>
            <w:tcBorders>
              <w:left w:val="single" w:sz="4" w:space="0" w:color="000000"/>
              <w:bottom w:val="single" w:sz="4" w:space="0" w:color="000000"/>
              <w:right w:val="single" w:sz="4" w:space="0" w:color="000000"/>
            </w:tcBorders>
            <w:shd w:val="clear" w:color="auto" w:fill="D4D4D4"/>
          </w:tcPr>
          <w:p>
            <w:pPr/>
          </w:p>
        </w:tc>
      </w:tr>
      <w:tr>
        <w:trPr>
          <w:trHeight w:val="158" w:hRule="exact"/>
        </w:trPr>
        <w:tc>
          <w:tcPr>
            <w:tcW w:w="1999" w:type="dxa"/>
            <w:vMerge/>
            <w:tcBorders>
              <w:left w:val="single" w:sz="4" w:space="0" w:color="000000"/>
              <w:bottom w:val="single" w:sz="4" w:space="0" w:color="FFFFFF"/>
              <w:right w:val="single" w:sz="4" w:space="0" w:color="000000"/>
            </w:tcBorders>
            <w:shd w:val="clear" w:color="auto" w:fill="D4D4D4"/>
          </w:tcPr>
          <w:p>
            <w:pPr/>
          </w:p>
        </w:tc>
        <w:tc>
          <w:tcPr>
            <w:tcW w:w="12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5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58" w:right="0"/>
              <w:jc w:val="left"/>
              <w:rPr>
                <w:rFonts w:ascii="Times New Roman" w:hAnsi="Times New Roman" w:cs="Times New Roman" w:eastAsia="Times New Roman" w:hint="default"/>
                <w:sz w:val="18"/>
                <w:szCs w:val="18"/>
              </w:rPr>
            </w:pPr>
            <w:r>
              <w:rPr>
                <w:rFonts w:ascii="Times New Roman"/>
                <w:sz w:val="18"/>
              </w:rPr>
              <w:t>(%)</w:t>
            </w:r>
          </w:p>
        </w:tc>
        <w:tc>
          <w:tcPr>
            <w:tcW w:w="1110" w:type="dxa"/>
            <w:tcBorders>
              <w:top w:val="single" w:sz="4" w:space="0" w:color="000000"/>
              <w:left w:val="single" w:sz="4" w:space="0" w:color="000000"/>
              <w:bottom w:val="nil" w:sz="6" w:space="0" w:color="auto"/>
              <w:right w:val="single" w:sz="4" w:space="0" w:color="000000"/>
            </w:tcBorders>
            <w:shd w:val="clear" w:color="auto" w:fill="D4D4D4"/>
          </w:tcPr>
          <w:p>
            <w:pPr/>
          </w:p>
        </w:tc>
        <w:tc>
          <w:tcPr>
            <w:tcW w:w="75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29" w:type="dxa"/>
            <w:tcBorders>
              <w:top w:val="single" w:sz="4" w:space="0" w:color="000000"/>
              <w:left w:val="single" w:sz="4" w:space="0" w:color="000000"/>
              <w:bottom w:val="nil" w:sz="6" w:space="0" w:color="auto"/>
              <w:right w:val="single" w:sz="4" w:space="0" w:color="000000"/>
            </w:tcBorders>
            <w:shd w:val="clear" w:color="auto" w:fill="D4D4D4"/>
          </w:tcPr>
          <w:p>
            <w:pPr/>
          </w:p>
        </w:tc>
        <w:tc>
          <w:tcPr>
            <w:tcW w:w="4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10" w:right="0"/>
              <w:jc w:val="left"/>
              <w:rPr>
                <w:rFonts w:ascii="Times New Roman" w:hAnsi="Times New Roman" w:cs="Times New Roman" w:eastAsia="Times New Roman" w:hint="default"/>
                <w:sz w:val="18"/>
                <w:szCs w:val="18"/>
              </w:rPr>
            </w:pPr>
            <w:r>
              <w:rPr>
                <w:rFonts w:ascii="Times New Roman"/>
                <w:sz w:val="18"/>
              </w:rPr>
              <w:t>(%)</w:t>
            </w: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92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5" w:hRule="exact"/>
        </w:trPr>
        <w:tc>
          <w:tcPr>
            <w:tcW w:w="1999" w:type="dxa"/>
            <w:vMerge w:val="restart"/>
            <w:tcBorders>
              <w:top w:val="single" w:sz="4" w:space="0" w:color="FFFFFF"/>
              <w:left w:val="single" w:sz="4" w:space="0" w:color="000000"/>
              <w:right w:val="single" w:sz="4" w:space="0" w:color="000000"/>
            </w:tcBorders>
            <w:shd w:val="clear" w:color="auto" w:fill="D4D4D4"/>
          </w:tcPr>
          <w:p>
            <w:pPr/>
          </w:p>
        </w:tc>
        <w:tc>
          <w:tcPr>
            <w:tcW w:w="1262" w:type="dxa"/>
            <w:tcBorders>
              <w:top w:val="single" w:sz="4" w:space="0" w:color="FFFFFF"/>
              <w:left w:val="single" w:sz="4" w:space="0" w:color="000000"/>
              <w:bottom w:val="nil" w:sz="6" w:space="0" w:color="auto"/>
              <w:right w:val="single" w:sz="4"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2" w:type="dxa"/>
            <w:vMerge/>
            <w:tcBorders>
              <w:left w:val="single" w:sz="4" w:space="0" w:color="000000"/>
              <w:right w:val="single" w:sz="4" w:space="0" w:color="000000"/>
            </w:tcBorders>
            <w:shd w:val="clear" w:color="auto" w:fill="D4D4D4"/>
          </w:tcPr>
          <w:p>
            <w:pPr/>
          </w:p>
        </w:tc>
        <w:tc>
          <w:tcPr>
            <w:tcW w:w="11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right="5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2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91" w:type="dxa"/>
            <w:vMerge/>
            <w:tcBorders>
              <w:left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6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262" w:type="dxa"/>
            <w:tcBorders>
              <w:top w:val="nil" w:sz="6" w:space="0" w:color="auto"/>
              <w:left w:val="single" w:sz="4" w:space="0" w:color="000000"/>
              <w:bottom w:val="single" w:sz="4" w:space="0" w:color="000000"/>
              <w:right w:val="single" w:sz="4" w:space="0" w:color="000000"/>
            </w:tcBorders>
            <w:shd w:val="clear" w:color="auto" w:fill="D4D4D4"/>
          </w:tcPr>
          <w:p>
            <w:pPr/>
          </w:p>
        </w:tc>
        <w:tc>
          <w:tcPr>
            <w:tcW w:w="592" w:type="dxa"/>
            <w:vMerge/>
            <w:tcBorders>
              <w:left w:val="single" w:sz="4" w:space="0" w:color="000000"/>
              <w:bottom w:val="single" w:sz="4" w:space="0" w:color="000000"/>
              <w:right w:val="single" w:sz="4" w:space="0" w:color="000000"/>
            </w:tcBorders>
            <w:shd w:val="clear" w:color="auto" w:fill="D4D4D4"/>
          </w:tcPr>
          <w:p>
            <w:pPr/>
          </w:p>
        </w:tc>
        <w:tc>
          <w:tcPr>
            <w:tcW w:w="1110" w:type="dxa"/>
            <w:tcBorders>
              <w:top w:val="nil" w:sz="6" w:space="0" w:color="auto"/>
              <w:left w:val="single" w:sz="4" w:space="0" w:color="000000"/>
              <w:bottom w:val="single" w:sz="4" w:space="0" w:color="000000"/>
              <w:right w:val="single" w:sz="4" w:space="0" w:color="000000"/>
            </w:tcBorders>
            <w:shd w:val="clear" w:color="auto" w:fill="D4D4D4"/>
          </w:tcPr>
          <w:p>
            <w:pPr/>
          </w:p>
        </w:tc>
        <w:tc>
          <w:tcPr>
            <w:tcW w:w="75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29" w:type="dxa"/>
            <w:tcBorders>
              <w:top w:val="nil" w:sz="6" w:space="0" w:color="auto"/>
              <w:left w:val="single" w:sz="4" w:space="0" w:color="000000"/>
              <w:bottom w:val="single" w:sz="4" w:space="0" w:color="000000"/>
              <w:right w:val="single" w:sz="4" w:space="0" w:color="000000"/>
            </w:tcBorders>
            <w:shd w:val="clear" w:color="auto" w:fill="D4D4D4"/>
          </w:tcPr>
          <w:p>
            <w:pPr/>
          </w:p>
        </w:tc>
        <w:tc>
          <w:tcPr>
            <w:tcW w:w="491" w:type="dxa"/>
            <w:vMerge/>
            <w:tcBorders>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92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262" w:type="dxa"/>
            <w:tcBorders>
              <w:top w:val="single" w:sz="4" w:space="0" w:color="000000"/>
              <w:left w:val="single" w:sz="10" w:space="0" w:color="D4D4D4"/>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167,812,725.31</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100%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12,367,443.06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69,455,803.67</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5,141,731.11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167,812,725.31</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center"/>
              <w:rPr>
                <w:rFonts w:ascii="Times New Roman" w:hAnsi="Times New Roman" w:cs="Times New Roman" w:eastAsia="Times New Roman" w:hint="default"/>
                <w:sz w:val="18"/>
                <w:szCs w:val="18"/>
              </w:rPr>
            </w:pPr>
            <w:r>
              <w:rPr>
                <w:rFonts w:ascii="Times New Roman"/>
                <w:sz w:val="18"/>
              </w:rPr>
              <w:t>100%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12,367,443.06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69,455,803.67</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5,141,731.11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w:t>
            </w:r>
          </w:p>
        </w:tc>
      </w:tr>
      <w:tr>
        <w:trPr>
          <w:trHeight w:val="1025"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167,812,725.31</w:t>
            </w:r>
          </w:p>
        </w:tc>
        <w:tc>
          <w:tcPr>
            <w:tcW w:w="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12,367,443.06</w:t>
            </w:r>
          </w:p>
        </w:tc>
        <w:tc>
          <w:tcPr>
            <w:tcW w:w="7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2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69,455,803.67</w:t>
            </w:r>
          </w:p>
        </w:tc>
        <w:tc>
          <w:tcPr>
            <w:tcW w:w="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21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5,141,731.11</w:t>
            </w:r>
          </w:p>
        </w:tc>
        <w:tc>
          <w:tcPr>
            <w:tcW w:w="9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4" w:lineRule="auto" w:before="49"/>
        <w:ind w:right="0"/>
        <w:jc w:val="left"/>
      </w:pPr>
      <w:r>
        <w:rPr>
          <w:spacing w:val="-2"/>
        </w:rPr>
        <w:t>注：填写组合名称。账面余额中的比例按期末该类应收账款除以应收账款合计数计算，坏账准备比例按该类应收账款期末已</w:t>
      </w:r>
      <w:r>
        <w:rPr>
          <w:spacing w:val="-66"/>
        </w:rPr>
        <w:t> </w:t>
      </w:r>
      <w:r>
        <w:rPr>
          <w:spacing w:val="-66"/>
        </w:rPr>
      </w:r>
      <w:r>
        <w:rPr/>
        <w:t>计提坏账准备除以期末该类应收账款金额计算。</w:t>
      </w:r>
    </w:p>
    <w:p>
      <w:pPr>
        <w:pStyle w:val="BodyText"/>
        <w:spacing w:line="360" w:lineRule="auto" w:before="61"/>
        <w:ind w:right="8154"/>
        <w:jc w:val="left"/>
      </w:pPr>
      <w:r>
        <w:rPr/>
        <w:t>应收账款种类的说明 无</w:t>
      </w:r>
    </w:p>
    <w:p>
      <w:pPr>
        <w:pStyle w:val="BodyText"/>
        <w:spacing w:line="240" w:lineRule="auto" w:before="27"/>
        <w:ind w:right="0"/>
        <w:jc w:val="left"/>
      </w:pPr>
      <w:r>
        <w:rPr/>
        <w:t>期末单项金额重大并单项计提坏账准备的应收账款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5"/>
        <w:gridCol w:w="1627"/>
        <w:gridCol w:w="1625"/>
        <w:gridCol w:w="1627"/>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8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0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13" w:space="0" w:color="D4D4D4"/>
            </w:tcBorders>
          </w:tcPr>
          <w:p>
            <w:pP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组合中，按账龄分析法计提坏账准备的应收账款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6"/>
        <w:gridCol w:w="1594"/>
        <w:gridCol w:w="929"/>
        <w:gridCol w:w="1728"/>
        <w:gridCol w:w="1459"/>
        <w:gridCol w:w="931"/>
        <w:gridCol w:w="1459"/>
      </w:tblGrid>
      <w:tr>
        <w:trPr>
          <w:trHeight w:val="401" w:hRule="exact"/>
        </w:trPr>
        <w:tc>
          <w:tcPr>
            <w:tcW w:w="14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6" w:type="dxa"/>
            <w:vMerge/>
            <w:tcBorders>
              <w:left w:val="single" w:sz="4" w:space="0" w:color="000000"/>
              <w:right w:val="single" w:sz="4" w:space="0" w:color="000000"/>
            </w:tcBorders>
            <w:shd w:val="clear" w:color="auto" w:fill="D4D4D4"/>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131,129,185.02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6,556,459.25</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53,772,691.04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2,688,634.54</w:t>
            </w:r>
            <w:r>
              <w:rPr>
                <w:rFonts w:ascii="Times New Roman"/>
                <w:sz w:val="18"/>
              </w:rPr>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131,129,185.02</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6,556,459.25</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53,772,691.04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77.42%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2,688,634.54</w:t>
            </w:r>
            <w:r>
              <w:rPr>
                <w:rFonts w:ascii="Times New Roman"/>
                <w:sz w:val="18"/>
              </w:rPr>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27,873,662.74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2,787,366.27</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11,653,529.88</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1,165,352.99</w:t>
            </w:r>
            <w:r>
              <w:rPr>
                <w:rFonts w:ascii="Times New Roman"/>
                <w:sz w:val="18"/>
              </w:rPr>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7,316,551.80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2,194,965.54</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3,741,677.00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1,122,503.10</w:t>
            </w:r>
            <w:r>
              <w:rPr>
                <w:rFonts w:ascii="Times New Roman"/>
                <w:sz w:val="18"/>
              </w:rPr>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1,260,662.00</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630,331.00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221,713.75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110,856.88</w:t>
            </w:r>
            <w:r>
              <w:rPr>
                <w:rFonts w:ascii="Times New Roman"/>
                <w:sz w:val="18"/>
              </w:rPr>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171,713.75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137,371.00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59,042.00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47,233.60</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60,950.00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7,150.00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167,812,725.31</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12,367,443.06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69,455,803.67</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5,141,731.11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组合中，采用余额百分比法计提坏账准备的应收账款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7"/>
        <w:gridCol w:w="2165"/>
        <w:gridCol w:w="2167"/>
        <w:gridCol w:w="2167"/>
      </w:tblGrid>
      <w:tr>
        <w:trPr>
          <w:trHeight w:val="402"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组合中，采用其他方法计提坏账准备的应收账款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3933" w:space="489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0"/>
        <w:gridCol w:w="3254"/>
        <w:gridCol w:w="325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期末单项金额虽不重大但单项计提坏账准备的应收账款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2）本报告期转回或收回的应收账款情况" w:id="272"/>
      <w:bookmarkEnd w:id="27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13" w:space="0" w:color="D4D4D4"/>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150"/>
        <w:jc w:val="both"/>
      </w:pPr>
      <w:r>
        <w:rPr>
          <w:spacing w:val="-2"/>
        </w:rPr>
        <w:t>注：本表列报本报告期前已全额计提坏账准备，或计提减值准备的比例较大，但在本报告期又全额收回或转回，或在本报告</w:t>
      </w:r>
      <w:r>
        <w:rPr>
          <w:spacing w:val="-65"/>
        </w:rPr>
        <w:t> </w:t>
      </w:r>
      <w:r>
        <w:rPr>
          <w:spacing w:val="-65"/>
        </w:rPr>
      </w:r>
      <w:r>
        <w:rPr>
          <w:spacing w:val="-2"/>
        </w:rPr>
        <w:t>期收回或转回比例较大的应收账款。对于本报告期通过重组等方式收回、金额重大的应收款项，则应逐笔列报。金额不重大</w:t>
      </w:r>
      <w:r>
        <w:rPr>
          <w:spacing w:val="-64"/>
        </w:rPr>
        <w:t> </w:t>
      </w:r>
      <w:r>
        <w:rPr>
          <w:spacing w:val="-64"/>
        </w:rPr>
      </w:r>
      <w:r>
        <w:rPr/>
        <w:t>的，可汇总列报。</w:t>
      </w:r>
    </w:p>
    <w:p>
      <w:pPr>
        <w:pStyle w:val="BodyText"/>
        <w:spacing w:line="240" w:lineRule="auto" w:before="57"/>
        <w:ind w:right="0"/>
        <w:jc w:val="both"/>
      </w:pPr>
      <w:r>
        <w:rPr/>
        <w:t>期末单项金额重大或虽不重大但单独进行减值测试的应收账款坏账准备计提</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本报告期实际核销的应收账款情况" w:id="273"/>
      <w:bookmarkEnd w:id="273"/>
      <w:r>
        <w:rPr>
          <w:b w:val="0"/>
          <w:bCs w:val="0"/>
        </w:rPr>
      </w: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10"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本报告期应收账款中持有公司5％（含5％）以上表决权股份的股东单位情况" w:id="274"/>
      <w:bookmarkEnd w:id="274"/>
      <w:r>
        <w:rPr>
          <w:b w:val="0"/>
          <w:bCs w:val="0"/>
        </w:rPr>
      </w:r>
      <w:r>
        <w:rPr/>
        <w:t>（</w:t>
      </w:r>
      <w:r>
        <w:rPr>
          <w:rFonts w:ascii="Times New Roman" w:hAnsi="Times New Roman" w:cs="Times New Roman" w:eastAsia="Times New Roman" w:hint="default"/>
        </w:rPr>
        <w:t>4</w:t>
      </w:r>
      <w:r>
        <w:rPr/>
        <w:t>）本报告期应收账款中持有公司</w:t>
      </w:r>
      <w:r>
        <w:rPr>
          <w:spacing w:val="-62"/>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728"/>
        <w:gridCol w:w="1594"/>
        <w:gridCol w:w="1860"/>
        <w:gridCol w:w="172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应收账款中金额前五名单位情况" w:id="275"/>
      <w:bookmarkEnd w:id="275"/>
      <w:r>
        <w:rPr>
          <w:b w:val="0"/>
          <w:bCs w:val="0"/>
        </w:rPr>
      </w: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9,967,560.00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重庆市电力公司电力科 学研究院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8,936,851.95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6,776,558.00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长春吉大正元信息技术 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6,548,732.68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北京浩普诚华科技有限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38,609,702.63</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23.01%</w:t>
            </w:r>
          </w:p>
        </w:tc>
      </w:tr>
    </w:tbl>
    <w:p>
      <w:pPr>
        <w:pStyle w:val="BodyText"/>
        <w:spacing w:line="240" w:lineRule="auto" w:before="49"/>
        <w:ind w:right="0"/>
        <w:jc w:val="left"/>
      </w:pPr>
      <w:r>
        <w:rPr/>
        <w:t>注：</w:t>
      </w:r>
      <w:r>
        <w:rPr>
          <w:rFonts w:ascii="Times New Roman" w:hAnsi="Times New Roman" w:cs="Times New Roman" w:eastAsia="Times New Roman" w:hint="default"/>
        </w:rPr>
        <w:t>“</w:t>
      </w:r>
      <w:r>
        <w:rPr/>
        <w:t>单位名称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与本公司关系</w:t>
      </w:r>
      <w:r>
        <w:rPr>
          <w:rFonts w:ascii="Times New Roman" w:hAnsi="Times New Roman" w:cs="Times New Roman" w:eastAsia="Times New Roman" w:hint="default"/>
        </w:rPr>
        <w:t>”</w:t>
      </w:r>
      <w:r>
        <w:rPr/>
        <w:t>公司根据实际需要填写。</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6）应收关联方账款情况" w:id="276"/>
      <w:bookmarkEnd w:id="276"/>
      <w:r>
        <w:rPr>
          <w:b w:val="0"/>
          <w:bCs w:val="0"/>
        </w:rPr>
      </w:r>
      <w:r>
        <w:rPr/>
        <w:t>（</w:t>
      </w:r>
      <w:r>
        <w:rPr>
          <w:rFonts w:ascii="Times New Roman" w:hAnsi="Times New Roman" w:cs="Times New Roman" w:eastAsia="Times New Roman" w:hint="default"/>
        </w:rPr>
        <w:t>6</w:t>
      </w:r>
      <w:r>
        <w:rPr/>
        <w:t>）应收关联方账款情况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1"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10" w:space="0" w:color="D4D4D4"/>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7）终止确认的应收款项情况" w:id="277"/>
      <w:bookmarkEnd w:id="277"/>
      <w:r>
        <w:rPr>
          <w:b w:val="0"/>
          <w:bCs w:val="0"/>
        </w:rPr>
      </w: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88"/>
        <w:gridCol w:w="2993"/>
        <w:gridCol w:w="3588"/>
      </w:tblGrid>
      <w:tr>
        <w:trPr>
          <w:trHeight w:val="401" w:hRule="exact"/>
        </w:trPr>
        <w:tc>
          <w:tcPr>
            <w:tcW w:w="2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88"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3"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8）以应收款项为标的进行证券化的，列示继续涉入形成的资产、负债的金额" w:id="278"/>
      <w:bookmarkEnd w:id="278"/>
      <w:r>
        <w:rPr>
          <w:b w:val="0"/>
          <w:bCs w:val="0"/>
        </w:rPr>
      </w: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7"/>
        <w:gridCol w:w="5712"/>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tcPr>
          <w:p>
            <w:pPr/>
          </w:p>
        </w:tc>
        <w:tc>
          <w:tcPr>
            <w:tcW w:w="571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712" w:type="dxa"/>
            <w:tcBorders>
              <w:top w:val="single" w:sz="4" w:space="0" w:color="000000"/>
              <w:left w:val="single" w:sz="13" w:space="0" w:color="D4D4D4"/>
              <w:bottom w:val="single" w:sz="4" w:space="0" w:color="000000"/>
              <w:right w:val="single" w:sz="4" w:space="0" w:color="000000"/>
            </w:tcBorders>
          </w:tcPr>
          <w:p>
            <w:pP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tcPr>
          <w:p>
            <w:pPr/>
          </w:p>
        </w:tc>
        <w:tc>
          <w:tcPr>
            <w:tcW w:w="5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71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82" w:header="745" w:top="1060" w:bottom="1180" w:left="980" w:right="980"/>
          <w:pgNumType w:start="1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7、其他应收款" w:id="279"/>
      <w:bookmarkEnd w:id="279"/>
      <w:r>
        <w:rPr>
          <w:b w:val="0"/>
          <w:bCs w:val="0"/>
        </w:rPr>
      </w:r>
      <w:bookmarkStart w:name="（1）其他应收款按种类披露" w:id="280"/>
      <w:bookmarkEnd w:id="280"/>
      <w:r>
        <w:rPr>
          <w:b w:val="0"/>
          <w:bCs w:val="0"/>
        </w:rPr>
      </w: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3"/>
        <w:gridCol w:w="1056"/>
        <w:gridCol w:w="792"/>
        <w:gridCol w:w="1058"/>
        <w:gridCol w:w="794"/>
        <w:gridCol w:w="1058"/>
        <w:gridCol w:w="926"/>
        <w:gridCol w:w="1190"/>
        <w:gridCol w:w="790"/>
      </w:tblGrid>
      <w:tr>
        <w:trPr>
          <w:trHeight w:val="401"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6" w:type="dxa"/>
            <w:tcBorders>
              <w:top w:val="single" w:sz="4" w:space="0" w:color="000000"/>
              <w:left w:val="single" w:sz="13" w:space="0" w:color="D4D4D4"/>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4,596,049.40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850,094.28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4,101,358.32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762,007.60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18.58%</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4,596,049.40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850,094.28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4,101,358.32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762,007.60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18.58%</w:t>
            </w:r>
          </w:p>
        </w:tc>
      </w:tr>
      <w:tr>
        <w:trPr>
          <w:trHeight w:val="1027"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4,596,049.40</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850,094.28</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4,101,358.32</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762,007.60</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0"/>
        <w:jc w:val="left"/>
      </w:pPr>
      <w:r>
        <w:rPr>
          <w:spacing w:val="-2"/>
        </w:rPr>
        <w:t>注：填写组合名称。账面余额中的比例按期末该类其他应收款除以其他应收款合计数计算，坏账准备比例按该类其他应收款</w:t>
      </w:r>
      <w:r>
        <w:rPr>
          <w:spacing w:val="-66"/>
        </w:rPr>
        <w:t> </w:t>
      </w:r>
      <w:r>
        <w:rPr>
          <w:spacing w:val="-66"/>
        </w:rPr>
      </w:r>
      <w:r>
        <w:rPr/>
        <w:t>期末已计提坏账准备除以期末该类其他应收款金额计算。</w:t>
      </w:r>
    </w:p>
    <w:p>
      <w:pPr>
        <w:pStyle w:val="BodyText"/>
        <w:spacing w:line="357" w:lineRule="auto" w:before="59"/>
        <w:ind w:right="7974"/>
        <w:jc w:val="left"/>
      </w:pPr>
      <w:r>
        <w:rPr/>
        <w:t>其他应收款种类的说明 无</w:t>
      </w:r>
    </w:p>
    <w:p>
      <w:pPr>
        <w:pStyle w:val="BodyText"/>
        <w:spacing w:line="240" w:lineRule="auto" w:before="29"/>
        <w:ind w:right="0"/>
        <w:jc w:val="left"/>
      </w:pPr>
      <w:r>
        <w:rPr/>
        <w:t>期末单项金额重大并单项计提坏账准备的其他应收款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7"/>
        <w:gridCol w:w="1450"/>
        <w:gridCol w:w="658"/>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4D4D4"/>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4D4D4"/>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7"/>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2,561,876.77</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55.74%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128,093.84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2,630,987.64</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131,549.38</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2,561,876.77</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55.74%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128,093.84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2,630,987.64</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131,549.38</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960,106.95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96,010.70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451,246.80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45,124.68</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297,425.80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89,227.74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340,717.00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102,215.10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396,333.00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198,166.50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208,556.88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104,278.44</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208,556.88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166,845.50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455,050.00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w:t>
            </w:r>
            <w:r>
              <w:rPr>
                <w:rFonts w:ascii="Times New Roman"/>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364,040.00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171,750.00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171,750.00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14,800.00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4,596,049.40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850,094.28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4,101,358.32</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762,007.60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组合中，采用余额百分比法计提坏账准备的其他应收款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7"/>
        <w:gridCol w:w="2165"/>
        <w:gridCol w:w="2167"/>
        <w:gridCol w:w="2167"/>
      </w:tblGrid>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组合中，采用其他方法计提坏账准备的其他应收款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0"/>
        <w:gridCol w:w="2856"/>
        <w:gridCol w:w="2753"/>
      </w:tblGrid>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0"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期末单项金额虽不重大但单项计提坏账准备的其他应收款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转回或收回的其他应收款情况" w:id="281"/>
      <w:bookmarkEnd w:id="281"/>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1"/>
        <w:gridCol w:w="1865"/>
        <w:gridCol w:w="1918"/>
        <w:gridCol w:w="1884"/>
      </w:tblGrid>
      <w:tr>
        <w:trPr>
          <w:trHeight w:val="715" w:hRule="exact"/>
        </w:trPr>
        <w:tc>
          <w:tcPr>
            <w:tcW w:w="2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93"/>
        <w:gridCol w:w="1711"/>
        <w:gridCol w:w="1865"/>
        <w:gridCol w:w="1918"/>
        <w:gridCol w:w="1872"/>
      </w:tblGrid>
      <w:tr>
        <w:trPr>
          <w:trHeight w:val="402" w:hRule="exact"/>
        </w:trPr>
        <w:tc>
          <w:tcPr>
            <w:tcW w:w="2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50"/>
        <w:ind w:right="150"/>
        <w:jc w:val="both"/>
      </w:pPr>
      <w:r>
        <w:rPr>
          <w:spacing w:val="-2"/>
        </w:rPr>
        <w:t>注：本表列报本报告期前已全额计提坏账准备，或计提减值准备的比例较大，但在本报告期又全额收回或转回，或在本报告</w:t>
      </w:r>
      <w:r>
        <w:rPr>
          <w:spacing w:val="-65"/>
        </w:rPr>
        <w:t> </w:t>
      </w:r>
      <w:r>
        <w:rPr>
          <w:spacing w:val="-65"/>
        </w:rPr>
      </w:r>
      <w:r>
        <w:rPr>
          <w:spacing w:val="-2"/>
        </w:rPr>
        <w:t>期收回或转回比例较大的应收账款。对于本报告期通过重组等方式收回、金额重大的应收款项，则应逐笔列报。金额不重大</w:t>
      </w:r>
      <w:r>
        <w:rPr>
          <w:spacing w:val="-64"/>
        </w:rPr>
        <w:t> </w:t>
      </w:r>
      <w:r>
        <w:rPr>
          <w:spacing w:val="-64"/>
        </w:rPr>
      </w:r>
      <w:r>
        <w:rPr/>
        <w:t>的，可汇总列报。</w:t>
      </w:r>
    </w:p>
    <w:p>
      <w:pPr>
        <w:pStyle w:val="BodyText"/>
        <w:spacing w:line="240" w:lineRule="auto" w:before="59"/>
        <w:ind w:right="0"/>
        <w:jc w:val="both"/>
      </w:pPr>
      <w:r>
        <w:rPr/>
        <w:t>期末单项金额重大或虽不重大但单独进行减值测试的其他应收账款坏账准备计提</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850"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本报告期实际核销的其他应收款情况" w:id="282"/>
      <w:bookmarkEnd w:id="282"/>
      <w:r>
        <w:rPr>
          <w:b w:val="0"/>
          <w:bCs w:val="0"/>
        </w:rPr>
      </w: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6"/>
        <w:gridCol w:w="1591"/>
        <w:gridCol w:w="1464"/>
        <w:gridCol w:w="1517"/>
        <w:gridCol w:w="180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本报告期其他应收款中持有公司5％（含5％）以上表决权股份的股东单位情况" w:id="283"/>
      <w:bookmarkEnd w:id="283"/>
      <w:r>
        <w:rPr>
          <w:b w:val="0"/>
          <w:bCs w:val="0"/>
        </w:rPr>
      </w:r>
      <w:r>
        <w:rPr/>
        <w:t>（</w:t>
      </w:r>
      <w:r>
        <w:rPr>
          <w:rFonts w:ascii="Times New Roman" w:hAnsi="Times New Roman" w:cs="Times New Roman" w:eastAsia="Times New Roman" w:hint="default"/>
        </w:rPr>
        <w:t>4</w:t>
      </w:r>
      <w:r>
        <w:rPr/>
        <w:t>）本报告期其他应收款中持有公司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1"/>
        <w:gridCol w:w="1728"/>
        <w:gridCol w:w="1594"/>
        <w:gridCol w:w="1860"/>
        <w:gridCol w:w="1594"/>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金额较大的其他应收款的性质或内容" w:id="284"/>
      <w:bookmarkEnd w:id="284"/>
      <w:r>
        <w:rPr>
          <w:b w:val="0"/>
          <w:bCs w:val="0"/>
        </w:rPr>
      </w: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1915"/>
        <w:gridCol w:w="2870"/>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其他应收款金额前五名单位情况" w:id="285"/>
      <w:bookmarkEnd w:id="285"/>
      <w:r>
        <w:rPr>
          <w:b w:val="0"/>
          <w:bCs w:val="0"/>
        </w:rPr>
      </w: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占其他应收款总额的比</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36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国网国际招标有限公司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成都网者安全技术有限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北京扬盾信息技术有限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重庆龙软软件有限公司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770,000.00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16.75%</w:t>
            </w:r>
          </w:p>
        </w:tc>
      </w:tr>
    </w:tbl>
    <w:p>
      <w:pPr>
        <w:pStyle w:val="BodyText"/>
        <w:spacing w:line="240" w:lineRule="auto" w:before="49"/>
        <w:ind w:right="0"/>
        <w:jc w:val="left"/>
      </w:pPr>
      <w:r>
        <w:rPr/>
        <w:t>注：</w:t>
      </w:r>
      <w:r>
        <w:rPr>
          <w:rFonts w:ascii="Times New Roman" w:hAnsi="Times New Roman" w:cs="Times New Roman" w:eastAsia="Times New Roman" w:hint="default"/>
        </w:rPr>
        <w:t>“</w:t>
      </w:r>
      <w:r>
        <w:rPr/>
        <w:t>单位名称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与本公司关系</w:t>
      </w:r>
      <w:r>
        <w:rPr>
          <w:rFonts w:ascii="Times New Roman" w:hAnsi="Times New Roman" w:cs="Times New Roman" w:eastAsia="Times New Roman" w:hint="default"/>
        </w:rPr>
        <w:t>”</w:t>
      </w:r>
      <w:r>
        <w:rPr/>
        <w:t>公司根据实际需要填写。</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7）其他应收关联方账款情况" w:id="286"/>
      <w:bookmarkEnd w:id="286"/>
      <w:r>
        <w:rPr>
          <w:b w:val="0"/>
          <w:bCs w:val="0"/>
        </w:rPr>
      </w: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1"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10" w:space="0" w:color="D4D4D4"/>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8）终止确认的其他应收款项情况" w:id="287"/>
      <w:bookmarkEnd w:id="287"/>
      <w:r>
        <w:rPr>
          <w:b w:val="0"/>
          <w:bCs w:val="0"/>
        </w:rPr>
      </w: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88"/>
        <w:gridCol w:w="2993"/>
        <w:gridCol w:w="3588"/>
      </w:tblGrid>
      <w:tr>
        <w:trPr>
          <w:trHeight w:val="401" w:hRule="exact"/>
        </w:trPr>
        <w:tc>
          <w:tcPr>
            <w:tcW w:w="2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88"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93" w:type="dxa"/>
            <w:tcBorders>
              <w:top w:val="single" w:sz="4" w:space="0" w:color="000000"/>
              <w:left w:val="single" w:sz="4" w:space="0" w:color="000000"/>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9）以其他应收款为标的进行证券化的，列示继续涉入形成的资产、负债的金额" w:id="288"/>
      <w:bookmarkEnd w:id="288"/>
      <w:r>
        <w:rPr>
          <w:b w:val="0"/>
          <w:bCs w:val="0"/>
        </w:rPr>
      </w: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0"/>
        <w:gridCol w:w="5846"/>
      </w:tblGrid>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tcPr>
          <w:p>
            <w:pPr/>
          </w:p>
        </w:tc>
        <w:tc>
          <w:tcPr>
            <w:tcW w:w="58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846" w:type="dxa"/>
            <w:tcBorders>
              <w:top w:val="single" w:sz="4" w:space="0" w:color="000000"/>
              <w:left w:val="single" w:sz="9" w:space="0" w:color="D4D4D4"/>
              <w:bottom w:val="single" w:sz="4" w:space="0" w:color="000000"/>
              <w:right w:val="single" w:sz="4" w:space="0" w:color="000000"/>
            </w:tcBorders>
          </w:tcPr>
          <w:p>
            <w:pP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tcPr>
          <w:p>
            <w:pPr/>
          </w:p>
        </w:tc>
        <w:tc>
          <w:tcPr>
            <w:tcW w:w="58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8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8、预付款项" w:id="289"/>
      <w:bookmarkEnd w:id="289"/>
      <w:r>
        <w:rPr>
          <w:b w:val="0"/>
          <w:bCs w:val="0"/>
        </w:rPr>
      </w:r>
      <w:bookmarkStart w:name="（1）预付款项按账龄列示" w:id="290"/>
      <w:bookmarkEnd w:id="29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8"/>
        <w:gridCol w:w="1063"/>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4D4D4"/>
          </w:tcPr>
          <w:p>
            <w:pPr/>
          </w:p>
        </w:tc>
        <w:tc>
          <w:tcPr>
            <w:tcW w:w="3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8"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305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15,618,537.55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4,681,440.57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1,454,365.12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146,802.00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66,216.00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12" w:space="0" w:color="D4D4D4"/>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17,219,704.67</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4,907,356.57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pStyle w:val="Heading4"/>
        <w:spacing w:line="240" w:lineRule="auto" w:before="68"/>
        <w:ind w:right="0"/>
        <w:jc w:val="left"/>
      </w:pPr>
      <w:r>
        <w:rPr/>
        <w:t>无</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预付款项金额前五名单位情况" w:id="291"/>
      <w:bookmarkEnd w:id="291"/>
      <w:r>
        <w:rPr>
          <w:b w:val="0"/>
          <w:bCs w:val="0"/>
        </w:rPr>
      </w: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陕西南湾房地产开发有 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11,545,850.00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江苏躬行信息科技有限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北京国舜科技有限公司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977,192.12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南京鸿度装饰工程有限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875,796.55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济南双洋科技有限公司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471,500.00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14,870,338.67</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预付款项主要单位的说明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本报告期预付款项中持有本公司5％（含5％）以上表决权股份的股东单位情况" w:id="292"/>
      <w:bookmarkEnd w:id="292"/>
      <w:r>
        <w:rPr>
          <w:b w:val="0"/>
          <w:bCs w:val="0"/>
        </w:rPr>
      </w:r>
      <w:r>
        <w:rPr/>
        <w:t>（</w:t>
      </w:r>
      <w:r>
        <w:rPr>
          <w:rFonts w:ascii="Times New Roman" w:hAnsi="Times New Roman" w:cs="Times New Roman" w:eastAsia="Times New Roman" w:hint="default"/>
        </w:rPr>
        <w:t>3</w:t>
      </w:r>
      <w:r>
        <w:rPr/>
        <w:t>）本报告期预付款项中持有本公司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1"/>
        <w:gridCol w:w="1728"/>
        <w:gridCol w:w="1594"/>
        <w:gridCol w:w="1728"/>
        <w:gridCol w:w="172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4）预付款项的说明" w:id="293"/>
      <w:bookmarkEnd w:id="293"/>
      <w:r>
        <w:rPr>
          <w:b w:val="0"/>
          <w:bCs w:val="0"/>
        </w:rPr>
      </w:r>
      <w:bookmarkStart w:name="9、存货" w:id="294"/>
      <w:bookmarkEnd w:id="294"/>
      <w:r>
        <w:rPr>
          <w:b w:val="0"/>
          <w:bCs w:val="0"/>
        </w:rPr>
      </w:r>
      <w:r>
        <w:rPr>
          <w:rFonts w:ascii="Times New Roman" w:hAnsi="Times New Roman" w:cs="Times New Roman" w:eastAsia="Times New Roman" w:hint="default"/>
        </w:rPr>
        <w:t>9</w:t>
      </w:r>
      <w:r>
        <w:rPr/>
        <w:t>、存货</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存货分类" w:id="295"/>
      <w:bookmarkEnd w:id="29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8"/>
        <w:gridCol w:w="1472"/>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99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5" w:type="dxa"/>
            <w:gridSpan w:val="3"/>
            <w:vMerge/>
            <w:tcBorders>
              <w:left w:val="single" w:sz="4" w:space="0" w:color="000000"/>
              <w:bottom w:val="single" w:sz="4" w:space="0" w:color="000000"/>
              <w:right w:val="single" w:sz="4" w:space="0" w:color="000000"/>
            </w:tcBorders>
            <w:shd w:val="clear" w:color="auto" w:fill="D4D4D4"/>
          </w:tcPr>
          <w:p>
            <w:pPr/>
          </w:p>
        </w:tc>
        <w:tc>
          <w:tcPr>
            <w:tcW w:w="3984"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4D4D4"/>
          </w:tcPr>
          <w:p>
            <w:pPr/>
          </w:p>
        </w:tc>
        <w:tc>
          <w:tcPr>
            <w:tcW w:w="14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472" w:type="dxa"/>
            <w:vMerge/>
            <w:tcBorders>
              <w:left w:val="single" w:sz="4" w:space="0" w:color="000000"/>
              <w:bottom w:val="single" w:sz="4" w:space="0" w:color="000000"/>
              <w:right w:val="single" w:sz="4" w:space="0" w:color="000000"/>
            </w:tcBorders>
            <w:shd w:val="clear" w:color="auto" w:fill="D4D4D4"/>
          </w:tcPr>
          <w:p>
            <w:pPr/>
          </w:p>
        </w:tc>
        <w:tc>
          <w:tcPr>
            <w:tcW w:w="1193"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2,747,854.65</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2,747,854.65</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1,877,828.92</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1,877,828.92</w:t>
            </w:r>
            <w:r>
              <w:rPr>
                <w:rFonts w:ascii="Times New Roman"/>
                <w:sz w:val="18"/>
              </w:rPr>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9" w:space="0" w:color="D4D4D4"/>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1,561,361.35</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1,561,361.35</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2,175,236.02</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2,175,236.02</w:t>
            </w:r>
            <w:r>
              <w:rPr>
                <w:rFonts w:ascii="Times New Roman"/>
                <w:sz w:val="18"/>
              </w:rPr>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2" w:type="dxa"/>
            <w:tcBorders>
              <w:top w:val="single" w:sz="4" w:space="0" w:color="000000"/>
              <w:left w:val="single" w:sz="9" w:space="0" w:color="D4D4D4"/>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72" w:type="dxa"/>
            <w:tcBorders>
              <w:top w:val="single" w:sz="4" w:space="0" w:color="000000"/>
              <w:left w:val="single" w:sz="9" w:space="0" w:color="D4D4D4"/>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电子文档安全管理 系统项目</w:t>
            </w:r>
          </w:p>
        </w:tc>
        <w:tc>
          <w:tcPr>
            <w:tcW w:w="147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346,654.23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346,654.23</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5,314.81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5,314.81</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4,309,216.00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4,309,216.00</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4,405,033.98</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4,405,033.98</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存货跌价准备" w:id="296"/>
      <w:bookmarkEnd w:id="29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5"/>
        <w:gridCol w:w="1615"/>
        <w:gridCol w:w="1414"/>
        <w:gridCol w:w="1430"/>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28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4D4D4"/>
          </w:tcPr>
          <w:p>
            <w:pPr/>
          </w:p>
        </w:tc>
        <w:tc>
          <w:tcPr>
            <w:tcW w:w="175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4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4" w:type="dxa"/>
            <w:vMerge/>
            <w:tcBorders>
              <w:left w:val="single" w:sz="4" w:space="0" w:color="000000"/>
              <w:bottom w:val="single" w:sz="4" w:space="0" w:color="000000"/>
              <w:right w:val="single" w:sz="4" w:space="0" w:color="000000"/>
            </w:tcBorders>
            <w:shd w:val="clear" w:color="auto" w:fill="D4D4D4"/>
          </w:tcPr>
          <w:p>
            <w:pPr/>
          </w:p>
        </w:tc>
        <w:tc>
          <w:tcPr>
            <w:tcW w:w="1430" w:type="dxa"/>
            <w:vMerge/>
            <w:tcBorders>
              <w:left w:val="single" w:sz="4" w:space="0" w:color="000000"/>
              <w:bottom w:val="single" w:sz="4" w:space="0" w:color="000000"/>
              <w:right w:val="single" w:sz="4" w:space="0" w:color="000000"/>
            </w:tcBorders>
            <w:shd w:val="clear" w:color="auto" w:fill="D4D4D4"/>
          </w:tcPr>
          <w:p>
            <w:pPr/>
          </w:p>
        </w:tc>
        <w:tc>
          <w:tcPr>
            <w:tcW w:w="175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10" w:space="0" w:color="D4D4D4"/>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00000"/>
              <w:left w:val="single" w:sz="10" w:space="0" w:color="D4D4D4"/>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0" w:space="0" w:color="D4D4D4"/>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15" w:type="dxa"/>
            <w:tcBorders>
              <w:top w:val="single" w:sz="4" w:space="0" w:color="000000"/>
              <w:left w:val="single" w:sz="10" w:space="0" w:color="D4D4D4"/>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15" w:type="dxa"/>
            <w:tcBorders>
              <w:top w:val="single" w:sz="4" w:space="0" w:color="000000"/>
              <w:left w:val="single" w:sz="10" w:space="0" w:color="D4D4D4"/>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存货跌价准备情况" w:id="297"/>
      <w:bookmarkEnd w:id="297"/>
      <w:r>
        <w:rPr>
          <w:b w:val="0"/>
          <w:bCs w:val="0"/>
        </w:rPr>
      </w:r>
      <w:r>
        <w:rPr/>
        <w:t>（</w:t>
      </w:r>
      <w:r>
        <w:rPr>
          <w:rFonts w:ascii="Times New Roman" w:hAnsi="Times New Roman" w:cs="Times New Roman" w:eastAsia="Times New Roman" w:hint="default"/>
        </w:rPr>
        <w:t>3</w:t>
      </w:r>
      <w:r>
        <w:rPr/>
        <w:t>）存货跌价准备情况</w:t>
      </w:r>
      <w:r>
        <w:rPr>
          <w:b w:val="0"/>
          <w:bCs w:val="0"/>
        </w:rPr>
      </w: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381"/>
        <w:gridCol w:w="2390"/>
        <w:gridCol w:w="2393"/>
        <w:gridCol w:w="2393"/>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0"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95"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4D4D4"/>
          </w:tcPr>
          <w:p>
            <w:pP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0"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0"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734"/>
        <w:jc w:val="left"/>
      </w:pPr>
      <w:r>
        <w:rPr/>
        <w:t>存货的说明 注：存货期末余额中含有借款费用资本化金额的，应予以披露。</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10、其他流动资产" w:id="298"/>
      <w:bookmarkEnd w:id="298"/>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6"/>
        <w:gridCol w:w="2923"/>
        <w:gridCol w:w="3190"/>
      </w:tblGrid>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1,759,642.90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1,746,352.84</w:t>
            </w:r>
            <w:r>
              <w:rPr>
                <w:rFonts w:ascii="Times New Roman"/>
                <w:sz w:val="18"/>
              </w:rPr>
            </w:r>
          </w:p>
        </w:tc>
      </w:tr>
      <w:tr>
        <w:trPr>
          <w:trHeight w:val="401"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上市筹备费用</w:t>
            </w:r>
          </w:p>
        </w:tc>
        <w:tc>
          <w:tcPr>
            <w:tcW w:w="292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3,309,992.69</w:t>
            </w:r>
            <w:r>
              <w:rPr>
                <w:rFonts w:ascii="Times New Roman"/>
                <w:sz w:val="18"/>
              </w:rPr>
            </w:r>
          </w:p>
        </w:tc>
      </w:tr>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1,759,642.90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5,056,345.53</w:t>
            </w:r>
            <w:r>
              <w:rPr>
                <w:rFonts w:ascii="Times New Roman"/>
                <w:sz w:val="18"/>
              </w:rPr>
            </w:r>
          </w:p>
        </w:tc>
      </w:tr>
    </w:tbl>
    <w:p>
      <w:pPr>
        <w:pStyle w:val="BodyText"/>
        <w:spacing w:line="240" w:lineRule="auto" w:before="49"/>
        <w:ind w:right="0"/>
        <w:jc w:val="left"/>
      </w:pPr>
      <w:r>
        <w:rPr/>
        <w:t>其他流动资产说明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11、可供出售金融资产" w:id="299"/>
      <w:bookmarkEnd w:id="299"/>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可供出售金融资产情况" w:id="300"/>
      <w:bookmarkEnd w:id="30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300" w:lineRule="auto" w:before="49"/>
        <w:ind w:right="192"/>
        <w:jc w:val="left"/>
      </w:pPr>
      <w:r>
        <w:rPr/>
        <w:t>本期将持有至到期投资重分类为可供出售金融资产的，本期重分类的金额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元，该金额占重分类前持有至到期投资总额 的比例</w:t>
      </w:r>
      <w:r>
        <w:rPr>
          <w:spacing w:val="-46"/>
        </w:rPr>
        <w:t> </w:t>
      </w:r>
      <w:r>
        <w:rPr>
          <w:rFonts w:ascii="Times New Roman" w:hAnsi="Times New Roman" w:cs="Times New Roman" w:eastAsia="Times New Roman" w:hint="default"/>
        </w:rPr>
        <w:t>0%</w:t>
      </w:r>
      <w:r>
        <w:rPr/>
        <w:t>。</w:t>
      </w:r>
    </w:p>
    <w:p>
      <w:pPr>
        <w:pStyle w:val="BodyText"/>
        <w:spacing w:line="240" w:lineRule="auto" w:before="51"/>
        <w:ind w:right="0"/>
        <w:jc w:val="left"/>
      </w:pPr>
      <w:r>
        <w:rPr/>
        <w:t>可供出售金融资产的说明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可供出售金融资产中的长期债权投资" w:id="301"/>
      <w:bookmarkEnd w:id="301"/>
      <w:r>
        <w:rPr>
          <w:b w:val="0"/>
          <w:bCs w:val="0"/>
        </w:rPr>
      </w: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1"/>
        <w:gridCol w:w="1063"/>
        <w:gridCol w:w="1063"/>
        <w:gridCol w:w="1063"/>
        <w:gridCol w:w="1063"/>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13" w:space="0" w:color="D4D4D4"/>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554"/>
        <w:jc w:val="left"/>
      </w:pPr>
      <w:r>
        <w:rPr/>
        <w:t>注：存在限售期限的可供出售金融资产，应逐项披露其限售期限。 可供出售金融资产的长期债权投资的说明</w:t>
      </w:r>
    </w:p>
    <w:p>
      <w:pPr>
        <w:spacing w:after="0" w:line="357"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12、持有至到期投资" w:id="302"/>
      <w:bookmarkEnd w:id="30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持有至到期投资情况" w:id="303"/>
      <w:bookmarkEnd w:id="30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3"/>
        <w:gridCol w:w="3190"/>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持有至到期投资的说明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本报告期内出售但尚未到期的持有至到期投资情况" w:id="304"/>
      <w:bookmarkEnd w:id="304"/>
      <w:r>
        <w:rPr>
          <w:b w:val="0"/>
          <w:bCs w:val="0"/>
        </w:rPr>
      </w: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6"/>
        <w:gridCol w:w="2791"/>
        <w:gridCol w:w="3982"/>
      </w:tblGrid>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
        </w:tc>
        <w:tc>
          <w:tcPr>
            <w:tcW w:w="39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13" w:space="0" w:color="D4D4D4"/>
            </w:tcBorders>
          </w:tcPr>
          <w:p>
            <w:pPr/>
          </w:p>
        </w:tc>
        <w:tc>
          <w:tcPr>
            <w:tcW w:w="3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本报告期内出售但尚未到期的持有至到期投资情况说明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13、长期应收款" w:id="305"/>
      <w:bookmarkEnd w:id="30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8"/>
        <w:gridCol w:w="3335"/>
        <w:gridCol w:w="3454"/>
      </w:tblGrid>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14、对合营企业投资和联营企业投资" w:id="306"/>
      <w:bookmarkEnd w:id="306"/>
      <w:r>
        <w:rPr>
          <w:b w:val="0"/>
          <w:bCs w:val="0"/>
        </w:rPr>
      </w:r>
      <w:r>
        <w:rPr>
          <w:rFonts w:ascii="Times New Roman" w:hAnsi="Times New Roman" w:cs="Times New Roman" w:eastAsia="Times New Roman" w:hint="default"/>
        </w:rPr>
        <w:t>14</w:t>
      </w:r>
      <w:r>
        <w:rPr/>
        <w:t>、对合营企业投资和联营企业投资</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3"/>
        <w:gridCol w:w="1198"/>
        <w:gridCol w:w="1198"/>
      </w:tblGrid>
      <w:tr>
        <w:trPr>
          <w:trHeight w:val="1025"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2"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3"/>
        <w:gridCol w:w="1198"/>
        <w:gridCol w:w="1198"/>
      </w:tblGrid>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15、长期股权投资" w:id="307"/>
      <w:bookmarkEnd w:id="307"/>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长期股权投资明细情况" w:id="308"/>
      <w:bookmarkEnd w:id="308"/>
      <w:r>
        <w:rPr>
          <w:b w:val="0"/>
          <w:bCs w:val="0"/>
        </w:rPr>
      </w: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3"/>
        <w:gridCol w:w="797"/>
        <w:gridCol w:w="799"/>
        <w:gridCol w:w="797"/>
        <w:gridCol w:w="799"/>
        <w:gridCol w:w="797"/>
        <w:gridCol w:w="799"/>
        <w:gridCol w:w="797"/>
        <w:gridCol w:w="799"/>
        <w:gridCol w:w="797"/>
        <w:gridCol w:w="799"/>
        <w:gridCol w:w="797"/>
      </w:tblGrid>
      <w:tr>
        <w:trPr>
          <w:trHeight w:val="1963" w:hRule="exact"/>
        </w:trPr>
        <w:tc>
          <w:tcPr>
            <w:tcW w:w="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1" w:hRule="exact"/>
        </w:trPr>
        <w:tc>
          <w:tcPr>
            <w:tcW w:w="79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向投资企业转移资金的能力受到限制的有关情况" w:id="309"/>
      <w:bookmarkEnd w:id="309"/>
      <w:r>
        <w:rPr>
          <w:b w:val="0"/>
          <w:bCs w:val="0"/>
        </w:rPr>
      </w: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4"/>
        <w:jc w:val="left"/>
      </w:pPr>
      <w:r>
        <w:rPr/>
        <w:t>长期股权投资的说明 注：对有限售条件的长期股权投资说明。 例如：披露相关投资的品种、取得方式、限售规定等。</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16、投资性房地产" w:id="310"/>
      <w:bookmarkEnd w:id="310"/>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按成本计量的投资性房地产" w:id="311"/>
      <w:bookmarkEnd w:id="311"/>
      <w:r>
        <w:rPr>
          <w:b w:val="0"/>
          <w:bCs w:val="0"/>
        </w:rPr>
      </w: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2"/>
        <w:gridCol w:w="1860"/>
        <w:gridCol w:w="2126"/>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29"/>
        <w:gridCol w:w="1992"/>
        <w:gridCol w:w="1862"/>
        <w:gridCol w:w="1860"/>
        <w:gridCol w:w="2126"/>
      </w:tblGrid>
      <w:tr>
        <w:trPr>
          <w:trHeight w:val="71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5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2）按公允价值计量的投资性房地产" w:id="312"/>
      <w:bookmarkEnd w:id="312"/>
      <w:r>
        <w:rPr>
          <w:b w:val="0"/>
          <w:bCs w:val="0"/>
        </w:rPr>
      </w: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1"/>
        <w:gridCol w:w="1021"/>
        <w:gridCol w:w="1010"/>
        <w:gridCol w:w="1010"/>
        <w:gridCol w:w="1010"/>
        <w:gridCol w:w="1010"/>
        <w:gridCol w:w="1018"/>
        <w:gridCol w:w="955"/>
      </w:tblGrid>
      <w:tr>
        <w:trPr>
          <w:trHeight w:val="206" w:hRule="exact"/>
        </w:trPr>
        <w:tc>
          <w:tcPr>
            <w:tcW w:w="2521" w:type="dxa"/>
            <w:vMerge w:val="restart"/>
            <w:tcBorders>
              <w:top w:val="single" w:sz="4" w:space="0" w:color="000000"/>
              <w:left w:val="single" w:sz="4" w:space="0" w:color="000000"/>
              <w:right w:val="single" w:sz="4" w:space="0" w:color="000000"/>
            </w:tcBorders>
            <w:shd w:val="clear" w:color="auto" w:fill="D4D4D4"/>
          </w:tcPr>
          <w:p>
            <w:pPr/>
          </w:p>
        </w:tc>
        <w:tc>
          <w:tcPr>
            <w:tcW w:w="1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303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6" w:hRule="exact"/>
        </w:trPr>
        <w:tc>
          <w:tcPr>
            <w:tcW w:w="2521" w:type="dxa"/>
            <w:vMerge/>
            <w:tcBorders>
              <w:left w:val="single" w:sz="4" w:space="0" w:color="000000"/>
              <w:bottom w:val="nil" w:sz="6" w:space="0" w:color="auto"/>
              <w:right w:val="single" w:sz="4" w:space="0" w:color="000000"/>
            </w:tcBorders>
            <w:shd w:val="clear" w:color="auto" w:fill="D4D4D4"/>
          </w:tcPr>
          <w:p>
            <w:pPr/>
          </w:p>
        </w:tc>
        <w:tc>
          <w:tcPr>
            <w:tcW w:w="1021"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23" w:right="47"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1" w:type="dxa"/>
            <w:gridSpan w:val="3"/>
            <w:vMerge/>
            <w:tcBorders>
              <w:left w:val="single" w:sz="4" w:space="0" w:color="000000"/>
              <w:bottom w:val="single" w:sz="4" w:space="0" w:color="000000"/>
              <w:right w:val="single" w:sz="4" w:space="0" w:color="000000"/>
            </w:tcBorders>
            <w:shd w:val="clear" w:color="auto" w:fill="D4D4D4"/>
          </w:tcPr>
          <w:p>
            <w:pPr/>
          </w:p>
        </w:tc>
        <w:tc>
          <w:tcPr>
            <w:tcW w:w="2028" w:type="dxa"/>
            <w:gridSpan w:val="2"/>
            <w:vMerge/>
            <w:tcBorders>
              <w:left w:val="single" w:sz="4" w:space="0" w:color="000000"/>
              <w:bottom w:val="single" w:sz="4" w:space="0" w:color="000000"/>
              <w:right w:val="single" w:sz="4" w:space="0" w:color="000000"/>
            </w:tcBorders>
            <w:shd w:val="clear" w:color="auto" w:fill="D4D4D4"/>
          </w:tcPr>
          <w:p>
            <w:pPr/>
          </w:p>
        </w:tc>
        <w:tc>
          <w:tcPr>
            <w:tcW w:w="95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2" w:hRule="exact"/>
        </w:trPr>
        <w:tc>
          <w:tcPr>
            <w:tcW w:w="25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21" w:type="dxa"/>
            <w:vMerge/>
            <w:tcBorders>
              <w:left w:val="single" w:sz="4" w:space="0" w:color="000000"/>
              <w:right w:val="single" w:sz="4" w:space="0" w:color="000000"/>
            </w:tcBorders>
            <w:shd w:val="clear" w:color="auto" w:fill="D4D4D4"/>
          </w:tcPr>
          <w:p>
            <w:pPr/>
          </w:p>
        </w:tc>
        <w:tc>
          <w:tcPr>
            <w:tcW w:w="1010" w:type="dxa"/>
            <w:tcBorders>
              <w:top w:val="single" w:sz="4" w:space="0" w:color="000000"/>
              <w:left w:val="single" w:sz="4" w:space="0" w:color="000000"/>
              <w:bottom w:val="nil" w:sz="6" w:space="0" w:color="auto"/>
              <w:right w:val="single" w:sz="4" w:space="0" w:color="000000"/>
            </w:tcBorders>
            <w:shd w:val="clear" w:color="auto" w:fill="D4D4D4"/>
          </w:tcPr>
          <w:p>
            <w:pPr/>
          </w:p>
        </w:tc>
        <w:tc>
          <w:tcPr>
            <w:tcW w:w="101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nil" w:sz="6" w:space="0" w:color="auto"/>
              <w:right w:val="single" w:sz="4" w:space="0" w:color="000000"/>
            </w:tcBorders>
            <w:shd w:val="clear" w:color="auto" w:fill="D4D4D4"/>
          </w:tcPr>
          <w:p>
            <w:pPr/>
          </w:p>
        </w:tc>
        <w:tc>
          <w:tcPr>
            <w:tcW w:w="1018"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0"/>
              <w:ind w:left="323" w:right="50" w:hanging="269"/>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4D4D4"/>
          </w:tcPr>
          <w:p>
            <w:pPr/>
          </w:p>
        </w:tc>
      </w:tr>
      <w:tr>
        <w:trPr>
          <w:trHeight w:val="190" w:hRule="exact"/>
        </w:trPr>
        <w:tc>
          <w:tcPr>
            <w:tcW w:w="2521" w:type="dxa"/>
            <w:vMerge/>
            <w:tcBorders>
              <w:left w:val="single" w:sz="4" w:space="0" w:color="000000"/>
              <w:bottom w:val="nil" w:sz="6" w:space="0" w:color="auto"/>
              <w:right w:val="single" w:sz="4" w:space="0" w:color="000000"/>
            </w:tcBorders>
            <w:shd w:val="clear" w:color="auto" w:fill="D4D4D4"/>
          </w:tcPr>
          <w:p>
            <w:pPr/>
          </w:p>
        </w:tc>
        <w:tc>
          <w:tcPr>
            <w:tcW w:w="1021" w:type="dxa"/>
            <w:vMerge/>
            <w:tcBorders>
              <w:left w:val="single" w:sz="4" w:space="0" w:color="000000"/>
              <w:right w:val="single" w:sz="4" w:space="0" w:color="000000"/>
            </w:tcBorders>
            <w:shd w:val="clear" w:color="auto" w:fill="D4D4D4"/>
          </w:tcPr>
          <w:p>
            <w:pPr/>
          </w:p>
        </w:tc>
        <w:tc>
          <w:tcPr>
            <w:tcW w:w="10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vMerge/>
            <w:tcBorders>
              <w:left w:val="single" w:sz="4" w:space="0" w:color="000000"/>
              <w:right w:val="single" w:sz="4" w:space="0" w:color="000000"/>
            </w:tcBorders>
            <w:shd w:val="clear" w:color="auto" w:fill="D4D4D4"/>
          </w:tcPr>
          <w:p>
            <w:pPr/>
          </w:p>
        </w:tc>
        <w:tc>
          <w:tcPr>
            <w:tcW w:w="1010" w:type="dxa"/>
            <w:vMerge/>
            <w:tcBorders>
              <w:left w:val="single" w:sz="4" w:space="0" w:color="000000"/>
              <w:right w:val="single" w:sz="4" w:space="0" w:color="000000"/>
            </w:tcBorders>
            <w:shd w:val="clear" w:color="auto" w:fill="D4D4D4"/>
          </w:tcPr>
          <w:p>
            <w:pPr/>
          </w:p>
        </w:tc>
        <w:tc>
          <w:tcPr>
            <w:tcW w:w="10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vMerge/>
            <w:tcBorders>
              <w:left w:val="single" w:sz="4" w:space="0" w:color="000000"/>
              <w:right w:val="single" w:sz="4" w:space="0" w:color="000000"/>
            </w:tcBorders>
            <w:shd w:val="clear" w:color="auto" w:fill="D4D4D4"/>
          </w:tcPr>
          <w:p>
            <w:pPr/>
          </w:p>
        </w:tc>
        <w:tc>
          <w:tcPr>
            <w:tcW w:w="955" w:type="dxa"/>
            <w:vMerge/>
            <w:tcBorders>
              <w:left w:val="single" w:sz="4" w:space="0" w:color="000000"/>
              <w:right w:val="single" w:sz="4" w:space="0" w:color="000000"/>
            </w:tcBorders>
            <w:shd w:val="clear" w:color="auto" w:fill="D4D4D4"/>
          </w:tcPr>
          <w:p>
            <w:pPr/>
          </w:p>
        </w:tc>
      </w:tr>
      <w:tr>
        <w:trPr>
          <w:trHeight w:val="167" w:hRule="exact"/>
        </w:trPr>
        <w:tc>
          <w:tcPr>
            <w:tcW w:w="2521" w:type="dxa"/>
            <w:vMerge w:val="restart"/>
            <w:tcBorders>
              <w:top w:val="nil" w:sz="6" w:space="0" w:color="auto"/>
              <w:left w:val="single" w:sz="4" w:space="0" w:color="000000"/>
              <w:right w:val="single" w:sz="4" w:space="0" w:color="000000"/>
            </w:tcBorders>
            <w:shd w:val="clear" w:color="auto" w:fill="D4D4D4"/>
          </w:tcPr>
          <w:p>
            <w:pPr/>
          </w:p>
        </w:tc>
        <w:tc>
          <w:tcPr>
            <w:tcW w:w="1021" w:type="dxa"/>
            <w:vMerge/>
            <w:tcBorders>
              <w:left w:val="single" w:sz="4" w:space="0" w:color="000000"/>
              <w:bottom w:val="single" w:sz="18" w:space="0" w:color="FFFFFF"/>
              <w:right w:val="single" w:sz="4" w:space="0" w:color="000000"/>
            </w:tcBorders>
            <w:shd w:val="clear" w:color="auto" w:fill="D4D4D4"/>
          </w:tcPr>
          <w:p>
            <w:pPr/>
          </w:p>
        </w:tc>
        <w:tc>
          <w:tcPr>
            <w:tcW w:w="1010" w:type="dxa"/>
            <w:vMerge/>
            <w:tcBorders>
              <w:left w:val="single" w:sz="4" w:space="0" w:color="000000"/>
              <w:bottom w:val="single" w:sz="18" w:space="0" w:color="FFFFFF"/>
              <w:right w:val="single" w:sz="4" w:space="0" w:color="000000"/>
            </w:tcBorders>
            <w:shd w:val="clear" w:color="auto" w:fill="D4D4D4"/>
          </w:tcPr>
          <w:p>
            <w:pPr/>
          </w:p>
        </w:tc>
        <w:tc>
          <w:tcPr>
            <w:tcW w:w="1010" w:type="dxa"/>
            <w:vMerge/>
            <w:tcBorders>
              <w:left w:val="single" w:sz="4" w:space="0" w:color="000000"/>
              <w:right w:val="single" w:sz="4" w:space="0" w:color="000000"/>
            </w:tcBorders>
            <w:shd w:val="clear" w:color="auto" w:fill="D4D4D4"/>
          </w:tcPr>
          <w:p>
            <w:pPr/>
          </w:p>
        </w:tc>
        <w:tc>
          <w:tcPr>
            <w:tcW w:w="1010" w:type="dxa"/>
            <w:vMerge/>
            <w:tcBorders>
              <w:left w:val="single" w:sz="4" w:space="0" w:color="000000"/>
              <w:right w:val="single" w:sz="4" w:space="0" w:color="000000"/>
            </w:tcBorders>
            <w:shd w:val="clear" w:color="auto" w:fill="D4D4D4"/>
          </w:tcPr>
          <w:p>
            <w:pPr/>
          </w:p>
        </w:tc>
        <w:tc>
          <w:tcPr>
            <w:tcW w:w="1010" w:type="dxa"/>
            <w:vMerge/>
            <w:tcBorders>
              <w:left w:val="single" w:sz="4" w:space="0" w:color="000000"/>
              <w:bottom w:val="nil" w:sz="6" w:space="0" w:color="auto"/>
              <w:right w:val="single" w:sz="4" w:space="0" w:color="000000"/>
            </w:tcBorders>
            <w:shd w:val="clear" w:color="auto" w:fill="D4D4D4"/>
          </w:tcPr>
          <w:p>
            <w:pPr/>
          </w:p>
        </w:tc>
        <w:tc>
          <w:tcPr>
            <w:tcW w:w="1018" w:type="dxa"/>
            <w:vMerge/>
            <w:tcBorders>
              <w:left w:val="single" w:sz="4" w:space="0" w:color="000000"/>
              <w:right w:val="single" w:sz="4" w:space="0" w:color="000000"/>
            </w:tcBorders>
            <w:shd w:val="clear" w:color="auto" w:fill="D4D4D4"/>
          </w:tcPr>
          <w:p>
            <w:pPr/>
          </w:p>
        </w:tc>
        <w:tc>
          <w:tcPr>
            <w:tcW w:w="955" w:type="dxa"/>
            <w:vMerge/>
            <w:tcBorders>
              <w:left w:val="single" w:sz="4" w:space="0" w:color="000000"/>
              <w:bottom w:val="nil" w:sz="6" w:space="0" w:color="auto"/>
              <w:right w:val="single" w:sz="4" w:space="0" w:color="000000"/>
            </w:tcBorders>
            <w:shd w:val="clear" w:color="auto" w:fill="D4D4D4"/>
          </w:tcPr>
          <w:p>
            <w:pPr/>
          </w:p>
        </w:tc>
      </w:tr>
      <w:tr>
        <w:trPr>
          <w:trHeight w:val="178" w:hRule="exact"/>
        </w:trPr>
        <w:tc>
          <w:tcPr>
            <w:tcW w:w="2521" w:type="dxa"/>
            <w:vMerge/>
            <w:tcBorders>
              <w:left w:val="single" w:sz="4" w:space="0" w:color="000000"/>
              <w:bottom w:val="single" w:sz="4" w:space="0" w:color="000000"/>
              <w:right w:val="single" w:sz="4" w:space="0" w:color="000000"/>
            </w:tcBorders>
            <w:shd w:val="clear" w:color="auto" w:fill="D4D4D4"/>
          </w:tcPr>
          <w:p>
            <w:pPr/>
          </w:p>
        </w:tc>
        <w:tc>
          <w:tcPr>
            <w:tcW w:w="1021" w:type="dxa"/>
            <w:tcBorders>
              <w:top w:val="single" w:sz="18" w:space="0" w:color="FFFFFF"/>
              <w:left w:val="single" w:sz="4" w:space="0" w:color="000000"/>
              <w:bottom w:val="single" w:sz="4" w:space="0" w:color="000000"/>
              <w:right w:val="single" w:sz="4" w:space="0" w:color="000000"/>
            </w:tcBorders>
            <w:shd w:val="clear" w:color="auto" w:fill="D4D4D4"/>
          </w:tcPr>
          <w:p>
            <w:pPr/>
          </w:p>
        </w:tc>
        <w:tc>
          <w:tcPr>
            <w:tcW w:w="1010" w:type="dxa"/>
            <w:tcBorders>
              <w:top w:val="single" w:sz="18" w:space="0" w:color="FFFFFF"/>
              <w:left w:val="single" w:sz="4" w:space="0" w:color="000000"/>
              <w:bottom w:val="single" w:sz="4" w:space="0" w:color="000000"/>
              <w:right w:val="single" w:sz="4" w:space="0" w:color="000000"/>
            </w:tcBorders>
            <w:shd w:val="clear" w:color="auto" w:fill="D4D4D4"/>
          </w:tcPr>
          <w:p>
            <w:pPr/>
          </w:p>
        </w:tc>
        <w:tc>
          <w:tcPr>
            <w:tcW w:w="1010" w:type="dxa"/>
            <w:vMerge/>
            <w:tcBorders>
              <w:left w:val="single" w:sz="4" w:space="0" w:color="000000"/>
              <w:bottom w:val="single" w:sz="4" w:space="0" w:color="000000"/>
              <w:right w:val="single" w:sz="4" w:space="0" w:color="000000"/>
            </w:tcBorders>
            <w:shd w:val="clear" w:color="auto" w:fill="D4D4D4"/>
          </w:tcPr>
          <w:p>
            <w:pPr/>
          </w:p>
        </w:tc>
        <w:tc>
          <w:tcPr>
            <w:tcW w:w="1010" w:type="dxa"/>
            <w:vMerge/>
            <w:tcBorders>
              <w:left w:val="single" w:sz="4" w:space="0" w:color="000000"/>
              <w:bottom w:val="single" w:sz="4" w:space="0" w:color="000000"/>
              <w:right w:val="single" w:sz="4" w:space="0" w:color="000000"/>
            </w:tcBorders>
            <w:shd w:val="clear" w:color="auto" w:fill="D4D4D4"/>
          </w:tcPr>
          <w:p>
            <w:pPr/>
          </w:p>
        </w:tc>
        <w:tc>
          <w:tcPr>
            <w:tcW w:w="10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18" w:type="dxa"/>
            <w:vMerge/>
            <w:tcBorders>
              <w:left w:val="single" w:sz="4" w:space="0" w:color="000000"/>
              <w:bottom w:val="single" w:sz="4" w:space="0" w:color="000000"/>
              <w:right w:val="single" w:sz="4" w:space="0" w:color="000000"/>
            </w:tcBorders>
            <w:shd w:val="clear" w:color="auto" w:fill="D4D4D4"/>
          </w:tcPr>
          <w:p>
            <w:pPr/>
          </w:p>
        </w:tc>
        <w:tc>
          <w:tcPr>
            <w:tcW w:w="95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62"/>
        <w:jc w:val="left"/>
      </w:pPr>
      <w:r>
        <w:rPr/>
        <w:t>注：如有投资性房地产转换的，应当说明投资性房地产转换的转换日、转换日账面金额、转换日公允价值、期末公允价值、</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t>转换原因及其影响等情况。 </w:t>
      </w: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17、固定资产" w:id="313"/>
      <w:bookmarkEnd w:id="313"/>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固定资产情况" w:id="314"/>
      <w:bookmarkEnd w:id="31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22,999,585.08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2,664,694.98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430,927.48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25,233,352.58</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4,225,596.44</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4,225,596.44</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11,675,763.87</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1,880,671.98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152,179.48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13,404,256.37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7,098,224.77</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784,023.00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278,748.00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7,603,499.77</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8,750,800.41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2,881,529.78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176,166.54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11,456,163.65</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225,805.31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100,357.92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326,163.23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6,026,698.09</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1,534,313.08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7,543,730.99</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2,498,297.01</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1,246,858.78</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158,886.36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3,586,269.43</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14,248,784.67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13,777,188.93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3,999,791.13</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3,899,433.21</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5,649,065.78</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5,860,525.38</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4,599,927.76</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4,017,230.34</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9" w:space="0" w:color="D4D4D4"/>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9" w:space="0" w:color="D4D4D4"/>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10" w:space="0" w:color="D4D4D4"/>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14,248,784.67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13,777,188.93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3,999,791.13</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3,899,433.21</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5,649,065.78</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5,860,525.38</w:t>
            </w:r>
            <w:r>
              <w:rPr>
                <w:rFonts w:ascii="Times New Roman"/>
                <w:sz w:val="18"/>
              </w:rPr>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4,599,927.76</w:t>
            </w:r>
            <w:r>
              <w:rPr>
                <w:rFonts w:ascii="Times New Roman"/>
                <w:sz w:val="18"/>
              </w:rPr>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4,017,230.34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4517"/>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4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本期折旧额</w:t>
      </w:r>
      <w:r>
        <w:rPr>
          <w:spacing w:val="-48"/>
        </w:rPr>
        <w:t> </w:t>
      </w:r>
      <w:r>
        <w:rPr>
          <w:rFonts w:ascii="Times New Roman" w:hAnsi="Times New Roman" w:cs="Times New Roman" w:eastAsia="Times New Roman" w:hint="default"/>
        </w:rPr>
        <w:t>2,881,529.78</w:t>
      </w:r>
      <w:r>
        <w:rPr>
          <w:rFonts w:ascii="Times New Roman" w:hAnsi="Times New Roman" w:cs="Times New Roman" w:eastAsia="Times New Roman" w:hint="default"/>
          <w:spacing w:val="-1"/>
        </w:rPr>
        <w:t> </w:t>
      </w:r>
      <w:r>
        <w:rPr/>
        <w:t>元；本期由在建工程转入固定资产原价为</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2）暂时闲置的固定资产情况" w:id="315"/>
      <w:bookmarkEnd w:id="31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3"/>
        <w:gridCol w:w="1604"/>
        <w:gridCol w:w="1594"/>
        <w:gridCol w:w="1596"/>
        <w:gridCol w:w="1594"/>
        <w:gridCol w:w="1594"/>
      </w:tblGrid>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通过融资租赁租入的固定资产" w:id="316"/>
      <w:bookmarkEnd w:id="316"/>
      <w:r>
        <w:rPr>
          <w:b w:val="0"/>
          <w:bCs w:val="0"/>
        </w:rPr>
      </w: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tcPr>
          <w:p>
            <w:pPr/>
          </w:p>
        </w:tc>
        <w:tc>
          <w:tcPr>
            <w:tcW w:w="240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通过经营租赁租出的固定资产" w:id="317"/>
      <w:bookmarkEnd w:id="31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3"/>
        <w:gridCol w:w="4794"/>
      </w:tblGrid>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9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479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
        </w:tc>
        <w:tc>
          <w:tcPr>
            <w:tcW w:w="47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期末持有待售的固定资产情况" w:id="318"/>
      <w:bookmarkEnd w:id="318"/>
      <w:r>
        <w:rPr>
          <w:b w:val="0"/>
          <w:bCs w:val="0"/>
        </w:rPr>
      </w: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2"/>
        <w:gridCol w:w="1721"/>
        <w:gridCol w:w="1874"/>
        <w:gridCol w:w="1874"/>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1" w:hRule="exact"/>
        </w:trPr>
        <w:tc>
          <w:tcPr>
            <w:tcW w:w="2222"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6）未办妥产权证书的固定资产情况" w:id="319"/>
            <w:bookmarkEnd w:id="319"/>
            <w:r>
              <w:rPr/>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固定资产说明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18、在建工程" w:id="320"/>
      <w:bookmarkEnd w:id="320"/>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在建工程情况" w:id="321"/>
      <w:bookmarkEnd w:id="32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5"/>
        <w:gridCol w:w="1195"/>
        <w:gridCol w:w="1195"/>
        <w:gridCol w:w="1193"/>
        <w:gridCol w:w="1195"/>
        <w:gridCol w:w="1330"/>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重大在建工程项目变动情况" w:id="322"/>
      <w:bookmarkEnd w:id="322"/>
      <w:r>
        <w:rPr>
          <w:b w:val="0"/>
          <w:bCs w:val="0"/>
        </w:rPr>
      </w: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3"/>
        <w:gridCol w:w="737"/>
        <w:gridCol w:w="734"/>
        <w:gridCol w:w="734"/>
        <w:gridCol w:w="734"/>
        <w:gridCol w:w="737"/>
        <w:gridCol w:w="737"/>
        <w:gridCol w:w="734"/>
        <w:gridCol w:w="737"/>
        <w:gridCol w:w="737"/>
        <w:gridCol w:w="734"/>
        <w:gridCol w:w="737"/>
        <w:gridCol w:w="737"/>
      </w:tblGrid>
      <w:tr>
        <w:trPr>
          <w:trHeight w:val="1338" w:hRule="exact"/>
        </w:trPr>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2"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7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12" w:space="0" w:color="D4D4D4"/>
              <w:bottom w:val="single" w:sz="4" w:space="0" w:color="000000"/>
              <w:right w:val="single" w:sz="4" w:space="0" w:color="000000"/>
            </w:tcBorders>
          </w:tcPr>
          <w:p>
            <w:pPr/>
          </w:p>
        </w:tc>
      </w:tr>
    </w:tbl>
    <w:p>
      <w:pPr>
        <w:pStyle w:val="BodyText"/>
        <w:spacing w:line="240" w:lineRule="auto" w:before="49"/>
        <w:ind w:right="0"/>
        <w:jc w:val="left"/>
      </w:pPr>
      <w:r>
        <w:rPr/>
        <w:t>在建工程项目变动情况的说明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在建工程减值准备" w:id="323"/>
      <w:bookmarkEnd w:id="323"/>
      <w:r>
        <w:rPr>
          <w:b w:val="0"/>
          <w:bCs w:val="0"/>
        </w:rPr>
      </w:r>
      <w:r>
        <w:rPr/>
        <w:t>（</w:t>
      </w:r>
      <w:r>
        <w:rPr>
          <w:rFonts w:ascii="Times New Roman" w:hAnsi="Times New Roman" w:cs="Times New Roman" w:eastAsia="Times New Roman" w:hint="default"/>
        </w:rPr>
        <w:t>3</w:t>
      </w:r>
      <w:r>
        <w:rPr/>
        <w:t>）在建工程减值准备</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6"/>
        <w:gridCol w:w="1594"/>
        <w:gridCol w:w="1594"/>
        <w:gridCol w:w="1596"/>
        <w:gridCol w:w="1591"/>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重大在建工程的工程进度情况" w:id="324"/>
      <w:bookmarkEnd w:id="324"/>
      <w:r>
        <w:rPr>
          <w:b w:val="0"/>
          <w:bCs w:val="0"/>
        </w:rPr>
      </w: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5）在建工程的说明" w:id="325"/>
      <w:bookmarkEnd w:id="325"/>
      <w:r>
        <w:rPr>
          <w:b w:val="0"/>
          <w:bCs w:val="0"/>
        </w:rPr>
      </w:r>
      <w:bookmarkStart w:name="19、工程物资" w:id="326"/>
      <w:bookmarkEnd w:id="326"/>
      <w:r>
        <w:rPr>
          <w:b w:val="0"/>
          <w:bCs w:val="0"/>
        </w:rPr>
      </w:r>
      <w:r>
        <w:rPr>
          <w:rFonts w:ascii="Times New Roman" w:hAnsi="Times New Roman" w:cs="Times New Roman" w:eastAsia="Times New Roman" w:hint="default"/>
        </w:rPr>
        <w:t>19</w:t>
      </w:r>
      <w:r>
        <w:rPr/>
        <w:t>、工程物资</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工程物资的说明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0、固定资产清理" w:id="327"/>
      <w:bookmarkEnd w:id="327"/>
      <w:r>
        <w:rPr>
          <w:b w:val="0"/>
          <w:bCs w:val="0"/>
        </w:rPr>
      </w:r>
      <w:r>
        <w:rPr>
          <w:rFonts w:ascii="Times New Roman" w:hAnsi="Times New Roman" w:cs="Times New Roman" w:eastAsia="Times New Roman" w:hint="default"/>
        </w:rPr>
        <w:t>20</w:t>
      </w:r>
      <w:r>
        <w:rPr/>
        <w:t>、固定资产清理</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2126"/>
        <w:gridCol w:w="252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说明转入固定资产清理起始时间已超过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21、生产性生物资产" w:id="328"/>
      <w:bookmarkEnd w:id="328"/>
      <w:r>
        <w:rPr>
          <w:b w:val="0"/>
          <w:bCs w:val="0"/>
        </w:rPr>
      </w:r>
      <w:r>
        <w:rPr>
          <w:rFonts w:ascii="Times New Roman" w:hAnsi="Times New Roman" w:cs="Times New Roman" w:eastAsia="Times New Roman" w:hint="default"/>
        </w:rPr>
        <w:t>21</w:t>
      </w:r>
      <w:r>
        <w:rPr/>
        <w:t>、生产性生物资产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以成本计量" w:id="329"/>
      <w:bookmarkEnd w:id="329"/>
      <w:r>
        <w:rPr>
          <w:b w:val="0"/>
          <w:bCs w:val="0"/>
        </w:rPr>
      </w:r>
      <w:r>
        <w:rPr/>
        <w:t>（</w:t>
      </w:r>
      <w:r>
        <w:rPr>
          <w:rFonts w:ascii="Times New Roman" w:hAnsi="Times New Roman" w:cs="Times New Roman" w:eastAsia="Times New Roman" w:hint="default"/>
        </w:rPr>
        <w:t>1</w:t>
      </w:r>
      <w:r>
        <w:rPr/>
        <w:t>）以成本计量</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1726"/>
        <w:gridCol w:w="1860"/>
        <w:gridCol w:w="2126"/>
        <w:gridCol w:w="1860"/>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以公允价值计量" w:id="330"/>
      <w:bookmarkEnd w:id="330"/>
      <w:r>
        <w:rPr>
          <w:b w:val="0"/>
          <w:bCs w:val="0"/>
        </w:rPr>
      </w:r>
      <w:r>
        <w:rPr/>
        <w:t>（</w:t>
      </w:r>
      <w:r>
        <w:rPr>
          <w:rFonts w:ascii="Times New Roman" w:hAnsi="Times New Roman" w:cs="Times New Roman" w:eastAsia="Times New Roman" w:hint="default"/>
        </w:rPr>
        <w:t>2</w:t>
      </w:r>
      <w:r>
        <w:rPr/>
        <w:t>）以公允价值计量</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6"/>
        <w:gridCol w:w="1860"/>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1726"/>
        <w:gridCol w:w="1860"/>
        <w:gridCol w:w="2126"/>
        <w:gridCol w:w="1860"/>
      </w:tblGrid>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生产性生物资产的说明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2、油气资产" w:id="331"/>
      <w:bookmarkEnd w:id="331"/>
      <w:r>
        <w:rPr>
          <w:b w:val="0"/>
          <w:bCs w:val="0"/>
        </w:rPr>
      </w:r>
      <w:r>
        <w:rPr>
          <w:rFonts w:ascii="Times New Roman" w:hAnsi="Times New Roman" w:cs="Times New Roman" w:eastAsia="Times New Roman" w:hint="default"/>
        </w:rPr>
        <w:t>22</w:t>
      </w:r>
      <w:r>
        <w:rPr/>
        <w:t>、油气资产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二、累计折耗合计</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．井及相关设施</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三、油气资产减值准备累 计金额合计</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．未探明矿区权益</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．井及相关设施</w:t>
            </w:r>
          </w:p>
        </w:tc>
        <w:tc>
          <w:tcPr>
            <w:tcW w:w="1720" w:type="dxa"/>
            <w:tcBorders>
              <w:top w:val="single" w:sz="4" w:space="0" w:color="000000"/>
              <w:left w:val="single" w:sz="10" w:space="0" w:color="D4D4D4"/>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油气资产的说明</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3、无形资产" w:id="332"/>
      <w:bookmarkEnd w:id="332"/>
      <w:r>
        <w:rPr>
          <w:b w:val="0"/>
          <w:bCs w:val="0"/>
        </w:rPr>
      </w:r>
      <w:r>
        <w:rPr>
          <w:rFonts w:ascii="Times New Roman" w:hAnsi="Times New Roman" w:cs="Times New Roman" w:eastAsia="Times New Roman" w:hint="default"/>
        </w:rPr>
        <w:t>23</w:t>
      </w:r>
      <w:r>
        <w:rPr/>
        <w:t>、无形资产</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无形资产情况" w:id="333"/>
      <w:bookmarkEnd w:id="33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11,406,914.69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618,495.00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12,025,409.69</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杀毒专家（网络、单机）</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5,116,914.69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5,116,914.69</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6,100,000.00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6,100,000.00</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平台及控件源码</w:t>
            </w:r>
            <w:r>
              <w:rPr>
                <w:rFonts w:ascii="宋体" w:hAnsi="宋体" w:cs="宋体" w:eastAsia="宋体" w:hint="default"/>
                <w:w w:val="99"/>
                <w:sz w:val="18"/>
                <w:szCs w:val="18"/>
              </w:rPr>
              <w:t> </w:t>
            </w:r>
            <w:r>
              <w:rPr>
                <w:rFonts w:ascii="宋体" w:hAnsi="宋体" w:cs="宋体" w:eastAsia="宋体" w:hint="default"/>
                <w:sz w:val="18"/>
                <w:szCs w:val="18"/>
              </w:rPr>
              <w:t>版软件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481,995.00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481,995.00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9,673,479.45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1,042,094.59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10,715,574.04</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杀毒专家（网络、单机）</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4,733,148.02</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383,766.67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5,116,914.69</w:t>
            </w:r>
            <w:r>
              <w:rPr>
                <w:rFonts w:ascii="Times New Roman"/>
                <w:sz w:val="18"/>
              </w:rPr>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4,930,831.45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610,001.90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5,540,833.35</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平台及控件源码</w:t>
            </w:r>
            <w:r>
              <w:rPr>
                <w:rFonts w:ascii="宋体" w:hAnsi="宋体" w:cs="宋体" w:eastAsia="宋体" w:hint="default"/>
                <w:w w:val="99"/>
                <w:sz w:val="18"/>
                <w:szCs w:val="18"/>
              </w:rPr>
              <w:t> </w:t>
            </w:r>
            <w:r>
              <w:rPr>
                <w:rFonts w:ascii="宋体" w:hAnsi="宋体" w:cs="宋体" w:eastAsia="宋体" w:hint="default"/>
                <w:sz w:val="18"/>
                <w:szCs w:val="18"/>
              </w:rPr>
              <w:t>版软件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9,499.98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18,999.99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28,499.97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8,303.75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8,303.75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21,022.28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21,022.28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1,733,435.24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-423,599.59</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1,309,835.65</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杀毒专家（网络、单机）</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383,766.67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1,169,168.55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559,166.65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平台及控件源码</w:t>
            </w:r>
            <w:r>
              <w:rPr>
                <w:rFonts w:ascii="宋体" w:hAnsi="宋体" w:cs="宋体" w:eastAsia="宋体" w:hint="default"/>
                <w:w w:val="99"/>
                <w:sz w:val="18"/>
                <w:szCs w:val="18"/>
              </w:rPr>
              <w:t> </w:t>
            </w:r>
            <w:r>
              <w:rPr>
                <w:rFonts w:ascii="宋体" w:hAnsi="宋体" w:cs="宋体" w:eastAsia="宋体" w:hint="default"/>
                <w:sz w:val="18"/>
                <w:szCs w:val="18"/>
              </w:rPr>
              <w:t>版软件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180,500.02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161,500.03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128,196.25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460,972.72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杀毒专家（网络、单机）</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平台及控件源码</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36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版软件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1,733,435.24</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-423,599.59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1,309,835.65</w:t>
            </w:r>
            <w:r>
              <w:rPr>
                <w:rFonts w:ascii="Times New Roman"/>
                <w:sz w:val="18"/>
              </w:rPr>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杀毒专家（网络、单机）</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383,766.67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1,309,835.65</w:t>
            </w:r>
            <w:r>
              <w:rPr>
                <w:rFonts w:ascii="Times New Roman"/>
                <w:sz w:val="18"/>
              </w:rPr>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违规联网安全监控技术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1,169,168.55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559,166.65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DirectUI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平台及控件源码</w:t>
            </w:r>
            <w:r>
              <w:rPr>
                <w:rFonts w:ascii="宋体" w:hAnsi="宋体" w:cs="宋体" w:eastAsia="宋体" w:hint="default"/>
                <w:w w:val="99"/>
                <w:sz w:val="18"/>
                <w:szCs w:val="18"/>
              </w:rPr>
              <w:t> </w:t>
            </w:r>
            <w:r>
              <w:rPr>
                <w:rFonts w:ascii="宋体" w:hAnsi="宋体" w:cs="宋体" w:eastAsia="宋体" w:hint="default"/>
                <w:sz w:val="18"/>
                <w:szCs w:val="18"/>
              </w:rPr>
              <w:t>版软件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180,500.02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161,500.03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128,196.25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OfficeStd 2010 CHNS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OLP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等软件授权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460,972.72</w:t>
            </w:r>
          </w:p>
        </w:tc>
      </w:tr>
    </w:tbl>
    <w:p>
      <w:pPr>
        <w:pStyle w:val="BodyText"/>
        <w:spacing w:line="240" w:lineRule="auto" w:before="49"/>
        <w:ind w:right="0"/>
        <w:jc w:val="left"/>
      </w:pPr>
      <w:r>
        <w:rPr/>
        <w:t>本期摊销额</w:t>
      </w:r>
      <w:r>
        <w:rPr>
          <w:spacing w:val="-48"/>
        </w:rPr>
        <w:t> </w:t>
      </w:r>
      <w:r>
        <w:rPr>
          <w:rFonts w:ascii="Times New Roman" w:hAnsi="Times New Roman" w:cs="Times New Roman" w:eastAsia="Times New Roman" w:hint="default"/>
        </w:rPr>
        <w:t>1,042,094.59</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2）公司开发项目支出" w:id="334"/>
      <w:bookmarkEnd w:id="334"/>
      <w:r>
        <w:rPr>
          <w:b w:val="0"/>
          <w:bCs w:val="0"/>
        </w:rPr>
      </w:r>
      <w:r>
        <w:rPr/>
        <w:t>（</w:t>
      </w:r>
      <w:r>
        <w:rPr>
          <w:rFonts w:ascii="Times New Roman" w:hAnsi="Times New Roman" w:cs="Times New Roman" w:eastAsia="Times New Roman" w:hint="default"/>
        </w:rPr>
        <w:t>2</w:t>
      </w:r>
      <w:r>
        <w:rPr/>
        <w:t>）公司开发项目支出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8"/>
        <w:gridCol w:w="1596"/>
        <w:gridCol w:w="1594"/>
        <w:gridCol w:w="1591"/>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374"/>
        <w:jc w:val="left"/>
      </w:pPr>
      <w:r>
        <w:rPr/>
        <w:t>本期开发支出占本期研究开发项目支出总额的比例。 通过公司内部研发形成的无形资产占无形资产期末账面价值的比例。</w:t>
      </w:r>
    </w:p>
    <w:p>
      <w:pPr>
        <w:pStyle w:val="BodyText"/>
        <w:spacing w:line="240" w:lineRule="auto" w:before="29"/>
        <w:ind w:right="0"/>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5"/>
        </w:rPr>
        <w:t> </w:t>
      </w:r>
      <w:r>
        <w:rPr>
          <w:spacing w:val="-2"/>
        </w:rPr>
        <w:t>万元以上且以评估值为入账依据的，应披露评估机构名称、评估方法</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24、商誉" w:id="335"/>
      <w:bookmarkEnd w:id="335"/>
      <w:r>
        <w:rPr>
          <w:b w:val="0"/>
          <w:bCs w:val="0"/>
        </w:rPr>
      </w:r>
      <w:r>
        <w:rPr>
          <w:rFonts w:ascii="Times New Roman" w:hAnsi="Times New Roman" w:cs="Times New Roman" w:eastAsia="Times New Roman" w:hint="default"/>
        </w:rPr>
        <w:t>24</w:t>
      </w:r>
      <w:r>
        <w:rPr/>
        <w:t>、商誉</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462"/>
        <w:gridCol w:w="1459"/>
        <w:gridCol w:w="1459"/>
        <w:gridCol w:w="1462"/>
        <w:gridCol w:w="1198"/>
      </w:tblGrid>
      <w:tr>
        <w:trPr>
          <w:trHeight w:val="715"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80" w:right="86"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说明商誉的减值测试方法和减值准备计提方法</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5、长期待摊费用" w:id="336"/>
      <w:bookmarkEnd w:id="336"/>
      <w:r>
        <w:rPr>
          <w:b w:val="0"/>
          <w:bCs w:val="0"/>
        </w:rPr>
      </w:r>
      <w:r>
        <w:rPr>
          <w:rFonts w:ascii="Times New Roman" w:hAnsi="Times New Roman" w:cs="Times New Roman" w:eastAsia="Times New Roman" w:hint="default"/>
        </w:rPr>
        <w:t>25</w:t>
      </w:r>
      <w:r>
        <w:rPr/>
        <w:t>、长期待摊费用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129,017.29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91,071.12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37,946.17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剩余摊销期限不 足一年调整至一 年以内到期的其 他非流动资产</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深圳办事处房租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70,833.33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域名注册费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23,808.83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1,711.05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25,172.78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206,592.00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1,560,901.97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244,789.86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1,522,704.11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340,684.29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1,684,710.80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368,738.70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37,946.17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1,618,710.22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094"/>
        <w:jc w:val="left"/>
      </w:pPr>
      <w:r>
        <w:rPr/>
        <w:t>长期待摊费用的说明 注：金额较大的长期待摊费用项目，说明其具体摊销方法。</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26、递延所得税资产和递延所得税负债" w:id="337"/>
      <w:bookmarkEnd w:id="337"/>
      <w:r>
        <w:rPr>
          <w:b w:val="0"/>
          <w:bCs w:val="0"/>
        </w:rPr>
      </w: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
        <w:rPr>
          <w:rFonts w:ascii="宋体" w:hAnsi="宋体" w:cs="宋体" w:eastAsia="宋体" w:hint="default"/>
          <w:b/>
          <w:bCs/>
          <w:sz w:val="25"/>
          <w:szCs w:val="25"/>
        </w:rPr>
      </w:pPr>
    </w:p>
    <w:p>
      <w:pPr>
        <w:pStyle w:val="BodyText"/>
        <w:spacing w:line="300" w:lineRule="auto"/>
        <w:ind w:right="139"/>
        <w:jc w:val="left"/>
      </w:pPr>
      <w:r>
        <w:rPr/>
        <w:t>注</w:t>
      </w:r>
      <w:r>
        <w:rPr>
          <w:spacing w:val="-22"/>
        </w:rPr>
        <w:t>：</w:t>
      </w:r>
      <w:r>
        <w:rPr/>
        <w:t>递延所得税资产和递延</w:t>
      </w:r>
      <w:r>
        <w:rPr>
          <w:spacing w:val="2"/>
        </w:rPr>
        <w:t>所</w:t>
      </w:r>
      <w:r>
        <w:rPr/>
        <w:t>得税负债不以抵销后的净额列示的</w:t>
      </w:r>
      <w:r>
        <w:rPr>
          <w:spacing w:val="-22"/>
        </w:rPr>
        <w:t>，</w:t>
      </w:r>
      <w:r>
        <w:rPr/>
        <w:t>请填写表</w:t>
      </w:r>
      <w:r>
        <w:rPr>
          <w:spacing w:val="-22"/>
        </w:rPr>
        <w:t>格</w:t>
      </w:r>
      <w:r>
        <w:rPr/>
        <w:t>（</w:t>
      </w:r>
      <w:r>
        <w:rPr>
          <w:rFonts w:ascii="Times New Roman" w:hAnsi="Times New Roman" w:cs="Times New Roman" w:eastAsia="Times New Roman" w:hint="default"/>
          <w:spacing w:val="1"/>
        </w:rPr>
        <w:t>1</w:t>
      </w:r>
      <w:r>
        <w:rPr>
          <w:spacing w:val="-92"/>
        </w:rPr>
        <w:t>）</w:t>
      </w:r>
      <w:r>
        <w:rPr>
          <w:spacing w:val="-22"/>
        </w:rPr>
        <w:t>；</w:t>
      </w:r>
      <w:r>
        <w:rPr/>
        <w:t>若</w:t>
      </w:r>
      <w:r>
        <w:rPr>
          <w:spacing w:val="2"/>
        </w:rPr>
        <w:t>递</w:t>
      </w:r>
      <w:r>
        <w:rPr/>
        <w:t>延所得税资产和递延所得税负债以</w:t>
      </w:r>
      <w:r>
        <w:rPr/>
        <w:t> 抵销后的净额列示的，请填写表格（</w:t>
      </w:r>
      <w:r>
        <w:rPr>
          <w:rFonts w:ascii="Times New Roman" w:hAnsi="Times New Roman" w:cs="Times New Roman" w:eastAsia="Times New Roman" w:hint="default"/>
          <w:spacing w:val="1"/>
        </w:rPr>
        <w:t>2</w:t>
      </w:r>
      <w:r>
        <w:rPr>
          <w:spacing w:val="-92"/>
        </w:rPr>
        <w:t>）。</w:t>
      </w:r>
      <w:r>
        <w:rPr/>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1）递延所得税资产和递延所得税负债不以抵销后的净额列示" w:id="338"/>
      <w:bookmarkEnd w:id="338"/>
      <w:r>
        <w:rPr>
          <w:b w:val="0"/>
          <w:bCs w:val="0"/>
        </w:rPr>
      </w: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已确认的递延所得税资产和递延所得税负债</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3"/>
        <w:gridCol w:w="2920"/>
      </w:tblGrid>
      <w:tr>
        <w:trPr>
          <w:trHeight w:val="408"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1,949,438.14</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887,317.18</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3" w:type="dxa"/>
            <w:tcBorders>
              <w:top w:val="single" w:sz="4" w:space="0" w:color="000000"/>
              <w:left w:val="single" w:sz="9" w:space="0" w:color="D4D4D4"/>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9" w:space="0" w:color="D4D4D4"/>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666,655.61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287,185.35</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2,616,093.75</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1,174,502.53</w:t>
            </w:r>
            <w:r>
              <w:rPr>
                <w:rFonts w:ascii="Times New Roman"/>
                <w:sz w:val="18"/>
              </w:rPr>
            </w:r>
          </w:p>
        </w:tc>
      </w:tr>
      <w:tr>
        <w:trPr>
          <w:trHeight w:val="402"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3" w:type="dxa"/>
            <w:tcBorders>
              <w:top w:val="single" w:sz="4" w:space="0" w:color="000000"/>
              <w:left w:val="single" w:sz="9" w:space="0" w:color="D4D4D4"/>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4" w:right="87"/>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3" w:type="dxa"/>
            <w:tcBorders>
              <w:top w:val="single" w:sz="4" w:space="0" w:color="000000"/>
              <w:left w:val="single" w:sz="9" w:space="0" w:color="D4D4D4"/>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未确认递延所得税资产明细</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0"/>
        <w:gridCol w:w="2934"/>
        <w:gridCol w:w="2921"/>
      </w:tblGrid>
      <w:tr>
        <w:trPr>
          <w:trHeight w:val="403"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2"/>
        <w:gridCol w:w="2923"/>
        <w:gridCol w:w="2921"/>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9"/>
        <w:ind w:right="0"/>
        <w:jc w:val="left"/>
      </w:pPr>
      <w:r>
        <w:rPr>
          <w:spacing w:val="-2"/>
        </w:rPr>
        <w:t>注：列示由于未来能否获得足够的应纳税所得额具有不确定性，因此没有确认为递延所得税资产的可抵扣暂时性差异和可抵</w:t>
      </w:r>
      <w:r>
        <w:rPr>
          <w:spacing w:val="-64"/>
        </w:rPr>
        <w:t> </w:t>
      </w:r>
      <w:r>
        <w:rPr>
          <w:spacing w:val="-64"/>
        </w:rPr>
      </w:r>
      <w:r>
        <w:rPr/>
        <w:t>扣亏损。</w:t>
      </w:r>
    </w:p>
    <w:p>
      <w:pPr>
        <w:pStyle w:val="BodyText"/>
        <w:spacing w:line="240" w:lineRule="auto" w:before="61"/>
        <w:ind w:right="0"/>
        <w:jc w:val="left"/>
      </w:pPr>
      <w:r>
        <w:rPr/>
        <w:t>未确认递延所得税资产的可抵扣亏损将于以下年度到期</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234"/>
        <w:jc w:val="left"/>
      </w:pPr>
      <w:r>
        <w:rPr/>
        <w:t>注：无法在资产负债表日确定全部可抵扣亏损情况的，可只填写能确定部分的金额及其到期年度，并在备注栏予以说明。 应纳税差异和可抵扣差异项目明细</w:t>
      </w:r>
    </w:p>
    <w:p>
      <w:pPr>
        <w:pStyle w:val="BodyText"/>
        <w:spacing w:line="240" w:lineRule="auto" w:before="29"/>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926"/>
        <w:gridCol w:w="2786"/>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4D4D4"/>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4D4D4"/>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递延所得税资产和递延所得税负债以抵销后的净额列示" w:id="339"/>
      <w:bookmarkEnd w:id="339"/>
      <w:r>
        <w:rPr>
          <w:b w:val="0"/>
          <w:bCs w:val="0"/>
        </w:rPr>
      </w: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2"/>
        <w:gridCol w:w="1625"/>
        <w:gridCol w:w="1627"/>
        <w:gridCol w:w="1627"/>
        <w:gridCol w:w="1630"/>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6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30" w:type="dxa"/>
            <w:vMerge/>
            <w:tcBorders>
              <w:left w:val="single" w:sz="4" w:space="0" w:color="000000"/>
              <w:right w:val="single" w:sz="4" w:space="0" w:color="000000"/>
            </w:tcBorders>
            <w:shd w:val="clear" w:color="auto" w:fill="D4D4D4"/>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625"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3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2,616,093.75</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15,884,159.76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1,174,502.53</w:t>
            </w:r>
            <w:r>
              <w:rPr>
                <w:rFonts w:ascii="Times New Roman"/>
                <w:sz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7,052,480.09</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递延所得税资产和递延所得税负债互抵明细</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7"/>
        <w:gridCol w:w="571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tcPr>
          <w:p>
            <w:pPr/>
          </w:p>
        </w:tc>
        <w:tc>
          <w:tcPr>
            <w:tcW w:w="57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递延所得税资产和递延所得税负债的说明</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7、资产减值准备明细" w:id="340"/>
      <w:bookmarkEnd w:id="340"/>
      <w:r>
        <w:rPr>
          <w:b w:val="0"/>
          <w:bCs w:val="0"/>
        </w:rPr>
      </w:r>
      <w:r>
        <w:rPr>
          <w:rFonts w:ascii="Times New Roman" w:hAnsi="Times New Roman" w:cs="Times New Roman" w:eastAsia="Times New Roman" w:hint="default"/>
        </w:rPr>
        <w:t>27</w:t>
      </w:r>
      <w:r>
        <w:rPr/>
        <w:t>、资产减值准备明细</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7"/>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9"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4D4D4"/>
          </w:tcPr>
          <w:p>
            <w:pPr/>
          </w:p>
        </w:tc>
        <w:tc>
          <w:tcPr>
            <w:tcW w:w="1537" w:type="dxa"/>
            <w:vMerge/>
            <w:tcBorders>
              <w:left w:val="single" w:sz="4" w:space="0" w:color="000000"/>
              <w:bottom w:val="nil" w:sz="6" w:space="0" w:color="auto"/>
              <w:right w:val="single" w:sz="4" w:space="0" w:color="000000"/>
            </w:tcBorders>
            <w:shd w:val="clear" w:color="auto" w:fill="D4D4D4"/>
          </w:tcPr>
          <w:p>
            <w:pPr/>
          </w:p>
        </w:tc>
        <w:tc>
          <w:tcPr>
            <w:tcW w:w="1529" w:type="dxa"/>
            <w:vMerge/>
            <w:tcBorders>
              <w:left w:val="single" w:sz="4" w:space="0" w:color="000000"/>
              <w:bottom w:val="nil" w:sz="6" w:space="0" w:color="auto"/>
              <w:right w:val="single" w:sz="4" w:space="0" w:color="000000"/>
            </w:tcBorders>
            <w:shd w:val="clear" w:color="auto" w:fill="D4D4D4"/>
          </w:tcPr>
          <w:p>
            <w:pPr/>
          </w:p>
        </w:tc>
        <w:tc>
          <w:tcPr>
            <w:tcW w:w="13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9" w:type="dxa"/>
            <w:vMerge/>
            <w:tcBorders>
              <w:left w:val="single" w:sz="4" w:space="0" w:color="000000"/>
              <w:bottom w:val="single" w:sz="4" w:space="0" w:color="000000"/>
              <w:right w:val="single" w:sz="4" w:space="0" w:color="000000"/>
            </w:tcBorders>
            <w:shd w:val="clear" w:color="auto" w:fill="D4D4D4"/>
          </w:tcPr>
          <w:p>
            <w:pPr/>
          </w:p>
        </w:tc>
        <w:tc>
          <w:tcPr>
            <w:tcW w:w="1397"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5,903,738.71</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13,217,537.34</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三、可供出售金融资产减值 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四、持有至到期投资减值准 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十、生产性生物资产减值准 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firstLine="362"/>
              <w:jc w:val="left"/>
              <w:rPr>
                <w:rFonts w:ascii="宋体" w:hAnsi="宋体" w:cs="宋体" w:eastAsia="宋体" w:hint="default"/>
                <w:sz w:val="18"/>
                <w:szCs w:val="18"/>
              </w:rPr>
            </w:pPr>
            <w:r>
              <w:rPr>
                <w:rFonts w:ascii="宋体" w:hAnsi="宋体" w:cs="宋体" w:eastAsia="宋体" w:hint="default"/>
                <w:sz w:val="18"/>
                <w:szCs w:val="18"/>
              </w:rPr>
              <w:t>其中：成熟生产性生物 资产减值准备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37" w:type="dxa"/>
            <w:tcBorders>
              <w:top w:val="single" w:sz="4" w:space="0" w:color="000000"/>
              <w:left w:val="single" w:sz="12" w:space="0" w:color="D4D4D4"/>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5,903,738.71</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13,217,537.34</w:t>
            </w:r>
          </w:p>
        </w:tc>
      </w:tr>
    </w:tbl>
    <w:p>
      <w:pPr>
        <w:pStyle w:val="BodyText"/>
        <w:spacing w:line="240" w:lineRule="auto" w:before="49"/>
        <w:ind w:right="0"/>
        <w:jc w:val="left"/>
      </w:pPr>
      <w:r>
        <w:rPr/>
        <w:t>资产减值明细情况的说明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8、其他非流动资产" w:id="341"/>
      <w:bookmarkEnd w:id="341"/>
      <w:r>
        <w:rPr>
          <w:b w:val="0"/>
          <w:bCs w:val="0"/>
        </w:rPr>
      </w:r>
      <w:r>
        <w:rPr>
          <w:rFonts w:ascii="Times New Roman" w:hAnsi="Times New Roman" w:cs="Times New Roman" w:eastAsia="Times New Roman" w:hint="default"/>
        </w:rPr>
        <w:t>28</w:t>
      </w:r>
      <w:r>
        <w:rPr/>
        <w:t>、其他非流动资产</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其他非流动资产的说明</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9、短期借款" w:id="342"/>
      <w:bookmarkEnd w:id="342"/>
      <w:r>
        <w:rPr>
          <w:b w:val="0"/>
          <w:bCs w:val="0"/>
        </w:rPr>
      </w:r>
      <w:r>
        <w:rPr>
          <w:rFonts w:ascii="Times New Roman" w:hAnsi="Times New Roman" w:cs="Times New Roman" w:eastAsia="Times New Roman" w:hint="default"/>
        </w:rPr>
        <w:t>29</w:t>
      </w:r>
      <w:r>
        <w:rPr/>
        <w:t>、短期借款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短期借款分类" w:id="343"/>
      <w:bookmarkEnd w:id="34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短期借款分类的说明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已到期未偿还的短期借款情况" w:id="344"/>
      <w:bookmarkEnd w:id="344"/>
      <w:r>
        <w:rPr>
          <w:b w:val="0"/>
          <w:bCs w:val="0"/>
        </w:rPr>
      </w: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282"/>
        <w:gridCol w:w="1279"/>
        <w:gridCol w:w="1654"/>
        <w:gridCol w:w="1752"/>
        <w:gridCol w:w="19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未按期偿还原因</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01"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3654"/>
        <w:jc w:val="left"/>
      </w:pPr>
      <w:r>
        <w:rPr/>
        <w:t>资产负债表日后已偿还金额元。 短期借款的说明，包括已到期短期借款获展期的，说明展期条件、新的到期日</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30、交易性金融负债" w:id="345"/>
      <w:bookmarkEnd w:id="345"/>
      <w:r>
        <w:rPr>
          <w:b w:val="0"/>
          <w:bCs w:val="0"/>
        </w:rPr>
      </w:r>
      <w:r>
        <w:rPr>
          <w:rFonts w:ascii="Times New Roman" w:hAnsi="Times New Roman" w:cs="Times New Roman" w:eastAsia="Times New Roman" w:hint="default"/>
        </w:rPr>
        <w:t>30</w:t>
      </w:r>
      <w:r>
        <w:rPr/>
        <w:t>、交易性金融负债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3"/>
        <w:gridCol w:w="3053"/>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125"/>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交易性金融负债的说明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1、应付票据" w:id="346"/>
      <w:bookmarkEnd w:id="346"/>
      <w:r>
        <w:rPr>
          <w:b w:val="0"/>
          <w:bCs w:val="0"/>
        </w:rPr>
      </w:r>
      <w:r>
        <w:rPr>
          <w:rFonts w:ascii="Times New Roman" w:hAnsi="Times New Roman" w:cs="Times New Roman" w:eastAsia="Times New Roman" w:hint="default"/>
        </w:rPr>
        <w:t>31</w:t>
      </w:r>
      <w:r>
        <w:rPr/>
        <w:t>、应付票据</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357" w:lineRule="auto" w:before="49"/>
        <w:ind w:right="7254"/>
        <w:jc w:val="left"/>
      </w:pPr>
      <w:r>
        <w:rPr/>
        <w:t>下一会计期间将到期的金额元。 应付票据的说明</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32、应付账款" w:id="347"/>
      <w:bookmarkEnd w:id="347"/>
      <w:r>
        <w:rPr>
          <w:b w:val="0"/>
          <w:bCs w:val="0"/>
        </w:rPr>
      </w:r>
      <w:r>
        <w:rPr>
          <w:rFonts w:ascii="Times New Roman" w:hAnsi="Times New Roman" w:cs="Times New Roman" w:eastAsia="Times New Roman" w:hint="default"/>
        </w:rPr>
        <w:t>32</w:t>
      </w:r>
      <w:r>
        <w:rPr/>
        <w:t>、应付账款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应付账款情况" w:id="348"/>
      <w:bookmarkEnd w:id="348"/>
      <w:r>
        <w:rPr>
          <w:b w:val="0"/>
          <w:bCs w:val="0"/>
        </w:rPr>
      </w:r>
      <w:r>
        <w:rPr/>
        <w:t>（</w:t>
      </w:r>
      <w:r>
        <w:rPr>
          <w:rFonts w:ascii="Times New Roman" w:hAnsi="Times New Roman" w:cs="Times New Roman" w:eastAsia="Times New Roman" w:hint="default"/>
        </w:rPr>
        <w:t>1</w:t>
      </w:r>
      <w:r>
        <w:rPr/>
        <w:t>）应付账款情况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应付采购产品款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7,140,536.80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5,776,571.61</w:t>
            </w:r>
            <w:r>
              <w:rPr>
                <w:rFonts w:ascii="Times New Roman"/>
                <w:sz w:val="18"/>
              </w:rPr>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719,876.15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255,090.75</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7,860,412.95</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6,031,662.36</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应付账款中应付持有公司5％（含5％）以上表决权股份的股东单位款项" w:id="349"/>
      <w:bookmarkEnd w:id="349"/>
      <w:r>
        <w:rPr>
          <w:b w:val="0"/>
          <w:bCs w:val="0"/>
        </w:rPr>
      </w:r>
      <w:r>
        <w:rPr/>
        <w:t>（</w:t>
      </w:r>
      <w:r>
        <w:rPr>
          <w:rFonts w:ascii="Times New Roman" w:hAnsi="Times New Roman" w:cs="Times New Roman" w:eastAsia="Times New Roman" w:hint="default"/>
        </w:rPr>
        <w:t>2</w:t>
      </w:r>
      <w:r>
        <w:rPr/>
        <w:t>）本报告期应付账款中应付持有公司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账龄超过一年的大额应付账款情况的说明" w:id="350"/>
      <w:bookmarkEnd w:id="350"/>
      <w:r>
        <w:rPr>
          <w:b w:val="0"/>
          <w:bCs w:val="0"/>
        </w:rPr>
      </w: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33、预收账款" w:id="351"/>
      <w:bookmarkEnd w:id="351"/>
      <w:r>
        <w:rPr>
          <w:b w:val="0"/>
          <w:bCs w:val="0"/>
        </w:rPr>
      </w:r>
      <w:r>
        <w:rPr>
          <w:rFonts w:ascii="Times New Roman" w:hAnsi="Times New Roman" w:cs="Times New Roman" w:eastAsia="Times New Roman" w:hint="default"/>
        </w:rPr>
        <w:t>33</w:t>
      </w:r>
      <w:r>
        <w:rPr/>
        <w:t>、预收账款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预收账款情况" w:id="352"/>
      <w:bookmarkEnd w:id="352"/>
      <w:r>
        <w:rPr>
          <w:b w:val="0"/>
          <w:bCs w:val="0"/>
        </w:rPr>
      </w:r>
      <w:r>
        <w:rPr/>
        <w:t>（</w:t>
      </w:r>
      <w:r>
        <w:rPr>
          <w:rFonts w:ascii="Times New Roman" w:hAnsi="Times New Roman" w:cs="Times New Roman" w:eastAsia="Times New Roman" w:hint="default"/>
        </w:rPr>
        <w:t>1</w:t>
      </w:r>
      <w:r>
        <w:rPr/>
        <w:t>）预收账款情况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4,664,813.66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8,261,016.67</w:t>
            </w:r>
            <w:r>
              <w:rPr>
                <w:rFonts w:ascii="Times New Roman"/>
                <w:sz w:val="18"/>
              </w:rPr>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4,664,813.66</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8,261,016.67</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预收账款中预收持有公司5％（含5％）以上表决权股份的股东单位款项" w:id="353"/>
      <w:bookmarkEnd w:id="353"/>
      <w:r>
        <w:rPr>
          <w:b w:val="0"/>
          <w:bCs w:val="0"/>
        </w:rPr>
      </w:r>
      <w:r>
        <w:rPr/>
        <w:t>（</w:t>
      </w:r>
      <w:r>
        <w:rPr>
          <w:rFonts w:ascii="Times New Roman" w:hAnsi="Times New Roman" w:cs="Times New Roman" w:eastAsia="Times New Roman" w:hint="default"/>
        </w:rPr>
        <w:t>2</w:t>
      </w:r>
      <w:r>
        <w:rPr/>
        <w:t>）本报告期预收账款中预收持有公司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3"/>
        <w:gridCol w:w="2791"/>
        <w:gridCol w:w="2921"/>
      </w:tblGrid>
      <w:tr>
        <w:trPr>
          <w:trHeight w:val="402" w:hRule="exact"/>
        </w:trPr>
        <w:tc>
          <w:tcPr>
            <w:tcW w:w="3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4"/>
        <w:gridCol w:w="2791"/>
        <w:gridCol w:w="292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
        </w:tc>
        <w:tc>
          <w:tcPr>
            <w:tcW w:w="27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账龄超过一年的大额预收账款情况的说明" w:id="354"/>
      <w:bookmarkEnd w:id="354"/>
      <w:r>
        <w:rPr>
          <w:b w:val="0"/>
          <w:bCs w:val="0"/>
        </w:rPr>
      </w: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34、应付职工薪酬" w:id="355"/>
      <w:bookmarkEnd w:id="355"/>
      <w:r>
        <w:rPr>
          <w:b w:val="0"/>
          <w:bCs w:val="0"/>
        </w:rPr>
      </w:r>
      <w:r>
        <w:rPr>
          <w:rFonts w:ascii="Times New Roman" w:hAnsi="Times New Roman" w:cs="Times New Roman" w:eastAsia="Times New Roman" w:hint="default"/>
        </w:rPr>
        <w:t>34</w:t>
      </w:r>
      <w:r>
        <w:rPr/>
        <w:t>、应付职工薪酬</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2"/>
        <w:gridCol w:w="1992"/>
        <w:gridCol w:w="2258"/>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2"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38,059,965.61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38,059,965.61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2"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3,680,496.03</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3,680,496.03</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2" w:type="dxa"/>
            <w:tcBorders>
              <w:top w:val="single" w:sz="4" w:space="0" w:color="000000"/>
              <w:left w:val="single" w:sz="10"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6,499,274.86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6,499,274.86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2,149,868.42</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2,149,868.42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3,902,834.30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3,902,834.30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工伤保险费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67,786.48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67,786.48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227,231.81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227,231.81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151,553.85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151,553.85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1,078,468.16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1,078,468.16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563,474.54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563,474.54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49,881,679.20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49,881,679.20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应付职工薪酬中属于拖欠性质的金额</w:t>
      </w:r>
      <w:r>
        <w:rPr>
          <w:spacing w:val="-46"/>
        </w:rPr>
        <w:t> </w:t>
      </w:r>
      <w:r>
        <w:rPr>
          <w:rFonts w:ascii="Times New Roman" w:hAnsi="Times New Roman" w:cs="Times New Roman" w:eastAsia="Times New Roman" w:hint="default"/>
        </w:rPr>
        <w:t>0.00 </w:t>
      </w:r>
      <w:r>
        <w:rPr/>
        <w:t>元。</w:t>
      </w:r>
    </w:p>
    <w:p>
      <w:pPr>
        <w:pStyle w:val="BodyText"/>
        <w:spacing w:line="340" w:lineRule="auto" w:before="101"/>
        <w:ind w:right="1233"/>
        <w:jc w:val="left"/>
      </w:pPr>
      <w:r>
        <w:rPr/>
        <w:t>工会经费和职工教育经费金额</w:t>
      </w:r>
      <w:r>
        <w:rPr>
          <w:spacing w:val="-47"/>
        </w:rPr>
        <w:t> </w:t>
      </w:r>
      <w:r>
        <w:rPr>
          <w:rFonts w:ascii="Times New Roman" w:hAnsi="Times New Roman" w:cs="Times New Roman" w:eastAsia="Times New Roman" w:hint="default"/>
        </w:rPr>
        <w:t>563,474.54</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35、应交税费" w:id="356"/>
      <w:bookmarkEnd w:id="356"/>
      <w:r>
        <w:rPr>
          <w:b w:val="0"/>
          <w:bCs w:val="0"/>
        </w:rPr>
      </w:r>
      <w:r>
        <w:rPr>
          <w:rFonts w:ascii="Times New Roman" w:hAnsi="Times New Roman" w:cs="Times New Roman" w:eastAsia="Times New Roman" w:hint="default"/>
        </w:rPr>
        <w:t>35</w:t>
      </w:r>
      <w:r>
        <w:rPr/>
        <w:t>、应交税费</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20,165,347.42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7,456,996.66</w:t>
            </w:r>
            <w:r>
              <w:rPr>
                <w:rFonts w:ascii="Times New Roman"/>
                <w:sz w:val="18"/>
              </w:rPr>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1" w:type="dxa"/>
            <w:tcBorders>
              <w:top w:val="single" w:sz="4" w:space="0" w:color="000000"/>
              <w:left w:val="single" w:sz="10"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124,866.89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116,567.72</w:t>
            </w:r>
            <w:r>
              <w:rPr>
                <w:rFonts w:ascii="Times New Roman"/>
                <w:sz w:val="18"/>
              </w:rPr>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7,539,472.61</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4,138,513.10</w:t>
            </w:r>
            <w:r>
              <w:rPr>
                <w:rFonts w:ascii="Times New Roman"/>
                <w:sz w:val="18"/>
              </w:rPr>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128,712.79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69,550.62</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221,296.52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308,932.01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3"/>
        <w:gridCol w:w="2789"/>
        <w:gridCol w:w="2657"/>
      </w:tblGrid>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153,736.84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132,793.44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197.00</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28,333,515.78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12,223,550.55</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6、应付利息" w:id="357"/>
      <w:bookmarkEnd w:id="357"/>
      <w:r>
        <w:rPr>
          <w:b w:val="0"/>
          <w:bCs w:val="0"/>
        </w:rPr>
      </w:r>
      <w:r>
        <w:rPr>
          <w:rFonts w:ascii="Times New Roman" w:hAnsi="Times New Roman" w:cs="Times New Roman" w:eastAsia="Times New Roman" w:hint="default"/>
        </w:rPr>
        <w:t>36</w:t>
      </w:r>
      <w:r>
        <w:rPr/>
        <w:t>、应付利息</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0"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0"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0"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应付利息说明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7、应付股利" w:id="358"/>
      <w:bookmarkEnd w:id="358"/>
      <w:r>
        <w:rPr>
          <w:b w:val="0"/>
          <w:bCs w:val="0"/>
        </w:rPr>
      </w:r>
      <w:r>
        <w:rPr>
          <w:rFonts w:ascii="Times New Roman" w:hAnsi="Times New Roman" w:cs="Times New Roman" w:eastAsia="Times New Roman" w:hint="default"/>
        </w:rPr>
        <w:t>37</w:t>
      </w:r>
      <w:r>
        <w:rPr/>
        <w:t>、应付股利</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1"/>
        <w:gridCol w:w="1994"/>
        <w:gridCol w:w="2126"/>
        <w:gridCol w:w="2657"/>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应付股利的说明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8、其他应付款" w:id="359"/>
      <w:bookmarkEnd w:id="359"/>
      <w:r>
        <w:rPr>
          <w:b w:val="0"/>
          <w:bCs w:val="0"/>
        </w:rPr>
      </w:r>
      <w:r>
        <w:rPr>
          <w:rFonts w:ascii="Times New Roman" w:hAnsi="Times New Roman" w:cs="Times New Roman" w:eastAsia="Times New Roman" w:hint="default"/>
        </w:rPr>
        <w:t>38</w:t>
      </w:r>
      <w:r>
        <w:rPr/>
        <w:t>、其他应付款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其他应付款情况" w:id="360"/>
      <w:bookmarkEnd w:id="360"/>
      <w:r>
        <w:rPr>
          <w:b w:val="0"/>
          <w:bCs w:val="0"/>
        </w:rPr>
      </w:r>
      <w:r>
        <w:rPr/>
        <w:t>（</w:t>
      </w:r>
      <w:r>
        <w:rPr>
          <w:rFonts w:ascii="Times New Roman" w:hAnsi="Times New Roman" w:cs="Times New Roman" w:eastAsia="Times New Roman" w:hint="default"/>
        </w:rPr>
        <w:t>1</w:t>
      </w:r>
      <w:r>
        <w:rPr/>
        <w:t>）其他应付款情况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950,667.27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190,926.51</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应付日常经营款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1,318,533.83</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376,282.13</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2,269,201.10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567,208.64</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其他应付款中应付持有公司5％（含5％）以上表决权股份的股东单位款项" w:id="361"/>
      <w:bookmarkEnd w:id="361"/>
      <w:r>
        <w:rPr>
          <w:b w:val="0"/>
          <w:bCs w:val="0"/>
        </w:rPr>
      </w:r>
      <w:r>
        <w:rPr/>
        <w:t>（</w:t>
      </w:r>
      <w:r>
        <w:rPr>
          <w:rFonts w:ascii="Times New Roman" w:hAnsi="Times New Roman" w:cs="Times New Roman" w:eastAsia="Times New Roman" w:hint="default"/>
        </w:rPr>
        <w:t>2</w:t>
      </w:r>
      <w:r>
        <w:rPr/>
        <w:t>）本报告期其他应付款中应付持有公司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1"/>
        <w:gridCol w:w="3058"/>
        <w:gridCol w:w="2789"/>
      </w:tblGrid>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账龄超过一年的大额其他应付款情况的说明" w:id="362"/>
      <w:bookmarkEnd w:id="362"/>
      <w:r>
        <w:rPr>
          <w:b w:val="0"/>
          <w:bCs w:val="0"/>
        </w:rPr>
      </w: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4）金额较大的其他应付款说明内容" w:id="363"/>
      <w:bookmarkEnd w:id="363"/>
      <w:r>
        <w:rPr>
          <w:b w:val="0"/>
          <w:bCs w:val="0"/>
        </w:rPr>
      </w: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39、预计负债" w:id="364"/>
      <w:bookmarkEnd w:id="364"/>
      <w:r>
        <w:rPr>
          <w:b w:val="0"/>
          <w:bCs w:val="0"/>
        </w:rPr>
      </w:r>
      <w:r>
        <w:rPr>
          <w:rFonts w:ascii="Times New Roman" w:hAnsi="Times New Roman" w:cs="Times New Roman" w:eastAsia="Times New Roman" w:hint="default"/>
        </w:rPr>
        <w:t>39</w:t>
      </w:r>
      <w:r>
        <w:rPr/>
        <w:t>、预计负债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2"/>
        <w:gridCol w:w="1860"/>
        <w:gridCol w:w="1860"/>
        <w:gridCol w:w="1994"/>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预计负债说明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0、一年内到期的非流动负债" w:id="365"/>
      <w:bookmarkEnd w:id="365"/>
      <w:r>
        <w:rPr>
          <w:b w:val="0"/>
          <w:bCs w:val="0"/>
        </w:rPr>
      </w:r>
      <w:r>
        <w:rPr>
          <w:rFonts w:ascii="Times New Roman" w:hAnsi="Times New Roman" w:cs="Times New Roman" w:eastAsia="Times New Roman" w:hint="default"/>
        </w:rPr>
        <w:t>40</w:t>
      </w:r>
      <w:r>
        <w:rPr/>
        <w:t>、一年内到期的非流动负债</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一年内到期的非流动负债情况" w:id="366"/>
      <w:bookmarkEnd w:id="366"/>
      <w:r>
        <w:rPr>
          <w:b w:val="0"/>
          <w:bCs w:val="0"/>
        </w:rPr>
      </w: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8"/>
        <w:gridCol w:w="2800"/>
        <w:gridCol w:w="3190"/>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年内到期的应付债券</w:t>
            </w:r>
          </w:p>
        </w:tc>
        <w:tc>
          <w:tcPr>
            <w:tcW w:w="28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年内到期的长期应付款</w:t>
            </w:r>
          </w:p>
        </w:tc>
        <w:tc>
          <w:tcPr>
            <w:tcW w:w="28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一年内到期的长期借款" w:id="367"/>
      <w:bookmarkEnd w:id="367"/>
      <w:r>
        <w:rPr>
          <w:b w:val="0"/>
          <w:bCs w:val="0"/>
        </w:rPr>
      </w: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一年内到期的长期借款</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8"/>
        <w:gridCol w:w="2800"/>
        <w:gridCol w:w="3190"/>
      </w:tblGrid>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90"/>
        <w:gridCol w:w="2789"/>
        <w:gridCol w:w="3190"/>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833" w:space="399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6"/>
        <w:gridCol w:w="1061"/>
      </w:tblGrid>
      <w:tr>
        <w:trPr>
          <w:trHeight w:val="403" w:hRule="exact"/>
        </w:trPr>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3" w:type="dxa"/>
            <w:vMerge/>
            <w:tcBorders>
              <w:left w:val="single" w:sz="4" w:space="0" w:color="000000"/>
              <w:bottom w:val="single" w:sz="4" w:space="0" w:color="000000"/>
              <w:right w:val="single" w:sz="4" w:space="0" w:color="000000"/>
            </w:tcBorders>
            <w:shd w:val="clear" w:color="auto" w:fill="D4D4D4"/>
          </w:tcPr>
          <w:p>
            <w:pPr/>
          </w:p>
        </w:tc>
        <w:tc>
          <w:tcPr>
            <w:tcW w:w="1066"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13" w:space="0" w:color="D4D4D4"/>
            </w:tcBorders>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0" w:space="0" w:color="D4D4D4"/>
              <w:bottom w:val="single" w:sz="4" w:space="0" w:color="000000"/>
              <w:right w:val="single" w:sz="4" w:space="0" w:color="000000"/>
            </w:tcBorders>
          </w:tcPr>
          <w:p>
            <w:pPr/>
          </w:p>
        </w:tc>
      </w:tr>
    </w:tbl>
    <w:p>
      <w:pPr>
        <w:pStyle w:val="BodyText"/>
        <w:spacing w:line="240" w:lineRule="auto" w:before="49"/>
        <w:ind w:right="0"/>
        <w:jc w:val="left"/>
      </w:pPr>
      <w:r>
        <w:rPr/>
        <w:t>一年内到期的长期借款中的逾期借款</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8"/>
        <w:gridCol w:w="1366"/>
        <w:gridCol w:w="1368"/>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借款资金用途</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预期还款期</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074"/>
        <w:jc w:val="left"/>
      </w:pPr>
      <w:r>
        <w:rPr/>
        <w:t>资产负债表日后已偿还的金额元。 一年内到期的长期借款说明</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3）一年内到期的应付债券" w:id="368"/>
      <w:bookmarkEnd w:id="368"/>
      <w:r>
        <w:rPr>
          <w:b w:val="0"/>
          <w:bCs w:val="0"/>
        </w:rPr>
      </w: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5"/>
        <w:gridCol w:w="958"/>
        <w:gridCol w:w="958"/>
        <w:gridCol w:w="958"/>
        <w:gridCol w:w="955"/>
        <w:gridCol w:w="958"/>
        <w:gridCol w:w="958"/>
        <w:gridCol w:w="958"/>
      </w:tblGrid>
      <w:tr>
        <w:trPr>
          <w:trHeight w:val="713"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一年内到期的应付债券说明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一年内到期的长期应付款" w:id="369"/>
      <w:bookmarkEnd w:id="369"/>
      <w:r>
        <w:rPr>
          <w:b w:val="0"/>
          <w:bCs w:val="0"/>
        </w:rPr>
      </w: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8"/>
        <w:gridCol w:w="1368"/>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254"/>
        <w:jc w:val="left"/>
      </w:pPr>
      <w:r>
        <w:rPr/>
        <w:t>注：披露金额前五名的情况。 一年内到期的长期应付款的说明</w:t>
      </w:r>
    </w:p>
    <w:p>
      <w:pPr>
        <w:spacing w:after="0" w:line="357" w:lineRule="auto"/>
        <w:jc w:val="left"/>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41、其他流动负债" w:id="370"/>
      <w:bookmarkEnd w:id="370"/>
      <w:r>
        <w:rPr>
          <w:b w:val="0"/>
          <w:bCs w:val="0"/>
        </w:rPr>
      </w:r>
      <w:r>
        <w:rPr>
          <w:rFonts w:ascii="Times New Roman" w:hAnsi="Times New Roman" w:cs="Times New Roman" w:eastAsia="Times New Roman" w:hint="default"/>
        </w:rPr>
        <w:t>41</w:t>
      </w:r>
      <w:r>
        <w:rPr/>
        <w:t>、其他流动负债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其他流动负债说明</w:t>
      </w:r>
    </w:p>
    <w:p>
      <w:pPr>
        <w:pStyle w:val="BodyText"/>
        <w:spacing w:line="300" w:lineRule="auto" w:before="115"/>
        <w:ind w:right="0"/>
        <w:jc w:val="left"/>
      </w:pPr>
      <w:r>
        <w:rPr>
          <w:spacing w:val="-3"/>
        </w:rPr>
        <w:t>注：公司根据《企业会计准则》规定计入</w:t>
      </w:r>
      <w:r>
        <w:rPr>
          <w:rFonts w:ascii="Times New Roman" w:hAnsi="Times New Roman" w:cs="Times New Roman" w:eastAsia="Times New Roman" w:hint="default"/>
          <w:spacing w:val="-3"/>
        </w:rPr>
        <w:t>“</w:t>
      </w:r>
      <w:r>
        <w:rPr>
          <w:spacing w:val="-3"/>
        </w:rPr>
        <w:t>递延收益</w:t>
      </w:r>
      <w:r>
        <w:rPr>
          <w:rFonts w:ascii="Times New Roman" w:hAnsi="Times New Roman" w:cs="Times New Roman" w:eastAsia="Times New Roman" w:hint="default"/>
          <w:spacing w:val="-3"/>
        </w:rPr>
        <w:t>”</w:t>
      </w:r>
      <w:r>
        <w:rPr>
          <w:spacing w:val="-3"/>
        </w:rPr>
        <w:t>科目的金额，按照预计转入利润表的时间分别计入</w:t>
      </w:r>
      <w:r>
        <w:rPr>
          <w:rFonts w:ascii="Times New Roman" w:hAnsi="Times New Roman" w:cs="Times New Roman" w:eastAsia="Times New Roman" w:hint="default"/>
          <w:spacing w:val="-3"/>
        </w:rPr>
        <w:t>“</w:t>
      </w:r>
      <w:r>
        <w:rPr>
          <w:spacing w:val="-3"/>
        </w:rPr>
        <w:t>其他流动负债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w:t>
      </w:r>
      <w:r>
        <w:rPr>
          <w:spacing w:val="-40"/>
        </w:rPr>
        <w:t> </w:t>
      </w:r>
      <w:r>
        <w:rPr/>
        <w:t>他非流动负债</w:t>
      </w:r>
      <w:r>
        <w:rPr>
          <w:rFonts w:ascii="Times New Roman" w:hAnsi="Times New Roman" w:cs="Times New Roman" w:eastAsia="Times New Roman" w:hint="default"/>
        </w:rPr>
        <w:t>”</w:t>
      </w:r>
      <w:r>
        <w:rPr/>
        <w:t>项目并列报，同时须在说明框中进行详细说明。</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42、长期借款" w:id="371"/>
      <w:bookmarkEnd w:id="371"/>
      <w:r>
        <w:rPr>
          <w:b w:val="0"/>
          <w:bCs w:val="0"/>
        </w:rPr>
      </w:r>
      <w:r>
        <w:rPr>
          <w:rFonts w:ascii="Times New Roman" w:hAnsi="Times New Roman" w:cs="Times New Roman" w:eastAsia="Times New Roman" w:hint="default"/>
        </w:rPr>
        <w:t>42</w:t>
      </w:r>
      <w:r>
        <w:rPr/>
        <w:t>、长期借款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长期借款分类" w:id="372"/>
      <w:bookmarkEnd w:id="37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4D4D4"/>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tcPr>
          <w:p>
            <w:pPr/>
          </w:p>
        </w:tc>
        <w:tc>
          <w:tcPr>
            <w:tcW w:w="2932"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长期借款分类的说明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金额前五名的长期借款" w:id="373"/>
      <w:bookmarkEnd w:id="373"/>
      <w:r>
        <w:rPr>
          <w:b w:val="0"/>
          <w:bCs w:val="0"/>
        </w:rPr>
      </w: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3"/>
        <w:gridCol w:w="1066"/>
        <w:gridCol w:w="1063"/>
        <w:gridCol w:w="1063"/>
        <w:gridCol w:w="1066"/>
        <w:gridCol w:w="1056"/>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3" w:type="dxa"/>
            <w:vMerge/>
            <w:tcBorders>
              <w:left w:val="single" w:sz="4" w:space="0" w:color="000000"/>
              <w:bottom w:val="single" w:sz="4" w:space="0" w:color="000000"/>
              <w:right w:val="single" w:sz="4" w:space="0" w:color="000000"/>
            </w:tcBorders>
            <w:shd w:val="clear" w:color="auto" w:fill="D4D4D4"/>
          </w:tcPr>
          <w:p>
            <w:pPr/>
          </w:p>
        </w:tc>
        <w:tc>
          <w:tcPr>
            <w:tcW w:w="1066"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6" w:type="dxa"/>
            <w:vMerge/>
            <w:tcBorders>
              <w:left w:val="single" w:sz="4" w:space="0" w:color="000000"/>
              <w:bottom w:val="single" w:sz="4" w:space="0" w:color="000000"/>
              <w:right w:val="single" w:sz="4" w:space="0" w:color="000000"/>
            </w:tcBorders>
            <w:shd w:val="clear" w:color="auto" w:fill="D4D4D4"/>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13" w:space="0" w:color="D4D4D4"/>
            </w:tcBorders>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长期借款说明，因逾期借款获得展期形成的长期借款，应说明获得展期的条件、本金、利息、预计还款安排等</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3、应付债券" w:id="374"/>
      <w:bookmarkEnd w:id="374"/>
      <w:r>
        <w:rPr>
          <w:b w:val="0"/>
          <w:bCs w:val="0"/>
        </w:rPr>
      </w:r>
      <w:r>
        <w:rPr>
          <w:rFonts w:ascii="Times New Roman" w:hAnsi="Times New Roman" w:cs="Times New Roman" w:eastAsia="Times New Roman" w:hint="default"/>
        </w:rPr>
        <w:t>43</w:t>
      </w:r>
      <w:r>
        <w:rPr/>
        <w:t>、应付债券</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5"/>
        <w:gridCol w:w="958"/>
        <w:gridCol w:w="958"/>
        <w:gridCol w:w="958"/>
        <w:gridCol w:w="955"/>
        <w:gridCol w:w="958"/>
        <w:gridCol w:w="958"/>
        <w:gridCol w:w="958"/>
      </w:tblGrid>
      <w:tr>
        <w:trPr>
          <w:trHeight w:val="713"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应付债券说明，包括可转换公司债券的转股条件、转股时间</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4、长期应付款" w:id="375"/>
      <w:bookmarkEnd w:id="375"/>
      <w:r>
        <w:rPr>
          <w:b w:val="0"/>
          <w:bCs w:val="0"/>
        </w:rPr>
      </w:r>
      <w:r>
        <w:rPr>
          <w:rFonts w:ascii="Times New Roman" w:hAnsi="Times New Roman" w:cs="Times New Roman" w:eastAsia="Times New Roman" w:hint="default"/>
        </w:rPr>
        <w:t>44</w:t>
      </w:r>
      <w:r>
        <w:rPr/>
        <w:t>、长期应付款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金额前五名长期应付款情况" w:id="376"/>
      <w:bookmarkEnd w:id="376"/>
      <w:r>
        <w:rPr>
          <w:b w:val="0"/>
          <w:bCs w:val="0"/>
        </w:rPr>
      </w: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注：披露金额前五名的情况。</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2）长期应付款中的应付融资租赁款明细" w:id="377"/>
      <w:bookmarkEnd w:id="377"/>
      <w:r>
        <w:rPr>
          <w:b w:val="0"/>
          <w:bCs w:val="0"/>
        </w:rPr>
      </w: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6"/>
        <w:gridCol w:w="1728"/>
        <w:gridCol w:w="1726"/>
        <w:gridCol w:w="1594"/>
        <w:gridCol w:w="1594"/>
      </w:tblGrid>
      <w:tr>
        <w:trPr>
          <w:trHeight w:val="401" w:hRule="exact"/>
        </w:trPr>
        <w:tc>
          <w:tcPr>
            <w:tcW w:w="29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926"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01"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814"/>
        <w:jc w:val="left"/>
      </w:pPr>
      <w:r>
        <w:rPr/>
        <w:t>由独立第三方为公司融资租赁提供担保的金额元。 长期应付款的说明</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45、专项应付款" w:id="378"/>
      <w:bookmarkEnd w:id="378"/>
      <w:r>
        <w:rPr>
          <w:b w:val="0"/>
          <w:bCs w:val="0"/>
        </w:rPr>
      </w:r>
      <w:r>
        <w:rPr>
          <w:rFonts w:ascii="Times New Roman" w:hAnsi="Times New Roman" w:cs="Times New Roman" w:eastAsia="Times New Roman" w:hint="default"/>
        </w:rPr>
        <w:t>45</w:t>
      </w:r>
      <w:r>
        <w:rPr/>
        <w:t>、专项应付款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1327"/>
        <w:gridCol w:w="1330"/>
        <w:gridCol w:w="1198"/>
        <w:gridCol w:w="1327"/>
        <w:gridCol w:w="1994"/>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中关村科技园区海淀园管理 委员会电子文档安全管理系 统项目</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专项应付款说明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6、其他非流动负债" w:id="379"/>
      <w:bookmarkEnd w:id="379"/>
      <w:r>
        <w:rPr>
          <w:b w:val="0"/>
          <w:bCs w:val="0"/>
        </w:rPr>
      </w:r>
      <w:r>
        <w:rPr>
          <w:rFonts w:ascii="Times New Roman" w:hAnsi="Times New Roman" w:cs="Times New Roman" w:eastAsia="Times New Roman" w:hint="default"/>
        </w:rPr>
        <w:t>46</w:t>
      </w:r>
      <w:r>
        <w:rPr/>
        <w:t>、其他非流动负债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2"/>
        <w:gridCol w:w="2789"/>
        <w:gridCol w:w="3058"/>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其他非流动负债说明，包括本报告期取得的各类与资产相关、与收益相关的政府补助及其期末金额</w:t>
      </w:r>
    </w:p>
    <w:p>
      <w:pPr>
        <w:pStyle w:val="BodyText"/>
        <w:spacing w:line="300" w:lineRule="auto" w:before="115"/>
        <w:ind w:right="0"/>
        <w:jc w:val="left"/>
      </w:pPr>
      <w:r>
        <w:rPr>
          <w:spacing w:val="-3"/>
        </w:rPr>
        <w:t>注：公司根据《企业会计准则》规定计入</w:t>
      </w:r>
      <w:r>
        <w:rPr>
          <w:rFonts w:ascii="Times New Roman" w:hAnsi="Times New Roman" w:cs="Times New Roman" w:eastAsia="Times New Roman" w:hint="default"/>
          <w:spacing w:val="-3"/>
        </w:rPr>
        <w:t>“</w:t>
      </w:r>
      <w:r>
        <w:rPr>
          <w:spacing w:val="-3"/>
        </w:rPr>
        <w:t>递延收益</w:t>
      </w:r>
      <w:r>
        <w:rPr>
          <w:rFonts w:ascii="Times New Roman" w:hAnsi="Times New Roman" w:cs="Times New Roman" w:eastAsia="Times New Roman" w:hint="default"/>
          <w:spacing w:val="-3"/>
        </w:rPr>
        <w:t>”</w:t>
      </w:r>
      <w:r>
        <w:rPr>
          <w:spacing w:val="-3"/>
        </w:rPr>
        <w:t>科目的金额，按照预计转入利润表的时间分别计入</w:t>
      </w:r>
      <w:r>
        <w:rPr>
          <w:rFonts w:ascii="Times New Roman" w:hAnsi="Times New Roman" w:cs="Times New Roman" w:eastAsia="Times New Roman" w:hint="default"/>
          <w:spacing w:val="-3"/>
        </w:rPr>
        <w:t>“</w:t>
      </w:r>
      <w:r>
        <w:rPr>
          <w:spacing w:val="-3"/>
        </w:rPr>
        <w:t>其他流动负债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w:t>
      </w:r>
      <w:r>
        <w:rPr>
          <w:spacing w:val="-40"/>
        </w:rPr>
        <w:t> </w:t>
      </w:r>
      <w:r>
        <w:rPr/>
        <w:t>他非流动负债</w:t>
      </w:r>
      <w:r>
        <w:rPr>
          <w:rFonts w:ascii="Times New Roman" w:hAnsi="Times New Roman" w:cs="Times New Roman" w:eastAsia="Times New Roman" w:hint="default"/>
        </w:rPr>
        <w:t>”</w:t>
      </w:r>
      <w:r>
        <w:rPr/>
        <w:t>项目并列报，同时须在说明框中进行详细说明。</w:t>
      </w:r>
    </w:p>
    <w:p>
      <w:pPr>
        <w:spacing w:after="0" w:line="30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47、股本" w:id="380"/>
      <w:bookmarkEnd w:id="380"/>
      <w:r>
        <w:rPr>
          <w:b w:val="0"/>
          <w:bCs w:val="0"/>
        </w:rPr>
      </w:r>
      <w:r>
        <w:rPr>
          <w:rFonts w:ascii="Times New Roman" w:hAnsi="Times New Roman" w:cs="Times New Roman" w:eastAsia="Times New Roman" w:hint="default"/>
        </w:rPr>
        <w:t>47</w:t>
      </w:r>
      <w:r>
        <w:rPr/>
        <w:t>、股本</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210"/>
        <w:gridCol w:w="1183"/>
        <w:gridCol w:w="1195"/>
        <w:gridCol w:w="1198"/>
        <w:gridCol w:w="1195"/>
        <w:gridCol w:w="1184"/>
        <w:gridCol w:w="1208"/>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0"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6"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1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6"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10" w:type="dxa"/>
            <w:vMerge/>
            <w:tcBorders>
              <w:left w:val="single" w:sz="4" w:space="0" w:color="000000"/>
              <w:bottom w:val="nil" w:sz="6" w:space="0" w:color="auto"/>
              <w:right w:val="single" w:sz="4" w:space="0" w:color="000000"/>
            </w:tcBorders>
            <w:shd w:val="clear" w:color="auto" w:fill="D4D4D4"/>
          </w:tcPr>
          <w:p>
            <w:pPr/>
          </w:p>
        </w:tc>
        <w:tc>
          <w:tcPr>
            <w:tcW w:w="11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16,700,000.00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16,700,000.00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66,700,000.00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240" w:lineRule="auto" w:before="62"/>
        <w:ind w:right="0"/>
        <w:jc w:val="left"/>
      </w:pPr>
      <w:r>
        <w:rPr/>
        <w:t>年的股份有限公司，设立前的年份只需说明净资产情况；有限责任公司整体变更为股份公司应说明公司设立时的验资情况</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8、库存股" w:id="381"/>
      <w:bookmarkEnd w:id="381"/>
      <w:r>
        <w:rPr>
          <w:b w:val="0"/>
          <w:bCs w:val="0"/>
        </w:rPr>
      </w:r>
      <w:r>
        <w:rPr>
          <w:rFonts w:ascii="Times New Roman" w:hAnsi="Times New Roman" w:cs="Times New Roman" w:eastAsia="Times New Roman" w:hint="default"/>
        </w:rPr>
        <w:t>48</w:t>
      </w:r>
      <w:r>
        <w:rPr/>
        <w:t>、库存股</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库存股情况说明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9、专项储备" w:id="382"/>
      <w:bookmarkEnd w:id="382"/>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专项储备情况说明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0、资本公积" w:id="383"/>
      <w:bookmarkEnd w:id="383"/>
      <w:r>
        <w:rPr>
          <w:b w:val="0"/>
          <w:bCs w:val="0"/>
        </w:rPr>
      </w:r>
      <w:r>
        <w:rPr>
          <w:rFonts w:ascii="Times New Roman" w:hAnsi="Times New Roman" w:cs="Times New Roman" w:eastAsia="Times New Roman" w:hint="default"/>
        </w:rPr>
        <w:t>50</w:t>
      </w:r>
      <w:r>
        <w:rPr/>
        <w:t>、资本公积</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5"/>
        <w:gridCol w:w="1860"/>
        <w:gridCol w:w="1992"/>
        <w:gridCol w:w="1728"/>
        <w:gridCol w:w="1594"/>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14,538,779.10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362,158,645.20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376,697,424.30</w:t>
            </w:r>
            <w:r>
              <w:rPr>
                <w:rFonts w:ascii="Times New Roman"/>
                <w:sz w:val="18"/>
              </w:rPr>
            </w: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1,677,000.00</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1,326,788.51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3,003,788.51</w:t>
            </w:r>
            <w:r>
              <w:rPr>
                <w:rFonts w:ascii="Times New Roman"/>
                <w:sz w:val="18"/>
              </w:rPr>
            </w:r>
          </w:p>
        </w:tc>
      </w:tr>
      <w:tr>
        <w:trPr>
          <w:trHeight w:val="403" w:hRule="exact"/>
        </w:trPr>
        <w:tc>
          <w:tcPr>
            <w:tcW w:w="239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16,215,779.10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363,485,433.71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379,701,212.81</w:t>
            </w:r>
            <w:r>
              <w:rPr>
                <w:rFonts w:ascii="Times New Roman"/>
                <w:sz w:val="18"/>
              </w:rPr>
            </w:r>
          </w:p>
        </w:tc>
      </w:tr>
    </w:tbl>
    <w:p>
      <w:pPr>
        <w:pStyle w:val="BodyText"/>
        <w:spacing w:line="240" w:lineRule="auto" w:before="49"/>
        <w:ind w:right="0"/>
        <w:jc w:val="left"/>
      </w:pPr>
      <w:r>
        <w:rPr/>
        <w:t>资本公积说明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1、盈余公积" w:id="384"/>
      <w:bookmarkEnd w:id="384"/>
      <w:r>
        <w:rPr>
          <w:b w:val="0"/>
          <w:bCs w:val="0"/>
        </w:rPr>
      </w:r>
      <w:r>
        <w:rPr>
          <w:rFonts w:ascii="Times New Roman" w:hAnsi="Times New Roman" w:cs="Times New Roman" w:eastAsia="Times New Roman" w:hint="default"/>
        </w:rPr>
        <w:t>51</w:t>
      </w:r>
      <w:r>
        <w:rPr/>
        <w:t>、盈余公积</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2"/>
        <w:gridCol w:w="1728"/>
        <w:gridCol w:w="159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10,044,556.10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6,114,663.76</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16,159,219.86</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13" w:space="0" w:color="D4D4D4"/>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10,044,556.10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6,114,663.76</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16,159,219.86</w:t>
            </w:r>
          </w:p>
        </w:tc>
      </w:tr>
    </w:tbl>
    <w:p>
      <w:pPr>
        <w:pStyle w:val="BodyText"/>
        <w:spacing w:line="240" w:lineRule="auto" w:before="49"/>
        <w:ind w:right="0"/>
        <w:jc w:val="left"/>
      </w:pPr>
      <w:r>
        <w:rPr/>
        <w:t>盈余公积说明，用盈余公积转增股本、弥补亏损、分派股利的，应说明有关决议</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52、一般风险准备" w:id="385"/>
      <w:bookmarkEnd w:id="385"/>
      <w:r>
        <w:rPr>
          <w:b w:val="0"/>
          <w:bCs w:val="0"/>
        </w:rPr>
      </w:r>
      <w:r>
        <w:rPr>
          <w:rFonts w:ascii="Times New Roman" w:hAnsi="Times New Roman" w:cs="Times New Roman" w:eastAsia="Times New Roman" w:hint="default"/>
        </w:rPr>
        <w:t>52</w:t>
      </w:r>
      <w:r>
        <w:rPr/>
        <w:t>、一般风险准备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一般风险准备情况说明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3、未分配利润" w:id="386"/>
      <w:bookmarkEnd w:id="386"/>
      <w:r>
        <w:rPr>
          <w:b w:val="0"/>
          <w:bCs w:val="0"/>
        </w:rPr>
      </w:r>
      <w:r>
        <w:rPr>
          <w:rFonts w:ascii="Times New Roman" w:hAnsi="Times New Roman" w:cs="Times New Roman" w:eastAsia="Times New Roman" w:hint="default"/>
        </w:rPr>
        <w:t>53</w:t>
      </w:r>
      <w:r>
        <w:rPr/>
        <w:t>、未分配利润</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5"/>
        <w:gridCol w:w="3740"/>
        <w:gridCol w:w="212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75,642,251.30</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0" w:type="dxa"/>
            <w:tcBorders>
              <w:top w:val="single" w:sz="4" w:space="0" w:color="000000"/>
              <w:left w:val="single" w:sz="9" w:space="0" w:color="D4D4D4"/>
              <w:bottom w:val="single" w:sz="4" w:space="0" w:color="000000"/>
              <w:right w:val="single" w:sz="13" w:space="0" w:color="D4D4D4"/>
            </w:tcBorders>
          </w:tcPr>
          <w:p>
            <w:pP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75,642,251.30</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60,107,528.99</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6,114,663.76</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0" w:type="dxa"/>
            <w:tcBorders>
              <w:top w:val="single" w:sz="4" w:space="0" w:color="000000"/>
              <w:left w:val="single" w:sz="9" w:space="0" w:color="D4D4D4"/>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0" w:type="dxa"/>
            <w:tcBorders>
              <w:top w:val="single" w:sz="4" w:space="0" w:color="000000"/>
              <w:left w:val="single" w:sz="9" w:space="0" w:color="D4D4D4"/>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9" w:space="0" w:color="D4D4D4"/>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0" w:type="dxa"/>
            <w:tcBorders>
              <w:top w:val="single" w:sz="4" w:space="0" w:color="000000"/>
              <w:left w:val="single" w:sz="9" w:space="0" w:color="D4D4D4"/>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tcPr>
          <w:p>
            <w:pPr/>
          </w:p>
        </w:tc>
        <w:tc>
          <w:tcPr>
            <w:tcW w:w="3740"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129,635,116.53</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4、营业收入、营业成本" w:id="387"/>
      <w:bookmarkEnd w:id="387"/>
      <w:r>
        <w:rPr>
          <w:b w:val="0"/>
          <w:bCs w:val="0"/>
        </w:rPr>
      </w:r>
      <w:r>
        <w:rPr>
          <w:rFonts w:ascii="Times New Roman" w:hAnsi="Times New Roman" w:cs="Times New Roman" w:eastAsia="Times New Roman" w:hint="default"/>
        </w:rPr>
        <w:t>54</w:t>
      </w:r>
      <w:r>
        <w:rPr/>
        <w:t>、营业收入、营业成本</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营业收入、营业成本" w:id="388"/>
      <w:bookmarkEnd w:id="388"/>
      <w:r>
        <w:rPr>
          <w:b w:val="0"/>
          <w:bCs w:val="0"/>
        </w:rPr>
      </w:r>
      <w:r>
        <w:rPr/>
        <w:t>（</w:t>
      </w:r>
      <w:r>
        <w:rPr>
          <w:rFonts w:ascii="Times New Roman" w:hAnsi="Times New Roman" w:cs="Times New Roman" w:eastAsia="Times New Roman" w:hint="default"/>
        </w:rPr>
        <w:t>1</w:t>
      </w:r>
      <w:r>
        <w:rPr/>
        <w:t>）营业收入、营业成本</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8"/>
        <w:gridCol w:w="3190"/>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188,842,225.05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125,480,115.52</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1,115,633.71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1,470,585.46</w:t>
            </w:r>
            <w:r>
              <w:rPr>
                <w:rFonts w:ascii="Times New Roman"/>
                <w:sz w:val="18"/>
              </w:rPr>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22,800,097.56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12,824,292.43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2）主营业务（分行业）" w:id="389"/>
      <w:bookmarkEnd w:id="389"/>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3"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11,016,556.88</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527,587.87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3,872,404.96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221,802.89</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7,603,130.61</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1,810,308.53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2,870,764.90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269,567.59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41,043,398.44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1,606,929.15</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26,722,044.55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314,123.65</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10,063,886.50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1,795,574.21</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17,614,892.18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940,240.78</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119,115,252.62</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16,355,322.88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74,400,008.93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10,318,605.89</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188,842,225.05</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22,095,722.64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125,480,115.52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12,064,340.81</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主营业务（分产品）" w:id="390"/>
      <w:bookmarkEnd w:id="390"/>
      <w:r>
        <w:rPr>
          <w:b w:val="0"/>
          <w:bCs w:val="0"/>
        </w:rPr>
      </w:r>
      <w:r>
        <w:rPr/>
        <w:t>（</w:t>
      </w:r>
      <w:r>
        <w:rPr>
          <w:rFonts w:ascii="Times New Roman" w:hAnsi="Times New Roman" w:cs="Times New Roman" w:eastAsia="Times New Roman" w:hint="default"/>
        </w:rPr>
        <w:t>3</w:t>
      </w:r>
      <w:r>
        <w:rPr/>
        <w:t>）主营业务（分产品）</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138,734,369.64</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4,715,143.83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96,529,796.79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1,151,670.00</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27,435,513.65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2,530,911.43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14,152,317.53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1,050,316.11</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22,672,341.76</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14,849,667.38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14,798,001.20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9,862,354.70</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188,842,225.05</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22,095,722.64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125,480,115.52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12,064,340.81</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主营业务（分地区）" w:id="391"/>
      <w:bookmarkEnd w:id="391"/>
      <w:r>
        <w:rPr>
          <w:b w:val="0"/>
          <w:bCs w:val="0"/>
        </w:rPr>
      </w:r>
      <w:r>
        <w:rPr/>
        <w:t>（</w:t>
      </w:r>
      <w:r>
        <w:rPr>
          <w:rFonts w:ascii="Times New Roman" w:hAnsi="Times New Roman" w:cs="Times New Roman" w:eastAsia="Times New Roman" w:hint="default"/>
        </w:rPr>
        <w:t>4</w:t>
      </w:r>
      <w:r>
        <w:rPr/>
        <w:t>）主营业务（分地区）</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45,311,733.23</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11,212,089.15</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41,861,828.87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7,993,783.07</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21,422,665.77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162,673.75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12,942,126.06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49,931.45</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19,707,792.05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232,486.11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5,653,284.60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11,782.37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65,058,390.23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3,387,345.48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44,467,975.27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667,676.07</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5,534,594.69</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133,470.47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5,795,038.47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14,195.21</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17,467,928.95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214,196.59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7,422,299.10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119,898.62</w:t>
            </w:r>
            <w:r>
              <w:rPr>
                <w:rFonts w:ascii="Times New Roman"/>
                <w:sz w:val="18"/>
              </w:rPr>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14,339,120.13</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6,753,461.09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7,336,879.39</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3,207,027.35</w:t>
            </w:r>
            <w:r>
              <w:rPr>
                <w:rFonts w:ascii="Times New Roman"/>
                <w:sz w:val="18"/>
              </w:rPr>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港澳台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46.67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188,842,225.05</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22,095,722.64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125,480,115.52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12,064,340.81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5）公司前五名客户的营业收入情况" w:id="392"/>
      <w:bookmarkEnd w:id="39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4"/>
        <w:gridCol w:w="2849"/>
        <w:gridCol w:w="4126"/>
      </w:tblGrid>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长春吉大正元信息技术股份有限 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12,673,300.35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6.67%</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河南省电力公司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5,791,929.91</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北京浩普诚华科技有限公司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5,452,991.45</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重庆市电力公司电力科学研究院</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5,305,001.66</w:t>
            </w:r>
            <w:r>
              <w:rPr>
                <w:rFonts w:ascii="Times New Roman"/>
                <w:sz w:val="18"/>
              </w:rPr>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2.79%</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中国国际人才开发研究所</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3,846,698.11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33,069,921.48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17.41%</w:t>
            </w:r>
          </w:p>
        </w:tc>
      </w:tr>
    </w:tbl>
    <w:p>
      <w:pPr>
        <w:pStyle w:val="BodyText"/>
        <w:spacing w:line="357" w:lineRule="auto" w:before="49"/>
        <w:ind w:right="3144"/>
        <w:jc w:val="left"/>
      </w:pPr>
      <w:r>
        <w:rPr/>
        <w:t>营业收入的说明 本年度公司前五名客户营业收入总额</w:t>
      </w:r>
      <w:r>
        <w:rPr>
          <w:rFonts w:ascii="Times New Roman" w:hAnsi="Times New Roman" w:cs="Times New Roman" w:eastAsia="Times New Roman" w:hint="default"/>
        </w:rPr>
        <w:t>33,069,921.48</w:t>
      </w:r>
      <w:r>
        <w:rPr/>
        <w:t>元，占本年度营业收入的</w:t>
      </w:r>
      <w:r>
        <w:rPr>
          <w:rFonts w:ascii="Times New Roman" w:hAnsi="Times New Roman" w:cs="Times New Roman" w:eastAsia="Times New Roman" w:hint="default"/>
        </w:rPr>
        <w:t>17.41%</w:t>
      </w:r>
      <w:r>
        <w:rPr/>
        <w:t>。</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55、合同项目收入" w:id="393"/>
      <w:bookmarkEnd w:id="393"/>
      <w:r>
        <w:rPr>
          <w:b w:val="0"/>
          <w:bCs w:val="0"/>
        </w:rPr>
      </w:r>
      <w:r>
        <w:rPr>
          <w:rFonts w:ascii="Times New Roman" w:hAnsi="Times New Roman" w:cs="Times New Roman" w:eastAsia="Times New Roman" w:hint="default"/>
        </w:rPr>
        <w:t>55</w:t>
      </w:r>
      <w:r>
        <w:rPr/>
        <w:t>、合同项目收入</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6"/>
        <w:gridCol w:w="1594"/>
        <w:gridCol w:w="1591"/>
        <w:gridCol w:w="1596"/>
      </w:tblGrid>
      <w:tr>
        <w:trPr>
          <w:trHeight w:val="163"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vMerge/>
            <w:tcBorders>
              <w:left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161" w:hRule="exact"/>
        </w:trPr>
        <w:tc>
          <w:tcPr>
            <w:tcW w:w="15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40"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1"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r>
      <w:tr>
        <w:trPr>
          <w:trHeight w:val="161"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6" w:type="dxa"/>
            <w:tcBorders>
              <w:top w:val="single" w:sz="4" w:space="0" w:color="000000"/>
              <w:left w:val="single" w:sz="10" w:space="0" w:color="D4D4D4"/>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1" w:type="dxa"/>
            <w:vMerge/>
            <w:tcBorders>
              <w:left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161" w:hRule="exact"/>
        </w:trPr>
        <w:tc>
          <w:tcPr>
            <w:tcW w:w="159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42"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1"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
        </w:tc>
      </w:tr>
      <w:tr>
        <w:trPr>
          <w:trHeight w:val="161"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6" w:type="dxa"/>
            <w:tcBorders>
              <w:top w:val="single" w:sz="4" w:space="0" w:color="000000"/>
              <w:left w:val="single" w:sz="10" w:space="0" w:color="D4D4D4"/>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4902"/>
        <w:jc w:val="left"/>
      </w:pPr>
      <w:r>
        <w:rPr/>
        <w:t>注：披露单项合同本期确认收入占营业收入</w:t>
      </w:r>
      <w:r>
        <w:rPr>
          <w:spacing w:val="-48"/>
        </w:rPr>
        <w:t> </w:t>
      </w:r>
      <w:r>
        <w:rPr>
          <w:rFonts w:ascii="Times New Roman" w:hAnsi="Times New Roman" w:cs="Times New Roman" w:eastAsia="Times New Roman" w:hint="default"/>
        </w:rPr>
        <w:t>10%</w:t>
      </w:r>
      <w:r>
        <w:rPr/>
        <w:t>以上的项目。 合同项目的说明</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6、营业税金及附加" w:id="394"/>
      <w:bookmarkEnd w:id="394"/>
      <w:r>
        <w:rPr>
          <w:b w:val="0"/>
          <w:bCs w:val="0"/>
        </w:rPr>
      </w:r>
      <w:r>
        <w:rPr>
          <w:rFonts w:ascii="Times New Roman" w:hAnsi="Times New Roman" w:cs="Times New Roman" w:eastAsia="Times New Roman" w:hint="default"/>
        </w:rPr>
        <w:t>56</w:t>
      </w:r>
      <w:r>
        <w:rPr/>
        <w:t>、营业税金及附加</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2"/>
        <w:gridCol w:w="2921"/>
      </w:tblGrid>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4D4D4"/>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631,845.88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783,015.64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860,685.65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1,002,161.52</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614,775.45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446,509.31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003" w:type="dxa"/>
            <w:tcBorders>
              <w:top w:val="single" w:sz="4" w:space="0" w:color="000000"/>
              <w:left w:val="single" w:sz="9" w:space="0" w:color="D4D4D4"/>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2,855.40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6,447.68</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795"/>
        <w:gridCol w:w="1992"/>
        <w:gridCol w:w="1862"/>
        <w:gridCol w:w="2909"/>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2" w:right="0"/>
              <w:jc w:val="left"/>
              <w:rPr>
                <w:rFonts w:ascii="Times New Roman" w:hAnsi="Times New Roman" w:cs="Times New Roman" w:eastAsia="Times New Roman" w:hint="default"/>
                <w:sz w:val="18"/>
                <w:szCs w:val="18"/>
              </w:rPr>
            </w:pPr>
            <w:r>
              <w:rPr>
                <w:rFonts w:ascii="Times New Roman"/>
                <w:sz w:val="18"/>
              </w:rPr>
              <w:t>2,110,162.38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2,238,134.15</w:t>
            </w:r>
          </w:p>
        </w:tc>
        <w:tc>
          <w:tcPr>
            <w:tcW w:w="29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7、销售费用" w:id="395"/>
      <w:bookmarkEnd w:id="395"/>
      <w:r>
        <w:rPr>
          <w:b w:val="0"/>
          <w:bCs w:val="0"/>
        </w:rPr>
      </w:r>
      <w:r>
        <w:rPr>
          <w:rFonts w:ascii="Times New Roman" w:hAnsi="Times New Roman" w:cs="Times New Roman" w:eastAsia="Times New Roman" w:hint="default"/>
        </w:rPr>
        <w:t>57</w:t>
      </w:r>
      <w:r>
        <w:rPr/>
        <w:t>、销售费用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27,489,519.42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22,384,535.31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8,592,457.19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5,424,390.11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4,275,582.52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3,100,203.12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2,722,980.78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870,579.61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2,056,991.98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1,386,824.26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2,043,116.00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485,560.00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1,443,847.00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499,254.10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1,249,362.84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930,110.09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877,114.80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126,840.00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802,113.08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565,547.41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960,980.16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1,817,979.29</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52,514,065.77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37,591,823.30</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8、管理费用" w:id="396"/>
      <w:bookmarkEnd w:id="396"/>
      <w:r>
        <w:rPr>
          <w:b w:val="0"/>
          <w:bCs w:val="0"/>
        </w:rPr>
      </w:r>
      <w:r>
        <w:rPr>
          <w:rFonts w:ascii="Times New Roman" w:hAnsi="Times New Roman" w:cs="Times New Roman" w:eastAsia="Times New Roman" w:hint="default"/>
        </w:rPr>
        <w:t>58</w:t>
      </w:r>
      <w:r>
        <w:rPr/>
        <w:t>、管理费用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21,947,795.50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14,312,360.62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6,133,146.64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5,521,080.57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5,309,996.58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4,153,265.67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3,601,985.52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1,512,837.22</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3,119,417.06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3,023,242.25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1,747,200.07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1,492,329.87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1,148,914.22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657,625.28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1,027,950.50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483,970.70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925,794.61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773,180.97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679,476.07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507,399.22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4,184,116.15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2,435,335.43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49,825,792.92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34,872,627.80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59、财务费用" w:id="397"/>
      <w:bookmarkEnd w:id="39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102,541.67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-2,636,824.40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-273,157.00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25,650.32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28,224.51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-2,611,174.08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-142,390.82</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60、公允价值变动收益" w:id="398"/>
      <w:bookmarkEnd w:id="398"/>
      <w:r>
        <w:rPr>
          <w:b w:val="0"/>
          <w:bCs w:val="0"/>
        </w:rPr>
      </w:r>
      <w:r>
        <w:rPr>
          <w:rFonts w:ascii="Times New Roman" w:hAnsi="Times New Roman" w:cs="Times New Roman" w:eastAsia="Times New Roman" w:hint="default"/>
        </w:rPr>
        <w:t>60</w:t>
      </w:r>
      <w:r>
        <w:rPr/>
        <w:t>、公允价值变动收益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1"/>
      </w:tblGrid>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tcPr>
          <w:p>
            <w:pP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公允价值变动收益的说明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1、投资收益" w:id="399"/>
      <w:bookmarkEnd w:id="399"/>
      <w:r>
        <w:rPr>
          <w:b w:val="0"/>
          <w:bCs w:val="0"/>
        </w:rPr>
      </w:r>
      <w:r>
        <w:rPr>
          <w:rFonts w:ascii="Times New Roman" w:hAnsi="Times New Roman" w:cs="Times New Roman" w:eastAsia="Times New Roman" w:hint="default"/>
        </w:rPr>
        <w:t>61</w:t>
      </w:r>
      <w:r>
        <w:rPr/>
        <w:t>、投资收益</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投资收益明细情况" w:id="400"/>
      <w:bookmarkEnd w:id="400"/>
      <w:r>
        <w:rPr>
          <w:b w:val="0"/>
          <w:bCs w:val="0"/>
        </w:rPr>
      </w:r>
      <w:r>
        <w:rPr/>
        <w:t>（</w:t>
      </w:r>
      <w:r>
        <w:rPr>
          <w:rFonts w:ascii="Times New Roman" w:hAnsi="Times New Roman" w:cs="Times New Roman" w:eastAsia="Times New Roman" w:hint="default"/>
        </w:rPr>
        <w:t>1</w:t>
      </w:r>
      <w:r>
        <w:rPr/>
        <w:t>）投资收益明细情况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1"/>
      </w:tblGrid>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8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6"/>
        <w:gridCol w:w="2789"/>
        <w:gridCol w:w="2921"/>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17,264.38</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17,264.38</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按成本法核算的长期股权投资收益" w:id="401"/>
      <w:bookmarkEnd w:id="401"/>
      <w:r>
        <w:rPr>
          <w:b w:val="0"/>
          <w:bCs w:val="0"/>
        </w:rPr>
      </w: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、期未取得投资收益的，不在本表填列；</w:t>
      </w:r>
    </w:p>
    <w:p>
      <w:pPr>
        <w:pStyle w:val="BodyText"/>
        <w:spacing w:line="240" w:lineRule="auto" w:before="101"/>
        <w:ind w:left="512" w:right="0"/>
        <w:jc w:val="left"/>
      </w:pPr>
      <w:r>
        <w:rPr>
          <w:rFonts w:ascii="Times New Roman" w:hAnsi="Times New Roman" w:cs="Times New Roman" w:eastAsia="Times New Roman" w:hint="default"/>
        </w:rPr>
        <w:t>2</w:t>
      </w:r>
      <w:r>
        <w:rPr/>
        <w:t>、仅列示投资收益占利润总额</w:t>
      </w:r>
      <w:r>
        <w:rPr>
          <w:spacing w:val="-46"/>
        </w:rPr>
        <w:t> </w:t>
      </w:r>
      <w:r>
        <w:rPr>
          <w:rFonts w:ascii="Times New Roman" w:hAnsi="Times New Roman" w:cs="Times New Roman" w:eastAsia="Times New Roman" w:hint="default"/>
        </w:rPr>
        <w:t>5%</w:t>
      </w:r>
      <w:r>
        <w:rPr/>
        <w:t>以上的投资单位，或占利润总额比例最高的前</w:t>
      </w:r>
      <w:r>
        <w:rPr>
          <w:spacing w:val="-46"/>
        </w:rPr>
        <w:t> </w:t>
      </w:r>
      <w:r>
        <w:rPr>
          <w:rFonts w:ascii="Times New Roman" w:hAnsi="Times New Roman" w:cs="Times New Roman" w:eastAsia="Times New Roman" w:hint="default"/>
        </w:rPr>
        <w:t>5 </w:t>
      </w:r>
      <w:r>
        <w:rPr/>
        <w:t>家投资单位。</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3）按权益法核算的长期股权投资收益" w:id="402"/>
      <w:bookmarkEnd w:id="402"/>
      <w:r>
        <w:rPr>
          <w:b w:val="0"/>
          <w:bCs w:val="0"/>
        </w:rPr>
      </w: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8"/>
        <w:gridCol w:w="1992"/>
        <w:gridCol w:w="1728"/>
        <w:gridCol w:w="2921"/>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、本期未取得投资收益的，不在本表填列；</w:t>
      </w:r>
    </w:p>
    <w:p>
      <w:pPr>
        <w:pStyle w:val="BodyText"/>
        <w:spacing w:line="338" w:lineRule="auto" w:before="103"/>
        <w:ind w:right="1674" w:firstLine="360"/>
        <w:jc w:val="left"/>
      </w:pPr>
      <w:r>
        <w:rPr>
          <w:rFonts w:ascii="Times New Roman" w:hAnsi="Times New Roman" w:cs="Times New Roman" w:eastAsia="Times New Roman" w:hint="default"/>
        </w:rPr>
        <w:t>2</w:t>
      </w:r>
      <w:r>
        <w:rPr/>
        <w:t>、仅列示投资收益占利润总额</w:t>
      </w:r>
      <w:r>
        <w:rPr>
          <w:spacing w:val="-46"/>
        </w:rPr>
        <w:t> </w:t>
      </w:r>
      <w:r>
        <w:rPr>
          <w:rFonts w:ascii="Times New Roman" w:hAnsi="Times New Roman" w:cs="Times New Roman" w:eastAsia="Times New Roman" w:hint="default"/>
        </w:rPr>
        <w:t>5%</w:t>
      </w:r>
      <w:r>
        <w:rPr/>
        <w:t>以上的投资单位，或占利润总额比例最高的前</w:t>
      </w:r>
      <w:r>
        <w:rPr>
          <w:spacing w:val="-46"/>
        </w:rPr>
        <w:t> </w:t>
      </w:r>
      <w:r>
        <w:rPr>
          <w:rFonts w:ascii="Times New Roman" w:hAnsi="Times New Roman" w:cs="Times New Roman" w:eastAsia="Times New Roman" w:hint="default"/>
        </w:rPr>
        <w:t>5 </w:t>
      </w:r>
      <w:r>
        <w:rPr/>
        <w:t>家投资单位。 投资收益的说明，若投资收益汇回有重大限制的，应予以说明。若不存在此类重大限制，也应做出说明</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62、资产减值损失" w:id="403"/>
      <w:bookmarkEnd w:id="403"/>
      <w:r>
        <w:rPr>
          <w:b w:val="0"/>
          <w:bCs w:val="0"/>
        </w:rPr>
      </w:r>
      <w:r>
        <w:rPr>
          <w:rFonts w:ascii="Times New Roman" w:hAnsi="Times New Roman" w:cs="Times New Roman" w:eastAsia="Times New Roman" w:hint="default"/>
        </w:rPr>
        <w:t>62</w:t>
      </w:r>
      <w:r>
        <w:rPr/>
        <w:t>、资产减值损失</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2,567,414.79</w:t>
            </w:r>
            <w:r>
              <w:rPr>
                <w:rFonts w:ascii="Times New Roman"/>
                <w:sz w:val="18"/>
              </w:rPr>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2,567,414.79</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63、营业外收入" w:id="404"/>
      <w:bookmarkEnd w:id="404"/>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营业外收入情况" w:id="405"/>
      <w:bookmarkEnd w:id="405"/>
      <w:r>
        <w:rPr>
          <w:b w:val="0"/>
          <w:bCs w:val="0"/>
        </w:rPr>
      </w:r>
      <w:r>
        <w:rPr/>
        <w:t>（</w:t>
      </w:r>
      <w:r>
        <w:rPr>
          <w:rFonts w:ascii="Times New Roman" w:hAnsi="Times New Roman" w:cs="Times New Roman" w:eastAsia="Times New Roman" w:hint="default"/>
        </w:rPr>
        <w:t>1</w:t>
      </w:r>
      <w:r>
        <w:rPr/>
        <w:t>）营业外收入情况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0"/>
        <w:gridCol w:w="1967"/>
        <w:gridCol w:w="2160"/>
        <w:gridCol w:w="2160"/>
      </w:tblGrid>
      <w:tr>
        <w:trPr>
          <w:trHeight w:val="161" w:hRule="exact"/>
        </w:trPr>
        <w:tc>
          <w:tcPr>
            <w:tcW w:w="327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67"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95" w:right="83"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7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4D4D4"/>
          </w:tcPr>
          <w:p>
            <w:pPr/>
          </w:p>
        </w:tc>
      </w:tr>
      <w:tr>
        <w:trPr>
          <w:trHeight w:val="161" w:hRule="exact"/>
        </w:trPr>
        <w:tc>
          <w:tcPr>
            <w:tcW w:w="327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67"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4,413.36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4,413.36</w:t>
            </w:r>
          </w:p>
        </w:tc>
      </w:tr>
      <w:tr>
        <w:trPr>
          <w:trHeight w:val="401"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4,413.36</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10,064,258.24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12,675,451.39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2,079,680.94</w:t>
            </w:r>
          </w:p>
        </w:tc>
      </w:tr>
      <w:tr>
        <w:trPr>
          <w:trHeight w:val="401"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491.11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491.11</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10,069,162.71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12,675,451.39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2,084,585.41</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政府补助明细" w:id="406"/>
      <w:bookmarkEnd w:id="406"/>
      <w:r>
        <w:rPr>
          <w:b w:val="0"/>
          <w:bCs w:val="0"/>
        </w:rPr>
      </w:r>
      <w:r>
        <w:rPr/>
        <w:t>（</w:t>
      </w:r>
      <w:r>
        <w:rPr>
          <w:rFonts w:ascii="Times New Roman" w:hAnsi="Times New Roman" w:cs="Times New Roman" w:eastAsia="Times New Roman" w:hint="default"/>
        </w:rPr>
        <w:t>2</w:t>
      </w:r>
      <w:r>
        <w:rPr/>
        <w:t>）政府补助明细</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7,984,577.30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10,672,951.39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 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年重大科技成果转化和产 业化发展专项项目资助款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上海科技园区扶持金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中关村科技园区管委会培训支持 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中关村企业信用促进会资金补贴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国家知识产权局专利资助金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上海市闸北区国家税务局税务奖 励金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380.94</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中关村科技园区管理委员会上市 扶持补助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10,064,258.24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12,675,451.39</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4、营业外支出" w:id="407"/>
      <w:bookmarkEnd w:id="407"/>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5"/>
        <w:gridCol w:w="1913"/>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03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6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662"/>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4D4D4"/>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03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91"/>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2" w:type="dxa"/>
            <w:tcBorders>
              <w:top w:val="single" w:sz="4" w:space="0" w:color="000000"/>
              <w:left w:val="single" w:sz="9"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2" w:type="dxa"/>
            <w:tcBorders>
              <w:top w:val="single" w:sz="4" w:space="0" w:color="000000"/>
              <w:left w:val="single" w:sz="9"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32" w:type="dxa"/>
            <w:tcBorders>
              <w:top w:val="single" w:sz="4" w:space="0" w:color="000000"/>
              <w:left w:val="single" w:sz="9"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36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r>
    </w:tbl>
    <w:p>
      <w:pPr>
        <w:pStyle w:val="BodyText"/>
        <w:spacing w:line="240" w:lineRule="auto" w:before="49"/>
        <w:ind w:right="0"/>
        <w:jc w:val="left"/>
      </w:pPr>
      <w:r>
        <w:rPr/>
        <w:t>营业外支出说明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5、所得税费用" w:id="408"/>
      <w:bookmarkEnd w:id="408"/>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56"/>
        <w:gridCol w:w="2522"/>
        <w:gridCol w:w="2390"/>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9,378,340.52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5,489,021.99</w:t>
            </w:r>
            <w:r>
              <w:rPr>
                <w:rFonts w:ascii="Times New Roman"/>
                <w:sz w:val="18"/>
              </w:rPr>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-1,441,591.22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-568,407.09</w:t>
            </w:r>
            <w:r>
              <w:rPr>
                <w:rFonts w:ascii="Times New Roman"/>
                <w:sz w:val="18"/>
              </w:rPr>
            </w:r>
          </w:p>
        </w:tc>
      </w:tr>
      <w:tr>
        <w:trPr>
          <w:trHeight w:val="401" w:hRule="exact"/>
        </w:trPr>
        <w:tc>
          <w:tcPr>
            <w:tcW w:w="4656" w:type="dxa"/>
            <w:tcBorders>
              <w:top w:val="single" w:sz="4" w:space="0" w:color="000000"/>
              <w:left w:val="single" w:sz="4" w:space="0" w:color="000000"/>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7,936,749.30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4,920,614.90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66、基本每股收益和稀释每股收益的计算过程" w:id="409"/>
      <w:bookmarkEnd w:id="409"/>
      <w:r>
        <w:rPr>
          <w:b w:val="0"/>
          <w:bCs w:val="0"/>
        </w:rPr>
      </w: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①</w:t>
      </w:r>
      <w:r>
        <w:rPr>
          <w:spacing w:val="-18"/>
        </w:rPr>
        <w:t> </w:t>
      </w:r>
      <w:r>
        <w:rPr/>
        <w:t>计算基本每股收益时，归属于普通股股东的当期净利润为：</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423"/>
        <w:gridCol w:w="2453"/>
        <w:gridCol w:w="2338"/>
      </w:tblGrid>
      <w:tr>
        <w:trPr>
          <w:trHeight w:val="355" w:hRule="exact"/>
        </w:trPr>
        <w:tc>
          <w:tcPr>
            <w:tcW w:w="4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67"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3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71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3"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99" w:right="0"/>
              <w:jc w:val="left"/>
              <w:rPr>
                <w:rFonts w:ascii="Times New Roman" w:hAnsi="Times New Roman" w:cs="Times New Roman" w:eastAsia="Times New Roman" w:hint="default"/>
                <w:sz w:val="18"/>
                <w:szCs w:val="18"/>
              </w:rPr>
            </w:pPr>
            <w:r>
              <w:rPr>
                <w:rFonts w:ascii="Times New Roman"/>
                <w:sz w:val="18"/>
              </w:rPr>
              <w:t>60,107,528.99</w:t>
            </w:r>
          </w:p>
        </w:tc>
        <w:tc>
          <w:tcPr>
            <w:tcW w:w="233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286" w:right="0"/>
              <w:jc w:val="left"/>
              <w:rPr>
                <w:rFonts w:ascii="Times New Roman" w:hAnsi="Times New Roman" w:cs="Times New Roman" w:eastAsia="Times New Roman" w:hint="default"/>
                <w:sz w:val="18"/>
                <w:szCs w:val="18"/>
              </w:rPr>
            </w:pPr>
            <w:r>
              <w:rPr>
                <w:rFonts w:ascii="Times New Roman"/>
                <w:sz w:val="18"/>
              </w:rPr>
              <w:t>44,769,501.53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423"/>
        <w:gridCol w:w="2453"/>
        <w:gridCol w:w="2338"/>
      </w:tblGrid>
      <w:tr>
        <w:trPr>
          <w:trHeight w:val="355" w:hRule="exact"/>
        </w:trPr>
        <w:tc>
          <w:tcPr>
            <w:tcW w:w="4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60,107,528.99</w:t>
            </w:r>
          </w:p>
        </w:tc>
        <w:tc>
          <w:tcPr>
            <w:tcW w:w="233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350"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12" w:space="0" w:color="000000"/>
              <w:left w:val="single" w:sz="6" w:space="0" w:color="000000"/>
              <w:bottom w:val="single" w:sz="12" w:space="0" w:color="000000"/>
              <w:right w:val="single" w:sz="6" w:space="0" w:color="000000"/>
            </w:tcBorders>
          </w:tcPr>
          <w:p>
            <w:pPr/>
          </w:p>
        </w:tc>
        <w:tc>
          <w:tcPr>
            <w:tcW w:w="2338"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57,734,149.18</w:t>
            </w:r>
          </w:p>
        </w:tc>
        <w:tc>
          <w:tcPr>
            <w:tcW w:w="233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42,349,617.22</w:t>
            </w:r>
          </w:p>
        </w:tc>
      </w:tr>
      <w:tr>
        <w:trPr>
          <w:trHeight w:val="353"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57,734,149.18</w:t>
            </w:r>
          </w:p>
        </w:tc>
        <w:tc>
          <w:tcPr>
            <w:tcW w:w="233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42,349,617.22</w:t>
            </w:r>
          </w:p>
        </w:tc>
      </w:tr>
      <w:tr>
        <w:trPr>
          <w:trHeight w:val="353" w:hRule="exact"/>
        </w:trPr>
        <w:tc>
          <w:tcPr>
            <w:tcW w:w="44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12" w:space="0" w:color="000000"/>
              <w:left w:val="single" w:sz="6" w:space="0" w:color="000000"/>
              <w:bottom w:val="single" w:sz="12" w:space="0" w:color="000000"/>
              <w:right w:val="single" w:sz="6" w:space="0" w:color="000000"/>
            </w:tcBorders>
          </w:tcPr>
          <w:p>
            <w:pPr/>
          </w:p>
        </w:tc>
        <w:tc>
          <w:tcPr>
            <w:tcW w:w="2338" w:type="dxa"/>
            <w:tcBorders>
              <w:top w:val="single" w:sz="12" w:space="0" w:color="000000"/>
              <w:left w:val="single" w:sz="6" w:space="0" w:color="000000"/>
              <w:bottom w:val="single" w:sz="12" w:space="0" w:color="000000"/>
              <w:right w:val="single" w:sz="4" w:space="0" w:color="000000"/>
            </w:tcBorders>
          </w:tcPr>
          <w:p>
            <w:pPr/>
          </w:p>
        </w:tc>
      </w:tr>
    </w:tbl>
    <w:p>
      <w:pPr>
        <w:pStyle w:val="BodyText"/>
        <w:spacing w:line="240" w:lineRule="auto" w:before="8"/>
        <w:ind w:right="0"/>
        <w:jc w:val="left"/>
      </w:pPr>
      <w:r>
        <w:rPr/>
        <w:t>②</w:t>
      </w:r>
      <w:r>
        <w:rPr>
          <w:spacing w:val="-18"/>
        </w:rPr>
        <w:t> </w:t>
      </w:r>
      <w:r>
        <w:rPr/>
        <w:t>计算稀释性每股收益时，归属于普通股股东的当期净利润为：</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044"/>
        <w:gridCol w:w="2594"/>
        <w:gridCol w:w="2575"/>
      </w:tblGrid>
      <w:tr>
        <w:trPr>
          <w:trHeight w:val="353" w:hRule="exact"/>
        </w:trPr>
        <w:tc>
          <w:tcPr>
            <w:tcW w:w="4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83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575"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830"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3" w:hRule="exact"/>
        </w:trPr>
        <w:tc>
          <w:tcPr>
            <w:tcW w:w="4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60,107,528.99</w:t>
            </w:r>
          </w:p>
        </w:tc>
        <w:tc>
          <w:tcPr>
            <w:tcW w:w="257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665" w:hRule="exact"/>
        </w:trPr>
        <w:tc>
          <w:tcPr>
            <w:tcW w:w="40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62"/>
              <w:jc w:val="left"/>
              <w:rPr>
                <w:rFonts w:ascii="宋体" w:hAnsi="宋体" w:cs="宋体" w:eastAsia="宋体" w:hint="default"/>
                <w:sz w:val="18"/>
                <w:szCs w:val="18"/>
              </w:rPr>
            </w:pPr>
            <w:r>
              <w:rPr>
                <w:rFonts w:ascii="宋体" w:hAnsi="宋体" w:cs="宋体" w:eastAsia="宋体" w:hint="default"/>
                <w:sz w:val="18"/>
                <w:szCs w:val="18"/>
              </w:rPr>
              <w:t>当期已确认为费用的稀释性潜在普通股的利息扣除 所得税影响后归属于普通股股东的部分</w:t>
            </w:r>
          </w:p>
        </w:tc>
        <w:tc>
          <w:tcPr>
            <w:tcW w:w="2594" w:type="dxa"/>
            <w:tcBorders>
              <w:top w:val="single" w:sz="12" w:space="0" w:color="000000"/>
              <w:left w:val="single" w:sz="6" w:space="0" w:color="000000"/>
              <w:bottom w:val="single" w:sz="12" w:space="0" w:color="000000"/>
              <w:right w:val="single" w:sz="6" w:space="0" w:color="000000"/>
            </w:tcBorders>
          </w:tcPr>
          <w:p>
            <w:pPr/>
          </w:p>
        </w:tc>
        <w:tc>
          <w:tcPr>
            <w:tcW w:w="2575" w:type="dxa"/>
            <w:tcBorders>
              <w:top w:val="single" w:sz="12" w:space="0" w:color="000000"/>
              <w:left w:val="single" w:sz="6" w:space="0" w:color="000000"/>
              <w:bottom w:val="single" w:sz="12" w:space="0" w:color="000000"/>
              <w:right w:val="single" w:sz="4" w:space="0" w:color="000000"/>
            </w:tcBorders>
          </w:tcPr>
          <w:p>
            <w:pPr/>
          </w:p>
        </w:tc>
      </w:tr>
      <w:tr>
        <w:trPr>
          <w:trHeight w:val="662" w:hRule="exact"/>
        </w:trPr>
        <w:tc>
          <w:tcPr>
            <w:tcW w:w="404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62"/>
              <w:jc w:val="left"/>
              <w:rPr>
                <w:rFonts w:ascii="宋体" w:hAnsi="宋体" w:cs="宋体" w:eastAsia="宋体" w:hint="default"/>
                <w:sz w:val="18"/>
                <w:szCs w:val="18"/>
              </w:rPr>
            </w:pPr>
            <w:r>
              <w:rPr>
                <w:rFonts w:ascii="宋体" w:hAnsi="宋体" w:cs="宋体" w:eastAsia="宋体" w:hint="default"/>
                <w:sz w:val="18"/>
                <w:szCs w:val="18"/>
              </w:rPr>
              <w:t>稀释性潜在普通股转换时将产生的收益或费用扣除 所得税影响后归属于普通股股东的部分</w:t>
            </w:r>
          </w:p>
        </w:tc>
        <w:tc>
          <w:tcPr>
            <w:tcW w:w="2594" w:type="dxa"/>
            <w:tcBorders>
              <w:top w:val="single" w:sz="12" w:space="0" w:color="000000"/>
              <w:left w:val="single" w:sz="6" w:space="0" w:color="000000"/>
              <w:bottom w:val="single" w:sz="12" w:space="0" w:color="000000"/>
              <w:right w:val="single" w:sz="6" w:space="0" w:color="000000"/>
            </w:tcBorders>
          </w:tcPr>
          <w:p>
            <w:pPr/>
          </w:p>
        </w:tc>
        <w:tc>
          <w:tcPr>
            <w:tcW w:w="2575"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5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60,107,528.99</w:t>
            </w:r>
          </w:p>
        </w:tc>
        <w:tc>
          <w:tcPr>
            <w:tcW w:w="2575"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353" w:hRule="exact"/>
        </w:trPr>
        <w:tc>
          <w:tcPr>
            <w:tcW w:w="4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594" w:type="dxa"/>
            <w:tcBorders>
              <w:top w:val="single" w:sz="12" w:space="0" w:color="000000"/>
              <w:left w:val="single" w:sz="6" w:space="0" w:color="000000"/>
              <w:bottom w:val="single" w:sz="12" w:space="0" w:color="000000"/>
              <w:right w:val="single" w:sz="6" w:space="0" w:color="000000"/>
            </w:tcBorders>
          </w:tcPr>
          <w:p>
            <w:pPr/>
          </w:p>
        </w:tc>
        <w:tc>
          <w:tcPr>
            <w:tcW w:w="2575"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t>③</w:t>
      </w:r>
      <w:r>
        <w:rPr>
          <w:spacing w:val="-18"/>
        </w:rPr>
        <w:t> </w:t>
      </w:r>
      <w:r>
        <w:rPr/>
        <w:t>计算基本每股收益时，分母为发行在外普通股加权平均数，计算过程如下：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36"/>
        <w:gridCol w:w="2424"/>
        <w:gridCol w:w="2254"/>
      </w:tblGrid>
      <w:tr>
        <w:trPr>
          <w:trHeight w:val="355" w:hRule="exact"/>
        </w:trPr>
        <w:tc>
          <w:tcPr>
            <w:tcW w:w="4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5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672"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0"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225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53"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4,175,000.00</w:t>
            </w:r>
            <w:r>
              <w:rPr>
                <w:rFonts w:ascii="Times New Roman"/>
                <w:sz w:val="18"/>
              </w:rPr>
            </w:r>
          </w:p>
        </w:tc>
        <w:tc>
          <w:tcPr>
            <w:tcW w:w="2254"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424" w:type="dxa"/>
            <w:tcBorders>
              <w:top w:val="single" w:sz="12" w:space="0" w:color="000000"/>
              <w:left w:val="single" w:sz="6" w:space="0" w:color="000000"/>
              <w:bottom w:val="single" w:sz="12" w:space="0" w:color="000000"/>
              <w:right w:val="single" w:sz="6" w:space="0" w:color="000000"/>
            </w:tcBorders>
          </w:tcPr>
          <w:p>
            <w:pPr/>
          </w:p>
        </w:tc>
        <w:tc>
          <w:tcPr>
            <w:tcW w:w="2254"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54,175,000.00</w:t>
            </w:r>
          </w:p>
        </w:tc>
        <w:tc>
          <w:tcPr>
            <w:tcW w:w="225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8"/>
        <w:ind w:right="0"/>
        <w:jc w:val="left"/>
      </w:pPr>
      <w:r>
        <w:rPr/>
        <w:t>④</w:t>
      </w:r>
      <w:r>
        <w:rPr>
          <w:spacing w:val="-18"/>
        </w:rPr>
        <w:t> </w:t>
      </w:r>
      <w:r>
        <w:rPr/>
        <w:t>计算稀释每股收益时，为发行在外普通股加权平均数的计算过程如下：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584"/>
        <w:gridCol w:w="2254"/>
        <w:gridCol w:w="2376"/>
      </w:tblGrid>
      <w:tr>
        <w:trPr>
          <w:trHeight w:val="353" w:hRule="exact"/>
        </w:trPr>
        <w:tc>
          <w:tcPr>
            <w:tcW w:w="4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66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729"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3"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计算基本每股收益的普通股加权平均数</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54,175,000.00</w:t>
            </w:r>
          </w:p>
        </w:tc>
        <w:tc>
          <w:tcPr>
            <w:tcW w:w="2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65"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24" w:right="182"/>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 增加的普通股加权平均数</w:t>
            </w:r>
          </w:p>
        </w:tc>
        <w:tc>
          <w:tcPr>
            <w:tcW w:w="2254" w:type="dxa"/>
            <w:tcBorders>
              <w:top w:val="single" w:sz="12" w:space="0" w:color="000000"/>
              <w:left w:val="single" w:sz="6" w:space="0" w:color="000000"/>
              <w:bottom w:val="single" w:sz="12" w:space="0" w:color="000000"/>
              <w:right w:val="single" w:sz="6" w:space="0" w:color="000000"/>
            </w:tcBorders>
          </w:tcPr>
          <w:p>
            <w:pPr/>
          </w:p>
        </w:tc>
        <w:tc>
          <w:tcPr>
            <w:tcW w:w="2376" w:type="dxa"/>
            <w:tcBorders>
              <w:top w:val="single" w:sz="12" w:space="0" w:color="000000"/>
              <w:left w:val="single" w:sz="6" w:space="0" w:color="000000"/>
              <w:bottom w:val="single" w:sz="12" w:space="0" w:color="000000"/>
              <w:right w:val="single" w:sz="4" w:space="0" w:color="000000"/>
            </w:tcBorders>
          </w:tcPr>
          <w:p>
            <w:pPr/>
          </w:p>
        </w:tc>
      </w:tr>
      <w:tr>
        <w:trPr>
          <w:trHeight w:val="350"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51"/>
              <w:jc w:val="righ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2254" w:type="dxa"/>
            <w:tcBorders>
              <w:top w:val="single" w:sz="12" w:space="0" w:color="000000"/>
              <w:left w:val="single" w:sz="6" w:space="0" w:color="000000"/>
              <w:bottom w:val="single" w:sz="12" w:space="0" w:color="000000"/>
              <w:right w:val="single" w:sz="6" w:space="0" w:color="000000"/>
            </w:tcBorders>
          </w:tcPr>
          <w:p>
            <w:pPr/>
          </w:p>
        </w:tc>
        <w:tc>
          <w:tcPr>
            <w:tcW w:w="2376"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2254" w:type="dxa"/>
            <w:tcBorders>
              <w:top w:val="single" w:sz="12" w:space="0" w:color="000000"/>
              <w:left w:val="single" w:sz="6" w:space="0" w:color="000000"/>
              <w:bottom w:val="single" w:sz="12" w:space="0" w:color="000000"/>
              <w:right w:val="single" w:sz="6" w:space="0" w:color="000000"/>
            </w:tcBorders>
          </w:tcPr>
          <w:p>
            <w:pPr/>
          </w:p>
        </w:tc>
        <w:tc>
          <w:tcPr>
            <w:tcW w:w="2376"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8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254" w:type="dxa"/>
            <w:tcBorders>
              <w:top w:val="single" w:sz="12" w:space="0" w:color="000000"/>
              <w:left w:val="single" w:sz="6" w:space="0" w:color="000000"/>
              <w:bottom w:val="single" w:sz="12" w:space="0" w:color="000000"/>
              <w:right w:val="single" w:sz="6" w:space="0" w:color="000000"/>
            </w:tcBorders>
          </w:tcPr>
          <w:p>
            <w:pPr/>
          </w:p>
        </w:tc>
        <w:tc>
          <w:tcPr>
            <w:tcW w:w="2376"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54,175,000.00</w:t>
            </w:r>
          </w:p>
        </w:tc>
        <w:tc>
          <w:tcPr>
            <w:tcW w:w="237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line="240" w:lineRule="auto" w:before="2"/>
        <w:rPr>
          <w:rFonts w:ascii="宋体" w:hAnsi="宋体" w:cs="宋体" w:eastAsia="宋体" w:hint="default"/>
          <w:sz w:val="24"/>
          <w:szCs w:val="24"/>
        </w:rPr>
      </w:pPr>
    </w:p>
    <w:p>
      <w:pPr>
        <w:pStyle w:val="BodyText"/>
        <w:spacing w:line="300" w:lineRule="auto" w:before="44"/>
        <w:ind w:right="148"/>
        <w:jc w:val="left"/>
      </w:pPr>
      <w:r>
        <w:rPr/>
        <w:t>注：根据《企业会计准则第</w:t>
      </w:r>
      <w:r>
        <w:rPr>
          <w:spacing w:val="-46"/>
        </w:rPr>
        <w:t> </w:t>
      </w:r>
      <w:r>
        <w:rPr>
          <w:rFonts w:ascii="Times New Roman" w:hAnsi="Times New Roman" w:cs="Times New Roman" w:eastAsia="Times New Roman" w:hint="default"/>
        </w:rPr>
        <w:t>34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每股收益》及《公开发行证券的公司信息披露编报规则第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净资产收益率和每股收 </w:t>
      </w:r>
      <w:r>
        <w:rPr>
          <w:spacing w:val="-8"/>
        </w:rPr>
        <w:t>益的计算及披露》（</w:t>
      </w:r>
      <w:r>
        <w:rPr>
          <w:rFonts w:ascii="Times New Roman" w:hAnsi="Times New Roman" w:cs="Times New Roman" w:eastAsia="Times New Roman" w:hint="default"/>
          <w:spacing w:val="-8"/>
        </w:rPr>
        <w:t>2010</w:t>
      </w:r>
      <w:r>
        <w:rPr>
          <w:rFonts w:ascii="Times New Roman" w:hAnsi="Times New Roman" w:cs="Times New Roman" w:eastAsia="Times New Roman" w:hint="default"/>
          <w:spacing w:val="34"/>
        </w:rPr>
        <w:t> </w:t>
      </w:r>
      <w:r>
        <w:rPr>
          <w:spacing w:val="-1"/>
        </w:rPr>
        <w:t>年修订）的规定列示计算公式及相关数据的计算过程。</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7、其他综合收益" w:id="410"/>
      <w:bookmarkEnd w:id="410"/>
      <w:r>
        <w:rPr>
          <w:b w:val="0"/>
          <w:bCs w:val="0"/>
        </w:rPr>
      </w:r>
      <w:r>
        <w:rPr>
          <w:rFonts w:ascii="Times New Roman" w:hAnsi="Times New Roman" w:cs="Times New Roman" w:eastAsia="Times New Roman" w:hint="default"/>
        </w:rPr>
        <w:t>67</w:t>
      </w:r>
      <w:r>
        <w:rPr/>
        <w:t>、其他综合收益</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8"/>
        <w:gridCol w:w="2536"/>
        <w:gridCol w:w="2393"/>
      </w:tblGrid>
      <w:tr>
        <w:trPr>
          <w:trHeight w:val="401"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0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可供出售金融资产产生的利得（损失）金额</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46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093"/>
              <w:jc w:val="right"/>
              <w:rPr>
                <w:rFonts w:ascii="宋体" w:hAnsi="宋体" w:cs="宋体" w:eastAsia="宋体" w:hint="default"/>
                <w:sz w:val="18"/>
                <w:szCs w:val="18"/>
              </w:rPr>
            </w:pPr>
            <w:r>
              <w:rPr>
                <w:rFonts w:ascii="宋体" w:hAnsi="宋体" w:cs="宋体" w:eastAsia="宋体" w:hint="default"/>
                <w:spacing w:val="-1"/>
                <w:sz w:val="18"/>
                <w:szCs w:val="18"/>
              </w:rPr>
              <w:t>减：可供出售金融资产产生的所得税影响</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0"/>
        <w:gridCol w:w="2525"/>
        <w:gridCol w:w="2393"/>
      </w:tblGrid>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2" w:right="24" w:firstLine="273"/>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 享有的份额产生的所得税影响</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96"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6"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96"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4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其他综合收益说明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8、现金流量表附注" w:id="411"/>
      <w:bookmarkEnd w:id="411"/>
      <w:r>
        <w:rPr>
          <w:b w:val="0"/>
          <w:bCs w:val="0"/>
        </w:rPr>
      </w:r>
      <w:r>
        <w:rPr>
          <w:rFonts w:ascii="Times New Roman" w:hAnsi="Times New Roman" w:cs="Times New Roman" w:eastAsia="Times New Roman" w:hint="default"/>
        </w:rPr>
        <w:t>68</w:t>
      </w:r>
      <w:r>
        <w:rPr/>
        <w:t>、现金流量表附注</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收到的其他与经营活动有关的现金" w:id="412"/>
      <w:bookmarkEnd w:id="4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3,577,603.78</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2,079,680.94</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2,636,824.40</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8,294,109.12</w:t>
            </w:r>
            <w:r>
              <w:rPr>
                <w:rFonts w:ascii="Times New Roman"/>
                <w:sz w:val="18"/>
              </w:rPr>
            </w:r>
          </w:p>
        </w:tc>
      </w:tr>
    </w:tbl>
    <w:p>
      <w:pPr>
        <w:pStyle w:val="BodyText"/>
        <w:spacing w:line="240" w:lineRule="auto" w:before="49"/>
        <w:ind w:right="0"/>
        <w:jc w:val="left"/>
      </w:pPr>
      <w:r>
        <w:rPr/>
        <w:t>收到的其他与经营活动有关的现金说明</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支付的其他与经营活动有关的现金" w:id="413"/>
      <w:bookmarkEnd w:id="4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2,304,676.63</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支付办公、差旅、房租、招待等营业费用及管理费用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54,854,360.97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25,650.32</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支付违约金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57,214,687.92</w:t>
            </w:r>
          </w:p>
        </w:tc>
      </w:tr>
    </w:tbl>
    <w:p>
      <w:pPr>
        <w:pStyle w:val="BodyText"/>
        <w:spacing w:line="240" w:lineRule="auto" w:before="49"/>
        <w:ind w:right="0"/>
        <w:jc w:val="left"/>
      </w:pPr>
      <w:r>
        <w:rPr/>
        <w:t>支付的其他与经营活动有关的现金说明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收到的其他与投资活动有关的现金" w:id="414"/>
      <w:bookmarkEnd w:id="4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收到的其他与投资活动有关的现金说明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支付的其他与投资活动有关的现金" w:id="415"/>
      <w:bookmarkEnd w:id="41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支付的其他与投资活动有关的现金说明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收到的其他与筹资活动有关的现金" w:id="416"/>
      <w:bookmarkEnd w:id="41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计入资本公积的政府补助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1,193,900.00</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计入资本公积的大股东捐赠</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1,850,000.00</w:t>
            </w:r>
            <w:r>
              <w:rPr>
                <w:rFonts w:ascii="Times New Roman"/>
                <w:sz w:val="18"/>
              </w:rPr>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3,043,900.00</w:t>
            </w:r>
            <w:r>
              <w:rPr>
                <w:rFonts w:ascii="Times New Roman"/>
                <w:sz w:val="18"/>
              </w:rPr>
            </w:r>
          </w:p>
        </w:tc>
      </w:tr>
    </w:tbl>
    <w:p>
      <w:pPr>
        <w:pStyle w:val="BodyText"/>
        <w:spacing w:line="240" w:lineRule="auto" w:before="49"/>
        <w:ind w:right="0"/>
        <w:jc w:val="left"/>
      </w:pPr>
      <w:r>
        <w:rPr/>
        <w:t>收到的其他与筹资活动有关的现金说明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支付的其他与筹资活动有关的现金" w:id="417"/>
      <w:bookmarkEnd w:id="41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支付上市发行费用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8,466,354.80</w:t>
            </w:r>
            <w:r>
              <w:rPr>
                <w:rFonts w:ascii="Times New Roman"/>
                <w:sz w:val="18"/>
              </w:rPr>
            </w:r>
          </w:p>
        </w:tc>
      </w:tr>
    </w:tbl>
    <w:p>
      <w:pPr>
        <w:pStyle w:val="BodyText"/>
        <w:spacing w:line="240" w:lineRule="auto" w:before="49"/>
        <w:ind w:right="0"/>
        <w:jc w:val="left"/>
      </w:pPr>
      <w:r>
        <w:rPr/>
        <w:t>支付的其他与筹资活动有关的现金说明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69、现金流量表补充资料" w:id="418"/>
      <w:bookmarkEnd w:id="418"/>
      <w:r>
        <w:rPr>
          <w:b w:val="0"/>
          <w:bCs w:val="0"/>
        </w:rPr>
      </w:r>
      <w:r>
        <w:rPr>
          <w:rFonts w:ascii="Times New Roman" w:hAnsi="Times New Roman" w:cs="Times New Roman" w:eastAsia="Times New Roman" w:hint="default"/>
        </w:rPr>
        <w:t>69</w:t>
      </w:r>
      <w:r>
        <w:rPr/>
        <w:t>、现金流量表补充资料</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现金流量表补充资料" w:id="419"/>
      <w:bookmarkEnd w:id="41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7"/>
        <w:gridCol w:w="2533"/>
        <w:gridCol w:w="2657"/>
      </w:tblGrid>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60,107,528.99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44,769,501.53</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7,313,798.63</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2,567,414.79</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2,881,529.78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2,614,778.25</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1,042,094.59</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1,131,192.88</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368,738.70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164,607.12</w:t>
            </w:r>
          </w:p>
        </w:tc>
      </w:tr>
      <w:tr>
        <w:trPr>
          <w:trHeight w:val="71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-4,413.36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1,398.67</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102,541.67</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-17,264.38</w:t>
            </w:r>
            <w:r>
              <w:rPr>
                <w:rFonts w:ascii="Times New Roman"/>
                <w:sz w:val="18"/>
              </w:rPr>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-1,441,591.22</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-568,407.09</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95,817.98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-3,961,919.85</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-97,789,243.44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-27,178,856.75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16,044,505.27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8,772,564.15</w:t>
            </w:r>
            <w:r>
              <w:rPr>
                <w:rFonts w:ascii="Times New Roman"/>
                <w:sz w:val="18"/>
              </w:rPr>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-11,381,234.08</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28,397,550.99</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432,835,917.03</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78,747,973.57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78"/>
        <w:gridCol w:w="2533"/>
        <w:gridCol w:w="2657"/>
      </w:tblGrid>
      <w:tr>
        <w:trPr>
          <w:trHeight w:val="402" w:hRule="exact"/>
        </w:trPr>
        <w:tc>
          <w:tcPr>
            <w:tcW w:w="4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78,747,973.57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97,265,342.81</w:t>
            </w:r>
          </w:p>
        </w:tc>
      </w:tr>
      <w:tr>
        <w:trPr>
          <w:trHeight w:val="402" w:hRule="exact"/>
        </w:trPr>
        <w:tc>
          <w:tcPr>
            <w:tcW w:w="4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3"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354,087,943.46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-18,517,369.24</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取得或处置子公司及其他营业单位的相关信息" w:id="420"/>
      <w:bookmarkEnd w:id="420"/>
      <w:r>
        <w:rPr>
          <w:b w:val="0"/>
          <w:bCs w:val="0"/>
        </w:rPr>
      </w: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2"/>
        <w:gridCol w:w="2538"/>
        <w:gridCol w:w="2657"/>
      </w:tblGrid>
      <w:tr>
        <w:trPr>
          <w:trHeight w:val="403"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8"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现金和现金等价物的构成" w:id="421"/>
      <w:bookmarkEnd w:id="421"/>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75"/>
        <w:gridCol w:w="2536"/>
        <w:gridCol w:w="2657"/>
      </w:tblGrid>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432,835,917.03</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78,747,973.57</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39,135.87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144,460.15</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432,796,781.16</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78,603,513.42</w:t>
            </w: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46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46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36" w:type="dxa"/>
            <w:tcBorders>
              <w:top w:val="single" w:sz="4" w:space="0" w:color="000000"/>
              <w:left w:val="single" w:sz="12" w:space="0" w:color="D4D4D4"/>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432,835,917.03</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78,747,973.57</w:t>
            </w:r>
          </w:p>
        </w:tc>
      </w:tr>
    </w:tbl>
    <w:p>
      <w:pPr>
        <w:pStyle w:val="BodyText"/>
        <w:spacing w:line="357" w:lineRule="auto" w:before="49"/>
        <w:ind w:left="512" w:right="3114" w:hanging="360"/>
        <w:jc w:val="left"/>
      </w:pPr>
      <w:r>
        <w:rPr/>
        <w:t>注：现金和现金等价物不含母公司或集团内子公司使用受限制的现金和现金等价物。 现金流量表补充资料的说明</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70、所有者权益变动表项目注释" w:id="422"/>
      <w:bookmarkEnd w:id="422"/>
      <w:r>
        <w:rPr>
          <w:b w:val="0"/>
          <w:bCs w:val="0"/>
        </w:rPr>
      </w:r>
      <w:r>
        <w:rPr>
          <w:rFonts w:ascii="Times New Roman" w:hAnsi="Times New Roman" w:cs="Times New Roman" w:eastAsia="Times New Roman" w:hint="default"/>
        </w:rPr>
        <w:t>70</w:t>
      </w:r>
      <w:r>
        <w:rPr/>
        <w:t>、所有者权益变动表项目注释</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512"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八、资产证券化业务的会计处理" w:id="423"/>
      <w:bookmarkEnd w:id="423"/>
      <w:r>
        <w:rPr>
          <w:b w:val="0"/>
          <w:bCs w:val="0"/>
        </w:rPr>
      </w:r>
      <w:r>
        <w:rPr/>
        <w:t>八、资产证券化业务的会计处理</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说明资产证券化业务的主要交易安排及其会计处理、破产隔离条款" w:id="424"/>
      <w:bookmarkEnd w:id="424"/>
      <w:r>
        <w:rPr>
          <w:b w:val="0"/>
          <w:bCs w:val="0"/>
        </w:rPr>
      </w: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2、公司不具有控制权但实质上承担其风险的特殊目的主体情况" w:id="425"/>
      <w:bookmarkEnd w:id="425"/>
      <w:r>
        <w:rPr>
          <w:b w:val="0"/>
          <w:bCs w:val="0"/>
        </w:rPr>
      </w: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九、关联方及关联交易" w:id="426"/>
      <w:bookmarkEnd w:id="426"/>
      <w:r>
        <w:rPr>
          <w:b w:val="0"/>
          <w:bCs w:val="0"/>
        </w:rPr>
      </w:r>
      <w:r>
        <w:rPr/>
        <w:t>九、关联方及关联交易</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本企业的母公司情况" w:id="427"/>
      <w:bookmarkEnd w:id="42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1"/>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69"/>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北京北信 源软件股 份有限公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本企业的母公司情况的说明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本企业的子公司情况" w:id="428"/>
      <w:bookmarkEnd w:id="42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上海北信源 信息技</w:t>
            </w:r>
            <w:r>
              <w:rPr>
                <w:rFonts w:ascii="宋体" w:hAnsi="宋体" w:cs="宋体" w:eastAsia="宋体" w:hint="default"/>
                <w:spacing w:val="1"/>
                <w:sz w:val="18"/>
                <w:szCs w:val="18"/>
              </w:rPr>
              <w:t> </w:t>
            </w:r>
            <w:r>
              <w:rPr>
                <w:rFonts w:ascii="宋体" w:hAnsi="宋体" w:cs="宋体" w:eastAsia="宋体" w:hint="default"/>
                <w:sz w:val="18"/>
                <w:szCs w:val="18"/>
              </w:rPr>
              <w:t>术</w:t>
            </w:r>
            <w:r>
              <w:rPr>
                <w:rFonts w:ascii="宋体" w:hAnsi="宋体" w:cs="宋体" w:eastAsia="宋体" w:hint="default"/>
                <w:sz w:val="18"/>
                <w:szCs w:val="18"/>
              </w:rPr>
              <w:t>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z w:val="18"/>
                <w:szCs w:val="18"/>
              </w:rPr>
              <w:t>一人有限责 任公司（法 人独资）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上海市延长 路 </w:t>
            </w:r>
            <w:r>
              <w:rPr>
                <w:rFonts w:ascii="Times New Roman" w:hAnsi="Times New Roman" w:cs="Times New Roman" w:eastAsia="Times New Roman" w:hint="default"/>
                <w:sz w:val="18"/>
                <w:szCs w:val="18"/>
              </w:rPr>
              <w:t>149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94  </w:t>
            </w:r>
            <w:r>
              <w:rPr>
                <w:rFonts w:ascii="宋体" w:hAnsi="宋体" w:cs="宋体" w:eastAsia="宋体" w:hint="default"/>
                <w:sz w:val="18"/>
                <w:szCs w:val="18"/>
              </w:rPr>
              <w:t>幢 </w:t>
            </w:r>
            <w:r>
              <w:rPr>
                <w:rFonts w:ascii="Times New Roman" w:hAnsi="Times New Roman" w:cs="Times New Roman" w:eastAsia="Times New Roman" w:hint="default"/>
                <w:sz w:val="18"/>
                <w:szCs w:val="18"/>
              </w:rPr>
              <w:t>512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信息安全产 品的生产和 销售并提供 技术服务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555901267</w:t>
            </w:r>
          </w:p>
        </w:tc>
      </w:tr>
      <w:tr>
        <w:trPr>
          <w:trHeight w:val="165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both"/>
              <w:rPr>
                <w:rFonts w:ascii="宋体" w:hAnsi="宋体" w:cs="宋体" w:eastAsia="宋体" w:hint="default"/>
                <w:sz w:val="18"/>
                <w:szCs w:val="18"/>
              </w:rPr>
            </w:pPr>
            <w:r>
              <w:rPr>
                <w:rFonts w:ascii="宋体" w:hAnsi="宋体" w:cs="宋体" w:eastAsia="宋体" w:hint="default"/>
                <w:sz w:val="18"/>
                <w:szCs w:val="18"/>
              </w:rPr>
              <w:t>江苏神州信 源系统工程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both"/>
              <w:rPr>
                <w:rFonts w:ascii="宋体" w:hAnsi="宋体" w:cs="宋体" w:eastAsia="宋体" w:hint="default"/>
                <w:sz w:val="18"/>
                <w:szCs w:val="18"/>
              </w:rPr>
            </w:pPr>
            <w:r>
              <w:rPr>
                <w:rFonts w:ascii="宋体" w:hAnsi="宋体" w:cs="宋体" w:eastAsia="宋体" w:hint="default"/>
                <w:sz w:val="18"/>
                <w:szCs w:val="18"/>
              </w:rPr>
              <w:t>一人有限责 任公司（法 人独资）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3" w:right="24"/>
              <w:jc w:val="left"/>
              <w:rPr>
                <w:rFonts w:ascii="宋体" w:hAnsi="宋体" w:cs="宋体" w:eastAsia="宋体" w:hint="default"/>
                <w:sz w:val="18"/>
                <w:szCs w:val="18"/>
              </w:rPr>
            </w:pPr>
            <w:r>
              <w:rPr>
                <w:rFonts w:ascii="宋体" w:hAnsi="宋体" w:cs="宋体" w:eastAsia="宋体" w:hint="default"/>
                <w:sz w:val="18"/>
                <w:szCs w:val="18"/>
              </w:rPr>
              <w:t>南京市宁南 大道</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310 </w:t>
            </w:r>
            <w:r>
              <w:rPr>
                <w:rFonts w:ascii="宋体" w:hAnsi="宋体" w:cs="宋体" w:eastAsia="宋体" w:hint="default"/>
                <w:sz w:val="18"/>
                <w:szCs w:val="18"/>
              </w:rPr>
              <w:t>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幢 </w:t>
            </w:r>
            <w:r>
              <w:rPr>
                <w:rFonts w:ascii="Times New Roman" w:hAnsi="Times New Roman" w:cs="Times New Roman" w:eastAsia="Times New Roman" w:hint="default"/>
                <w:sz w:val="18"/>
                <w:szCs w:val="18"/>
              </w:rPr>
              <w:t>702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信息安全产 品的研发、 生产、销售 并提供技术 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555803886</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本企业的合营和联营企业情况" w:id="429"/>
      <w:bookmarkEnd w:id="429"/>
      <w:r>
        <w:rPr>
          <w:b w:val="0"/>
          <w:bCs w:val="0"/>
        </w:rPr>
      </w:r>
      <w:r>
        <w:rPr>
          <w:rFonts w:ascii="Times New Roman" w:hAnsi="Times New Roman" w:cs="Times New Roman" w:eastAsia="Times New Roman" w:hint="default"/>
        </w:rPr>
        <w:t>3</w:t>
      </w:r>
      <w:r>
        <w:rPr/>
        <w:t>、本企业的合营和联营企业情况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5"/>
        <w:gridCol w:w="953"/>
        <w:gridCol w:w="960"/>
        <w:gridCol w:w="955"/>
        <w:gridCol w:w="955"/>
        <w:gridCol w:w="960"/>
        <w:gridCol w:w="958"/>
        <w:gridCol w:w="958"/>
        <w:gridCol w:w="958"/>
        <w:gridCol w:w="960"/>
      </w:tblGrid>
      <w:tr>
        <w:trPr>
          <w:trHeight w:val="1339" w:hRule="exact"/>
        </w:trPr>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1" w:right="110" w:hanging="89"/>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95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注：没有组织机构代码的可以不填写。</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本企业的其他关联方情况" w:id="430"/>
      <w:bookmarkEnd w:id="430"/>
      <w:r>
        <w:rPr>
          <w:b w:val="0"/>
          <w:bCs w:val="0"/>
        </w:rPr>
      </w:r>
      <w:r>
        <w:rPr>
          <w:rFonts w:ascii="Times New Roman" w:hAnsi="Times New Roman" w:cs="Times New Roman" w:eastAsia="Times New Roman" w:hint="default"/>
        </w:rPr>
        <w:t>4</w:t>
      </w:r>
      <w:r>
        <w:rPr/>
        <w:t>、本企业的其他关联方情况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关键管理人员亲属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北京信源互联科技有限公司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上海林皓网络技术有限公司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关键管理人员控制下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tc>
      </w:tr>
    </w:tbl>
    <w:p>
      <w:pPr>
        <w:pStyle w:val="BodyText"/>
        <w:spacing w:line="240" w:lineRule="auto" w:before="49"/>
        <w:ind w:right="0"/>
        <w:jc w:val="left"/>
      </w:pPr>
      <w:r>
        <w:rPr/>
        <w:t>本企业的其他关联方情况的说明</w:t>
      </w:r>
    </w:p>
    <w:p>
      <w:pPr>
        <w:pStyle w:val="BodyText"/>
        <w:spacing w:line="300" w:lineRule="auto" w:before="115"/>
        <w:ind w:right="4644"/>
        <w:jc w:val="left"/>
      </w:pPr>
      <w:r>
        <w:rPr/>
        <w:t>注</w:t>
      </w:r>
      <w:r>
        <w:rPr>
          <w:rFonts w:ascii="Times New Roman" w:hAnsi="Times New Roman" w:cs="Times New Roman" w:eastAsia="Times New Roman" w:hint="default"/>
        </w:rPr>
        <w:t>1</w:t>
      </w:r>
      <w:r>
        <w:rPr/>
        <w:t>：王晓娜女士，现任北京北信源软件股份有限公司副总经理。 注</w:t>
      </w:r>
      <w:r>
        <w:rPr>
          <w:rFonts w:ascii="Times New Roman" w:hAnsi="Times New Roman" w:cs="Times New Roman" w:eastAsia="Times New Roman" w:hint="default"/>
        </w:rPr>
        <w:t>2</w:t>
      </w:r>
      <w:r>
        <w:rPr/>
        <w:t>：王晓峰先生，现任上海北信源信息技术有限公司总经理。</w:t>
      </w:r>
    </w:p>
    <w:p>
      <w:pPr>
        <w:spacing w:after="0" w:line="30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02" w:hanging="1"/>
        <w:jc w:val="left"/>
      </w:pPr>
      <w:r>
        <w:rPr/>
        <w:t>注</w:t>
      </w:r>
      <w:r>
        <w:rPr>
          <w:rFonts w:ascii="Times New Roman" w:hAnsi="Times New Roman" w:cs="Times New Roman" w:eastAsia="Times New Roman" w:hint="default"/>
        </w:rPr>
        <w:t>3</w:t>
      </w:r>
      <w:r>
        <w:rPr/>
        <w:t>：北京信源互联科技有限公司（以下简称</w:t>
      </w:r>
      <w:r>
        <w:rPr>
          <w:rFonts w:ascii="Times New Roman" w:hAnsi="Times New Roman" w:cs="Times New Roman" w:eastAsia="Times New Roman" w:hint="default"/>
        </w:rPr>
        <w:t>“</w:t>
      </w:r>
      <w:r>
        <w:rPr/>
        <w:t>信源互联</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日，系由实际控制人林皓及王晓娜共同投资设 立，</w:t>
      </w:r>
      <w:r>
        <w:rPr>
          <w:spacing w:val="-14"/>
        </w:rPr>
        <w:t> </w:t>
      </w:r>
      <w:r>
        <w:rPr>
          <w:spacing w:val="-2"/>
        </w:rPr>
        <w:t>信源互联设立时注册资本为</w:t>
      </w:r>
      <w:r>
        <w:rPr>
          <w:rFonts w:ascii="Times New Roman" w:hAnsi="Times New Roman" w:cs="Times New Roman" w:eastAsia="Times New Roman" w:hint="default"/>
          <w:spacing w:val="-2"/>
        </w:rPr>
        <w:t>50</w:t>
      </w:r>
      <w:r>
        <w:rPr>
          <w:spacing w:val="-2"/>
        </w:rPr>
        <w:t>万元，其中林皓出资</w:t>
      </w:r>
      <w:r>
        <w:rPr>
          <w:rFonts w:ascii="Times New Roman" w:hAnsi="Times New Roman" w:cs="Times New Roman" w:eastAsia="Times New Roman" w:hint="default"/>
          <w:spacing w:val="-2"/>
        </w:rPr>
        <w:t>45</w:t>
      </w:r>
      <w:r>
        <w:rPr>
          <w:spacing w:val="-2"/>
        </w:rPr>
        <w:t>万元，占注册资本的</w:t>
      </w:r>
      <w:r>
        <w:rPr>
          <w:rFonts w:ascii="Times New Roman" w:hAnsi="Times New Roman" w:cs="Times New Roman" w:eastAsia="Times New Roman" w:hint="default"/>
          <w:spacing w:val="-2"/>
        </w:rPr>
        <w:t>90%</w:t>
      </w:r>
      <w:r>
        <w:rPr>
          <w:spacing w:val="-2"/>
        </w:rPr>
        <w:t>，王晓娜出资</w:t>
      </w:r>
      <w:r>
        <w:rPr>
          <w:rFonts w:ascii="Times New Roman" w:hAnsi="Times New Roman" w:cs="Times New Roman" w:eastAsia="Times New Roman" w:hint="default"/>
          <w:spacing w:val="-2"/>
        </w:rPr>
        <w:t>5</w:t>
      </w:r>
      <w:r>
        <w:rPr>
          <w:spacing w:val="-2"/>
        </w:rPr>
        <w:t>万元，占注册资本的</w:t>
      </w:r>
      <w:r>
        <w:rPr>
          <w:rFonts w:ascii="Times New Roman" w:hAnsi="Times New Roman" w:cs="Times New Roman" w:eastAsia="Times New Roman" w:hint="default"/>
          <w:spacing w:val="-2"/>
        </w:rPr>
        <w:t>10%</w:t>
      </w:r>
      <w:r>
        <w:rPr>
          <w:spacing w:val="-2"/>
        </w:rPr>
        <w:t>。</w:t>
      </w:r>
      <w:r>
        <w:rPr>
          <w:spacing w:val="-85"/>
        </w:rPr>
        <w:t> </w:t>
      </w:r>
      <w:r>
        <w:rPr>
          <w:rFonts w:ascii="Times New Roman" w:hAnsi="Times New Roman" w:cs="Times New Roman" w:eastAsia="Times New Roman" w:hint="default"/>
          <w:spacing w:val="-6"/>
        </w:rPr>
        <w:t>2009</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15</w:t>
      </w:r>
      <w:r>
        <w:rPr>
          <w:spacing w:val="-6"/>
        </w:rPr>
        <w:t>日，信源互联刊登注销公告，并于</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3</w:t>
      </w:r>
      <w:r>
        <w:rPr>
          <w:spacing w:val="-6"/>
        </w:rPr>
        <w:t>日取得北京市工商行政管理局海淀分局出具的《注销核准通知书》。</w:t>
      </w:r>
      <w:r>
        <w:rPr>
          <w:spacing w:val="-76"/>
        </w:rPr>
        <w:t> </w:t>
      </w:r>
      <w:r>
        <w:rPr>
          <w:spacing w:val="-76"/>
        </w:rPr>
      </w:r>
      <w:r>
        <w:rPr/>
        <w:t>注</w:t>
      </w:r>
      <w:r>
        <w:rPr>
          <w:rFonts w:ascii="Times New Roman" w:hAnsi="Times New Roman" w:cs="Times New Roman" w:eastAsia="Times New Roman" w:hint="default"/>
        </w:rPr>
        <w:t>4</w:t>
      </w:r>
      <w:r>
        <w:rPr/>
        <w:t>：上海林皓网络技术有限公司（以下简称</w:t>
      </w:r>
      <w:r>
        <w:rPr>
          <w:rFonts w:ascii="Times New Roman" w:hAnsi="Times New Roman" w:cs="Times New Roman" w:eastAsia="Times New Roman" w:hint="default"/>
        </w:rPr>
        <w:t>“</w:t>
      </w:r>
      <w:r>
        <w:rPr/>
        <w:t>上海林皓公司</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日，系由林皓先生与王晓娜女士共同投资</w:t>
      </w:r>
      <w:r>
        <w:rPr>
          <w:spacing w:val="-68"/>
        </w:rPr>
        <w:t> </w:t>
      </w:r>
      <w:r>
        <w:rPr>
          <w:spacing w:val="-68"/>
        </w:rPr>
      </w:r>
      <w:r>
        <w:rPr/>
        <w:t>设立。上海林皓公司设立时的注册资本为</w:t>
      </w:r>
      <w:r>
        <w:rPr>
          <w:rFonts w:ascii="Times New Roman" w:hAnsi="Times New Roman" w:cs="Times New Roman" w:eastAsia="Times New Roman" w:hint="default"/>
        </w:rPr>
        <w:t>50.00</w:t>
      </w:r>
      <w:r>
        <w:rPr/>
        <w:t>万元，其中林皓先生出资</w:t>
      </w:r>
      <w:r>
        <w:rPr>
          <w:rFonts w:ascii="Times New Roman" w:hAnsi="Times New Roman" w:cs="Times New Roman" w:eastAsia="Times New Roman" w:hint="default"/>
        </w:rPr>
        <w:t>45.00</w:t>
      </w:r>
      <w:r>
        <w:rPr/>
        <w:t>万元，王晓娜女士出资</w:t>
      </w:r>
      <w:r>
        <w:rPr>
          <w:rFonts w:ascii="Times New Roman" w:hAnsi="Times New Roman" w:cs="Times New Roman" w:eastAsia="Times New Roman" w:hint="default"/>
        </w:rPr>
        <w:t>5.00</w:t>
      </w:r>
      <w:r>
        <w:rPr/>
        <w:t>万元。</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日，林皓先生将其持有的上海林皓公司</w:t>
      </w:r>
      <w:r>
        <w:rPr>
          <w:rFonts w:ascii="Times New Roman" w:hAnsi="Times New Roman" w:cs="Times New Roman" w:eastAsia="Times New Roman" w:hint="default"/>
        </w:rPr>
        <w:t>51.00%</w:t>
      </w:r>
      <w:r>
        <w:rPr/>
        <w:t>股权以</w:t>
      </w:r>
      <w:r>
        <w:rPr>
          <w:rFonts w:ascii="Times New Roman" w:hAnsi="Times New Roman" w:cs="Times New Roman" w:eastAsia="Times New Roman" w:hint="default"/>
        </w:rPr>
        <w:t>10.00</w:t>
      </w:r>
      <w:r>
        <w:rPr/>
        <w:t>万元的价格转让给王晓娜女士的哥哥王晓峰先生，并签署了《股</w:t>
      </w:r>
      <w:r>
        <w:rPr>
          <w:spacing w:val="-65"/>
        </w:rPr>
        <w:t> </w:t>
      </w:r>
      <w:r>
        <w:rPr>
          <w:spacing w:val="-65"/>
        </w:rPr>
      </w:r>
      <w:r>
        <w:rPr>
          <w:spacing w:val="-2"/>
        </w:rPr>
        <w:t>权转让协议》。</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日，林皓先生、王晓娜女士和王晓峰先生与陈晓娟女士签订《股权转让协议》，分别将持有的上</w:t>
      </w:r>
      <w:r>
        <w:rPr>
          <w:spacing w:val="-64"/>
        </w:rPr>
        <w:t> </w:t>
      </w:r>
      <w:r>
        <w:rPr>
          <w:spacing w:val="-64"/>
        </w:rPr>
      </w:r>
      <w:r>
        <w:rPr/>
        <w:t>海林皓公司</w:t>
      </w:r>
      <w:r>
        <w:rPr>
          <w:rFonts w:ascii="Times New Roman" w:hAnsi="Times New Roman" w:cs="Times New Roman" w:eastAsia="Times New Roman" w:hint="default"/>
        </w:rPr>
        <w:t>39.00%</w:t>
      </w:r>
      <w:r>
        <w:rPr/>
        <w:t>、</w:t>
      </w:r>
      <w:r>
        <w:rPr>
          <w:rFonts w:ascii="Times New Roman" w:hAnsi="Times New Roman" w:cs="Times New Roman" w:eastAsia="Times New Roman" w:hint="default"/>
        </w:rPr>
        <w:t>10.00%</w:t>
      </w:r>
      <w:r>
        <w:rPr/>
        <w:t>和</w:t>
      </w:r>
      <w:r>
        <w:rPr>
          <w:rFonts w:ascii="Times New Roman" w:hAnsi="Times New Roman" w:cs="Times New Roman" w:eastAsia="Times New Roman" w:hint="default"/>
        </w:rPr>
        <w:t>51.00%</w:t>
      </w:r>
      <w:r>
        <w:rPr/>
        <w:t>的股权按原始出资额转让给陈晓娟女士，至此陈晓娟女士持有上海林皓公司</w:t>
      </w:r>
      <w:r>
        <w:rPr>
          <w:rFonts w:ascii="Times New Roman" w:hAnsi="Times New Roman" w:cs="Times New Roman" w:eastAsia="Times New Roman" w:hint="default"/>
        </w:rPr>
        <w:t>100.00%</w:t>
      </w:r>
      <w:r>
        <w:rPr/>
        <w:t>股 权，林皓先生、王晓娜女士、王晓峰先生不再持有上海林皓公司股权。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日，上海林皓公司更名为</w:t>
      </w:r>
      <w:r>
        <w:rPr>
          <w:rFonts w:ascii="Times New Roman" w:hAnsi="Times New Roman" w:cs="Times New Roman" w:eastAsia="Times New Roman" w:hint="default"/>
        </w:rPr>
        <w:t>“</w:t>
      </w:r>
      <w:r>
        <w:rPr/>
        <w:t>上海信晶网络</w:t>
      </w:r>
      <w:r>
        <w:rPr>
          <w:spacing w:val="-78"/>
        </w:rPr>
        <w:t> </w:t>
      </w:r>
      <w:r>
        <w:rPr>
          <w:spacing w:val="-78"/>
        </w:rPr>
      </w:r>
      <w:r>
        <w:rPr/>
        <w:t>技术有限公司</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62"/>
        <w:jc w:val="left"/>
        <w:rPr>
          <w:b w:val="0"/>
          <w:bCs w:val="0"/>
        </w:rPr>
      </w:pPr>
      <w:bookmarkStart w:name="5、关联方交易" w:id="431"/>
      <w:bookmarkEnd w:id="431"/>
      <w:r>
        <w:rPr>
          <w:b w:val="0"/>
          <w:bCs w:val="0"/>
        </w:rPr>
      </w: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62"/>
        <w:jc w:val="left"/>
        <w:rPr>
          <w:b w:val="0"/>
          <w:bCs w:val="0"/>
        </w:rPr>
      </w:pPr>
      <w:bookmarkStart w:name="（1）采购商品、接受劳务情况表" w:id="432"/>
      <w:bookmarkEnd w:id="432"/>
      <w:r>
        <w:rPr>
          <w:b w:val="0"/>
          <w:bCs w:val="0"/>
        </w:rPr>
      </w: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93"/>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202"/>
        <w:jc w:val="right"/>
      </w:pPr>
      <w:r>
        <w:rPr/>
        <w:pict>
          <v:shape style="position:absolute;margin-left:409.559998pt;margin-top:3.831712pt;width:85.45pt;height:15.6pt;mso-position-horizontal-relative:page;mso-position-vertical-relative:paragraph;z-index:-1101304"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68288pt;width:479pt;height:91.9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8"/>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4D4D4"/>
                      </w:tcPr>
                      <w:p>
                        <w:pPr/>
                      </w:p>
                    </w:tc>
                    <w:tc>
                      <w:tcPr>
                        <w:tcW w:w="125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right="62"/>
        <w:jc w:val="left"/>
      </w:pPr>
      <w:r>
        <w:rPr/>
        <w:t>出售商品、提供劳务情况表</w:t>
      </w:r>
    </w:p>
    <w:p>
      <w:pPr>
        <w:pStyle w:val="BodyText"/>
        <w:spacing w:line="240" w:lineRule="auto" w:before="117"/>
        <w:ind w:left="0" w:right="193"/>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202"/>
        <w:jc w:val="right"/>
      </w:pPr>
      <w:r>
        <w:rPr/>
        <w:pict>
          <v:shape style="position:absolute;margin-left:409.559998pt;margin-top:3.711721pt;width:85.45pt;height:15.6pt;mso-position-horizontal-relative:page;mso-position-vertical-relative:paragraph;z-index:-1101280"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28778pt;width:479pt;height:9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8"/>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728"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4D4D4"/>
                      </w:tcPr>
                      <w:p>
                        <w:pPr/>
                      </w:p>
                    </w:tc>
                    <w:tc>
                      <w:tcPr>
                        <w:tcW w:w="125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26"/>
        <w:ind w:right="62"/>
        <w:jc w:val="left"/>
        <w:rPr>
          <w:b w:val="0"/>
          <w:bCs w:val="0"/>
        </w:rPr>
      </w:pPr>
      <w:bookmarkStart w:name="（2）关联托管/承包情况" w:id="433"/>
      <w:bookmarkEnd w:id="433"/>
      <w:r>
        <w:rPr>
          <w:b w:val="0"/>
          <w:bCs w:val="0"/>
        </w:rPr>
      </w: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62"/>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1"/>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0"/>
        <w:gridCol w:w="1370"/>
        <w:gridCol w:w="1368"/>
        <w:gridCol w:w="1370"/>
        <w:gridCol w:w="135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5" w:right="108"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3"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40"/>
        </w:sectPr>
      </w:pPr>
    </w:p>
    <w:p>
      <w:pPr>
        <w:pStyle w:val="BodyText"/>
        <w:spacing w:line="357" w:lineRule="auto" w:before="49"/>
        <w:ind w:right="-20"/>
        <w:jc w:val="left"/>
      </w:pPr>
      <w:r>
        <w:rPr/>
        <w:t>注：托管资产类型包括：股权托管、其他资产托管。 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40"/>
          <w:cols w:num="2" w:equalWidth="0">
            <w:col w:w="4293" w:space="4534"/>
            <w:col w:w="1163"/>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0"/>
        <w:gridCol w:w="1370"/>
        <w:gridCol w:w="1368"/>
        <w:gridCol w:w="1370"/>
        <w:gridCol w:w="1358"/>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95" w:right="108"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41"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634"/>
        <w:jc w:val="left"/>
      </w:pPr>
      <w:r>
        <w:rPr/>
        <w:t>注：托管资产类型包括：股权托管、其他资产托管。 关联托管</w:t>
      </w:r>
      <w:r>
        <w:rPr>
          <w:rFonts w:ascii="Times New Roman" w:hAnsi="Times New Roman" w:cs="Times New Roman" w:eastAsia="Times New Roman" w:hint="default"/>
        </w:rPr>
        <w:t>/</w:t>
      </w:r>
      <w:r>
        <w:rPr/>
        <w:t>承包情况说明</w:t>
      </w: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3）关联租赁情况" w:id="434"/>
      <w:bookmarkEnd w:id="43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公司出租情况表</w:t>
      </w:r>
    </w:p>
    <w:p>
      <w:pPr>
        <w:pStyle w:val="BodyText"/>
        <w:spacing w:line="240" w:lineRule="auto" w:before="117"/>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3"/>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0" w:right="49"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公司承租情况表</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0"/>
        <w:gridCol w:w="1373"/>
        <w:gridCol w:w="1368"/>
        <w:gridCol w:w="1368"/>
        <w:gridCol w:w="1368"/>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关联租赁情况说明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关联担保情况" w:id="435"/>
      <w:bookmarkEnd w:id="43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611" w:right="59"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关联担保情况说明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关联方资金拆借" w:id="436"/>
      <w:bookmarkEnd w:id="43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bookmarkStart w:name="（6）关联方资产转让、债务重组情况" w:id="437"/>
      <w:bookmarkEnd w:id="437"/>
      <w:r>
        <w:rPr/>
      </w: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16.279999pt;margin-top:3.711724pt;width:78.75pt;height:15.6pt;mso-position-horizontal-relative:page;mso-position-vertical-relative:paragraph;z-index:-110120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89275pt;width:479.1pt;height:92.0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59"/>
                    <w:gridCol w:w="1330"/>
                    <w:gridCol w:w="1462"/>
                    <w:gridCol w:w="797"/>
                    <w:gridCol w:w="306"/>
                    <w:gridCol w:w="1156"/>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331" w:type="dxa"/>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c>
                      <w:tcPr>
                        <w:tcW w:w="1459"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4D4D4"/>
                      </w:tcPr>
                      <w:p>
                        <w:pPr/>
                      </w:p>
                    </w:tc>
                    <w:tc>
                      <w:tcPr>
                        <w:tcW w:w="1156"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3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26"/>
        <w:ind w:right="0"/>
        <w:jc w:val="left"/>
        <w:rPr>
          <w:b w:val="0"/>
          <w:bCs w:val="0"/>
        </w:rPr>
      </w:pPr>
      <w:bookmarkStart w:name="（7）其他关联交易" w:id="438"/>
      <w:bookmarkEnd w:id="438"/>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6、关联方应收应付款项" w:id="439"/>
      <w:bookmarkEnd w:id="43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right="0"/>
        <w:jc w:val="left"/>
      </w:pPr>
      <w:r>
        <w:rPr/>
        <w:t>上市公司应收关联方款项</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2"/>
        <w:gridCol w:w="1459"/>
        <w:gridCol w:w="1459"/>
      </w:tblGrid>
      <w:tr>
        <w:trPr>
          <w:trHeight w:val="403" w:hRule="exact"/>
        </w:trPr>
        <w:tc>
          <w:tcPr>
            <w:tcW w:w="205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4D4D4"/>
          </w:tcPr>
          <w:p>
            <w:pPr/>
          </w:p>
        </w:tc>
        <w:tc>
          <w:tcPr>
            <w:tcW w:w="1666"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357" w:lineRule="auto" w:before="49"/>
        <w:ind w:right="-20"/>
        <w:jc w:val="left"/>
      </w:pPr>
      <w:r>
        <w:rPr/>
        <w:t>注：关联交易约定以净额结算的，应收关联方款项可以抵销后金额填列。 上市公司应付关联方款项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5913" w:space="291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4"/>
        <w:gridCol w:w="2258"/>
        <w:gridCol w:w="2258"/>
        <w:gridCol w:w="2258"/>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注：关联交易约定以净额结算的，应付关联方款项可以抵销后金额填列。</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股份支付" w:id="440"/>
      <w:bookmarkEnd w:id="440"/>
      <w:r>
        <w:rPr>
          <w:b w:val="0"/>
          <w:bCs w:val="0"/>
        </w:rPr>
      </w:r>
      <w:r>
        <w:rPr/>
        <w:t>十、股份支付</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股份支付总体情况" w:id="441"/>
      <w:bookmarkEnd w:id="44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79"/>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股份支付情况的说明</w:t>
      </w:r>
    </w:p>
    <w:p>
      <w:pPr>
        <w:spacing w:after="0" w:line="240" w:lineRule="auto"/>
        <w:jc w:val="left"/>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以权益结算的股份支付情况" w:id="442"/>
      <w:bookmarkEnd w:id="44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4574"/>
        <w:jc w:val="left"/>
      </w:pPr>
      <w:r>
        <w:rPr/>
        <w:t>注：本期估计与上期估计有重大差异的原因如没有，请填写</w:t>
      </w:r>
      <w:r>
        <w:rPr>
          <w:rFonts w:ascii="Times New Roman" w:hAnsi="Times New Roman" w:cs="Times New Roman" w:eastAsia="Times New Roman" w:hint="default"/>
        </w:rPr>
        <w:t>“</w:t>
      </w:r>
      <w:r>
        <w:rPr/>
        <w:t>无</w:t>
      </w:r>
      <w:r>
        <w:rPr>
          <w:rFonts w:ascii="Times New Roman" w:hAnsi="Times New Roman" w:cs="Times New Roman" w:eastAsia="Times New Roman" w:hint="default"/>
        </w:rPr>
        <w:t>”</w:t>
      </w:r>
      <w:r>
        <w:rPr/>
        <w:t>。 以权益结算的股份支付的说明</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以现金结算的股份支付情况" w:id="443"/>
      <w:bookmarkEnd w:id="44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98"/>
        <w:gridCol w:w="4570"/>
      </w:tblGrid>
      <w:tr>
        <w:trPr>
          <w:trHeight w:val="715" w:hRule="exact"/>
        </w:trPr>
        <w:tc>
          <w:tcPr>
            <w:tcW w:w="4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5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负债中因以现金结算的股份支付产生的累计负债金额</w:t>
            </w:r>
          </w:p>
        </w:tc>
        <w:tc>
          <w:tcPr>
            <w:tcW w:w="45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以现金结算的股份支付而确认的费用总额</w:t>
            </w:r>
          </w:p>
        </w:tc>
        <w:tc>
          <w:tcPr>
            <w:tcW w:w="45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以现金结算的股份支付的说明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以股份支付服务情况" w:id="444"/>
      <w:bookmarkEnd w:id="444"/>
      <w:r>
        <w:rPr>
          <w:b w:val="0"/>
          <w:bCs w:val="0"/>
        </w:rPr>
      </w:r>
      <w:r>
        <w:rPr>
          <w:rFonts w:ascii="Times New Roman" w:hAnsi="Times New Roman" w:cs="Times New Roman" w:eastAsia="Times New Roman" w:hint="default"/>
        </w:rPr>
        <w:t>4</w:t>
      </w:r>
      <w:r>
        <w:rPr/>
        <w:t>、以股份支付服务情况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444" w:lineRule="auto" w:before="26"/>
        <w:ind w:right="6522"/>
        <w:jc w:val="left"/>
        <w:rPr>
          <w:b w:val="0"/>
          <w:bCs w:val="0"/>
        </w:rPr>
      </w:pPr>
      <w:bookmarkStart w:name="5、股份支付的修改、终止情况" w:id="445"/>
      <w:bookmarkEnd w:id="445"/>
      <w:r>
        <w:rPr>
          <w:b w:val="0"/>
          <w:bCs w:val="0"/>
        </w:rPr>
      </w:r>
      <w:r>
        <w:rPr>
          <w:rFonts w:ascii="Times New Roman" w:hAnsi="Times New Roman" w:cs="Times New Roman" w:eastAsia="Times New Roman" w:hint="default"/>
        </w:rPr>
        <w:t>5</w:t>
      </w:r>
      <w:r>
        <w:rPr/>
        <w:t>、股份支付的修改、终止情况</w:t>
      </w:r>
      <w:r>
        <w:rPr>
          <w:w w:val="99"/>
        </w:rPr>
        <w:t> </w:t>
      </w:r>
      <w:bookmarkStart w:name="十一、或有事项" w:id="446"/>
      <w:bookmarkEnd w:id="446"/>
      <w:r>
        <w:rPr/>
        <w:t>十</w:t>
      </w:r>
      <w:r>
        <w:rPr/>
        <w:t>一、或有事项</w:t>
      </w:r>
      <w:r>
        <w:rPr>
          <w:b w:val="0"/>
          <w:bCs w:val="0"/>
        </w:rPr>
      </w:r>
    </w:p>
    <w:p>
      <w:pPr>
        <w:pStyle w:val="Heading3"/>
        <w:spacing w:line="240" w:lineRule="auto" w:before="94"/>
        <w:ind w:right="0"/>
        <w:jc w:val="left"/>
        <w:rPr>
          <w:b w:val="0"/>
          <w:bCs w:val="0"/>
        </w:rPr>
      </w:pPr>
      <w:bookmarkStart w:name="1、未决诉讼或仲裁形成的或有负债及其财务影响" w:id="447"/>
      <w:bookmarkEnd w:id="447"/>
      <w:r>
        <w:rPr>
          <w:b w:val="0"/>
          <w:bCs w:val="0"/>
        </w:rPr>
      </w: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为其他单位提供债务担保形成的或有负债及其财务影响" w:id="448"/>
      <w:bookmarkEnd w:id="448"/>
      <w:r>
        <w:rPr>
          <w:b w:val="0"/>
          <w:bCs w:val="0"/>
        </w:rPr>
      </w: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12"/>
        <w:rPr>
          <w:rFonts w:ascii="宋体" w:hAnsi="宋体" w:cs="宋体" w:eastAsia="宋体" w:hint="default"/>
          <w:b/>
          <w:bCs/>
          <w:sz w:val="24"/>
          <w:szCs w:val="24"/>
        </w:rPr>
      </w:pPr>
    </w:p>
    <w:p>
      <w:pPr>
        <w:pStyle w:val="BodyText"/>
        <w:spacing w:line="360" w:lineRule="auto"/>
        <w:ind w:right="7614"/>
        <w:jc w:val="left"/>
      </w:pPr>
      <w:r>
        <w:rPr/>
        <w:t>无 其他或有负债及其财务影响 无</w:t>
      </w:r>
    </w:p>
    <w:p>
      <w:pPr>
        <w:spacing w:after="0" w:line="36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二、承诺事项" w:id="449"/>
      <w:bookmarkEnd w:id="449"/>
      <w:r>
        <w:rPr>
          <w:b w:val="0"/>
          <w:bCs w:val="0"/>
        </w:rPr>
      </w:r>
      <w:bookmarkStart w:name="1、重大承诺事项" w:id="450"/>
      <w:bookmarkEnd w:id="450"/>
      <w:r>
        <w:rPr>
          <w:b w:val="0"/>
          <w:bCs w:val="0"/>
        </w:rPr>
      </w:r>
      <w:r>
        <w:rPr>
          <w:rFonts w:ascii="Times New Roman" w:hAnsi="Times New Roman" w:cs="Times New Roman" w:eastAsia="Times New Roman" w:hint="default"/>
        </w:rPr>
        <w:t>1</w:t>
      </w:r>
      <w:r>
        <w:rPr/>
        <w:t>、重大承诺事项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前期承诺履行情况" w:id="451"/>
      <w:bookmarkEnd w:id="451"/>
      <w:r>
        <w:rPr>
          <w:b w:val="0"/>
          <w:bCs w:val="0"/>
        </w:rPr>
      </w:r>
      <w:r>
        <w:rPr>
          <w:rFonts w:ascii="Times New Roman" w:hAnsi="Times New Roman" w:cs="Times New Roman" w:eastAsia="Times New Roman" w:hint="default"/>
        </w:rPr>
        <w:t>2</w:t>
      </w:r>
      <w:r>
        <w:rPr/>
        <w:t>、前期承诺履行情况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十三、资产负债表日后事项" w:id="452"/>
      <w:bookmarkEnd w:id="452"/>
      <w:r>
        <w:rPr>
          <w:b w:val="0"/>
          <w:bCs w:val="0"/>
        </w:rPr>
      </w:r>
      <w:r>
        <w:rPr/>
        <w:t>十三、资产负债表日后事项</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bookmarkStart w:name="1、重要的资产负债表日后事项说明" w:id="453"/>
      <w:bookmarkEnd w:id="453"/>
      <w:r>
        <w:rPr>
          <w:b w:val="0"/>
          <w:bCs w:val="0"/>
        </w:rPr>
      </w:r>
      <w:r>
        <w:rPr>
          <w:rFonts w:ascii="Times New Roman" w:hAnsi="Times New Roman" w:cs="Times New Roman" w:eastAsia="Times New Roman" w:hint="default"/>
        </w:rPr>
        <w:t>1</w:t>
      </w:r>
      <w:r>
        <w:rPr/>
        <w:t>、重要的资产负债表日后事项说明</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资产负债表日后利润分配情况说明" w:id="454"/>
      <w:bookmarkEnd w:id="454"/>
      <w:r>
        <w:rPr>
          <w:b w:val="0"/>
          <w:bCs w:val="0"/>
        </w:rPr>
      </w: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456" w:lineRule="auto" w:before="26"/>
        <w:ind w:right="6281"/>
        <w:jc w:val="left"/>
        <w:rPr>
          <w:b w:val="0"/>
          <w:bCs w:val="0"/>
        </w:rPr>
      </w:pPr>
      <w:bookmarkStart w:name="3、其他资产负债表日后事项说明" w:id="455"/>
      <w:bookmarkEnd w:id="455"/>
      <w:r>
        <w:rPr>
          <w:b w:val="0"/>
          <w:bCs w:val="0"/>
        </w:rPr>
      </w:r>
      <w:r>
        <w:rPr>
          <w:rFonts w:ascii="Times New Roman" w:hAnsi="Times New Roman" w:cs="Times New Roman" w:eastAsia="Times New Roman" w:hint="default"/>
        </w:rPr>
        <w:t>3</w:t>
      </w:r>
      <w:r>
        <w:rPr/>
        <w:t>、其他资产负债表日后事项说明</w:t>
      </w:r>
      <w:r>
        <w:rPr>
          <w:w w:val="99"/>
        </w:rPr>
        <w:t> </w:t>
      </w:r>
      <w:bookmarkStart w:name="十四、其他重要事项" w:id="456"/>
      <w:bookmarkEnd w:id="456"/>
      <w:r>
        <w:rPr/>
        <w:t>十</w:t>
      </w:r>
      <w:r>
        <w:rPr/>
        <w:t>四、其他重要事项</w:t>
      </w:r>
      <w:r>
        <w:rPr>
          <w:w w:val="99"/>
        </w:rPr>
        <w:t> </w:t>
      </w:r>
      <w:bookmarkStart w:name="1、非货币性资产交换" w:id="457"/>
      <w:bookmarkEnd w:id="457"/>
      <w:r>
        <w:rPr>
          <w:w w:val="99"/>
        </w:rPr>
      </w:r>
      <w:r>
        <w:rPr>
          <w:rFonts w:ascii="Times New Roman" w:hAnsi="Times New Roman" w:cs="Times New Roman" w:eastAsia="Times New Roman" w:hint="default"/>
        </w:rPr>
        <w:t>1</w:t>
      </w:r>
      <w:r>
        <w:rPr/>
        <w:t>、非货币性资产交换</w:t>
      </w:r>
      <w:r>
        <w:rPr>
          <w:b w:val="0"/>
          <w:bCs w:val="0"/>
        </w:rPr>
      </w:r>
    </w:p>
    <w:p>
      <w:pPr>
        <w:pStyle w:val="BodyText"/>
        <w:spacing w:line="240" w:lineRule="auto" w:before="89"/>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债务重组" w:id="458"/>
      <w:bookmarkEnd w:id="45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企业合并" w:id="459"/>
      <w:bookmarkEnd w:id="459"/>
      <w:r>
        <w:rPr>
          <w:b w:val="0"/>
          <w:bCs w:val="0"/>
        </w:rPr>
      </w:r>
      <w:r>
        <w:rPr>
          <w:rFonts w:ascii="Times New Roman" w:hAnsi="Times New Roman" w:cs="Times New Roman" w:eastAsia="Times New Roman" w:hint="default"/>
        </w:rPr>
        <w:t>3</w:t>
      </w:r>
      <w:r>
        <w:rPr/>
        <w:t>、企业合并</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租赁" w:id="460"/>
      <w:bookmarkEnd w:id="460"/>
      <w:r>
        <w:rPr>
          <w:b w:val="0"/>
          <w:bCs w:val="0"/>
        </w:rPr>
      </w:r>
      <w:r>
        <w:rPr>
          <w:rFonts w:ascii="Times New Roman" w:hAnsi="Times New Roman" w:cs="Times New Roman" w:eastAsia="Times New Roman" w:hint="default"/>
        </w:rPr>
        <w:t>4</w:t>
      </w:r>
      <w:r>
        <w:rPr/>
        <w:t>、租赁</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bookmarkStart w:name="5、期末发行在外的、可转换为股份的金融工具" w:id="461"/>
      <w:bookmarkEnd w:id="461"/>
      <w:r>
        <w:rPr/>
      </w: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以公允价值计量的资产和负债" w:id="462"/>
      <w:bookmarkEnd w:id="462"/>
      <w:r>
        <w:rPr>
          <w:b w:val="0"/>
          <w:bCs w:val="0"/>
        </w:rPr>
      </w:r>
      <w:r>
        <w:rPr>
          <w:rFonts w:ascii="Times New Roman" w:hAnsi="Times New Roman" w:cs="Times New Roman" w:eastAsia="Times New Roman" w:hint="default"/>
        </w:rPr>
        <w:t>6</w:t>
      </w:r>
      <w:r>
        <w:rPr/>
        <w:t>、以公允价值计量的资产和负债</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3"/>
        <w:gridCol w:w="1531"/>
        <w:gridCol w:w="1517"/>
        <w:gridCol w:w="1516"/>
        <w:gridCol w:w="1527"/>
        <w:gridCol w:w="1522"/>
      </w:tblGrid>
      <w:tr>
        <w:trPr>
          <w:trHeight w:val="161" w:hRule="exact"/>
        </w:trPr>
        <w:tc>
          <w:tcPr>
            <w:tcW w:w="194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51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07" w:right="28"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94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4D4D4"/>
          </w:tcPr>
          <w:p>
            <w:pPr/>
          </w:p>
        </w:tc>
        <w:tc>
          <w:tcPr>
            <w:tcW w:w="1516" w:type="dxa"/>
            <w:vMerge/>
            <w:tcBorders>
              <w:left w:val="single" w:sz="4" w:space="0" w:color="000000"/>
              <w:right w:val="single" w:sz="4" w:space="0" w:color="000000"/>
            </w:tcBorders>
            <w:shd w:val="clear" w:color="auto" w:fill="D4D4D4"/>
          </w:tcPr>
          <w:p>
            <w:pPr/>
          </w:p>
        </w:tc>
        <w:tc>
          <w:tcPr>
            <w:tcW w:w="152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31" w:type="dxa"/>
            <w:tcBorders>
              <w:top w:val="nil" w:sz="6" w:space="0" w:color="auto"/>
              <w:left w:val="single" w:sz="4" w:space="0" w:color="000000"/>
              <w:bottom w:val="single" w:sz="4" w:space="0" w:color="000000"/>
              <w:right w:val="single" w:sz="4" w:space="0" w:color="000000"/>
            </w:tcBorders>
            <w:shd w:val="clear" w:color="auto" w:fill="D4D4D4"/>
          </w:tcPr>
          <w:p>
            <w:pPr/>
          </w:p>
        </w:tc>
        <w:tc>
          <w:tcPr>
            <w:tcW w:w="1517" w:type="dxa"/>
            <w:vMerge/>
            <w:tcBorders>
              <w:left w:val="single" w:sz="4" w:space="0" w:color="000000"/>
              <w:bottom w:val="single" w:sz="4" w:space="0" w:color="000000"/>
              <w:right w:val="single" w:sz="4" w:space="0" w:color="000000"/>
            </w:tcBorders>
            <w:shd w:val="clear" w:color="auto" w:fill="D4D4D4"/>
          </w:tcPr>
          <w:p>
            <w:pPr/>
          </w:p>
        </w:tc>
        <w:tc>
          <w:tcPr>
            <w:tcW w:w="1516" w:type="dxa"/>
            <w:vMerge/>
            <w:tcBorders>
              <w:left w:val="single" w:sz="4" w:space="0" w:color="000000"/>
              <w:bottom w:val="single" w:sz="4" w:space="0" w:color="000000"/>
              <w:right w:val="single" w:sz="4" w:space="0" w:color="000000"/>
            </w:tcBorders>
            <w:shd w:val="clear" w:color="auto" w:fill="D4D4D4"/>
          </w:tcPr>
          <w:p>
            <w:pPr/>
          </w:p>
        </w:tc>
        <w:tc>
          <w:tcPr>
            <w:tcW w:w="1527"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8"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1" w:type="dxa"/>
            <w:tcBorders>
              <w:top w:val="single" w:sz="4" w:space="0" w:color="000000"/>
              <w:left w:val="single" w:sz="10" w:space="0" w:color="D4D4D4"/>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注：其他中金额重大的项目的，可以在表中单独列示，本表不存在必然的勾稽关系。</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7、外币金融资产和外币金融负债" w:id="463"/>
      <w:bookmarkEnd w:id="463"/>
      <w:r>
        <w:rPr>
          <w:b w:val="0"/>
          <w:bCs w:val="0"/>
        </w:rPr>
      </w:r>
      <w:r>
        <w:rPr>
          <w:rFonts w:ascii="Times New Roman" w:hAnsi="Times New Roman" w:cs="Times New Roman" w:eastAsia="Times New Roman" w:hint="default"/>
        </w:rPr>
        <w:t>7</w:t>
      </w:r>
      <w:r>
        <w:rPr/>
        <w:t>、外币金融资产和外币金融负债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51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04" w:right="25"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1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4D4D4"/>
          </w:tcPr>
          <w:p>
            <w:pPr/>
          </w:p>
        </w:tc>
        <w:tc>
          <w:tcPr>
            <w:tcW w:w="1511" w:type="dxa"/>
            <w:vMerge/>
            <w:tcBorders>
              <w:left w:val="single" w:sz="4" w:space="0" w:color="000000"/>
              <w:right w:val="single" w:sz="4" w:space="0" w:color="000000"/>
            </w:tcBorders>
            <w:shd w:val="clear" w:color="auto" w:fill="D4D4D4"/>
          </w:tcPr>
          <w:p>
            <w:pPr/>
          </w:p>
        </w:tc>
        <w:tc>
          <w:tcPr>
            <w:tcW w:w="15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31" w:type="dxa"/>
            <w:tcBorders>
              <w:top w:val="nil" w:sz="6" w:space="0" w:color="auto"/>
              <w:left w:val="single" w:sz="4" w:space="0" w:color="000000"/>
              <w:bottom w:val="single" w:sz="4" w:space="0" w:color="000000"/>
              <w:right w:val="single" w:sz="4" w:space="0" w:color="000000"/>
            </w:tcBorders>
            <w:shd w:val="clear" w:color="auto" w:fill="D4D4D4"/>
          </w:tcPr>
          <w:p>
            <w:pPr/>
          </w:p>
        </w:tc>
        <w:tc>
          <w:tcPr>
            <w:tcW w:w="1511" w:type="dxa"/>
            <w:vMerge/>
            <w:tcBorders>
              <w:left w:val="single" w:sz="4" w:space="0" w:color="000000"/>
              <w:bottom w:val="single" w:sz="4" w:space="0" w:color="000000"/>
              <w:right w:val="single" w:sz="4" w:space="0" w:color="000000"/>
            </w:tcBorders>
            <w:shd w:val="clear" w:color="auto" w:fill="D4D4D4"/>
          </w:tcPr>
          <w:p>
            <w:pPr/>
          </w:p>
        </w:tc>
        <w:tc>
          <w:tcPr>
            <w:tcW w:w="1511" w:type="dxa"/>
            <w:vMerge/>
            <w:tcBorders>
              <w:left w:val="single" w:sz="4" w:space="0" w:color="000000"/>
              <w:bottom w:val="single" w:sz="4" w:space="0" w:color="000000"/>
              <w:right w:val="single" w:sz="4" w:space="0" w:color="000000"/>
            </w:tcBorders>
            <w:shd w:val="clear" w:color="auto" w:fill="D4D4D4"/>
          </w:tcPr>
          <w:p>
            <w:pPr/>
          </w:p>
        </w:tc>
        <w:tc>
          <w:tcPr>
            <w:tcW w:w="15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1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8"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9"/>
        <w:gridCol w:w="1519"/>
        <w:gridCol w:w="1517"/>
        <w:gridCol w:w="1517"/>
        <w:gridCol w:w="1517"/>
        <w:gridCol w:w="1517"/>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注：不按公允价值计量的金融资产无需填列第</w:t>
      </w:r>
      <w:r>
        <w:rPr>
          <w:spacing w:val="-46"/>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4 </w:t>
      </w:r>
      <w:r>
        <w:rPr/>
        <w:t>两列，本表不存在必然的勾稽关系。</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8、年金计划主要内容及重大变化" w:id="464"/>
      <w:bookmarkEnd w:id="464"/>
      <w:r>
        <w:rPr>
          <w:b w:val="0"/>
          <w:bCs w:val="0"/>
        </w:rPr>
      </w:r>
      <w:r>
        <w:rPr>
          <w:rFonts w:ascii="Times New Roman" w:hAnsi="Times New Roman" w:cs="Times New Roman" w:eastAsia="Times New Roman" w:hint="default"/>
        </w:rPr>
        <w:t>8</w:t>
      </w:r>
      <w:r>
        <w:rPr/>
        <w:t>、年金计划主要内容及重大变化</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9、其他" w:id="465"/>
      <w:bookmarkEnd w:id="465"/>
      <w:r>
        <w:rPr>
          <w:b w:val="0"/>
          <w:bCs w:val="0"/>
        </w:rPr>
      </w:r>
      <w:r>
        <w:rPr>
          <w:rFonts w:ascii="Times New Roman" w:hAnsi="Times New Roman" w:cs="Times New Roman" w:eastAsia="Times New Roman" w:hint="default"/>
        </w:rPr>
        <w:t>9</w:t>
      </w:r>
      <w:r>
        <w:rPr/>
        <w:t>、其他</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十五、母公司财务报表主要项目注释" w:id="466"/>
      <w:bookmarkEnd w:id="466"/>
      <w:r>
        <w:rPr>
          <w:b w:val="0"/>
          <w:bCs w:val="0"/>
        </w:rPr>
      </w:r>
      <w:r>
        <w:rPr/>
        <w:t>十五、母公司财务报表主要项目注释</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1、应收账款" w:id="467"/>
      <w:bookmarkEnd w:id="46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应收账款" w:id="468"/>
      <w:bookmarkEnd w:id="468"/>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198"/>
        <w:gridCol w:w="527"/>
        <w:gridCol w:w="1333"/>
        <w:gridCol w:w="665"/>
        <w:gridCol w:w="1195"/>
        <w:gridCol w:w="659"/>
        <w:gridCol w:w="1333"/>
        <w:gridCol w:w="665"/>
      </w:tblGrid>
      <w:tr>
        <w:trPr>
          <w:trHeight w:val="396" w:hRule="exact"/>
        </w:trPr>
        <w:tc>
          <w:tcPr>
            <w:tcW w:w="1994" w:type="dxa"/>
            <w:vMerge w:val="restart"/>
            <w:tcBorders>
              <w:top w:val="single" w:sz="4" w:space="0" w:color="000000"/>
              <w:left w:val="single" w:sz="4" w:space="0" w:color="000000"/>
              <w:right w:val="single" w:sz="4" w:space="0" w:color="000000"/>
            </w:tcBorders>
            <w:shd w:val="clear" w:color="auto" w:fill="D4D4D4"/>
          </w:tcPr>
          <w:p>
            <w:pPr/>
          </w:p>
        </w:tc>
        <w:tc>
          <w:tcPr>
            <w:tcW w:w="3724"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4" w:type="dxa"/>
            <w:vMerge/>
            <w:tcBorders>
              <w:left w:val="single" w:sz="4" w:space="0" w:color="000000"/>
              <w:bottom w:val="nil" w:sz="6" w:space="0" w:color="auto"/>
              <w:right w:val="single" w:sz="4" w:space="0" w:color="000000"/>
            </w:tcBorders>
            <w:shd w:val="clear" w:color="auto" w:fill="D4D4D4"/>
          </w:tcPr>
          <w:p>
            <w:pPr/>
          </w:p>
        </w:tc>
        <w:tc>
          <w:tcPr>
            <w:tcW w:w="172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1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5" w:type="dxa"/>
            <w:gridSpan w:val="2"/>
            <w:vMerge/>
            <w:tcBorders>
              <w:left w:val="single" w:sz="4" w:space="0" w:color="000000"/>
              <w:bottom w:val="single" w:sz="4" w:space="0" w:color="000000"/>
              <w:right w:val="single" w:sz="4" w:space="0" w:color="000000"/>
            </w:tcBorders>
            <w:shd w:val="clear" w:color="auto" w:fill="D4D4D4"/>
          </w:tcPr>
          <w:p>
            <w:pPr/>
          </w:p>
        </w:tc>
        <w:tc>
          <w:tcPr>
            <w:tcW w:w="1999" w:type="dxa"/>
            <w:gridSpan w:val="2"/>
            <w:vMerge/>
            <w:tcBorders>
              <w:left w:val="single" w:sz="4" w:space="0" w:color="000000"/>
              <w:bottom w:val="single" w:sz="4" w:space="0" w:color="000000"/>
              <w:right w:val="single" w:sz="4" w:space="0" w:color="000000"/>
            </w:tcBorders>
            <w:shd w:val="clear" w:color="auto" w:fill="D4D4D4"/>
          </w:tcPr>
          <w:p>
            <w:pPr/>
          </w:p>
        </w:tc>
        <w:tc>
          <w:tcPr>
            <w:tcW w:w="1853" w:type="dxa"/>
            <w:gridSpan w:val="2"/>
            <w:vMerge/>
            <w:tcBorders>
              <w:left w:val="single" w:sz="4" w:space="0" w:color="000000"/>
              <w:bottom w:val="single" w:sz="4" w:space="0" w:color="000000"/>
              <w:right w:val="single" w:sz="4" w:space="0" w:color="000000"/>
            </w:tcBorders>
            <w:shd w:val="clear" w:color="auto" w:fill="D4D4D4"/>
          </w:tcPr>
          <w:p>
            <w:pPr/>
          </w:p>
        </w:tc>
        <w:tc>
          <w:tcPr>
            <w:tcW w:w="1998" w:type="dxa"/>
            <w:gridSpan w:val="2"/>
            <w:vMerge/>
            <w:tcBorders>
              <w:left w:val="single" w:sz="4" w:space="0" w:color="000000"/>
              <w:bottom w:val="single" w:sz="4" w:space="0" w:color="000000"/>
              <w:right w:val="single" w:sz="4" w:space="0" w:color="000000"/>
            </w:tcBorders>
            <w:shd w:val="clear" w:color="auto" w:fill="D4D4D4"/>
          </w:tcPr>
          <w:p>
            <w:pPr/>
          </w:p>
        </w:tc>
      </w:tr>
      <w:tr>
        <w:trPr>
          <w:trHeight w:val="156" w:hRule="exact"/>
        </w:trPr>
        <w:tc>
          <w:tcPr>
            <w:tcW w:w="1994" w:type="dxa"/>
            <w:vMerge/>
            <w:tcBorders>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994" w:type="dxa"/>
            <w:vMerge w:val="restart"/>
            <w:tcBorders>
              <w:top w:val="nil" w:sz="6" w:space="0" w:color="auto"/>
              <w:left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vMerge/>
            <w:tcBorders>
              <w:left w:val="single" w:sz="4" w:space="0" w:color="000000"/>
              <w:right w:val="single" w:sz="4" w:space="0" w:color="000000"/>
            </w:tcBorders>
            <w:shd w:val="clear" w:color="auto" w:fill="D4D4D4"/>
          </w:tcPr>
          <w:p>
            <w:pPr/>
          </w:p>
        </w:tc>
        <w:tc>
          <w:tcPr>
            <w:tcW w:w="133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4D4D4"/>
          </w:tcPr>
          <w:p>
            <w:pPr/>
          </w:p>
        </w:tc>
        <w:tc>
          <w:tcPr>
            <w:tcW w:w="133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527" w:type="dxa"/>
            <w:vMerge/>
            <w:tcBorders>
              <w:left w:val="single" w:sz="4" w:space="0" w:color="000000"/>
              <w:bottom w:val="single" w:sz="4" w:space="0" w:color="000000"/>
              <w:right w:val="single" w:sz="4" w:space="0" w:color="000000"/>
            </w:tcBorders>
            <w:shd w:val="clear" w:color="auto" w:fill="D4D4D4"/>
          </w:tcPr>
          <w:p>
            <w:pPr/>
          </w:p>
        </w:tc>
        <w:tc>
          <w:tcPr>
            <w:tcW w:w="13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659" w:type="dxa"/>
            <w:vMerge/>
            <w:tcBorders>
              <w:left w:val="single" w:sz="4" w:space="0" w:color="000000"/>
              <w:bottom w:val="single" w:sz="4" w:space="0" w:color="000000"/>
              <w:right w:val="single" w:sz="4" w:space="0" w:color="000000"/>
            </w:tcBorders>
            <w:shd w:val="clear" w:color="auto" w:fill="D4D4D4"/>
          </w:tcPr>
          <w:p>
            <w:pPr/>
          </w:p>
        </w:tc>
        <w:tc>
          <w:tcPr>
            <w:tcW w:w="13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8" w:type="dxa"/>
            <w:tcBorders>
              <w:top w:val="single" w:sz="4" w:space="0" w:color="000000"/>
              <w:left w:val="single" w:sz="12" w:space="0" w:color="D4D4D4"/>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166,177,860.32</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10,932,126.29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69,002,543.19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4,808,074.76</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6.97%</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166,177,860.32</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10,932,126.29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69,002,543.19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4,808,074.76</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6.97%</w:t>
            </w: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166,177,860.32</w:t>
            </w:r>
          </w:p>
        </w:tc>
        <w:tc>
          <w:tcPr>
            <w:tcW w:w="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10,932,126.29</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69,002,543.19</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4,808,074.76</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0"/>
        <w:jc w:val="left"/>
      </w:pPr>
      <w:r>
        <w:rPr>
          <w:spacing w:val="-2"/>
        </w:rPr>
        <w:t>注：填写组合名称。账面余额中的比例按期末该类应收账款除以应收账款合计数计算，坏账准备比例按该类应收账款期末已</w:t>
      </w:r>
      <w:r>
        <w:rPr>
          <w:spacing w:val="-66"/>
        </w:rPr>
        <w:t> </w:t>
      </w:r>
      <w:r>
        <w:rPr>
          <w:spacing w:val="-66"/>
        </w:rPr>
      </w:r>
      <w:r>
        <w:rPr/>
        <w:t>计提坏账准备除以期末该类应收账款金额计算。</w:t>
      </w:r>
    </w:p>
    <w:p>
      <w:pPr>
        <w:pStyle w:val="BodyText"/>
        <w:spacing w:line="357" w:lineRule="auto" w:before="59"/>
        <w:ind w:right="5814"/>
        <w:jc w:val="left"/>
      </w:pPr>
      <w:r>
        <w:rPr/>
        <w:t>应收账款种类的说明 期末单项金额重大并单项计提坏账准备的应收账款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4"/>
        <w:gridCol w:w="1627"/>
        <w:gridCol w:w="1625"/>
        <w:gridCol w:w="1627"/>
        <w:gridCol w:w="1627"/>
      </w:tblGrid>
      <w:tr>
        <w:trPr>
          <w:trHeight w:val="402" w:hRule="exact"/>
        </w:trPr>
        <w:tc>
          <w:tcPr>
            <w:tcW w:w="3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87"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5"/>
        <w:gridCol w:w="1627"/>
        <w:gridCol w:w="1625"/>
        <w:gridCol w:w="1627"/>
        <w:gridCol w:w="1627"/>
      </w:tblGrid>
      <w:tr>
        <w:trPr>
          <w:trHeight w:val="401" w:hRule="exact"/>
        </w:trPr>
        <w:tc>
          <w:tcPr>
            <w:tcW w:w="306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13" w:space="0" w:color="D4D4D4"/>
            </w:tcBorders>
          </w:tcPr>
          <w:p>
            <w:pP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4"/>
        <w:gridCol w:w="662"/>
        <w:gridCol w:w="1462"/>
        <w:gridCol w:w="2126"/>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4D4D4"/>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4D4D4"/>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4D4D4"/>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125,487,734.68</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5,344,470.85</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53,343,428.06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2,357,377.95</w:t>
            </w:r>
            <w:r>
              <w:rPr>
                <w:rFonts w:ascii="Times New Roman"/>
                <w:sz w:val="18"/>
              </w:rPr>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125,487,734.68</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5,344,470.85</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53,343,428.06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2,357,377.95</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31,902,248.09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2,570,637.90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11,629,532.38</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1,162,953.23</w:t>
            </w:r>
            <w:r>
              <w:rPr>
                <w:rFonts w:ascii="Times New Roman"/>
                <w:sz w:val="18"/>
              </w:rPr>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7,294,551.80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2,188,365.54</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3,741,677.00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1,122,503.10</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1,260,662.00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630,331.00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221,713.75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110,856.88</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171,713.75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137,371.00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59,042.00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47,233.60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60,950.00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7,150.00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166,177,860.32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10,932,126.29</w:t>
            </w:r>
          </w:p>
        </w:tc>
        <w:tc>
          <w:tcPr>
            <w:tcW w:w="2126"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69,002,543.19</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4,808,074.76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49"/>
        <w:ind w:right="-20"/>
        <w:jc w:val="left"/>
      </w:pPr>
      <w:r>
        <w:rPr/>
        <w:t>组合中，采用余额百分比法计提坏账准备的应收账款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7"/>
        <w:gridCol w:w="2165"/>
        <w:gridCol w:w="2167"/>
        <w:gridCol w:w="2167"/>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60" w:lineRule="auto" w:before="49"/>
        <w:ind w:right="-20"/>
        <w:jc w:val="left"/>
      </w:pPr>
      <w:r>
        <w:rPr/>
        <w:t>注：填写具体组合名称。 组合中，采用其他方法计提坏账准备的应收账款</w:t>
      </w:r>
    </w:p>
    <w:p>
      <w:pPr>
        <w:pStyle w:val="BodyText"/>
        <w:spacing w:line="2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3933" w:space="489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0"/>
        <w:gridCol w:w="3254"/>
        <w:gridCol w:w="3254"/>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
        </w:tc>
        <w:tc>
          <w:tcPr>
            <w:tcW w:w="32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454"/>
        <w:jc w:val="left"/>
      </w:pPr>
      <w:r>
        <w:rPr/>
        <w:t>注：填写具体组合名称。 期末单项金额虽不重大但单项计提坏账准备的应收账款</w:t>
      </w:r>
    </w:p>
    <w:p>
      <w:pPr>
        <w:spacing w:after="0" w:line="36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转回或收回的应收账款情况" w:id="469"/>
      <w:bookmarkEnd w:id="469"/>
      <w:r>
        <w:rPr>
          <w:b w:val="0"/>
          <w:bCs w:val="0"/>
        </w:rPr>
      </w: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13" w:space="0" w:color="D4D4D4"/>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150"/>
        <w:jc w:val="both"/>
      </w:pPr>
      <w:r>
        <w:rPr>
          <w:spacing w:val="-2"/>
        </w:rPr>
        <w:t>注：本表列报本报告期前已全额计提坏账准备，或计提减值准备的比例较大，但在本报告期又全额收回或转回，或在本报告</w:t>
      </w:r>
      <w:r>
        <w:rPr>
          <w:spacing w:val="-65"/>
        </w:rPr>
        <w:t> </w:t>
      </w:r>
      <w:r>
        <w:rPr>
          <w:spacing w:val="-65"/>
        </w:rPr>
      </w:r>
      <w:r>
        <w:rPr>
          <w:spacing w:val="-2"/>
        </w:rPr>
        <w:t>期收回或转回比例较大的应收账款。对于本报告期通过重组等方式收回、金额重大的应收款项，则应逐笔列报。金额不重大</w:t>
      </w:r>
      <w:r>
        <w:rPr>
          <w:spacing w:val="-64"/>
        </w:rPr>
        <w:t> </w:t>
      </w:r>
      <w:r>
        <w:rPr>
          <w:spacing w:val="-64"/>
        </w:rPr>
      </w:r>
      <w:r>
        <w:rPr/>
        <w:t>的，可汇总列报。</w:t>
      </w:r>
    </w:p>
    <w:p>
      <w:pPr>
        <w:pStyle w:val="BodyText"/>
        <w:spacing w:line="240" w:lineRule="auto" w:before="57"/>
        <w:ind w:right="0"/>
        <w:jc w:val="both"/>
      </w:pPr>
      <w:r>
        <w:rPr/>
        <w:t>期末单项金额重大或虽不重大但单独进行减值测试的应收账款坏账准备计提</w:t>
      </w:r>
    </w:p>
    <w:p>
      <w:pPr>
        <w:pStyle w:val="BodyText"/>
        <w:spacing w:line="240" w:lineRule="auto" w:before="117"/>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934"/>
        <w:gridCol w:w="1934"/>
        <w:gridCol w:w="1932"/>
        <w:gridCol w:w="1834"/>
      </w:tblGrid>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本报告期实际核销的应收账款情况" w:id="470"/>
      <w:bookmarkEnd w:id="470"/>
      <w:r>
        <w:rPr>
          <w:b w:val="0"/>
          <w:bCs w:val="0"/>
        </w:rPr>
      </w: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83"/>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03"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10"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本报告期应收账款中持有公司5％（含5％）以上表决权股份的股东单位情况" w:id="471"/>
      <w:bookmarkEnd w:id="471"/>
      <w:r>
        <w:rPr>
          <w:b w:val="0"/>
          <w:bCs w:val="0"/>
        </w:rPr>
      </w:r>
      <w:r>
        <w:rPr/>
        <w:t>（</w:t>
      </w:r>
      <w:r>
        <w:rPr>
          <w:rFonts w:ascii="Times New Roman" w:hAnsi="Times New Roman" w:cs="Times New Roman" w:eastAsia="Times New Roman" w:hint="default"/>
        </w:rPr>
        <w:t>4</w:t>
      </w:r>
      <w:r>
        <w:rPr/>
        <w:t>）本报告期应收账款中持有公司</w:t>
      </w:r>
      <w:r>
        <w:rPr>
          <w:spacing w:val="-62"/>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60"/>
      </w:tblGrid>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金额较大的其他的应收账款的性质或内容" w:id="472"/>
      <w:bookmarkEnd w:id="472"/>
      <w:r>
        <w:rPr>
          <w:b w:val="0"/>
          <w:bCs w:val="0"/>
        </w:rPr>
      </w: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6）应收账款中金额前五名单位情况" w:id="473"/>
      <w:bookmarkEnd w:id="473"/>
      <w:r>
        <w:rPr>
          <w:b w:val="0"/>
          <w:bCs w:val="0"/>
        </w:rPr>
      </w: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9,967,560.00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重庆市电力公司电力科 学研究院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8,936,851.95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河南省电力公司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6,776,558.00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北京浩普诚华科技有限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欧富特信息技术有限公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36,460,969.95</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21.95%</w:t>
            </w:r>
          </w:p>
        </w:tc>
      </w:tr>
    </w:tbl>
    <w:p>
      <w:pPr>
        <w:pStyle w:val="BodyText"/>
        <w:spacing w:line="240" w:lineRule="auto" w:before="49"/>
        <w:ind w:right="0"/>
        <w:jc w:val="left"/>
      </w:pPr>
      <w:r>
        <w:rPr/>
        <w:t>注：</w:t>
      </w:r>
      <w:r>
        <w:rPr>
          <w:rFonts w:ascii="Times New Roman" w:hAnsi="Times New Roman" w:cs="Times New Roman" w:eastAsia="Times New Roman" w:hint="default"/>
        </w:rPr>
        <w:t>“</w:t>
      </w:r>
      <w:r>
        <w:rPr/>
        <w:t>单位名称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与本公司关系</w:t>
      </w:r>
      <w:r>
        <w:rPr>
          <w:rFonts w:ascii="Times New Roman" w:hAnsi="Times New Roman" w:cs="Times New Roman" w:eastAsia="Times New Roman" w:hint="default"/>
        </w:rPr>
        <w:t>”</w:t>
      </w:r>
      <w:r>
        <w:rPr/>
        <w:t>公司根据实际需要填写。</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7）应收关联方账款情况" w:id="474"/>
      <w:bookmarkEnd w:id="474"/>
      <w:r>
        <w:rPr>
          <w:b w:val="0"/>
          <w:bCs w:val="0"/>
        </w:rPr>
      </w:r>
      <w:r>
        <w:rPr/>
        <w:t>（</w:t>
      </w:r>
      <w:r>
        <w:rPr>
          <w:rFonts w:ascii="Times New Roman" w:hAnsi="Times New Roman" w:cs="Times New Roman" w:eastAsia="Times New Roman" w:hint="default"/>
        </w:rPr>
        <w:t>7</w:t>
      </w:r>
      <w:r>
        <w:rPr/>
        <w:t>）应收关联方账款情况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1"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10" w:space="0" w:color="D4D4D4"/>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8）" w:id="475"/>
      <w:bookmarkEnd w:id="475"/>
      <w:r>
        <w:rPr>
          <w:b w:val="0"/>
          <w:bCs w:val="0"/>
        </w:rPr>
      </w:r>
      <w:r>
        <w:rPr/>
        <w:t>（</w:t>
      </w:r>
      <w:r>
        <w:rPr>
          <w:rFonts w:ascii="Times New Roman" w:hAnsi="Times New Roman" w:cs="Times New Roman" w:eastAsia="Times New Roman" w:hint="default"/>
        </w:rPr>
        <w:t>8</w:t>
      </w:r>
      <w:r>
        <w:rPr/>
        <w:t>）</w:t>
      </w:r>
      <w:r>
        <w:rPr>
          <w:b w:val="0"/>
          <w:bCs w:val="0"/>
        </w:rPr>
      </w:r>
    </w:p>
    <w:p>
      <w:pPr>
        <w:spacing w:line="240" w:lineRule="auto" w:before="12"/>
        <w:rPr>
          <w:rFonts w:ascii="宋体" w:hAnsi="宋体" w:cs="宋体" w:eastAsia="宋体" w:hint="default"/>
          <w:b/>
          <w:bCs/>
          <w:sz w:val="24"/>
          <w:szCs w:val="24"/>
        </w:rPr>
      </w:pPr>
    </w:p>
    <w:p>
      <w:pPr>
        <w:pStyle w:val="BodyText"/>
        <w:tabs>
          <w:tab w:pos="4474" w:val="left" w:leader="none"/>
        </w:tabs>
        <w:spacing w:line="240" w:lineRule="auto"/>
        <w:ind w:right="0"/>
        <w:jc w:val="left"/>
      </w:pPr>
      <w:r>
        <w:rPr/>
        <w:t>不符合终止确认条件的应收账款的转移金额为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元。</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9）以应收款项为标的资产进行资产证券化的，需简要说明相关交易安排" w:id="476"/>
      <w:bookmarkEnd w:id="476"/>
      <w:r>
        <w:rPr>
          <w:b w:val="0"/>
          <w:bCs w:val="0"/>
        </w:rPr>
      </w: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2、其他应收款" w:id="477"/>
      <w:bookmarkEnd w:id="47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1）其他应收款" w:id="478"/>
      <w:bookmarkEnd w:id="47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8"/>
        <w:gridCol w:w="1982"/>
        <w:gridCol w:w="1848"/>
        <w:gridCol w:w="1850"/>
        <w:gridCol w:w="1718"/>
      </w:tblGrid>
      <w:tr>
        <w:trPr>
          <w:trHeight w:val="402" w:hRule="exact"/>
        </w:trPr>
        <w:tc>
          <w:tcPr>
            <w:tcW w:w="21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68" w:type="dxa"/>
            <w:vMerge/>
            <w:tcBorders>
              <w:left w:val="single" w:sz="4" w:space="0" w:color="000000"/>
              <w:bottom w:val="single" w:sz="4" w:space="0" w:color="000000"/>
              <w:right w:val="single" w:sz="4" w:space="0" w:color="000000"/>
            </w:tcBorders>
            <w:shd w:val="clear" w:color="auto" w:fill="D4D4D4"/>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4"/>
        <w:gridCol w:w="1460"/>
        <w:gridCol w:w="528"/>
        <w:gridCol w:w="1320"/>
        <w:gridCol w:w="528"/>
        <w:gridCol w:w="1322"/>
        <w:gridCol w:w="528"/>
        <w:gridCol w:w="1190"/>
        <w:gridCol w:w="526"/>
      </w:tblGrid>
      <w:tr>
        <w:trPr>
          <w:trHeight w:val="161" w:hRule="exact"/>
        </w:trPr>
        <w:tc>
          <w:tcPr>
            <w:tcW w:w="2164" w:type="dxa"/>
            <w:vMerge w:val="restart"/>
            <w:tcBorders>
              <w:top w:val="single" w:sz="4" w:space="0" w:color="000000"/>
              <w:left w:val="single" w:sz="4" w:space="0" w:color="000000"/>
              <w:right w:val="single" w:sz="4" w:space="0" w:color="000000"/>
            </w:tcBorders>
            <w:shd w:val="clear" w:color="auto" w:fill="D4D4D4"/>
          </w:tcPr>
          <w:p>
            <w:pPr/>
          </w:p>
        </w:tc>
        <w:tc>
          <w:tcPr>
            <w:tcW w:w="146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5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164" w:type="dxa"/>
            <w:vMerge/>
            <w:tcBorders>
              <w:left w:val="single" w:sz="4" w:space="0" w:color="000000"/>
              <w:right w:val="single" w:sz="4" w:space="0" w:color="000000"/>
            </w:tcBorders>
            <w:shd w:val="clear" w:color="auto" w:fill="D4D4D4"/>
          </w:tcPr>
          <w:p>
            <w:pPr/>
          </w:p>
        </w:tc>
        <w:tc>
          <w:tcPr>
            <w:tcW w:w="14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4D4D4"/>
          </w:tcPr>
          <w:p>
            <w:pPr/>
          </w:p>
        </w:tc>
      </w:tr>
      <w:tr>
        <w:trPr>
          <w:trHeight w:val="161" w:hRule="exact"/>
        </w:trPr>
        <w:tc>
          <w:tcPr>
            <w:tcW w:w="2164" w:type="dxa"/>
            <w:vMerge/>
            <w:tcBorders>
              <w:left w:val="single" w:sz="4" w:space="0" w:color="000000"/>
              <w:bottom w:val="single" w:sz="4" w:space="0" w:color="000000"/>
              <w:right w:val="single" w:sz="4" w:space="0" w:color="000000"/>
            </w:tcBorders>
            <w:shd w:val="clear" w:color="auto" w:fill="D4D4D4"/>
          </w:tcPr>
          <w:p>
            <w:pPr/>
          </w:p>
        </w:tc>
        <w:tc>
          <w:tcPr>
            <w:tcW w:w="146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2"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52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0" w:type="dxa"/>
            <w:tcBorders>
              <w:top w:val="single" w:sz="4" w:space="0" w:color="000000"/>
              <w:left w:val="single" w:sz="10" w:space="0" w:color="D4D4D4"/>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3,013,734.38</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708,128.15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2,668,672.07</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679,583.26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3,013,734.38</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708,128.15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2,668,672.07</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679,583.26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6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3,013,734.38</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708,128.15</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2,668,672.07</w:t>
            </w:r>
            <w:r>
              <w:rPr>
                <w:rFonts w:ascii="Times New Roman"/>
                <w:sz w:val="18"/>
              </w:rPr>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679,583.26</w:t>
            </w:r>
          </w:p>
        </w:tc>
        <w:tc>
          <w:tcPr>
            <w:tcW w:w="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14" w:lineRule="auto" w:before="49"/>
        <w:ind w:right="0"/>
        <w:jc w:val="left"/>
      </w:pPr>
      <w:r>
        <w:rPr>
          <w:spacing w:val="-2"/>
        </w:rPr>
        <w:t>注：写组合名称。账面余额中的比例按期末该类其他应收款除以其他应收款合计数计算，坏账准备比例按该类其他应收款填</w:t>
      </w:r>
      <w:r>
        <w:rPr>
          <w:spacing w:val="-66"/>
        </w:rPr>
        <w:t> </w:t>
      </w:r>
      <w:r>
        <w:rPr>
          <w:spacing w:val="-66"/>
        </w:rPr>
      </w:r>
      <w:r>
        <w:rPr/>
        <w:t>期末已计提坏账准备除以期末该类其他应收款金额计算。</w:t>
      </w:r>
    </w:p>
    <w:p>
      <w:pPr>
        <w:pStyle w:val="BodyText"/>
        <w:spacing w:line="360" w:lineRule="auto" w:before="61"/>
        <w:ind w:right="5634"/>
        <w:jc w:val="left"/>
      </w:pPr>
      <w:r>
        <w:rPr/>
        <w:t>其他应收款种类的说明 期末单项金额重大并单项计提坏账准备的其他应收款</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793"/>
        <w:gridCol w:w="662"/>
        <w:gridCol w:w="1594"/>
        <w:gridCol w:w="1862"/>
        <w:gridCol w:w="665"/>
        <w:gridCol w:w="1726"/>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7" w:type="dxa"/>
            <w:vMerge/>
            <w:tcBorders>
              <w:left w:val="single" w:sz="4" w:space="0" w:color="000000"/>
              <w:right w:val="single" w:sz="4" w:space="0" w:color="000000"/>
            </w:tcBorders>
            <w:shd w:val="clear" w:color="auto" w:fill="D4D4D4"/>
          </w:tcPr>
          <w:p>
            <w:pP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4D4D4"/>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1,656,520.92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82,416.42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1,410,896.59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52.87%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70,384.56</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1,656,520.92</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82,416.42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1,410,896.59</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52.87%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70,384.56</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424,508.98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42,130.35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238,651.60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23,865.16</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156,064.60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46,819.38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340,717.00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102,215.10</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396,333.00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198,166.50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208,556.88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104,278.44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208,556.88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166,845.50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455,050.00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364,040.00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171,750.00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171,750.00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14,800.00</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3,013,734.38</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708,128.15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2,668,672.07</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679,583.26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pStyle w:val="BodyText"/>
        <w:spacing w:line="240" w:lineRule="auto" w:before="49"/>
        <w:ind w:right="-20"/>
        <w:jc w:val="left"/>
      </w:pPr>
      <w:r>
        <w:rPr/>
        <w:t>组合中，采用余额百分比法计提坏账准备的其他应收款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7"/>
        <w:gridCol w:w="2165"/>
        <w:gridCol w:w="2167"/>
        <w:gridCol w:w="2167"/>
      </w:tblGrid>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组合中，采用其他方法计提坏账准备的其他应收款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113" w:space="471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60"/>
        <w:gridCol w:w="2856"/>
        <w:gridCol w:w="2753"/>
      </w:tblGrid>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960"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6"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357" w:lineRule="auto" w:before="49"/>
        <w:ind w:right="-20"/>
        <w:jc w:val="left"/>
      </w:pPr>
      <w:r>
        <w:rPr/>
        <w:t>注：填写具体组合名称。 期末单项金额虽不重大但单项计提坏账准备的其他应收款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653" w:space="4174"/>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本报告期转回或收回的其他应收款情况" w:id="479"/>
      <w:bookmarkEnd w:id="479"/>
      <w:r>
        <w:rPr>
          <w:b w:val="0"/>
          <w:bCs w:val="0"/>
        </w:rPr>
      </w: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1"/>
        <w:gridCol w:w="1862"/>
        <w:gridCol w:w="1918"/>
        <w:gridCol w:w="1884"/>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13" w:space="0" w:color="D4D4D4"/>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49"/>
        <w:ind w:right="150"/>
        <w:jc w:val="both"/>
      </w:pPr>
      <w:r>
        <w:rPr>
          <w:spacing w:val="-2"/>
        </w:rPr>
        <w:t>注：本表列报本报告期前已全额计提坏账准备，或计提减值准备的比例较大，但在本报告期又全额收回或转回，或在本报告</w:t>
      </w:r>
      <w:r>
        <w:rPr>
          <w:spacing w:val="-65"/>
        </w:rPr>
        <w:t> </w:t>
      </w:r>
      <w:r>
        <w:rPr>
          <w:spacing w:val="-65"/>
        </w:rPr>
      </w:r>
      <w:r>
        <w:rPr>
          <w:spacing w:val="-2"/>
        </w:rPr>
        <w:t>期收回或转回比例较大的应收账款。对于本报告期通过重组等方式收回、金额重大的应收款项，则应逐笔列报。金额不重大</w:t>
      </w:r>
      <w:r>
        <w:rPr>
          <w:spacing w:val="-64"/>
        </w:rPr>
        <w:t> </w:t>
      </w:r>
      <w:r>
        <w:rPr>
          <w:spacing w:val="-64"/>
        </w:rPr>
      </w:r>
      <w:r>
        <w:rPr/>
        <w:t>的，可汇总列报。</w:t>
      </w:r>
    </w:p>
    <w:p>
      <w:pPr>
        <w:pStyle w:val="BodyText"/>
        <w:spacing w:line="240" w:lineRule="auto" w:before="57"/>
        <w:ind w:right="0"/>
        <w:jc w:val="both"/>
      </w:pPr>
      <w:r>
        <w:rPr/>
        <w:t>期末单项金额重大或虽不重大但单独进行减值测试的其他应收账款坏账准备计提</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9"/>
        <w:gridCol w:w="1956"/>
        <w:gridCol w:w="1954"/>
        <w:gridCol w:w="1954"/>
        <w:gridCol w:w="1842"/>
      </w:tblGrid>
      <w:tr>
        <w:trPr>
          <w:trHeight w:val="403" w:hRule="exact"/>
        </w:trPr>
        <w:tc>
          <w:tcPr>
            <w:tcW w:w="18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853"/>
        <w:gridCol w:w="1954"/>
        <w:gridCol w:w="1956"/>
        <w:gridCol w:w="1954"/>
        <w:gridCol w:w="1853"/>
      </w:tblGrid>
      <w:tr>
        <w:trPr>
          <w:trHeight w:val="401" w:hRule="exact"/>
        </w:trPr>
        <w:tc>
          <w:tcPr>
            <w:tcW w:w="1853"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3）本报告期实际核销的其他应收款情况" w:id="480"/>
      <w:bookmarkEnd w:id="480"/>
      <w:r>
        <w:rPr>
          <w:b w:val="0"/>
          <w:bCs w:val="0"/>
        </w:rPr>
      </w: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6"/>
        <w:gridCol w:w="1591"/>
        <w:gridCol w:w="1464"/>
        <w:gridCol w:w="1517"/>
        <w:gridCol w:w="1802"/>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4）本报告期其他应收款中持有公司5％（含5％）以上表决权股份的股东单位情况" w:id="481"/>
      <w:bookmarkEnd w:id="481"/>
      <w:r>
        <w:rPr>
          <w:b w:val="0"/>
          <w:bCs w:val="0"/>
        </w:rPr>
      </w:r>
      <w:r>
        <w:rPr/>
        <w:t>（</w:t>
      </w:r>
      <w:r>
        <w:rPr>
          <w:rFonts w:ascii="Times New Roman" w:hAnsi="Times New Roman" w:cs="Times New Roman" w:eastAsia="Times New Roman" w:hint="default"/>
        </w:rPr>
        <w:t>4</w:t>
      </w:r>
      <w:r>
        <w:rPr/>
        <w:t>）本报告期其他应收款中持有公司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59"/>
        <w:gridCol w:w="1728"/>
        <w:gridCol w:w="1726"/>
        <w:gridCol w:w="1860"/>
        <w:gridCol w:w="1594"/>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4D4D4"/>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金额较大的其他应收款的性质或内容" w:id="482"/>
      <w:bookmarkEnd w:id="482"/>
      <w:r>
        <w:rPr>
          <w:b w:val="0"/>
          <w:bCs w:val="0"/>
        </w:rPr>
      </w: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right="0"/>
        <w:jc w:val="left"/>
        <w:rPr>
          <w:b w:val="0"/>
          <w:bCs w:val="0"/>
        </w:rPr>
      </w:pPr>
      <w:bookmarkStart w:name="（6）其他应收款金额前五名单位情况" w:id="483"/>
      <w:bookmarkEnd w:id="483"/>
      <w:r>
        <w:rPr>
          <w:b w:val="0"/>
          <w:bCs w:val="0"/>
        </w:rPr>
      </w: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国网国际招标有限公司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北京扬盾信息技术有限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重庆龙软软件有限公司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中电技国际招标有限责 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广州粤新电子科技有限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645,000.00</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21.41%</w:t>
            </w:r>
          </w:p>
        </w:tc>
      </w:tr>
    </w:tbl>
    <w:p>
      <w:pPr>
        <w:pStyle w:val="BodyText"/>
        <w:spacing w:line="240" w:lineRule="auto" w:before="49"/>
        <w:ind w:right="0"/>
        <w:jc w:val="left"/>
      </w:pPr>
      <w:r>
        <w:rPr/>
        <w:t>注：</w:t>
      </w:r>
      <w:r>
        <w:rPr>
          <w:rFonts w:ascii="Times New Roman" w:hAnsi="Times New Roman" w:cs="Times New Roman" w:eastAsia="Times New Roman" w:hint="default"/>
        </w:rPr>
        <w:t>“</w:t>
      </w:r>
      <w:r>
        <w:rPr/>
        <w:t>单位名称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与本公司关系</w:t>
      </w:r>
      <w:r>
        <w:rPr>
          <w:rFonts w:ascii="Times New Roman" w:hAnsi="Times New Roman" w:cs="Times New Roman" w:eastAsia="Times New Roman" w:hint="default"/>
        </w:rPr>
        <w:t>”</w:t>
      </w:r>
      <w:r>
        <w:rPr/>
        <w:t>公司根据实际需要填写。</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7）其他应收关联方账款情况" w:id="484"/>
      <w:bookmarkEnd w:id="484"/>
      <w:r>
        <w:rPr>
          <w:b w:val="0"/>
          <w:bCs w:val="0"/>
        </w:rPr>
      </w: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1"/>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1"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1" w:type="dxa"/>
            <w:tcBorders>
              <w:top w:val="single" w:sz="4" w:space="0" w:color="000000"/>
              <w:left w:val="single" w:sz="10" w:space="0" w:color="D4D4D4"/>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8）" w:id="485"/>
      <w:bookmarkEnd w:id="485"/>
      <w:r>
        <w:rPr>
          <w:b w:val="0"/>
          <w:bCs w:val="0"/>
        </w:rPr>
      </w: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不符合终止确认条件的其他应收款项的转移金额为元。</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9）以其他应收款项为标的资产进行资产证券化的，需简要说明相关交易安排" w:id="486"/>
      <w:bookmarkEnd w:id="486"/>
      <w:r>
        <w:rPr>
          <w:b w:val="0"/>
          <w:bCs w:val="0"/>
        </w:rPr>
      </w: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3、长期股权投资" w:id="487"/>
      <w:bookmarkEnd w:id="48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江苏神州 信源系统 工程有限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上海北信 源信息技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营业收入和营业成本" w:id="488"/>
      <w:bookmarkEnd w:id="48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营业收入" w:id="489"/>
      <w:bookmarkEnd w:id="489"/>
      <w:r>
        <w:rPr>
          <w:b w:val="0"/>
          <w:bCs w:val="0"/>
        </w:rPr>
      </w:r>
      <w:r>
        <w:rPr/>
        <w:t>（</w:t>
      </w:r>
      <w:r>
        <w:rPr>
          <w:rFonts w:ascii="Times New Roman" w:hAnsi="Times New Roman" w:cs="Times New Roman" w:eastAsia="Times New Roman" w:hint="default"/>
        </w:rPr>
        <w:t>1</w:t>
      </w:r>
      <w:r>
        <w:rPr/>
        <w:t>）营业收入</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7"/>
        <w:gridCol w:w="3588"/>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161,476,804.22</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103,899,709.07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4"/>
        <w:gridCol w:w="3456"/>
        <w:gridCol w:w="3588"/>
      </w:tblGrid>
      <w:tr>
        <w:trPr>
          <w:trHeight w:val="401" w:hRule="exact"/>
        </w:trPr>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1,115,633.71</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1,470,585.46</w:t>
            </w:r>
            <w:r>
              <w:rPr>
                <w:rFonts w:ascii="Times New Roman"/>
                <w:sz w:val="18"/>
              </w:rPr>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162,592,437.93</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105,370,294.53</w:t>
            </w:r>
            <w:r>
              <w:rPr>
                <w:rFonts w:ascii="Times New Roman"/>
                <w:sz w:val="18"/>
              </w:rPr>
            </w:r>
          </w:p>
        </w:tc>
      </w:tr>
      <w:tr>
        <w:trPr>
          <w:trHeight w:val="403" w:hRule="exact"/>
        </w:trPr>
        <w:tc>
          <w:tcPr>
            <w:tcW w:w="2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6,498,157.30</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2,914,964.17</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主营业务（分行业）" w:id="490"/>
      <w:bookmarkEnd w:id="490"/>
      <w:r>
        <w:rPr>
          <w:b w:val="0"/>
          <w:bCs w:val="0"/>
        </w:rPr>
      </w:r>
      <w:r>
        <w:rPr/>
        <w:t>（</w:t>
      </w:r>
      <w:r>
        <w:rPr>
          <w:rFonts w:ascii="Times New Roman" w:hAnsi="Times New Roman" w:cs="Times New Roman" w:eastAsia="Times New Roman" w:hint="default"/>
        </w:rPr>
        <w:t>2</w:t>
      </w:r>
      <w:r>
        <w:rPr/>
        <w:t>）主营业务（分行业）</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10,600,059.51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346,170.46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3,129,476.08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97,965.00</w:t>
            </w:r>
            <w:r>
              <w:rPr>
                <w:rFonts w:ascii="Times New Roman"/>
                <w:sz w:val="18"/>
              </w:rPr>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2,999,748.73</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178,639.16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1,618,611.10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63,598.28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38,736,980.56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398,115.60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25,011,653.08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222,955.60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7,856,724.14</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804,074.98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15,863,978.61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356,113.27</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101,283,291.28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4,066,782.18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58,275,990.20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764,807.73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161,476,804.22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5,793,782.38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103,899,709.07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1,505,439.88</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3）主营业务（分产品）" w:id="491"/>
      <w:bookmarkEnd w:id="491"/>
      <w:r>
        <w:rPr>
          <w:b w:val="0"/>
          <w:bCs w:val="0"/>
        </w:rPr>
      </w:r>
      <w:r>
        <w:rPr/>
        <w:t>（</w:t>
      </w:r>
      <w:r>
        <w:rPr>
          <w:rFonts w:ascii="Times New Roman" w:hAnsi="Times New Roman" w:cs="Times New Roman" w:eastAsia="Times New Roman" w:hint="default"/>
        </w:rPr>
        <w:t>3</w:t>
      </w:r>
      <w:r>
        <w:rPr/>
        <w:t>）主营业务（分产品）</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136,363,282.83</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4,493,681.28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92,296,931.54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909,267.39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25,113,521.39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1,300,101.10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11,602,777.53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596,172.49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161,476,804.22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5,793,782.38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103,899,709.07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1,505,439.88</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4）主营业务（分地区）" w:id="492"/>
      <w:bookmarkEnd w:id="492"/>
      <w:r>
        <w:rPr>
          <w:b w:val="0"/>
          <w:bCs w:val="0"/>
        </w:rPr>
      </w:r>
      <w:r>
        <w:rPr/>
        <w:t>（</w:t>
      </w:r>
      <w:r>
        <w:rPr>
          <w:rFonts w:ascii="Times New Roman" w:hAnsi="Times New Roman" w:cs="Times New Roman" w:eastAsia="Times New Roman" w:hint="default"/>
        </w:rPr>
        <w:t>4</w:t>
      </w:r>
      <w:r>
        <w:rPr/>
        <w:t>）主营业务（分地区）</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27,181,208.54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1,242,624.81</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24,825,052.29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548,578.39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21,422,665.77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162,673.75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12,660,074.78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52,455.73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19,707,792.05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232,486.11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5,356,252.12</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13,008.03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65,008,176.56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3,339,642.49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44,256,009.45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691,965.71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5,534,594.69</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133,470.47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5,795,038.47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15,896.69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17,467,928.95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214,196.59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7,422,299.10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121,554.39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5,154,437.66</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468,688.16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3,584,299.10</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61,934.27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港澳台</w:t>
            </w:r>
          </w:p>
        </w:tc>
        <w:tc>
          <w:tcPr>
            <w:tcW w:w="1862"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683.76</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46.67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161,476,804.22</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5,793,782.38</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103,899,709.07</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1,505,439.88</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5）公司前五名客户的营业收入情况" w:id="493"/>
      <w:bookmarkEnd w:id="493"/>
      <w:r>
        <w:rPr>
          <w:b w:val="0"/>
          <w:bCs w:val="0"/>
        </w:rPr>
      </w: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2921"/>
        <w:gridCol w:w="1865"/>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河南省电力公司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5,791,929.91</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北京浩普诚华科技有限公司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5,452,991.45</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重庆市电力公司电力科学研究院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5,305,001.66</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中国国际人才开发研究所</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3,846,698.11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欧富特信息技术有限公司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3,760,683.74</w:t>
            </w:r>
            <w:r>
              <w:rPr>
                <w:rFonts w:ascii="Times New Roman"/>
                <w:sz w:val="18"/>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24,157,304.87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14.86%</w:t>
            </w:r>
          </w:p>
        </w:tc>
      </w:tr>
    </w:tbl>
    <w:p>
      <w:pPr>
        <w:pStyle w:val="BodyText"/>
        <w:spacing w:line="240" w:lineRule="auto" w:before="49"/>
        <w:ind w:right="0"/>
        <w:jc w:val="left"/>
      </w:pPr>
      <w:r>
        <w:rPr/>
        <w:t>营业收入的说明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5、投资收益" w:id="494"/>
      <w:bookmarkEnd w:id="49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投资收益明细" w:id="495"/>
      <w:bookmarkEnd w:id="495"/>
      <w:r>
        <w:rPr>
          <w:b w:val="0"/>
          <w:bCs w:val="0"/>
        </w:rPr>
      </w:r>
      <w:r>
        <w:rPr/>
        <w:t>（</w:t>
      </w:r>
      <w:r>
        <w:rPr>
          <w:rFonts w:ascii="Times New Roman" w:hAnsi="Times New Roman" w:cs="Times New Roman" w:eastAsia="Times New Roman" w:hint="default"/>
        </w:rPr>
        <w:t>1</w:t>
      </w:r>
      <w:r>
        <w:rPr/>
        <w:t>）投资收益明细</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99"/>
        <w:gridCol w:w="2533"/>
        <w:gridCol w:w="2525"/>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3" w:type="dxa"/>
            <w:tcBorders>
              <w:top w:val="single" w:sz="4" w:space="0" w:color="000000"/>
              <w:left w:val="single" w:sz="10" w:space="0" w:color="D4D4D4"/>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2）按成本法核算的长期股权投资收益" w:id="496"/>
      <w:bookmarkEnd w:id="496"/>
      <w:r>
        <w:rPr>
          <w:b w:val="0"/>
          <w:bCs w:val="0"/>
        </w:rPr>
      </w: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4"/>
        <w:gridCol w:w="1728"/>
        <w:gridCol w:w="1594"/>
        <w:gridCol w:w="2921"/>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4D4D4"/>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4D4D4"/>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、本期未取得投资收益的，不在本表填列；</w:t>
      </w:r>
    </w:p>
    <w:p>
      <w:pPr>
        <w:pStyle w:val="BodyText"/>
        <w:spacing w:line="240" w:lineRule="auto" w:before="101"/>
        <w:ind w:left="512" w:right="0"/>
        <w:jc w:val="left"/>
      </w:pPr>
      <w:r>
        <w:rPr>
          <w:rFonts w:ascii="Times New Roman" w:hAnsi="Times New Roman" w:cs="Times New Roman" w:eastAsia="Times New Roman" w:hint="default"/>
        </w:rPr>
        <w:t>2</w:t>
      </w:r>
      <w:r>
        <w:rPr/>
        <w:t>、仅列示投资收益占利润总额</w:t>
      </w:r>
      <w:r>
        <w:rPr>
          <w:spacing w:val="-46"/>
        </w:rPr>
        <w:t> </w:t>
      </w:r>
      <w:r>
        <w:rPr>
          <w:rFonts w:ascii="Times New Roman" w:hAnsi="Times New Roman" w:cs="Times New Roman" w:eastAsia="Times New Roman" w:hint="default"/>
        </w:rPr>
        <w:t>5%</w:t>
      </w:r>
      <w:r>
        <w:rPr/>
        <w:t>以上的投资单位，或占利润总额比例最高的前</w:t>
      </w:r>
      <w:r>
        <w:rPr>
          <w:spacing w:val="-46"/>
        </w:rPr>
        <w:t> </w:t>
      </w:r>
      <w:r>
        <w:rPr>
          <w:rFonts w:ascii="Times New Roman" w:hAnsi="Times New Roman" w:cs="Times New Roman" w:eastAsia="Times New Roman" w:hint="default"/>
        </w:rPr>
        <w:t>5 </w:t>
      </w:r>
      <w:r>
        <w:rPr/>
        <w:t>家投资单位。</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3）按权益法核算的长期股权投资收益" w:id="497"/>
      <w:bookmarkEnd w:id="497"/>
      <w:r>
        <w:rPr>
          <w:b w:val="0"/>
          <w:bCs w:val="0"/>
        </w:rPr>
      </w: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1728"/>
        <w:gridCol w:w="1594"/>
        <w:gridCol w:w="2921"/>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10" w:space="0" w:color="D4D4D4"/>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4D4D4"/>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注：</w:t>
      </w:r>
      <w:r>
        <w:rPr>
          <w:rFonts w:ascii="Times New Roman" w:hAnsi="Times New Roman" w:cs="Times New Roman" w:eastAsia="Times New Roman" w:hint="default"/>
        </w:rPr>
        <w:t>1</w:t>
      </w:r>
      <w:r>
        <w:rPr/>
        <w:t>、本期未取得投资收益的，不在本表填列；</w:t>
      </w:r>
    </w:p>
    <w:p>
      <w:pPr>
        <w:pStyle w:val="BodyText"/>
        <w:spacing w:line="240" w:lineRule="auto" w:before="101"/>
        <w:ind w:left="512" w:right="0"/>
        <w:jc w:val="left"/>
      </w:pPr>
      <w:r>
        <w:rPr>
          <w:rFonts w:ascii="Times New Roman" w:hAnsi="Times New Roman" w:cs="Times New Roman" w:eastAsia="Times New Roman" w:hint="default"/>
        </w:rPr>
        <w:t>2</w:t>
      </w:r>
      <w:r>
        <w:rPr/>
        <w:t>、仅列示投资收益占利润总额</w:t>
      </w:r>
      <w:r>
        <w:rPr>
          <w:spacing w:val="-46"/>
        </w:rPr>
        <w:t> </w:t>
      </w:r>
      <w:r>
        <w:rPr>
          <w:rFonts w:ascii="Times New Roman" w:hAnsi="Times New Roman" w:cs="Times New Roman" w:eastAsia="Times New Roman" w:hint="default"/>
        </w:rPr>
        <w:t>5%</w:t>
      </w:r>
      <w:r>
        <w:rPr/>
        <w:t>以上的投资单位，或占利润总额比例最高的前</w:t>
      </w:r>
      <w:r>
        <w:rPr>
          <w:spacing w:val="-46"/>
        </w:rPr>
        <w:t> </w:t>
      </w:r>
      <w:r>
        <w:rPr>
          <w:rFonts w:ascii="Times New Roman" w:hAnsi="Times New Roman" w:cs="Times New Roman" w:eastAsia="Times New Roman" w:hint="default"/>
        </w:rPr>
        <w:t>5 </w:t>
      </w:r>
      <w:r>
        <w:rPr/>
        <w:t>家投资单位。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360" w:lineRule="auto"/>
        <w:ind w:right="2574"/>
        <w:jc w:val="left"/>
      </w:pPr>
      <w:r>
        <w:rPr/>
        <w:t>投资收益的说明 注：若投资收益汇回有重大限制的，应予以说明。若不存在此类重大限制，也应做出说明。</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6、现金流量表补充资料" w:id="498"/>
      <w:bookmarkEnd w:id="498"/>
      <w:r>
        <w:rPr>
          <w:b w:val="0"/>
          <w:bCs w:val="0"/>
        </w:rPr>
      </w:r>
      <w:r>
        <w:rPr>
          <w:rFonts w:ascii="Times New Roman" w:hAnsi="Times New Roman" w:cs="Times New Roman" w:eastAsia="Times New Roman" w:hint="default"/>
        </w:rPr>
        <w:t>6</w:t>
      </w:r>
      <w:r>
        <w:rPr/>
        <w:t>、现金流量表补充资料</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61,146,637.62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43,849,959.96</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6,152,596.42</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2,307,042.10</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2,595,432.98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2,460,113.65</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1,042,094.59</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1,131,192.88</w:t>
            </w:r>
            <w:r>
              <w:rPr>
                <w:rFonts w:ascii="Times New Roman"/>
                <w:sz w:val="18"/>
              </w:rPr>
            </w: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277,667.58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63,636.00</w:t>
            </w:r>
          </w:p>
        </w:tc>
      </w:tr>
      <w:tr>
        <w:trPr>
          <w:trHeight w:val="71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-4,413.36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1,398.67</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102,541.67</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-922,889.46</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-346,056.31</w:t>
            </w:r>
            <w:r>
              <w:rPr>
                <w:rFonts w:ascii="Times New Roman"/>
                <w:sz w:val="18"/>
              </w:rPr>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269"/>
        <w:gridCol w:w="225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-1,316,410.69</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-2,623,057.50</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-94,710,501.46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-24,984,641.46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16,953,697.68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711,836.74</w:t>
            </w:r>
            <w:r>
              <w:rPr>
                <w:rFonts w:ascii="Times New Roman"/>
                <w:sz w:val="18"/>
              </w:rPr>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-8,786,088.10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22,673,966.40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424,151,795.64</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67,398,193.26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67,398,193.26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90,759,197.71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69" w:type="dxa"/>
            <w:tcBorders>
              <w:top w:val="single" w:sz="4" w:space="0" w:color="000000"/>
              <w:left w:val="single" w:sz="12" w:space="0" w:color="D4D4D4"/>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356,753,602.38</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-23,361,004.45</w:t>
            </w: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7、反向购买下以评估值入账的资产、负债情况" w:id="499"/>
      <w:bookmarkEnd w:id="499"/>
      <w:r>
        <w:rPr>
          <w:b w:val="0"/>
          <w:bCs w:val="0"/>
        </w:rPr>
      </w: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right="62"/>
        <w:jc w:val="left"/>
      </w:pPr>
      <w:r>
        <w:rPr/>
        <w:t>反向购买下以公允价值入账的资产、负债情况</w:t>
      </w:r>
    </w:p>
    <w:p>
      <w:pPr>
        <w:pStyle w:val="BodyText"/>
        <w:spacing w:line="240" w:lineRule="auto" w:before="117"/>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4"/>
        <w:jc w:val="left"/>
      </w:pPr>
      <w:r>
        <w:rPr/>
        <w:t>注：按一揽子交易定价的资产和负债项目不用细分填列；确定公允价值的方法包括参照市价、采用收益法或成本法评估等。 反向购买形成长期股权投资的情况</w:t>
      </w:r>
    </w:p>
    <w:p>
      <w:pPr>
        <w:pStyle w:val="BodyText"/>
        <w:spacing w:line="240" w:lineRule="auto" w:before="29"/>
        <w:ind w:left="0" w:right="19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0"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62"/>
        <w:jc w:val="left"/>
        <w:rPr>
          <w:b w:val="0"/>
          <w:bCs w:val="0"/>
        </w:rPr>
      </w:pPr>
      <w:bookmarkStart w:name="十六、补充资料" w:id="500"/>
      <w:bookmarkEnd w:id="500"/>
      <w:r>
        <w:rPr>
          <w:b w:val="0"/>
          <w:bCs w:val="0"/>
        </w:rPr>
      </w:r>
      <w:r>
        <w:rPr/>
        <w:t>十六、补充资料</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62"/>
        <w:jc w:val="left"/>
        <w:rPr>
          <w:b w:val="0"/>
          <w:bCs w:val="0"/>
        </w:rPr>
      </w:pPr>
      <w:bookmarkStart w:name="1、净资产收益率及每股收益" w:id="501"/>
      <w:bookmarkEnd w:id="501"/>
      <w:r>
        <w:rPr>
          <w:b w:val="0"/>
          <w:bCs w:val="0"/>
        </w:rPr>
      </w:r>
      <w:r>
        <w:rPr>
          <w:rFonts w:ascii="Times New Roman" w:hAnsi="Times New Roman" w:cs="Times New Roman" w:eastAsia="Times New Roman" w:hint="default"/>
        </w:rPr>
        <w:t>1</w:t>
      </w:r>
      <w:r>
        <w:rPr/>
        <w:t>、净资产收益率及每股收益</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44"/>
        <w:ind w:left="0" w:right="193"/>
        <w:jc w:val="right"/>
      </w:pPr>
      <w:r>
        <w:rPr/>
        <w:t>单位：</w:t>
      </w:r>
      <w:r>
        <w:rPr>
          <w:spacing w:val="1"/>
        </w:rPr>
        <w:t> </w:t>
      </w:r>
      <w:r>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40"/>
        <w:gridCol w:w="2177"/>
        <w:gridCol w:w="1915"/>
        <w:gridCol w:w="1937"/>
      </w:tblGrid>
      <w:tr>
        <w:trPr>
          <w:trHeight w:val="184" w:hRule="exact"/>
        </w:trPr>
        <w:tc>
          <w:tcPr>
            <w:tcW w:w="3540" w:type="dxa"/>
            <w:tcBorders>
              <w:top w:val="single" w:sz="4" w:space="0" w:color="000000"/>
              <w:left w:val="single" w:sz="4" w:space="0" w:color="000000"/>
              <w:bottom w:val="nil" w:sz="6" w:space="0" w:color="auto"/>
              <w:right w:val="single" w:sz="4" w:space="0" w:color="000000"/>
            </w:tcBorders>
            <w:shd w:val="clear" w:color="auto" w:fill="D4D4D4"/>
          </w:tcPr>
          <w:p>
            <w:pPr/>
          </w:p>
        </w:tc>
        <w:tc>
          <w:tcPr>
            <w:tcW w:w="21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540" w:type="dxa"/>
            <w:vMerge/>
            <w:tcBorders>
              <w:left w:val="single" w:sz="4" w:space="0" w:color="000000"/>
              <w:bottom w:val="nil" w:sz="6" w:space="0" w:color="auto"/>
              <w:right w:val="single" w:sz="4" w:space="0" w:color="000000"/>
            </w:tcBorders>
            <w:shd w:val="clear" w:color="auto" w:fill="D4D4D4"/>
          </w:tcPr>
          <w:p>
            <w:pPr/>
          </w:p>
        </w:tc>
        <w:tc>
          <w:tcPr>
            <w:tcW w:w="2177" w:type="dxa"/>
            <w:vMerge/>
            <w:tcBorders>
              <w:left w:val="single" w:sz="4" w:space="0" w:color="000000"/>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2" w:hRule="exact"/>
        </w:trPr>
        <w:tc>
          <w:tcPr>
            <w:tcW w:w="3540" w:type="dxa"/>
            <w:tcBorders>
              <w:top w:val="nil" w:sz="6" w:space="0" w:color="auto"/>
              <w:left w:val="single" w:sz="4" w:space="0" w:color="000000"/>
              <w:bottom w:val="single" w:sz="4" w:space="0" w:color="000000"/>
              <w:right w:val="single" w:sz="4" w:space="0" w:color="000000"/>
            </w:tcBorders>
            <w:shd w:val="clear" w:color="auto" w:fill="D4D4D4"/>
          </w:tcPr>
          <w:p>
            <w:pPr/>
          </w:p>
        </w:tc>
        <w:tc>
          <w:tcPr>
            <w:tcW w:w="2177"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37" w:type="dxa"/>
            <w:vMerge/>
            <w:tcBorders>
              <w:left w:val="single" w:sz="4" w:space="0" w:color="000000"/>
              <w:bottom w:val="single" w:sz="4" w:space="0" w:color="000000"/>
              <w:right w:val="single" w:sz="4" w:space="0" w:color="000000"/>
            </w:tcBorders>
            <w:shd w:val="clear" w:color="auto" w:fill="D4D4D4"/>
          </w:tcPr>
          <w:p>
            <w:pPr/>
          </w:p>
        </w:tc>
      </w:tr>
      <w:tr>
        <w:trPr>
          <w:trHeight w:val="425" w:hRule="exact"/>
        </w:trPr>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7" w:space="0" w:color="D4D4D4"/>
              <w:left w:val="single" w:sz="13" w:space="0" w:color="D4D4D4"/>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9"/>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Times New Roman" w:hAnsi="Times New Roman" w:cs="Times New Roman" w:eastAsia="Times New Roman" w:hint="default"/>
                <w:sz w:val="18"/>
                <w:szCs w:val="18"/>
              </w:rPr>
            </w:pPr>
            <w:r>
              <w:rPr>
                <w:rFonts w:ascii="Times New Roman"/>
                <w:spacing w:val="-5"/>
                <w:sz w:val="18"/>
              </w:rPr>
              <w:t>1.11</w:t>
            </w:r>
            <w:r>
              <w:rPr>
                <w:rFonts w:ascii="Times New Roman"/>
                <w:sz w:val="18"/>
              </w:rPr>
            </w:r>
          </w:p>
        </w:tc>
      </w:tr>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p>
        </w:tc>
        <w:tc>
          <w:tcPr>
            <w:tcW w:w="217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w:t>
            </w:r>
            <w:r>
              <w:rPr>
                <w:rFonts w:ascii="Times New Roman"/>
                <w:sz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39"/>
        <w:gridCol w:w="2177"/>
        <w:gridCol w:w="1915"/>
        <w:gridCol w:w="1937"/>
      </w:tblGrid>
      <w:tr>
        <w:trPr>
          <w:trHeight w:val="362" w:hRule="exact"/>
        </w:trPr>
        <w:tc>
          <w:tcPr>
            <w:tcW w:w="35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217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right="184"/>
        <w:jc w:val="left"/>
      </w:pPr>
      <w:r>
        <w:rPr/>
        <w:t>注：</w:t>
      </w:r>
      <w:r>
        <w:rPr>
          <w:rFonts w:ascii="Times New Roman" w:hAnsi="Times New Roman" w:cs="Times New Roman" w:eastAsia="Times New Roman" w:hint="default"/>
        </w:rPr>
        <w:t>1</w:t>
      </w:r>
      <w:r>
        <w:rPr/>
        <w:t>、编制合并报表的公司，只需计算、列报合并口径的基本每股收益和稀释每股收益，无需计算、列报母公司口径的基 本每股收益和稀释每股收益。</w:t>
      </w:r>
    </w:p>
    <w:p>
      <w:pPr>
        <w:pStyle w:val="BodyText"/>
        <w:spacing w:line="309" w:lineRule="auto" w:before="70"/>
        <w:ind w:right="190" w:firstLine="360"/>
        <w:jc w:val="both"/>
      </w:pPr>
      <w:r>
        <w:rPr>
          <w:rFonts w:ascii="Times New Roman" w:hAnsi="Times New Roman" w:cs="Times New Roman" w:eastAsia="Times New Roman" w:hint="default"/>
        </w:rPr>
        <w:t>2</w:t>
      </w:r>
      <w:r>
        <w:rPr/>
        <w:t>、对于</w:t>
      </w:r>
      <w:r>
        <w:rPr>
          <w:rFonts w:ascii="Times New Roman" w:hAnsi="Times New Roman" w:cs="Times New Roman" w:eastAsia="Times New Roman" w:hint="default"/>
        </w:rPr>
        <w:t>“</w:t>
      </w:r>
      <w:r>
        <w:rPr/>
        <w:t>每股收益</w:t>
      </w:r>
      <w:r>
        <w:rPr>
          <w:rFonts w:ascii="Times New Roman" w:hAnsi="Times New Roman" w:cs="Times New Roman" w:eastAsia="Times New Roman" w:hint="default"/>
        </w:rPr>
        <w:t>”</w:t>
      </w:r>
      <w:r>
        <w:rPr/>
        <w:t>，有限公司阶段不用计算和披露，股份公司设立后当年及以后期间计算和披露。有限公司整体变更 </w:t>
      </w:r>
      <w:r>
        <w:rPr>
          <w:spacing w:val="-2"/>
        </w:rPr>
        <w:t>为股份公司的当年期初股本数按折股时股本计算，即股份公司设立前不考虑权重变化。股份公司设立后执行《公开发行证券</w:t>
      </w:r>
      <w:r>
        <w:rPr>
          <w:spacing w:val="-63"/>
        </w:rPr>
        <w:t> </w:t>
      </w:r>
      <w:r>
        <w:rPr>
          <w:spacing w:val="-63"/>
        </w:rPr>
      </w:r>
      <w:r>
        <w:rPr/>
        <w:t>的公司信息披露编报规则第</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5"/>
        </w:rPr>
        <w:t>号》，考虑权重变化加权计算每股收益。例如：</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2"/>
        </w:rPr>
        <w:t>月有限公司注册资本（实收资本）由</w:t>
      </w:r>
    </w:p>
    <w:p>
      <w:pPr>
        <w:pStyle w:val="BodyText"/>
        <w:spacing w:line="240" w:lineRule="auto" w:before="5"/>
        <w:ind w:right="62"/>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万元增资至</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spacing w:val="-5"/>
        </w:rPr>
        <w:t>万元，</w:t>
      </w:r>
      <w:r>
        <w:rPr>
          <w:rFonts w:ascii="Times New Roman" w:hAnsi="Times New Roman" w:cs="Times New Roman" w:eastAsia="Times New Roman" w:hint="default"/>
          <w:spacing w:val="-5"/>
        </w:rPr>
        <w:t>5</w:t>
      </w:r>
      <w:r>
        <w:rPr>
          <w:rFonts w:ascii="Times New Roman" w:hAnsi="Times New Roman" w:cs="Times New Roman" w:eastAsia="Times New Roman" w:hint="default"/>
          <w:spacing w:val="-6"/>
        </w:rPr>
        <w:t> </w:t>
      </w:r>
      <w:r>
        <w:rPr/>
        <w:t>月变更设立股份公司，折合股本</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4"/>
        </w:rPr>
        <w:t>亿股，此后不变。则</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年不披露每股收益，股本为实收</w:t>
      </w:r>
    </w:p>
    <w:p>
      <w:pPr>
        <w:pStyle w:val="BodyText"/>
        <w:spacing w:line="240" w:lineRule="auto" w:before="62"/>
        <w:ind w:right="62"/>
        <w:jc w:val="left"/>
      </w:pPr>
      <w:r>
        <w:rPr/>
        <w:t>资本</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年期初股本数为</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亿股，此后也为</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亿股。</w:t>
      </w:r>
    </w:p>
    <w:p>
      <w:pPr>
        <w:spacing w:line="240" w:lineRule="auto" w:before="3"/>
        <w:rPr>
          <w:rFonts w:ascii="宋体" w:hAnsi="宋体" w:cs="宋体" w:eastAsia="宋体" w:hint="default"/>
          <w:sz w:val="24"/>
          <w:szCs w:val="24"/>
        </w:rPr>
      </w:pPr>
    </w:p>
    <w:p>
      <w:pPr>
        <w:pStyle w:val="Heading3"/>
        <w:spacing w:line="240" w:lineRule="auto"/>
        <w:ind w:right="62"/>
        <w:jc w:val="left"/>
        <w:rPr>
          <w:b w:val="0"/>
          <w:bCs w:val="0"/>
        </w:rPr>
      </w:pPr>
      <w:bookmarkStart w:name="2、公司主要会计报表项目的异常情况及原因的说明" w:id="502"/>
      <w:bookmarkEnd w:id="502"/>
      <w:r>
        <w:rPr>
          <w:b w:val="0"/>
          <w:bCs w:val="0"/>
        </w:rPr>
      </w: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62"/>
        <w:jc w:val="left"/>
      </w:pPr>
      <w:r>
        <w:rPr/>
        <w:t>（</w:t>
      </w:r>
      <w:r>
        <w:rPr>
          <w:rFonts w:ascii="Times New Roman" w:hAnsi="Times New Roman" w:cs="Times New Roman" w:eastAsia="Times New Roman" w:hint="default"/>
        </w:rPr>
        <w:t>1</w:t>
      </w:r>
      <w:r>
        <w:rPr/>
        <w:t>）货币资金</w:t>
      </w:r>
    </w:p>
    <w:p>
      <w:pPr>
        <w:pStyle w:val="BodyText"/>
        <w:spacing w:line="300" w:lineRule="auto" w:before="62"/>
        <w:ind w:right="62" w:firstLine="48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w:t>
      </w:r>
      <w:r>
        <w:rPr>
          <w:rFonts w:ascii="Times New Roman" w:hAnsi="Times New Roman" w:cs="Times New Roman" w:eastAsia="Times New Roman" w:hint="default"/>
          <w:spacing w:val="-1"/>
        </w:rPr>
        <w:t>433,283,917.03</w:t>
      </w:r>
      <w:r>
        <w:rPr>
          <w:rFonts w:ascii="Times New Roman" w:hAnsi="Times New Roman" w:cs="Times New Roman" w:eastAsia="Times New Roman" w:hint="default"/>
          <w:spacing w:val="5"/>
        </w:rPr>
        <w:t> </w:t>
      </w:r>
      <w:r>
        <w:rPr>
          <w:spacing w:val="-2"/>
        </w:rPr>
        <w:t>元，比</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日增加</w:t>
      </w:r>
      <w:r>
        <w:rPr>
          <w:rFonts w:ascii="Times New Roman" w:hAnsi="Times New Roman" w:cs="Times New Roman" w:eastAsia="Times New Roman" w:hint="default"/>
          <w:spacing w:val="-2"/>
        </w:rPr>
        <w:t>446.83%</w:t>
      </w:r>
      <w:r>
        <w:rPr>
          <w:spacing w:val="-2"/>
        </w:rPr>
        <w:t>，其主要原因是</w:t>
      </w:r>
      <w:r>
        <w:rPr>
          <w:rFonts w:ascii="Times New Roman" w:hAnsi="Times New Roman" w:cs="Times New Roman" w:eastAsia="Times New Roman" w:hint="default"/>
          <w:spacing w:val="-2"/>
        </w:rPr>
        <w:t>2012</w:t>
      </w:r>
      <w:r>
        <w:rPr>
          <w:spacing w:val="-2"/>
        </w:rPr>
        <w:t>年本公司成功上市，收到募</w:t>
      </w:r>
      <w:r>
        <w:rPr/>
        <w:t> 集资金</w:t>
      </w:r>
      <w:r>
        <w:rPr>
          <w:rFonts w:ascii="Times New Roman" w:hAnsi="Times New Roman" w:cs="Times New Roman" w:eastAsia="Times New Roman" w:hint="default"/>
        </w:rPr>
        <w:t>385,475,000.00</w:t>
      </w:r>
      <w:r>
        <w:rPr/>
        <w:t>元。</w:t>
      </w:r>
    </w:p>
    <w:p>
      <w:pPr>
        <w:pStyle w:val="BodyText"/>
        <w:spacing w:line="240" w:lineRule="auto" w:before="13"/>
        <w:ind w:right="62"/>
        <w:jc w:val="left"/>
      </w:pPr>
      <w:r>
        <w:rPr/>
        <w:t>（</w:t>
      </w:r>
      <w:r>
        <w:rPr>
          <w:rFonts w:ascii="Times New Roman" w:hAnsi="Times New Roman" w:cs="Times New Roman" w:eastAsia="Times New Roman" w:hint="default"/>
        </w:rPr>
        <w:t>2</w:t>
      </w:r>
      <w:r>
        <w:rPr/>
        <w:t>）应收账款</w:t>
      </w:r>
    </w:p>
    <w:p>
      <w:pPr>
        <w:pStyle w:val="BodyText"/>
        <w:spacing w:line="300" w:lineRule="auto" w:before="62"/>
        <w:ind w:right="62" w:firstLine="48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日为</w:t>
      </w:r>
      <w:r>
        <w:rPr>
          <w:rFonts w:ascii="Times New Roman" w:hAnsi="Times New Roman" w:cs="Times New Roman" w:eastAsia="Times New Roman" w:hint="default"/>
          <w:spacing w:val="-1"/>
        </w:rPr>
        <w:t>155,445,282.25</w:t>
      </w:r>
      <w:r>
        <w:rPr>
          <w:spacing w:val="-1"/>
        </w:rPr>
        <w:t>元，比</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日增加</w:t>
      </w:r>
      <w:r>
        <w:rPr>
          <w:rFonts w:ascii="Times New Roman" w:hAnsi="Times New Roman" w:cs="Times New Roman" w:eastAsia="Times New Roman" w:hint="default"/>
          <w:spacing w:val="-1"/>
        </w:rPr>
        <w:t>141.70%</w:t>
      </w:r>
      <w:r>
        <w:rPr>
          <w:spacing w:val="-1"/>
        </w:rPr>
        <w:t>，其主要原因是</w:t>
      </w:r>
      <w:r>
        <w:rPr>
          <w:rFonts w:ascii="Times New Roman" w:hAnsi="Times New Roman" w:cs="Times New Roman" w:eastAsia="Times New Roman" w:hint="default"/>
          <w:spacing w:val="-1"/>
        </w:rPr>
        <w:t>2012</w:t>
      </w:r>
      <w:r>
        <w:rPr>
          <w:spacing w:val="-1"/>
        </w:rPr>
        <w:t>年本公司销售规模扩大相应</w:t>
      </w:r>
      <w:r>
        <w:rPr/>
        <w:t> 应收账款增加。</w:t>
      </w:r>
    </w:p>
    <w:p>
      <w:pPr>
        <w:pStyle w:val="BodyText"/>
        <w:spacing w:line="240" w:lineRule="auto" w:before="31"/>
        <w:ind w:right="62"/>
        <w:jc w:val="left"/>
      </w:pPr>
      <w:r>
        <w:rPr/>
        <w:t>（</w:t>
      </w:r>
      <w:r>
        <w:rPr>
          <w:rFonts w:ascii="Times New Roman" w:hAnsi="Times New Roman" w:cs="Times New Roman" w:eastAsia="Times New Roman" w:hint="default"/>
        </w:rPr>
        <w:t>3</w:t>
      </w:r>
      <w:r>
        <w:rPr/>
        <w:t>）预付账款</w:t>
      </w:r>
    </w:p>
    <w:p>
      <w:pPr>
        <w:pStyle w:val="BodyText"/>
        <w:spacing w:line="300" w:lineRule="auto" w:before="62"/>
        <w:ind w:right="62"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w:t>
      </w:r>
      <w:r>
        <w:rPr>
          <w:rFonts w:ascii="Times New Roman" w:hAnsi="Times New Roman" w:cs="Times New Roman" w:eastAsia="Times New Roman" w:hint="default"/>
          <w:spacing w:val="-2"/>
        </w:rPr>
        <w:t>17,219,704.67</w:t>
      </w:r>
      <w:r>
        <w:rPr>
          <w:spacing w:val="-2"/>
        </w:rPr>
        <w:t>元，比</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日增加</w:t>
      </w:r>
      <w:r>
        <w:rPr>
          <w:rFonts w:ascii="Times New Roman" w:hAnsi="Times New Roman" w:cs="Times New Roman" w:eastAsia="Times New Roman" w:hint="default"/>
          <w:spacing w:val="-2"/>
        </w:rPr>
        <w:t>250.90%</w:t>
      </w:r>
      <w:r>
        <w:rPr>
          <w:spacing w:val="-2"/>
        </w:rPr>
        <w:t>，其主要原因是</w:t>
      </w:r>
      <w:r>
        <w:rPr>
          <w:rFonts w:ascii="Times New Roman" w:hAnsi="Times New Roman" w:cs="Times New Roman" w:eastAsia="Times New Roman" w:hint="default"/>
          <w:spacing w:val="-2"/>
        </w:rPr>
        <w:t>2012</w:t>
      </w:r>
      <w:r>
        <w:rPr>
          <w:spacing w:val="-2"/>
        </w:rPr>
        <w:t>年母公司预付购房款，导致预</w:t>
      </w:r>
      <w:r>
        <w:rPr/>
        <w:t> 付账款相应增加。</w:t>
      </w:r>
    </w:p>
    <w:p>
      <w:pPr>
        <w:pStyle w:val="BodyText"/>
        <w:spacing w:line="240" w:lineRule="auto" w:before="31"/>
        <w:ind w:right="62"/>
        <w:jc w:val="left"/>
      </w:pPr>
      <w:r>
        <w:rPr/>
        <w:t>（</w:t>
      </w:r>
      <w:r>
        <w:rPr>
          <w:rFonts w:ascii="Times New Roman" w:hAnsi="Times New Roman" w:cs="Times New Roman" w:eastAsia="Times New Roman" w:hint="default"/>
        </w:rPr>
        <w:t>4</w:t>
      </w:r>
      <w:r>
        <w:rPr/>
        <w:t>）其他流动资产</w:t>
      </w:r>
    </w:p>
    <w:p>
      <w:pPr>
        <w:pStyle w:val="BodyText"/>
        <w:spacing w:line="300" w:lineRule="auto" w:before="62"/>
        <w:ind w:right="62"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w:t>
      </w:r>
      <w:r>
        <w:rPr>
          <w:rFonts w:ascii="Times New Roman" w:hAnsi="Times New Roman" w:cs="Times New Roman" w:eastAsia="Times New Roman" w:hint="default"/>
          <w:spacing w:val="-2"/>
        </w:rPr>
        <w:t>1,759,642.90</w:t>
      </w:r>
      <w:r>
        <w:rPr>
          <w:spacing w:val="-2"/>
        </w:rPr>
        <w:t>元，比</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日减少</w:t>
      </w:r>
      <w:r>
        <w:rPr>
          <w:rFonts w:ascii="Times New Roman" w:hAnsi="Times New Roman" w:cs="Times New Roman" w:eastAsia="Times New Roman" w:hint="default"/>
          <w:spacing w:val="-2"/>
        </w:rPr>
        <w:t>65.20%</w:t>
      </w:r>
      <w:r>
        <w:rPr>
          <w:spacing w:val="-2"/>
        </w:rPr>
        <w:t>，其主要原因是本公司成功上市将以前年度在其他流</w:t>
      </w:r>
      <w:r>
        <w:rPr/>
        <w:t> 动资产中核算的上市筹备费结转，导致其他流动资产相应减少。</w:t>
      </w:r>
    </w:p>
    <w:p>
      <w:pPr>
        <w:pStyle w:val="BodyText"/>
        <w:spacing w:line="240" w:lineRule="auto" w:before="31"/>
        <w:ind w:right="62"/>
        <w:jc w:val="left"/>
      </w:pPr>
      <w:r>
        <w:rPr/>
        <w:t>（</w:t>
      </w:r>
      <w:r>
        <w:rPr>
          <w:rFonts w:ascii="Times New Roman" w:hAnsi="Times New Roman" w:cs="Times New Roman" w:eastAsia="Times New Roman" w:hint="default"/>
        </w:rPr>
        <w:t>5</w:t>
      </w:r>
      <w:r>
        <w:rPr/>
        <w:t>）应付账款</w:t>
      </w:r>
    </w:p>
    <w:p>
      <w:pPr>
        <w:pStyle w:val="BodyText"/>
        <w:spacing w:line="240" w:lineRule="auto" w:before="62"/>
        <w:ind w:left="632" w:right="6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7,860,412.95</w:t>
      </w:r>
      <w:r>
        <w:rPr/>
        <w:t>元，比</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日增加</w:t>
      </w:r>
      <w:r>
        <w:rPr>
          <w:rFonts w:ascii="Times New Roman" w:hAnsi="Times New Roman" w:cs="Times New Roman" w:eastAsia="Times New Roman" w:hint="default"/>
        </w:rPr>
        <w:t>30.32%</w:t>
      </w:r>
      <w:r>
        <w:rPr/>
        <w:t>，其主要原因是公司的采购业务形成应付款的增加。</w:t>
      </w:r>
    </w:p>
    <w:p>
      <w:pPr>
        <w:pStyle w:val="BodyText"/>
        <w:spacing w:line="240" w:lineRule="auto" w:before="62"/>
        <w:ind w:right="62"/>
        <w:jc w:val="left"/>
      </w:pPr>
      <w:r>
        <w:rPr/>
        <w:t>（</w:t>
      </w:r>
      <w:r>
        <w:rPr>
          <w:rFonts w:ascii="Times New Roman" w:hAnsi="Times New Roman" w:cs="Times New Roman" w:eastAsia="Times New Roman" w:hint="default"/>
        </w:rPr>
        <w:t>6</w:t>
      </w:r>
      <w:r>
        <w:rPr/>
        <w:t>）预收账款</w:t>
      </w:r>
    </w:p>
    <w:p>
      <w:pPr>
        <w:pStyle w:val="BodyText"/>
        <w:spacing w:line="240" w:lineRule="auto" w:before="62"/>
        <w:ind w:left="632" w:right="6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4,664,813.66</w:t>
      </w:r>
      <w:r>
        <w:rPr/>
        <w:t>元，比</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日减少</w:t>
      </w:r>
      <w:r>
        <w:rPr>
          <w:rFonts w:ascii="Times New Roman" w:hAnsi="Times New Roman" w:cs="Times New Roman" w:eastAsia="Times New Roman" w:hint="default"/>
        </w:rPr>
        <w:t>43.53%</w:t>
      </w:r>
      <w:r>
        <w:rPr/>
        <w:t>。其主要原因是公司预收项目工程款减少。</w:t>
      </w:r>
    </w:p>
    <w:p>
      <w:pPr>
        <w:pStyle w:val="BodyText"/>
        <w:spacing w:line="240" w:lineRule="auto" w:before="62"/>
        <w:ind w:right="62"/>
        <w:jc w:val="left"/>
      </w:pPr>
      <w:r>
        <w:rPr/>
        <w:t>（</w:t>
      </w:r>
      <w:r>
        <w:rPr>
          <w:rFonts w:ascii="Times New Roman" w:hAnsi="Times New Roman" w:cs="Times New Roman" w:eastAsia="Times New Roman" w:hint="default"/>
        </w:rPr>
        <w:t>7</w:t>
      </w:r>
      <w:r>
        <w:rPr/>
        <w:t>）应交税费</w:t>
      </w:r>
    </w:p>
    <w:p>
      <w:pPr>
        <w:pStyle w:val="BodyText"/>
        <w:spacing w:line="300" w:lineRule="auto" w:before="62"/>
        <w:ind w:right="62"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w:t>
      </w:r>
      <w:r>
        <w:rPr>
          <w:rFonts w:ascii="Times New Roman" w:hAnsi="Times New Roman" w:cs="Times New Roman" w:eastAsia="Times New Roman" w:hint="default"/>
          <w:spacing w:val="-2"/>
        </w:rPr>
        <w:t>28,333,515.78</w:t>
      </w:r>
      <w:r>
        <w:rPr>
          <w:spacing w:val="-2"/>
        </w:rPr>
        <w:t>元，比</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日增加</w:t>
      </w:r>
      <w:r>
        <w:rPr>
          <w:rFonts w:ascii="Times New Roman" w:hAnsi="Times New Roman" w:cs="Times New Roman" w:eastAsia="Times New Roman" w:hint="default"/>
          <w:spacing w:val="-2"/>
        </w:rPr>
        <w:t>131.79%</w:t>
      </w:r>
      <w:r>
        <w:rPr>
          <w:spacing w:val="-2"/>
        </w:rPr>
        <w:t>，其主要原因是公司收入增加，导致应交增值税相</w:t>
      </w:r>
      <w:r>
        <w:rPr/>
        <w:t> 应增加，公司经营利润增加相应应交企业所得税增加。</w:t>
      </w:r>
    </w:p>
    <w:p>
      <w:pPr>
        <w:pStyle w:val="BodyText"/>
        <w:spacing w:line="240" w:lineRule="auto" w:before="31"/>
        <w:ind w:right="62"/>
        <w:jc w:val="left"/>
      </w:pPr>
      <w:r>
        <w:rPr/>
        <w:t>（</w:t>
      </w:r>
      <w:r>
        <w:rPr>
          <w:rFonts w:ascii="Times New Roman" w:hAnsi="Times New Roman" w:cs="Times New Roman" w:eastAsia="Times New Roman" w:hint="default"/>
        </w:rPr>
        <w:t>8</w:t>
      </w:r>
      <w:r>
        <w:rPr/>
        <w:t>）营业收入</w:t>
      </w:r>
    </w:p>
    <w:p>
      <w:pPr>
        <w:pStyle w:val="BodyText"/>
        <w:spacing w:line="300" w:lineRule="auto" w:before="62"/>
        <w:ind w:right="62" w:firstLine="480"/>
        <w:jc w:val="left"/>
      </w:pPr>
      <w:r>
        <w:rPr>
          <w:rFonts w:ascii="Times New Roman" w:hAnsi="Times New Roman" w:cs="Times New Roman" w:eastAsia="Times New Roman" w:hint="default"/>
          <w:spacing w:val="-2"/>
        </w:rPr>
        <w:t>2012</w:t>
      </w:r>
      <w:r>
        <w:rPr>
          <w:spacing w:val="-2"/>
        </w:rPr>
        <w:t>年度发生额为</w:t>
      </w:r>
      <w:r>
        <w:rPr>
          <w:rFonts w:ascii="Times New Roman" w:hAnsi="Times New Roman" w:cs="Times New Roman" w:eastAsia="Times New Roman" w:hint="default"/>
          <w:spacing w:val="-2"/>
        </w:rPr>
        <w:t>189,957,858.76</w:t>
      </w:r>
      <w:r>
        <w:rPr>
          <w:spacing w:val="-2"/>
        </w:rPr>
        <w:t>元，比</w:t>
      </w:r>
      <w:r>
        <w:rPr>
          <w:rFonts w:ascii="Times New Roman" w:hAnsi="Times New Roman" w:cs="Times New Roman" w:eastAsia="Times New Roman" w:hint="default"/>
          <w:spacing w:val="-2"/>
        </w:rPr>
        <w:t>2011</w:t>
      </w:r>
      <w:r>
        <w:rPr>
          <w:spacing w:val="-2"/>
        </w:rPr>
        <w:t>年度增加</w:t>
      </w:r>
      <w:r>
        <w:rPr>
          <w:rFonts w:ascii="Times New Roman" w:hAnsi="Times New Roman" w:cs="Times New Roman" w:eastAsia="Times New Roman" w:hint="default"/>
          <w:spacing w:val="-2"/>
        </w:rPr>
        <w:t>49.63%</w:t>
      </w:r>
      <w:r>
        <w:rPr>
          <w:spacing w:val="-2"/>
        </w:rPr>
        <w:t>，其主要原因是其主要原因是公司经营规模持续扩大且子</w:t>
      </w:r>
      <w:r>
        <w:rPr/>
        <w:t> 公司自</w:t>
      </w:r>
      <w:r>
        <w:rPr>
          <w:rFonts w:ascii="Times New Roman" w:hAnsi="Times New Roman" w:cs="Times New Roman" w:eastAsia="Times New Roman" w:hint="default"/>
        </w:rPr>
        <w:t>2010</w:t>
      </w:r>
      <w:r>
        <w:rPr/>
        <w:t>年成立后业务发展较为迅速，销售额大幅上涨导致。</w:t>
      </w:r>
    </w:p>
    <w:p>
      <w:pPr>
        <w:pStyle w:val="BodyText"/>
        <w:spacing w:line="240" w:lineRule="auto" w:before="13"/>
        <w:ind w:right="62"/>
        <w:jc w:val="left"/>
      </w:pPr>
      <w:r>
        <w:rPr/>
        <w:t>（</w:t>
      </w:r>
      <w:r>
        <w:rPr>
          <w:rFonts w:ascii="Times New Roman" w:hAnsi="Times New Roman" w:cs="Times New Roman" w:eastAsia="Times New Roman" w:hint="default"/>
        </w:rPr>
        <w:t>9</w:t>
      </w:r>
      <w:r>
        <w:rPr/>
        <w:t>）管理费用</w:t>
      </w:r>
    </w:p>
    <w:p>
      <w:pPr>
        <w:pStyle w:val="BodyText"/>
        <w:spacing w:line="300" w:lineRule="auto" w:before="62"/>
        <w:ind w:right="184" w:firstLine="480"/>
        <w:jc w:val="left"/>
      </w:pPr>
      <w:r>
        <w:rPr>
          <w:rFonts w:ascii="Times New Roman" w:hAnsi="Times New Roman" w:cs="Times New Roman" w:eastAsia="Times New Roman" w:hint="default"/>
        </w:rPr>
        <w:t>2012</w:t>
      </w:r>
      <w:r>
        <w:rPr/>
        <w:t>年度发生额为</w:t>
      </w:r>
      <w:r>
        <w:rPr>
          <w:rFonts w:ascii="Times New Roman" w:hAnsi="Times New Roman" w:cs="Times New Roman" w:eastAsia="Times New Roman" w:hint="default"/>
        </w:rPr>
        <w:t>49,825,792.92</w:t>
      </w:r>
      <w:r>
        <w:rPr/>
        <w:t>元，比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42.88%</w:t>
      </w:r>
      <w:r>
        <w:rPr/>
        <w:t>，其主要原因为本期转入上市筹备费，且公司经营规模扩 大，管理人员增加相应薪酬类费用的增加。</w:t>
      </w:r>
    </w:p>
    <w:p>
      <w:pPr>
        <w:pStyle w:val="BodyText"/>
        <w:spacing w:line="240" w:lineRule="auto" w:before="31"/>
        <w:ind w:right="62"/>
        <w:jc w:val="left"/>
      </w:pPr>
      <w:r>
        <w:rPr/>
        <w:t>（</w:t>
      </w:r>
      <w:r>
        <w:rPr>
          <w:rFonts w:ascii="Times New Roman" w:hAnsi="Times New Roman" w:cs="Times New Roman" w:eastAsia="Times New Roman" w:hint="default"/>
        </w:rPr>
        <w:t>10</w:t>
      </w:r>
      <w:r>
        <w:rPr/>
        <w:t>）销售费用</w:t>
      </w:r>
    </w:p>
    <w:p>
      <w:pPr>
        <w:pStyle w:val="BodyText"/>
        <w:spacing w:line="300" w:lineRule="auto" w:before="62"/>
        <w:ind w:right="184" w:firstLine="480"/>
        <w:jc w:val="left"/>
      </w:pPr>
      <w:r>
        <w:rPr>
          <w:rFonts w:ascii="Times New Roman" w:hAnsi="Times New Roman" w:cs="Times New Roman" w:eastAsia="Times New Roman" w:hint="default"/>
        </w:rPr>
        <w:t>2012</w:t>
      </w:r>
      <w:r>
        <w:rPr/>
        <w:t>年度发生额为</w:t>
      </w:r>
      <w:r>
        <w:rPr>
          <w:rFonts w:ascii="Times New Roman" w:hAnsi="Times New Roman" w:cs="Times New Roman" w:eastAsia="Times New Roman" w:hint="default"/>
        </w:rPr>
        <w:t>52,514,065.77</w:t>
      </w:r>
      <w:r>
        <w:rPr/>
        <w:t>元，比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39.70%</w:t>
      </w:r>
      <w:r>
        <w:rPr/>
        <w:t>，其主要原因为本年销售收入增加较大，导致相应销售费 用增长。</w:t>
      </w:r>
    </w:p>
    <w:p>
      <w:pPr>
        <w:pStyle w:val="BodyText"/>
        <w:spacing w:line="240" w:lineRule="auto" w:before="31"/>
        <w:ind w:right="62"/>
        <w:jc w:val="left"/>
      </w:pPr>
      <w:r>
        <w:rPr/>
        <w:t>（</w:t>
      </w:r>
      <w:r>
        <w:rPr>
          <w:rFonts w:ascii="Times New Roman" w:hAnsi="Times New Roman" w:cs="Times New Roman" w:eastAsia="Times New Roman" w:hint="default"/>
        </w:rPr>
        <w:t>11</w:t>
      </w:r>
      <w:r>
        <w:rPr/>
        <w:t>）财务费用</w:t>
      </w:r>
    </w:p>
    <w:p>
      <w:pPr>
        <w:pStyle w:val="BodyText"/>
        <w:spacing w:line="300" w:lineRule="auto" w:before="62"/>
        <w:ind w:right="215" w:firstLine="479"/>
        <w:jc w:val="left"/>
      </w:pPr>
      <w:r>
        <w:rPr>
          <w:rFonts w:ascii="Times New Roman" w:hAnsi="Times New Roman" w:cs="Times New Roman" w:eastAsia="Times New Roman" w:hint="default"/>
        </w:rPr>
        <w:t>2012</w:t>
      </w:r>
      <w:r>
        <w:rPr/>
        <w:t>年度发生额为</w:t>
      </w:r>
      <w:r>
        <w:rPr>
          <w:rFonts w:ascii="Times New Roman" w:hAnsi="Times New Roman" w:cs="Times New Roman" w:eastAsia="Times New Roman" w:hint="default"/>
        </w:rPr>
        <w:t>-2,611,174.08</w:t>
      </w:r>
      <w:r>
        <w:rPr/>
        <w:t>元，比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1733.81%</w:t>
      </w:r>
      <w:r>
        <w:rPr/>
        <w:t>，其主要原因为银行存款数增加较多，导致财务费用利 息收入增加。</w:t>
      </w:r>
    </w:p>
    <w:p>
      <w:pPr>
        <w:pStyle w:val="BodyText"/>
        <w:spacing w:line="240" w:lineRule="auto" w:before="31"/>
        <w:ind w:right="62"/>
        <w:jc w:val="left"/>
      </w:pPr>
      <w:r>
        <w:rPr/>
        <w:t>（</w:t>
      </w:r>
      <w:r>
        <w:rPr>
          <w:rFonts w:ascii="Times New Roman" w:hAnsi="Times New Roman" w:cs="Times New Roman" w:eastAsia="Times New Roman" w:hint="default"/>
        </w:rPr>
        <w:t>12</w:t>
      </w:r>
      <w:r>
        <w:rPr/>
        <w:t>）资产减值损失</w:t>
      </w:r>
    </w:p>
    <w:p>
      <w:pPr>
        <w:pStyle w:val="BodyText"/>
        <w:spacing w:line="240" w:lineRule="auto" w:before="62"/>
        <w:ind w:left="632" w:right="62"/>
        <w:jc w:val="left"/>
      </w:pPr>
      <w:r>
        <w:rPr>
          <w:rFonts w:ascii="Times New Roman" w:hAnsi="Times New Roman" w:cs="Times New Roman" w:eastAsia="Times New Roman" w:hint="default"/>
        </w:rPr>
        <w:t>2012</w:t>
      </w:r>
      <w:r>
        <w:rPr/>
        <w:t>年度发生额为</w:t>
      </w:r>
      <w:r>
        <w:rPr>
          <w:rFonts w:ascii="Times New Roman" w:hAnsi="Times New Roman" w:cs="Times New Roman" w:eastAsia="Times New Roman" w:hint="default"/>
        </w:rPr>
        <w:t>7,313,798.63</w:t>
      </w:r>
      <w:r>
        <w:rPr/>
        <w:t>元，比</w:t>
      </w:r>
      <w:r>
        <w:rPr>
          <w:rFonts w:ascii="Times New Roman" w:hAnsi="Times New Roman" w:cs="Times New Roman" w:eastAsia="Times New Roman" w:hint="default"/>
        </w:rPr>
        <w:t>2011</w:t>
      </w:r>
      <w:r>
        <w:rPr/>
        <w:t>年度增加</w:t>
      </w:r>
      <w:r>
        <w:rPr>
          <w:rFonts w:ascii="Times New Roman" w:hAnsi="Times New Roman" w:cs="Times New Roman" w:eastAsia="Times New Roman" w:hint="default"/>
        </w:rPr>
        <w:t>184.87%</w:t>
      </w:r>
      <w:r>
        <w:rPr/>
        <w:t>，其主要原因为本期应收账款增加，导致本期计提坏账准</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备数增加。</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539" w:lineRule="exact"/>
        <w:ind w:left="2874" w:right="0"/>
        <w:jc w:val="left"/>
        <w:rPr>
          <w:b w:val="0"/>
          <w:bCs w:val="0"/>
        </w:rPr>
      </w:pPr>
      <w:bookmarkStart w:name="_TOC_250000" w:id="503"/>
      <w:bookmarkStart w:name="第十节 备查文件目录" w:id="504"/>
      <w:r>
        <w:rPr>
          <w:b w:val="0"/>
          <w:bCs w:val="0"/>
        </w:rPr>
      </w:r>
      <w:r>
        <w:rPr/>
        <w:t>第十节</w:t>
      </w:r>
      <w:r>
        <w:rPr>
          <w:spacing w:val="-8"/>
        </w:rPr>
        <w:t> </w:t>
      </w:r>
      <w:r>
        <w:rPr/>
        <w:t>备查文件目录</w:t>
      </w:r>
      <w:bookmarkEnd w:id="503"/>
      <w:r>
        <w:rPr>
          <w:b w:val="0"/>
          <w:bCs w:val="0"/>
        </w:rPr>
      </w:r>
    </w:p>
    <w:p>
      <w:pPr>
        <w:spacing w:line="240" w:lineRule="auto" w:before="7"/>
        <w:rPr>
          <w:rFonts w:ascii="宋体" w:hAnsi="宋体" w:cs="宋体" w:eastAsia="宋体" w:hint="default"/>
          <w:b/>
          <w:bCs/>
          <w:sz w:val="36"/>
          <w:szCs w:val="36"/>
        </w:rPr>
      </w:pPr>
    </w:p>
    <w:p>
      <w:pPr>
        <w:pStyle w:val="Heading4"/>
        <w:spacing w:line="312" w:lineRule="exact"/>
        <w:ind w:right="174"/>
        <w:jc w:val="left"/>
      </w:pPr>
      <w:r>
        <w:rPr/>
        <w:t>一、载有公司法定代表人、主管会计工作负责人、公司会计机构负责人（会计主管人员）签 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2012</w:t>
      </w:r>
      <w:r>
        <w:rPr/>
        <w:t>年年度报告文本原件。</w:t>
      </w:r>
    </w:p>
    <w:p>
      <w:pPr>
        <w:pStyle w:val="Heading4"/>
        <w:spacing w:line="283" w:lineRule="exact"/>
        <w:ind w:right="0"/>
        <w:jc w:val="left"/>
      </w:pPr>
      <w:r>
        <w:rPr/>
        <w:t>五、其他相关资料。</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4"/>
        <w:spacing w:line="240" w:lineRule="auto"/>
        <w:ind w:right="0"/>
        <w:jc w:val="left"/>
      </w:pPr>
      <w:r>
        <w:rPr/>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Heading3"/>
        <w:spacing w:line="240" w:lineRule="auto"/>
        <w:ind w:left="0" w:right="153"/>
        <w:jc w:val="right"/>
        <w:rPr>
          <w:b w:val="0"/>
          <w:bCs w:val="0"/>
        </w:rPr>
      </w:pPr>
      <w:r>
        <w:rPr>
          <w:w w:val="95"/>
        </w:rPr>
        <w:t>北京北信源软件股份有限公司</w:t>
      </w:r>
      <w:r>
        <w:rPr>
          <w:b w:val="0"/>
          <w:bCs w:val="0"/>
        </w:rPr>
      </w:r>
    </w:p>
    <w:p>
      <w:pPr>
        <w:spacing w:line="240" w:lineRule="auto" w:before="12"/>
        <w:rPr>
          <w:rFonts w:ascii="宋体" w:hAnsi="宋体" w:cs="宋体" w:eastAsia="宋体" w:hint="default"/>
          <w:b/>
          <w:bCs/>
          <w:sz w:val="29"/>
          <w:szCs w:val="29"/>
        </w:rPr>
      </w:pPr>
    </w:p>
    <w:p>
      <w:pPr>
        <w:pStyle w:val="Heading3"/>
        <w:spacing w:line="240" w:lineRule="auto"/>
        <w:ind w:left="0" w:right="153"/>
        <w:jc w:val="right"/>
        <w:rPr>
          <w:b w:val="0"/>
          <w:bCs w:val="0"/>
        </w:rPr>
      </w:pPr>
      <w:r>
        <w:rPr>
          <w:w w:val="95"/>
        </w:rPr>
        <w:t>法定代表人：林皓</w:t>
      </w:r>
      <w:r>
        <w:rPr>
          <w:b w:val="0"/>
          <w:bCs w:val="0"/>
        </w:rPr>
      </w:r>
    </w:p>
    <w:p>
      <w:pPr>
        <w:spacing w:line="240" w:lineRule="auto" w:before="10"/>
        <w:rPr>
          <w:rFonts w:ascii="宋体" w:hAnsi="宋体" w:cs="宋体" w:eastAsia="宋体" w:hint="default"/>
          <w:b/>
          <w:bCs/>
          <w:sz w:val="29"/>
          <w:szCs w:val="29"/>
        </w:rPr>
      </w:pPr>
    </w:p>
    <w:p>
      <w:pPr>
        <w:pStyle w:val="Heading3"/>
        <w:spacing w:line="240" w:lineRule="auto"/>
        <w:ind w:left="0" w:right="153"/>
        <w:jc w:val="right"/>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b w:val="0"/>
          <w:bCs w:val="0"/>
        </w:rPr>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101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4016pt;margin-top:781.717896pt;width:13.25pt;height:11.15pt;mso-position-horizontal-relative:page;mso-position-vertical-relative:page;z-index:-11016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708923pt;width:13.2pt;height:11.15pt;mso-position-horizontal-relative:page;mso-position-vertical-relative:page;z-index:-11016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490pt;width:13.15pt;height:11.05pt;mso-position-horizontal-relative:page;mso-position-vertical-relative:page;z-index:-1101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4016pt;margin-top:781.708923pt;width:13.2pt;height:11.15pt;mso-position-horizontal-relative:page;mso-position-vertical-relative:page;z-index:-110161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11015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10913pt;width:17.7pt;height:11.05pt;mso-position-horizontal-relative:page;mso-position-vertical-relative:page;z-index:-1101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05pt;mso-position-horizontal-relative:page;mso-position-vertical-relative:page;z-index:-11015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991028pt;margin-top:781.744934pt;width:17.7pt;height:11.1pt;mso-position-horizontal-relative:page;mso-position-vertical-relative:page;z-index:-11015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pt;margin-top:36.265610pt;width:177.7pt;height:11.5pt;mso-position-horizontal-relative:page;mso-position-vertical-relative:page;z-index:-1101736" type="#_x0000_t202" filled="false" stroked="false">
          <v:textbox inset="0,0,0,0">
            <w:txbxContent>
              <w:p>
                <w:pPr>
                  <w:pStyle w:val="BodyText"/>
                  <w:spacing w:line="214" w:lineRule="exact"/>
                  <w:ind w:left="20" w:right="0"/>
                  <w:jc w:val="left"/>
                </w:pPr>
                <w:r>
                  <w:rPr/>
                  <w:t>北京北信源软件股份有限公司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8"/>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16"/>
      <w:outlineLvl w:val="1"/>
    </w:pPr>
    <w:rPr>
      <w:rFonts w:ascii="宋体" w:hAnsi="宋体" w:eastAsia="宋体"/>
      <w:b/>
      <w:bCs/>
      <w:sz w:val="44"/>
      <w:szCs w:val="44"/>
    </w:rPr>
  </w:style>
  <w:style w:styleId="Heading2" w:type="paragraph">
    <w:name w:val="Heading 2"/>
    <w:basedOn w:val="Normal"/>
    <w:uiPriority w:val="1"/>
    <w:qFormat/>
    <w:pPr>
      <w:spacing w:before="14"/>
      <w:ind w:hanging="140"/>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eb.vrv.com.cn/" TargetMode="External"/><Relationship Id="rId10" Type="http://schemas.openxmlformats.org/officeDocument/2006/relationships/hyperlink" Target="mailto:vrvzq@vrvmail.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北京北信源软件股份有限公司2012年度报告</dc:title>
  <dcterms:created xsi:type="dcterms:W3CDTF">2020-05-04T02:18:27Z</dcterms:created>
  <dcterms:modified xsi:type="dcterms:W3CDTF">2020-05-04T02:18:27Z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Creator">
    <vt:lpwstr>Acrobat PDFMaker 11 Word 版</vt:lpwstr>
  </property>
  <property fmtid="{D5CDD505-2E9C-101B-9397-08002B2CF9AE}" pid="4" name="LastSaved">
    <vt:filetime>2020-05-03T00:00:00Z</vt:filetime>
  </property>
</Properties>
</file>