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pStyle w:val="Heading2"/>
        <w:tabs>
          <w:tab w:pos="4200" w:val="left" w:leader="none"/>
          <w:tab w:pos="7214" w:val="left" w:leader="none"/>
        </w:tabs>
        <w:spacing w:line="240" w:lineRule="auto" w:before="141"/>
        <w:ind w:left="630" w:right="0"/>
        <w:jc w:val="left"/>
        <w:rPr>
          <w:rFonts w:ascii="Arial" w:hAnsi="Arial" w:cs="Arial" w:eastAsia="Arial" w:hint="default"/>
          <w:b w:val="0"/>
          <w:bCs w:val="0"/>
        </w:rPr>
      </w:pPr>
      <w:r>
        <w:rPr/>
        <w:pict>
          <v:group style="position:absolute;margin-left:55.200001pt;margin-top:-15.794394pt;width:484.9pt;height:.1pt;mso-position-horizontal-relative:page;mso-position-vertical-relative:paragraph;z-index:0" coordorigin="1104,-316" coordsize="9698,2">
            <v:shape style="position:absolute;left:1104;top:-316;width:9698;height:2" coordorigin="1104,-316" coordsize="9698,0" path="m1104,-316l10802,-316e" filled="false" stroked="true" strokeweight=".72pt" strokecolor="#000000">
              <v:path arrowok="t"/>
            </v:shape>
            <w10:wrap type="none"/>
          </v:group>
        </w:pict>
      </w:r>
      <w:r>
        <w:rPr>
          <w:rFonts w:ascii="黑体" w:hAnsi="黑体" w:cs="黑体" w:eastAsia="黑体" w:hint="default"/>
          <w:w w:val="95"/>
        </w:rPr>
        <w:t>证券代码：</w:t>
      </w:r>
      <w:r>
        <w:rPr>
          <w:rFonts w:ascii="Arial" w:hAnsi="Arial" w:cs="Arial" w:eastAsia="Arial" w:hint="default"/>
          <w:w w:val="95"/>
        </w:rPr>
        <w:t>300352</w:t>
        <w:tab/>
      </w:r>
      <w:r>
        <w:rPr>
          <w:rFonts w:ascii="黑体" w:hAnsi="黑体" w:cs="黑体" w:eastAsia="黑体" w:hint="default"/>
        </w:rPr>
        <w:t>证券简称：北信源</w:t>
        <w:tab/>
        <w:t>公告编码：</w:t>
      </w:r>
      <w:r>
        <w:rPr>
          <w:rFonts w:ascii="Arial" w:hAnsi="Arial" w:cs="Arial" w:eastAsia="Arial" w:hint="default"/>
        </w:rPr>
        <w:t>2015-021</w:t>
      </w:r>
      <w:r>
        <w:rPr>
          <w:rFonts w:ascii="Arial" w:hAnsi="Arial" w:cs="Arial" w:eastAsia="Arial" w:hint="default"/>
          <w:b w:val="0"/>
          <w:bCs w:val="0"/>
        </w:rPr>
      </w: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0"/>
        <w:rPr>
          <w:rFonts w:ascii="Arial" w:hAnsi="Arial" w:cs="Arial" w:eastAsia="Arial" w:hint="default"/>
          <w:b/>
          <w:bCs/>
          <w:sz w:val="24"/>
          <w:szCs w:val="24"/>
        </w:rPr>
      </w:pPr>
    </w:p>
    <w:p>
      <w:pPr>
        <w:spacing w:line="240" w:lineRule="auto" w:before="9"/>
        <w:rPr>
          <w:rFonts w:ascii="Arial" w:hAnsi="Arial" w:cs="Arial" w:eastAsia="Arial" w:hint="default"/>
          <w:b/>
          <w:bCs/>
          <w:sz w:val="30"/>
          <w:szCs w:val="30"/>
        </w:rPr>
      </w:pPr>
    </w:p>
    <w:p>
      <w:pPr>
        <w:spacing w:before="0"/>
        <w:ind w:left="2962" w:right="2245" w:firstLine="0"/>
        <w:jc w:val="center"/>
        <w:rPr>
          <w:rFonts w:ascii="宋体" w:hAnsi="宋体" w:cs="宋体" w:eastAsia="宋体" w:hint="default"/>
          <w:sz w:val="36"/>
          <w:szCs w:val="36"/>
        </w:rPr>
      </w:pPr>
      <w:r>
        <w:rPr>
          <w:rFonts w:ascii="宋体" w:hAnsi="宋体" w:cs="宋体" w:eastAsia="宋体" w:hint="default"/>
          <w:b/>
          <w:bCs/>
          <w:sz w:val="36"/>
          <w:szCs w:val="36"/>
        </w:rPr>
        <w:t>北京北信源软件股份有限公司</w:t>
      </w:r>
      <w:r>
        <w:rPr>
          <w:rFonts w:ascii="宋体" w:hAnsi="宋体" w:cs="宋体" w:eastAsia="宋体" w:hint="default"/>
          <w:sz w:val="36"/>
          <w:szCs w:val="36"/>
        </w:rPr>
      </w:r>
    </w:p>
    <w:p>
      <w:pPr>
        <w:spacing w:line="240" w:lineRule="auto" w:before="12"/>
        <w:rPr>
          <w:rFonts w:ascii="宋体" w:hAnsi="宋体" w:cs="宋体" w:eastAsia="宋体" w:hint="default"/>
          <w:b/>
          <w:bCs/>
          <w:sz w:val="30"/>
          <w:szCs w:val="30"/>
        </w:rPr>
      </w:pPr>
    </w:p>
    <w:p>
      <w:pPr>
        <w:spacing w:before="0"/>
        <w:ind w:left="2890" w:right="22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1407" w:lineRule="exact"/>
        <w:ind w:left="3609"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2047669" cy="8935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047669" cy="893540"/>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before="0"/>
        <w:ind w:left="2888" w:right="224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714" w:right="0" w:firstLine="2410"/>
        <w:jc w:val="left"/>
        <w:rPr>
          <w:b w:val="0"/>
          <w:bCs w:val="0"/>
        </w:rPr>
      </w:pPr>
      <w:bookmarkStart w:name="_TOC_250009" w:id="1"/>
      <w:r>
        <w:rPr/>
        <w:t>第一节</w:t>
      </w:r>
      <w:r>
        <w:rPr>
          <w:spacing w:val="-3"/>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34" w:firstLine="562"/>
        <w:jc w:val="both"/>
        <w:rPr>
          <w:rFonts w:ascii="宋体" w:hAnsi="宋体" w:cs="宋体" w:eastAsia="宋体" w:hint="default"/>
          <w:sz w:val="28"/>
          <w:szCs w:val="28"/>
        </w:rPr>
      </w:pPr>
      <w:r>
        <w:rPr>
          <w:rFonts w:ascii="宋体" w:hAnsi="宋体" w:cs="宋体" w:eastAsia="宋体" w:hint="default"/>
          <w:b/>
          <w:bCs/>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公司负责人林皓、主管会计工作负责人王灿及会计机构负责人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李丹声明：保证年度报告中财务报告的真实、准确、完整。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headerReference w:type="default" r:id="rId8"/>
          <w:footerReference w:type="default" r:id="rId9"/>
          <w:pgSz w:w="11910" w:h="16840"/>
          <w:pgMar w:header="877" w:footer="979" w:top="1100" w:bottom="11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line="460" w:lineRule="exact" w:before="0"/>
        <w:ind w:left="2962" w:right="22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Heading2"/>
        <w:spacing w:line="240" w:lineRule="auto" w:before="26"/>
        <w:ind w:left="635" w:right="0"/>
        <w:jc w:val="left"/>
        <w:rPr>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w:t>
      </w:r>
      <w:r>
        <w:rPr>
          <w:b w:val="0"/>
          <w:bCs w:val="0"/>
        </w:rPr>
      </w:r>
    </w:p>
    <w:sdt>
      <w:sdtPr>
        <w:docPartObj>
          <w:docPartGallery w:val="Table of Contents"/>
          <w:docPartUnique/>
        </w:docPartObj>
      </w:sdtPr>
      <w:sdtEndPr/>
      <w:sdtContent>
        <w:p>
          <w:pPr>
            <w:pStyle w:val="TOC1"/>
            <w:tabs>
              <w:tab w:pos="9783" w:val="right" w:leader="dot"/>
            </w:tabs>
            <w:spacing w:line="240" w:lineRule="auto"/>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09">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TOC_250008">
            <w:r>
              <w:rPr/>
              <w:t>第二节 公司基本情况简介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 董事会报告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 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 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3" w:val="right" w:leader="dot"/>
            </w:tabs>
            <w:spacing w:line="240" w:lineRule="auto" w:before="292"/>
            <w:ind w:right="0"/>
            <w:jc w:val="left"/>
            <w:rPr>
              <w:rFonts w:ascii="Times New Roman" w:hAnsi="Times New Roman" w:cs="Times New Roman" w:eastAsia="Times New Roman" w:hint="default"/>
              <w:b w:val="0"/>
              <w:bCs w:val="0"/>
            </w:rPr>
          </w:pPr>
          <w:hyperlink w:history="true" w:anchor="_TOC_250003">
            <w:r>
              <w:rPr/>
              <w:t>第七节 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 公司治理</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 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 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b/>
          <w:bCs/>
          <w:sz w:val="36"/>
          <w:szCs w:val="36"/>
        </w:rPr>
      </w:pPr>
    </w:p>
    <w:p>
      <w:pPr>
        <w:spacing w:line="240" w:lineRule="auto" w:before="8"/>
        <w:rPr>
          <w:rFonts w:ascii="Times New Roman" w:hAnsi="Times New Roman" w:cs="Times New Roman" w:eastAsia="Times New Roman" w:hint="default"/>
          <w:b/>
          <w:bCs/>
          <w:sz w:val="51"/>
          <w:szCs w:val="51"/>
        </w:rPr>
      </w:pPr>
    </w:p>
    <w:p>
      <w:pPr>
        <w:spacing w:before="0"/>
        <w:ind w:left="2446" w:right="2245" w:firstLine="0"/>
        <w:jc w:val="center"/>
        <w:rPr>
          <w:rFonts w:ascii="宋体" w:hAnsi="宋体" w:cs="宋体" w:eastAsia="宋体" w:hint="default"/>
          <w:sz w:val="36"/>
          <w:szCs w:val="36"/>
        </w:rPr>
      </w:pPr>
      <w:r>
        <w:rPr>
          <w:rFonts w:ascii="宋体" w:hAnsi="宋体" w:cs="宋体" w:eastAsia="宋体" w:hint="default"/>
          <w:b/>
          <w:bCs/>
          <w:sz w:val="36"/>
          <w:szCs w:val="36"/>
        </w:rPr>
        <w:t>释义</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公司、本公司、股份公司、北信源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上海北信源、上海子公司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神州信源、南京子公司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马来西亚子公司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西安分公司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北京北信源软件股份有限公司西安分公司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广州分公司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北京北信源软件股份有限公司广州分公司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深圳分公司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北京北信源软件股份有限公司深圳分公司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武汉分公司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北京北信源软件股份有限公司武汉分公司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杭州分公司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上海北信源信息技术有限公司杭州分公司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北京双洲、双洲科技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中软华泰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中软华泰信息技术有限责任公司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天越创投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华睿创投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浙江华睿盛银创业投资有限公司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保荐机构、主承销商、民族证券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中国民族证券有限责任公司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律师、天银律师事务所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北京市天银律师事务所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《北京北信源软件股份有限公司章程》</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新会计准则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国家财政部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年及其后颁布和修订的各项《企业会计准则》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自然人林皓先生</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工业和信息化部、工信部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科技部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中华人民共和国科学技术部</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国家公安部、公安部</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中华人民共和国公安部</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国家发改委、发改委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终端安全管理产品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 w:firstLine="360"/>
              <w:jc w:val="both"/>
              <w:rPr>
                <w:rFonts w:ascii="宋体" w:hAnsi="宋体" w:cs="宋体" w:eastAsia="宋体" w:hint="default"/>
                <w:sz w:val="18"/>
                <w:szCs w:val="18"/>
              </w:rPr>
            </w:pPr>
            <w:r>
              <w:rPr>
                <w:rFonts w:ascii="宋体" w:hAnsi="宋体" w:cs="宋体" w:eastAsia="宋体" w:hint="default"/>
                <w:sz w:val="18"/>
                <w:szCs w:val="18"/>
              </w:rPr>
              <w:t>用于实现对网络中终端计算机的运行状态、安全状态进行检查、 </w:t>
            </w:r>
            <w:r>
              <w:rPr>
                <w:rFonts w:ascii="宋体" w:hAnsi="宋体" w:cs="宋体" w:eastAsia="宋体" w:hint="default"/>
                <w:spacing w:val="-2"/>
                <w:sz w:val="18"/>
                <w:szCs w:val="18"/>
              </w:rPr>
              <w:t>分析和评估，并通过制定和下发相应的的安全管理策略，实现对终端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计算机的安全管理、运行维护和安全防护的信息安全产品。</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4" w:right="0"/>
              <w:jc w:val="left"/>
              <w:rPr>
                <w:rFonts w:ascii="宋体" w:hAnsi="宋体" w:cs="宋体" w:eastAsia="宋体" w:hint="default"/>
                <w:sz w:val="18"/>
                <w:szCs w:val="18"/>
              </w:rPr>
            </w:pPr>
            <w:r>
              <w:rPr>
                <w:rFonts w:ascii="宋体" w:hAnsi="宋体" w:cs="宋体" w:eastAsia="宋体" w:hint="default"/>
                <w:sz w:val="18"/>
                <w:szCs w:val="18"/>
              </w:rPr>
              <w:t>数据安全管理产品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firstLine="360"/>
              <w:jc w:val="both"/>
              <w:rPr>
                <w:rFonts w:ascii="宋体" w:hAnsi="宋体" w:cs="宋体" w:eastAsia="宋体" w:hint="default"/>
                <w:sz w:val="18"/>
                <w:szCs w:val="18"/>
              </w:rPr>
            </w:pPr>
            <w:r>
              <w:rPr>
                <w:rFonts w:ascii="宋体" w:hAnsi="宋体" w:cs="宋体" w:eastAsia="宋体" w:hint="default"/>
                <w:spacing w:val="-2"/>
                <w:sz w:val="18"/>
                <w:szCs w:val="18"/>
              </w:rPr>
              <w:t>用于对网络中终端计算机产生的文档数据、敏感信息进行安全保</w:t>
            </w:r>
            <w:r>
              <w:rPr>
                <w:rFonts w:ascii="宋体" w:hAnsi="宋体" w:cs="宋体" w:eastAsia="宋体" w:hint="default"/>
                <w:sz w:val="18"/>
                <w:szCs w:val="18"/>
              </w:rPr>
              <w:t> </w:t>
            </w:r>
            <w:r>
              <w:rPr>
                <w:rFonts w:ascii="宋体" w:hAnsi="宋体" w:cs="宋体" w:eastAsia="宋体" w:hint="default"/>
                <w:spacing w:val="-2"/>
                <w:sz w:val="18"/>
                <w:szCs w:val="18"/>
              </w:rPr>
              <w:t>护，保证该类数据信息存储和外发的安全性，防止重要文档资料和敏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感信息的泄露的信息安全产品。</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84" w:right="0"/>
              <w:jc w:val="left"/>
              <w:rPr>
                <w:rFonts w:ascii="宋体" w:hAnsi="宋体" w:cs="宋体" w:eastAsia="宋体" w:hint="default"/>
                <w:sz w:val="18"/>
                <w:szCs w:val="18"/>
              </w:rPr>
            </w:pPr>
            <w:r>
              <w:rPr>
                <w:rFonts w:ascii="宋体" w:hAnsi="宋体" w:cs="宋体" w:eastAsia="宋体" w:hint="default"/>
                <w:sz w:val="18"/>
                <w:szCs w:val="18"/>
              </w:rPr>
              <w:t>安全管理平台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firstLine="360"/>
              <w:jc w:val="left"/>
              <w:rPr>
                <w:rFonts w:ascii="宋体" w:hAnsi="宋体" w:cs="宋体" w:eastAsia="宋体" w:hint="default"/>
                <w:sz w:val="18"/>
                <w:szCs w:val="18"/>
              </w:rPr>
            </w:pPr>
            <w:r>
              <w:rPr>
                <w:rFonts w:ascii="宋体" w:hAnsi="宋体" w:cs="宋体" w:eastAsia="宋体" w:hint="default"/>
                <w:spacing w:val="-2"/>
                <w:sz w:val="18"/>
                <w:szCs w:val="18"/>
              </w:rPr>
              <w:t>通过对网络中的安全设备、网络设备、服务器系统、终端系统的</w:t>
            </w:r>
            <w:r>
              <w:rPr>
                <w:rFonts w:ascii="宋体" w:hAnsi="宋体" w:cs="宋体" w:eastAsia="宋体" w:hint="default"/>
                <w:sz w:val="18"/>
                <w:szCs w:val="18"/>
              </w:rPr>
              <w:t> </w:t>
            </w:r>
            <w:r>
              <w:rPr>
                <w:rFonts w:ascii="宋体" w:hAnsi="宋体" w:cs="宋体" w:eastAsia="宋体" w:hint="default"/>
                <w:spacing w:val="-2"/>
                <w:sz w:val="18"/>
                <w:szCs w:val="18"/>
              </w:rPr>
              <w:t>日志事件信息进行统一收集、过滤、归并和关联性分析，实现对重要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信息资产和业务系统的安全状态监控、安全风险管理和安全态势感 知，并及时进行安全预警、安全响应和管理控制的信息安全产品。</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3446"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300352</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6"/>
                <w:sz w:val="18"/>
              </w:rPr>
              <w:t>VRV </w:t>
            </w:r>
            <w:r>
              <w:rPr>
                <w:rFonts w:ascii="Times New Roman"/>
                <w:sz w:val="18"/>
              </w:rPr>
              <w:t>Software Corporation</w:t>
            </w:r>
            <w:r>
              <w:rPr>
                <w:rFonts w:ascii="Times New Roman"/>
                <w:spacing w:val="-13"/>
                <w:sz w:val="18"/>
              </w:rPr>
              <w:t> </w:t>
            </w:r>
            <w:r>
              <w:rPr>
                <w:rFonts w:ascii="Times New Roman"/>
                <w:sz w:val="18"/>
              </w:rPr>
              <w:t>Limited.</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pacing w:val="-6"/>
                <w:sz w:val="18"/>
              </w:rPr>
              <w:t>VRV</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 </w:t>
            </w:r>
            <w:r>
              <w:rPr>
                <w:rFonts w:ascii="Times New Roman" w:hAnsi="Times New Roman" w:cs="Times New Roman" w:eastAsia="Times New Roman" w:hint="default"/>
                <w:sz w:val="18"/>
                <w:szCs w:val="18"/>
              </w:rPr>
              <w:t>34  </w:t>
            </w:r>
            <w:r>
              <w:rPr>
                <w:rFonts w:ascii="宋体" w:hAnsi="宋体" w:cs="宋体" w:eastAsia="宋体" w:hint="default"/>
                <w:sz w:val="18"/>
                <w:szCs w:val="18"/>
              </w:rPr>
              <w:t>号中关村科技发展大厦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 </w:t>
            </w:r>
            <w:r>
              <w:rPr>
                <w:rFonts w:ascii="Times New Roman" w:hAnsi="Times New Roman" w:cs="Times New Roman" w:eastAsia="Times New Roman" w:hint="default"/>
                <w:sz w:val="18"/>
                <w:szCs w:val="18"/>
              </w:rPr>
              <w:t>34  </w:t>
            </w:r>
            <w:r>
              <w:rPr>
                <w:rFonts w:ascii="宋体" w:hAnsi="宋体" w:cs="宋体" w:eastAsia="宋体" w:hint="default"/>
                <w:sz w:val="18"/>
                <w:szCs w:val="18"/>
              </w:rPr>
              <w:t>号中关村科技发展大厦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hyperlink r:id="rId10">
              <w:r>
                <w:rPr>
                  <w:rFonts w:ascii="Times New Roman"/>
                  <w:sz w:val="18"/>
                </w:rPr>
                <w:t>http://web.vrv.com.cn/</w:t>
              </w:r>
            </w:hyperlink>
          </w:p>
        </w:tc>
      </w:tr>
      <w:tr>
        <w:trPr>
          <w:trHeight w:val="401"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71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号院中海地产广场西塔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李旭</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firstLine="360"/>
              <w:jc w:val="left"/>
              <w:rPr>
                <w:rFonts w:ascii="宋体" w:hAnsi="宋体" w:cs="宋体" w:eastAsia="宋体" w:hint="default"/>
                <w:sz w:val="18"/>
                <w:szCs w:val="18"/>
              </w:rPr>
            </w:pPr>
            <w:r>
              <w:rPr>
                <w:rFonts w:ascii="宋体" w:hAnsi="宋体" w:cs="宋体" w:eastAsia="宋体" w:hint="default"/>
                <w:sz w:val="18"/>
                <w:szCs w:val="18"/>
              </w:rPr>
              <w:t>北京市海淀区中关村南大街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firstLine="360"/>
              <w:jc w:val="left"/>
              <w:rPr>
                <w:rFonts w:ascii="宋体" w:hAnsi="宋体" w:cs="宋体" w:eastAsia="宋体" w:hint="default"/>
                <w:sz w:val="18"/>
                <w:szCs w:val="18"/>
              </w:rPr>
            </w:pPr>
            <w:r>
              <w:rPr>
                <w:rFonts w:ascii="宋体" w:hAnsi="宋体" w:cs="宋体" w:eastAsia="宋体" w:hint="default"/>
                <w:sz w:val="18"/>
                <w:szCs w:val="18"/>
              </w:rPr>
              <w:t>北京市海淀区中关村南大街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2"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010-62140485-8073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010-62140485-8073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010-62147259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tabs>
                <w:tab w:pos="1704" w:val="left" w:leader="none"/>
              </w:tabs>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中国证券报</w:t>
              <w:tab/>
              <w:t>证券时报</w:t>
            </w:r>
          </w:p>
        </w:tc>
      </w:tr>
      <w:tr>
        <w:trPr>
          <w:trHeight w:val="404"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北京北信源软件股份有限公司证券投资部</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firstLine="89"/>
              <w:jc w:val="left"/>
              <w:rPr>
                <w:rFonts w:ascii="宋体" w:hAnsi="宋体" w:cs="宋体" w:eastAsia="宋体" w:hint="default"/>
                <w:sz w:val="18"/>
                <w:szCs w:val="18"/>
              </w:rPr>
            </w:pPr>
            <w:r>
              <w:rPr>
                <w:rFonts w:ascii="宋体" w:hAnsi="宋体" w:cs="宋体" w:eastAsia="宋体" w:hint="default"/>
                <w:sz w:val="18"/>
                <w:szCs w:val="18"/>
              </w:rPr>
              <w:t>企业法人营业 执照注册号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北京市海淀区海淀 南路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center"/>
              <w:rPr>
                <w:rFonts w:ascii="Times New Roman" w:hAnsi="Times New Roman" w:cs="Times New Roman" w:eastAsia="Times New Roman" w:hint="default"/>
                <w:sz w:val="18"/>
                <w:szCs w:val="18"/>
              </w:rPr>
            </w:pPr>
            <w:r>
              <w:rPr>
                <w:rFonts w:ascii="Times New Roman"/>
                <w:sz w:val="18"/>
              </w:rPr>
              <w:t>08464509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整体变更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4" w:right="120"/>
              <w:jc w:val="left"/>
              <w:rPr>
                <w:rFonts w:ascii="宋体" w:hAnsi="宋体" w:cs="宋体" w:eastAsia="宋体" w:hint="default"/>
                <w:sz w:val="18"/>
                <w:szCs w:val="18"/>
              </w:rPr>
            </w:pPr>
            <w:r>
              <w:rPr>
                <w:rFonts w:ascii="宋体" w:hAnsi="宋体" w:cs="宋体" w:eastAsia="宋体" w:hint="default"/>
                <w:sz w:val="18"/>
                <w:szCs w:val="18"/>
              </w:rPr>
              <w:t>首次公开发行变更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资本公积转增股本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15"/>
              <w:jc w:val="both"/>
              <w:rPr>
                <w:rFonts w:ascii="宋体" w:hAnsi="宋体" w:cs="宋体" w:eastAsia="宋体" w:hint="default"/>
                <w:sz w:val="18"/>
                <w:szCs w:val="18"/>
              </w:rPr>
            </w:pPr>
            <w:r>
              <w:rPr>
                <w:rFonts w:ascii="宋体" w:hAnsi="宋体" w:cs="宋体" w:eastAsia="宋体" w:hint="default"/>
                <w:sz w:val="18"/>
                <w:szCs w:val="18"/>
              </w:rPr>
              <w:t>北京市海淀区中关 村南大街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 关村科技发展大厦 </w:t>
            </w:r>
            <w:r>
              <w:rPr>
                <w:rFonts w:ascii="Times New Roman" w:hAnsi="Times New Roman" w:cs="Times New Roman" w:eastAsia="Times New Roman" w:hint="default"/>
                <w:sz w:val="18"/>
                <w:szCs w:val="18"/>
              </w:rPr>
              <w:t>C  </w:t>
            </w:r>
            <w:r>
              <w:rPr>
                <w:rFonts w:ascii="宋体" w:hAnsi="宋体" w:cs="宋体" w:eastAsia="宋体" w:hint="default"/>
                <w:sz w:val="18"/>
                <w:szCs w:val="18"/>
              </w:rPr>
              <w:t>座 </w:t>
            </w:r>
            <w:r>
              <w:rPr>
                <w:rFonts w:ascii="Times New Roman" w:hAnsi="Times New Roman" w:cs="Times New Roman" w:eastAsia="Times New Roman" w:hint="default"/>
                <w:sz w:val="18"/>
                <w:szCs w:val="18"/>
              </w:rPr>
              <w:t>1602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110108004645099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3"/>
              <w:jc w:val="right"/>
              <w:rPr>
                <w:rFonts w:ascii="Times New Roman" w:hAnsi="Times New Roman" w:cs="Times New Roman" w:eastAsia="Times New Roman" w:hint="default"/>
                <w:sz w:val="18"/>
                <w:szCs w:val="18"/>
              </w:rPr>
            </w:pPr>
            <w:r>
              <w:rPr>
                <w:rFonts w:ascii="Times New Roman"/>
                <w:spacing w:val="-1"/>
                <w:sz w:val="18"/>
              </w:rPr>
              <w:t>110108101967333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10196733-3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964" w:right="0"/>
        <w:jc w:val="left"/>
        <w:rPr>
          <w:b w:val="0"/>
          <w:bCs w:val="0"/>
        </w:rPr>
      </w:pPr>
      <w:bookmarkStart w:name="_TOC_250007" w:id="3"/>
      <w:r>
        <w:rPr/>
        <w:t>第三节</w:t>
      </w:r>
      <w:r>
        <w:rPr>
          <w:spacing w:val="-6"/>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57"/>
        <w:gridCol w:w="1765"/>
        <w:gridCol w:w="1762"/>
        <w:gridCol w:w="1757"/>
        <w:gridCol w:w="1630"/>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262,733,639.30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228,204,554.56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189,957,858.76</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31,705,183.05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47,019,958.72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22,800,097.56</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64,367,355.88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49,284,755.68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58,005,115.58</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74,153,125.11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67,868,659.69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68,044,278.29</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firstLine="360"/>
              <w:jc w:val="left"/>
              <w:rPr>
                <w:rFonts w:ascii="宋体" w:hAnsi="宋体" w:cs="宋体" w:eastAsia="宋体" w:hint="default"/>
                <w:sz w:val="18"/>
                <w:szCs w:val="18"/>
              </w:rPr>
            </w:pPr>
            <w:r>
              <w:rPr>
                <w:rFonts w:ascii="宋体" w:hAnsi="宋体" w:cs="宋体" w:eastAsia="宋体" w:hint="default"/>
                <w:sz w:val="18"/>
                <w:szCs w:val="18"/>
              </w:rPr>
              <w:t>归属于上市公司普通股股东 的净利润（元）</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67,993,885.54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67,791,239.78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60,107,528.99</w:t>
            </w:r>
          </w:p>
        </w:tc>
      </w:tr>
      <w:tr>
        <w:trPr>
          <w:trHeight w:val="1027"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firstLine="360"/>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的扣除非经常性损益后的净利润</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65,201,005.83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60,564,048.77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57,734,149.18</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firstLine="360"/>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-19,327,029.19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-10,300,757.84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-11,381,234.08</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firstLine="360"/>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-0.0724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-0.0772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-0.1706</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21.55%</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firstLine="360"/>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20.70%</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266,800,000.00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133,400,000.00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66,700,000.00</w:t>
            </w:r>
          </w:p>
        </w:tc>
      </w:tr>
      <w:tr>
        <w:trPr>
          <w:trHeight w:val="401"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791,687,241.86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705,565,104.31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635,323,492.69</w:t>
            </w:r>
          </w:p>
        </w:tc>
      </w:tr>
      <w:tr>
        <w:trPr>
          <w:trHeight w:val="40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90,292,502.12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57,918,315.33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55.90%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43,127,943.49</w:t>
            </w:r>
          </w:p>
        </w:tc>
      </w:tr>
      <w:tr>
        <w:trPr>
          <w:trHeight w:val="713"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1" w:firstLine="360"/>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的所有者权益（元）</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701,394,739.74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647,646,788.98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592,195,549.20</w:t>
            </w:r>
          </w:p>
        </w:tc>
      </w:tr>
      <w:tr>
        <w:trPr>
          <w:trHeight w:val="715"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firstLine="360"/>
              <w:jc w:val="left"/>
              <w:rPr>
                <w:rFonts w:ascii="宋体" w:hAnsi="宋体" w:cs="宋体" w:eastAsia="宋体" w:hint="default"/>
                <w:sz w:val="18"/>
                <w:szCs w:val="18"/>
              </w:rPr>
            </w:pPr>
            <w:r>
              <w:rPr>
                <w:rFonts w:ascii="宋体" w:hAnsi="宋体" w:cs="宋体" w:eastAsia="宋体" w:hint="default"/>
                <w:sz w:val="18"/>
                <w:szCs w:val="18"/>
              </w:rPr>
              <w:t>归属于上市公司普通股股东 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4.8549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8.8785</w:t>
            </w:r>
          </w:p>
        </w:tc>
      </w:tr>
      <w:tr>
        <w:trPr>
          <w:trHeight w:val="40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r>
    </w:tbl>
    <w:p>
      <w:pPr>
        <w:pStyle w:val="BodyText"/>
        <w:spacing w:line="240" w:lineRule="auto" w:before="49"/>
        <w:ind w:right="0"/>
        <w:jc w:val="left"/>
      </w:pPr>
      <w:r>
        <w:rPr/>
        <w:t>截止披露前一交易日的公司总股本：</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56"/>
        <w:gridCol w:w="4914"/>
      </w:tblGrid>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266,800,000</w:t>
            </w:r>
          </w:p>
        </w:tc>
      </w:tr>
    </w:tbl>
    <w:p>
      <w:pPr>
        <w:pStyle w:val="BodyText"/>
        <w:spacing w:line="314" w:lineRule="auto" w:before="49"/>
        <w:ind w:left="152" w:right="0" w:firstLine="360"/>
        <w:jc w:val="left"/>
      </w:pPr>
      <w:r>
        <w:rPr>
          <w:spacing w:val="-2"/>
        </w:rPr>
        <w:t>公司报告期末至年度报告披露日股本是否因发行新股、增发、配股、股权激励行权、回购等原因发生变化且影响所有者</w:t>
      </w:r>
      <w:r>
        <w:rPr/>
        <w:t> 权益金额</w:t>
      </w:r>
    </w:p>
    <w:p>
      <w:pPr>
        <w:pStyle w:val="BodyText"/>
        <w:spacing w:line="340" w:lineRule="auto" w:before="61"/>
        <w:ind w:right="81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是否存在公司债</w:t>
      </w:r>
    </w:p>
    <w:p>
      <w:pPr>
        <w:pStyle w:val="BodyText"/>
        <w:spacing w:line="340" w:lineRule="auto" w:before="39"/>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公司是否存在最近两年连续亏损的情形</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3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firstLine="36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 产减值准备的冲销部分）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-7,940.31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4,413.36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6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 务密切相关，按照国家统一标准定额或定 量享受的政府补助除外）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8,031,000.00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2,079,680.94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政府补贴款</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-29,508.89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624,152.02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291,727.98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804,027.03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305,357.62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2,792,879.71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7,227,191.01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2,373,379.81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264"/>
        <w:gridCol w:w="2264"/>
        <w:gridCol w:w="5043"/>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7" w:right="0"/>
              <w:jc w:val="left"/>
              <w:rPr>
                <w:rFonts w:ascii="Times New Roman" w:hAnsi="Times New Roman" w:cs="Times New Roman" w:eastAsia="Times New Roman" w:hint="default"/>
                <w:sz w:val="18"/>
                <w:szCs w:val="18"/>
              </w:rPr>
            </w:pPr>
            <w:r>
              <w:rPr>
                <w:rFonts w:ascii="Times New Roman"/>
                <w:sz w:val="18"/>
              </w:rPr>
              <w:t>6,701,161.54</w:t>
            </w:r>
          </w:p>
        </w:tc>
        <w:tc>
          <w:tcPr>
            <w:tcW w:w="50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依据国家对软件行业的总体政策导向，预期软件增值税退税的税</w:t>
            </w:r>
            <w:r>
              <w:rPr>
                <w:rFonts w:ascii="宋体" w:hAnsi="宋体" w:cs="宋体" w:eastAsia="宋体" w:hint="default"/>
                <w:sz w:val="18"/>
                <w:szCs w:val="18"/>
              </w:rPr>
              <w:t> 收优惠政策将在较长时期内保持稳定，故定义为经常性损益。</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801" w:right="0" w:hanging="288"/>
        <w:jc w:val="left"/>
      </w:pPr>
      <w:r>
        <w:rPr/>
        <w:t>（一）产品销售季节性不均衡的风险 </w:t>
      </w:r>
      <w:r>
        <w:rPr>
          <w:spacing w:val="-1"/>
        </w:rPr>
        <w:t>公司作为专业的信息安全软件的提供商，主要客户为政府部门、军队及军工企业、能源、金融等重要领域的大型国</w:t>
      </w:r>
    </w:p>
    <w:p>
      <w:pPr>
        <w:pStyle w:val="BodyText"/>
        <w:spacing w:line="314" w:lineRule="auto" w:before="19"/>
        <w:ind w:left="152" w:right="188"/>
        <w:jc w:val="both"/>
      </w:pPr>
      <w:r>
        <w:rPr>
          <w:spacing w:val="-2"/>
        </w:rPr>
        <w:t>有企业和事业单位，这些客户通常采取预算管理制度和产品集中采购制度，一般下半年制定次年年度预算和投资计划，审批</w:t>
      </w:r>
      <w:r>
        <w:rPr>
          <w:spacing w:val="-61"/>
        </w:rPr>
        <w:t> </w:t>
      </w:r>
      <w:r>
        <w:rPr>
          <w:spacing w:val="-61"/>
        </w:rPr>
      </w:r>
      <w:r>
        <w:rPr>
          <w:spacing w:val="-2"/>
        </w:rPr>
        <w:t>通常集中在次年的上半年，采购招标则安排在次年年中或下半年。因此，公司每年上半年销售较少，销售主要集中在下半年</w:t>
      </w:r>
      <w:r>
        <w:rPr>
          <w:spacing w:val="-64"/>
        </w:rPr>
        <w:t> </w:t>
      </w:r>
      <w:r>
        <w:rPr>
          <w:spacing w:val="-64"/>
        </w:rPr>
      </w:r>
      <w:r>
        <w:rPr>
          <w:spacing w:val="-2"/>
        </w:rPr>
        <w:t>尤其是第四季度，公司销售呈现较明显的季节性分布，并由此使得公司营业收入在第四季度集中实现。从公司近三年各季度</w:t>
      </w:r>
      <w:r>
        <w:rPr>
          <w:spacing w:val="-63"/>
        </w:rPr>
        <w:t> </w:t>
      </w:r>
      <w:r>
        <w:rPr>
          <w:spacing w:val="-63"/>
        </w:rPr>
      </w:r>
      <w:r>
        <w:rPr>
          <w:spacing w:val="-1"/>
        </w:rPr>
        <w:t>营业收入统计来看，第四季度营业收入占全年收入</w:t>
      </w:r>
      <w:r>
        <w:rPr>
          <w:rFonts w:ascii="Times New Roman" w:hAnsi="Times New Roman" w:cs="Times New Roman" w:eastAsia="Times New Roman" w:hint="default"/>
          <w:spacing w:val="-1"/>
        </w:rPr>
        <w:t>40%</w:t>
      </w:r>
      <w:r>
        <w:rPr>
          <w:spacing w:val="-1"/>
        </w:rPr>
        <w:t>以上；由于费用在年度内较为均衡地发生，因而可能会造成公司第一</w:t>
      </w:r>
      <w:r>
        <w:rPr>
          <w:spacing w:val="-86"/>
        </w:rPr>
        <w:t> </w:t>
      </w:r>
      <w:r>
        <w:rPr>
          <w:spacing w:val="-86"/>
        </w:rPr>
      </w:r>
      <w:r>
        <w:rPr/>
        <w:t>季度、半年度或第三季度出现季节性波动或亏损，投资者不宜以半年度或季度的数据推算公司全年的经营成果。</w:t>
      </w:r>
    </w:p>
    <w:p>
      <w:pPr>
        <w:pStyle w:val="BodyText"/>
        <w:spacing w:line="316" w:lineRule="auto" w:before="20"/>
        <w:ind w:right="0"/>
        <w:jc w:val="left"/>
      </w:pPr>
      <w:r>
        <w:rPr/>
        <w:t>（二）公司资产规模较小、营业收入较少的经营风险 </w:t>
      </w:r>
      <w:r>
        <w:rPr>
          <w:spacing w:val="-2"/>
        </w:rPr>
        <w:t>公司是专业从事信息安全软件产品及整体解决方案的供应商，但由于信息安全软件行业在国内方兴未艾及软件行业呈现</w:t>
      </w:r>
    </w:p>
    <w:p>
      <w:pPr>
        <w:pStyle w:val="BodyText"/>
        <w:spacing w:line="304" w:lineRule="auto" w:before="19"/>
        <w:ind w:left="152" w:right="188"/>
        <w:jc w:val="both"/>
      </w:pPr>
      <w:r>
        <w:rPr>
          <w:spacing w:val="-3"/>
        </w:rPr>
        <w:t>的技术密集型的特点，决定了公司总体资产规模和营业收入依然较小，针对公司目前的资金实力和业务规模，公司采取了</w:t>
      </w:r>
      <w:r>
        <w:rPr>
          <w:rFonts w:ascii="Times New Roman" w:hAnsi="Times New Roman" w:cs="Times New Roman" w:eastAsia="Times New Roman" w:hint="default"/>
          <w:spacing w:val="-3"/>
        </w:rPr>
        <w:t>“</w:t>
      </w:r>
      <w:r>
        <w:rPr>
          <w:spacing w:val="-3"/>
        </w:rPr>
        <w:t>重</w:t>
      </w:r>
      <w:r>
        <w:rPr>
          <w:spacing w:val="-84"/>
        </w:rPr>
        <w:t> </w:t>
      </w:r>
      <w:r>
        <w:rPr/>
        <w:t>技术研发、重营销服务</w:t>
      </w:r>
      <w:r>
        <w:rPr>
          <w:rFonts w:ascii="Times New Roman" w:hAnsi="Times New Roman" w:cs="Times New Roman" w:eastAsia="Times New Roman" w:hint="default"/>
        </w:rPr>
        <w:t>”</w:t>
      </w:r>
      <w:r>
        <w:rPr/>
        <w:t>的经营模式，将有限的资源投入到最能迅速提升竞争能力和盈利能力的业务环节。</w:t>
      </w:r>
      <w:r>
        <w:rPr>
          <w:rFonts w:ascii="Times New Roman" w:hAnsi="Times New Roman" w:cs="Times New Roman" w:eastAsia="Times New Roman" w:hint="default"/>
        </w:rPr>
        <w:t>2012</w:t>
      </w:r>
      <w:r>
        <w:rPr/>
        <w:t>年末、</w:t>
      </w:r>
      <w:r>
        <w:rPr>
          <w:rFonts w:ascii="Times New Roman" w:hAnsi="Times New Roman" w:cs="Times New Roman" w:eastAsia="Times New Roman" w:hint="default"/>
        </w:rPr>
        <w:t>2013 </w:t>
      </w:r>
      <w:r>
        <w:rPr>
          <w:spacing w:val="-2"/>
        </w:rPr>
        <w:t>年末和</w:t>
      </w:r>
      <w:r>
        <w:rPr>
          <w:rFonts w:ascii="Times New Roman" w:hAnsi="Times New Roman" w:cs="Times New Roman" w:eastAsia="Times New Roman" w:hint="default"/>
          <w:spacing w:val="-2"/>
        </w:rPr>
        <w:t>2014</w:t>
      </w:r>
      <w:r>
        <w:rPr>
          <w:spacing w:val="-2"/>
        </w:rPr>
        <w:t>年末，公司总资产分别为</w:t>
      </w:r>
      <w:r>
        <w:rPr>
          <w:rFonts w:ascii="Times New Roman" w:hAnsi="Times New Roman" w:cs="Times New Roman" w:eastAsia="Times New Roman" w:hint="default"/>
          <w:spacing w:val="-2"/>
        </w:rPr>
        <w:t>63,532.35</w:t>
      </w:r>
      <w:r>
        <w:rPr>
          <w:spacing w:val="-2"/>
        </w:rPr>
        <w:t>万元、</w:t>
      </w:r>
      <w:r>
        <w:rPr>
          <w:rFonts w:ascii="Times New Roman" w:hAnsi="Times New Roman" w:cs="Times New Roman" w:eastAsia="Times New Roman" w:hint="default"/>
          <w:spacing w:val="-2"/>
        </w:rPr>
        <w:t>70,556.51</w:t>
      </w:r>
      <w:r>
        <w:rPr>
          <w:spacing w:val="-2"/>
        </w:rPr>
        <w:t>万元和</w:t>
      </w:r>
      <w:r>
        <w:rPr>
          <w:rFonts w:ascii="Times New Roman" w:hAnsi="Times New Roman" w:cs="Times New Roman" w:eastAsia="Times New Roman" w:hint="default"/>
          <w:spacing w:val="-2"/>
        </w:rPr>
        <w:t>79,168.72</w:t>
      </w:r>
      <w:r>
        <w:rPr>
          <w:spacing w:val="-2"/>
        </w:rPr>
        <w:t>万元；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2013</w:t>
      </w:r>
      <w:r>
        <w:rPr>
          <w:spacing w:val="-2"/>
        </w:rPr>
        <w:t>年和</w:t>
      </w:r>
      <w:r>
        <w:rPr>
          <w:rFonts w:ascii="Times New Roman" w:hAnsi="Times New Roman" w:cs="Times New Roman" w:eastAsia="Times New Roman" w:hint="default"/>
          <w:spacing w:val="-2"/>
        </w:rPr>
        <w:t>2014</w:t>
      </w:r>
      <w:r>
        <w:rPr>
          <w:spacing w:val="-2"/>
        </w:rPr>
        <w:t>年，营业收入分</w:t>
      </w:r>
      <w:r>
        <w:rPr>
          <w:spacing w:val="-36"/>
        </w:rPr>
        <w:t> </w:t>
      </w:r>
      <w:r>
        <w:rPr>
          <w:spacing w:val="-36"/>
        </w:rPr>
      </w:r>
      <w:r>
        <w:rPr>
          <w:spacing w:val="-2"/>
        </w:rPr>
        <w:t>别为</w:t>
      </w:r>
      <w:r>
        <w:rPr>
          <w:rFonts w:ascii="Times New Roman" w:hAnsi="Times New Roman" w:cs="Times New Roman" w:eastAsia="Times New Roman" w:hint="default"/>
          <w:spacing w:val="-2"/>
        </w:rPr>
        <w:t>18,995.79</w:t>
      </w:r>
      <w:r>
        <w:rPr>
          <w:spacing w:val="-2"/>
        </w:rPr>
        <w:t>万元、</w:t>
      </w:r>
      <w:r>
        <w:rPr>
          <w:rFonts w:ascii="Times New Roman" w:hAnsi="Times New Roman" w:cs="Times New Roman" w:eastAsia="Times New Roman" w:hint="default"/>
          <w:spacing w:val="-2"/>
        </w:rPr>
        <w:t>22,820.46</w:t>
      </w:r>
      <w:r>
        <w:rPr>
          <w:spacing w:val="-2"/>
        </w:rPr>
        <w:t>万元和</w:t>
      </w:r>
      <w:r>
        <w:rPr>
          <w:rFonts w:ascii="Times New Roman" w:hAnsi="Times New Roman" w:cs="Times New Roman" w:eastAsia="Times New Roman" w:hint="default"/>
          <w:spacing w:val="-2"/>
        </w:rPr>
        <w:t>26,273.36</w:t>
      </w:r>
      <w:r>
        <w:rPr>
          <w:spacing w:val="-2"/>
        </w:rPr>
        <w:t>万元。报告期内，公司总资产和营业收入规模虽然保持持续增长的趋势，但信</w:t>
      </w:r>
      <w:r>
        <w:rPr>
          <w:spacing w:val="-43"/>
        </w:rPr>
        <w:t> </w:t>
      </w:r>
      <w:r>
        <w:rPr>
          <w:spacing w:val="-43"/>
        </w:rPr>
      </w:r>
      <w:r>
        <w:rPr>
          <w:spacing w:val="-2"/>
        </w:rPr>
        <w:t>息安全行业竞争的日趋加剧和市场需求的持续扩大对公司的资产和营业收入规模提出了更高的要求。公司仍存在资产规模较</w:t>
      </w:r>
      <w:r>
        <w:rPr>
          <w:spacing w:val="-64"/>
        </w:rPr>
        <w:t> </w:t>
      </w:r>
      <w:r>
        <w:rPr>
          <w:spacing w:val="-64"/>
        </w:rPr>
      </w:r>
      <w:r>
        <w:rPr/>
        <w:t>小、营业收入较少的经营风险，可能影响其抵御市场波动的能力</w:t>
      </w:r>
    </w:p>
    <w:p>
      <w:pPr>
        <w:pStyle w:val="BodyText"/>
        <w:spacing w:line="316" w:lineRule="auto" w:before="28"/>
        <w:ind w:right="0"/>
        <w:jc w:val="left"/>
      </w:pPr>
      <w:r>
        <w:rPr/>
        <w:t>（三）核心技术人员流失和核心技术泄露的风险 </w:t>
      </w:r>
      <w:r>
        <w:rPr>
          <w:spacing w:val="-2"/>
        </w:rPr>
        <w:t>公司作为自主创新的高新技术企业，主营产品科技含量较高，在核心技术上拥有自主知识产权，其自主研发的信息安全</w:t>
      </w:r>
    </w:p>
    <w:p>
      <w:pPr>
        <w:pStyle w:val="BodyText"/>
        <w:spacing w:line="314" w:lineRule="auto" w:before="19"/>
        <w:ind w:left="152" w:right="169"/>
        <w:jc w:val="both"/>
      </w:pPr>
      <w:r>
        <w:rPr/>
        <w:t>软件产品曾先后荣获</w:t>
      </w:r>
      <w:r>
        <w:rPr>
          <w:rFonts w:ascii="Times New Roman" w:hAnsi="Times New Roman" w:cs="Times New Roman" w:eastAsia="Times New Roman" w:hint="default"/>
        </w:rPr>
        <w:t>“</w:t>
      </w:r>
      <w:r>
        <w:rPr/>
        <w:t>国家科学技术进步二等奖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公安部科学技术二等奖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北京市自主创新产品</w:t>
      </w:r>
      <w:r>
        <w:rPr>
          <w:rFonts w:ascii="Times New Roman" w:hAnsi="Times New Roman" w:cs="Times New Roman" w:eastAsia="Times New Roman" w:hint="default"/>
        </w:rPr>
        <w:t>”</w:t>
      </w:r>
      <w:r>
        <w:rPr/>
        <w:t>等一系列奖项和荣誉。 </w:t>
      </w:r>
      <w:r>
        <w:rPr>
          <w:spacing w:val="-2"/>
        </w:rPr>
        <w:t>目前，公司有多项产品和技术处于研发阶段，需要依赖专业人才尤其是核心技术人员，因此这些核心技术人员正是公司保持</w:t>
      </w:r>
      <w:r>
        <w:rPr>
          <w:spacing w:val="-63"/>
        </w:rPr>
        <w:t> </w:t>
      </w:r>
      <w:r>
        <w:rPr>
          <w:spacing w:val="-63"/>
        </w:rPr>
      </w:r>
      <w:r>
        <w:rPr>
          <w:spacing w:val="-2"/>
        </w:rPr>
        <w:t>市场竞争优势和持续创新的关键因素。为防止技术泄露和核心技术人员的流失，公司一方面通过规范研发过程，健全保密制</w:t>
      </w:r>
      <w:r>
        <w:rPr>
          <w:spacing w:val="-63"/>
        </w:rPr>
        <w:t> </w:t>
      </w:r>
      <w:r>
        <w:rPr>
          <w:spacing w:val="-63"/>
        </w:rPr>
      </w:r>
      <w:r>
        <w:rPr>
          <w:spacing w:val="-2"/>
        </w:rPr>
        <w:t>度，申请相关专利等方式保护核心技术；另一方面，通过向核心技术人员转让股权、建立完善良好的企业文化和有竞争性的</w:t>
      </w:r>
      <w:r>
        <w:rPr>
          <w:spacing w:val="-64"/>
        </w:rPr>
        <w:t> </w:t>
      </w:r>
      <w:r>
        <w:rPr>
          <w:spacing w:val="-64"/>
        </w:rPr>
      </w:r>
      <w:r>
        <w:rPr>
          <w:spacing w:val="-2"/>
        </w:rPr>
        <w:t>薪酬奖励机制等措施提升内部凝聚力，吸引和稳定核心技术人员。当前市场对于技术和人才竞争日益激烈，如果出现核心技</w:t>
      </w:r>
      <w:r>
        <w:rPr>
          <w:spacing w:val="-63"/>
        </w:rPr>
        <w:t> </w:t>
      </w:r>
      <w:r>
        <w:rPr>
          <w:spacing w:val="-63"/>
        </w:rPr>
      </w:r>
      <w:r>
        <w:rPr/>
        <w:t>术泄露或核心技术人员大量流失的现象，可能会在一定程度上影响公司的市场竞争力和技术创新能力。</w:t>
      </w:r>
    </w:p>
    <w:p>
      <w:pPr>
        <w:pStyle w:val="BodyText"/>
        <w:spacing w:line="240" w:lineRule="auto" w:before="20"/>
        <w:ind w:right="0"/>
        <w:jc w:val="left"/>
      </w:pPr>
      <w:r>
        <w:rPr/>
        <w:t>（四）税收优惠和政府补助变化的风险</w:t>
      </w:r>
    </w:p>
    <w:p>
      <w:pPr>
        <w:pStyle w:val="BodyText"/>
        <w:spacing w:line="300" w:lineRule="auto" w:before="76"/>
        <w:ind w:right="0" w:firstLine="9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、增值税税收优惠政策变化的风险 </w:t>
      </w:r>
      <w:r>
        <w:rPr>
          <w:spacing w:val="-7"/>
        </w:rPr>
        <w:t>根据财政部、国家税务总局、海关总署《关于鼓励软件产业和集成电路产业发展有关税收政策问题的通知》（财税</w:t>
      </w:r>
      <w:r>
        <w:rPr>
          <w:rFonts w:ascii="Times New Roman" w:hAnsi="Times New Roman" w:cs="Times New Roman" w:eastAsia="Times New Roman" w:hint="default"/>
          <w:spacing w:val="-7"/>
        </w:rPr>
        <w:t>[2000]25</w:t>
      </w:r>
    </w:p>
    <w:p>
      <w:pPr>
        <w:pStyle w:val="BodyText"/>
        <w:spacing w:line="304" w:lineRule="auto" w:before="13"/>
        <w:ind w:left="152" w:right="0"/>
        <w:jc w:val="left"/>
      </w:pPr>
      <w:r>
        <w:rPr>
          <w:spacing w:val="-2"/>
        </w:rPr>
        <w:t>号），对增值税一般纳税人销售其自行开发生产的软件产品，按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的法定税率征收增值税后，对其增值税实际税负超过</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43"/>
        </w:rPr>
        <w:t> </w:t>
      </w:r>
      <w:r>
        <w:rPr>
          <w:spacing w:val="-2"/>
        </w:rPr>
        <w:t>的部分实行即征即退政策。所退税款由企业用于研究开发软件产品和扩大再生产，不作为企业所得税应税收入，不予征收企</w:t>
      </w:r>
      <w:r>
        <w:rPr>
          <w:spacing w:val="-63"/>
        </w:rPr>
        <w:t> </w:t>
      </w:r>
      <w:r>
        <w:rPr>
          <w:spacing w:val="-63"/>
        </w:rPr>
      </w:r>
      <w:r>
        <w:rPr>
          <w:spacing w:val="-4"/>
        </w:rPr>
        <w:t>业所得税。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28</w:t>
      </w:r>
      <w:r>
        <w:rPr>
          <w:spacing w:val="-4"/>
        </w:rPr>
        <w:t>日，国务院《关于印发进一步鼓励软件产业和集成电路产业发展若干政策的通知》（国发</w:t>
      </w:r>
      <w:r>
        <w:rPr>
          <w:rFonts w:ascii="Times New Roman" w:hAnsi="Times New Roman" w:cs="Times New Roman" w:eastAsia="Times New Roman" w:hint="default"/>
          <w:spacing w:val="-4"/>
        </w:rPr>
        <w:t>[2011]4</w:t>
      </w:r>
      <w:r>
        <w:rPr>
          <w:rFonts w:ascii="Times New Roman" w:hAnsi="Times New Roman" w:cs="Times New Roman" w:eastAsia="Times New Roman" w:hint="default"/>
          <w:spacing w:val="23"/>
        </w:rPr>
        <w:t> </w:t>
      </w:r>
      <w:r>
        <w:rPr/>
        <w:t>号）</w:t>
      </w:r>
      <w:r>
        <w:rPr>
          <w:spacing w:val="-81"/>
        </w:rPr>
        <w:t> </w:t>
      </w:r>
      <w:r>
        <w:rPr/>
        <w:t>继续实施软件增值税税收优惠政策。</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年和</w:t>
      </w:r>
      <w:r>
        <w:rPr>
          <w:rFonts w:ascii="Times New Roman" w:hAnsi="Times New Roman" w:cs="Times New Roman" w:eastAsia="Times New Roman" w:hint="default"/>
        </w:rPr>
        <w:t>2014</w:t>
      </w:r>
      <w:r>
        <w:rPr/>
        <w:t>年，公司获得的增值税退税金额分别为</w:t>
      </w:r>
      <w:r>
        <w:rPr>
          <w:rFonts w:ascii="Times New Roman" w:hAnsi="Times New Roman" w:cs="Times New Roman" w:eastAsia="Times New Roman" w:hint="default"/>
        </w:rPr>
        <w:t>798.46</w:t>
      </w:r>
      <w:r>
        <w:rPr/>
        <w:t>万元、</w:t>
      </w:r>
      <w:r>
        <w:rPr>
          <w:rFonts w:ascii="Times New Roman" w:hAnsi="Times New Roman" w:cs="Times New Roman" w:eastAsia="Times New Roman" w:hint="default"/>
        </w:rPr>
        <w:t>1,055.27</w:t>
      </w:r>
      <w:r>
        <w:rPr/>
        <w:t>万 元和</w:t>
      </w:r>
      <w:r>
        <w:rPr>
          <w:rFonts w:ascii="Times New Roman" w:hAnsi="Times New Roman" w:cs="Times New Roman" w:eastAsia="Times New Roman" w:hint="default"/>
        </w:rPr>
        <w:t>670.12</w:t>
      </w:r>
      <w:r>
        <w:rPr/>
        <w:t>万元。依据国家对软件行业的总体政策导向，预期上述税收优惠政策将在较长时期内保持稳定。如果国家对软件 行业实施的增值税税收优惠政策发生不利变化，将对公司的经营业绩产生一定影响。</w:t>
      </w:r>
    </w:p>
    <w:p>
      <w:pPr>
        <w:pStyle w:val="BodyText"/>
        <w:spacing w:line="240" w:lineRule="auto" w:before="28"/>
        <w:ind w:right="0"/>
        <w:jc w:val="left"/>
      </w:pPr>
      <w:r>
        <w:rPr>
          <w:rFonts w:ascii="Times New Roman" w:hAnsi="Times New Roman" w:cs="Times New Roman" w:eastAsia="Times New Roman" w:hint="default"/>
        </w:rPr>
        <w:t>2</w:t>
      </w:r>
      <w:r>
        <w:rPr/>
        <w:t>、所得税税收优惠政策变化的风险</w:t>
      </w:r>
    </w:p>
    <w:p>
      <w:pPr>
        <w:pStyle w:val="BodyText"/>
        <w:spacing w:line="300" w:lineRule="auto" w:before="63"/>
        <w:ind w:left="152" w:right="184" w:firstLine="360"/>
        <w:jc w:val="left"/>
      </w:pPr>
      <w:r>
        <w:rPr/>
        <w:t>（</w:t>
      </w:r>
      <w:r>
        <w:rPr>
          <w:rFonts w:ascii="Times New Roman" w:hAnsi="Times New Roman" w:cs="Times New Roman" w:eastAsia="Times New Roman" w:hint="default"/>
        </w:rPr>
        <w:t>1</w:t>
      </w:r>
      <w:r>
        <w:rPr/>
        <w:t>）根据《中华人民共和国企业所得税法》（中华人民共和国主席令第</w:t>
      </w:r>
      <w:r>
        <w:rPr>
          <w:rFonts w:ascii="Times New Roman" w:hAnsi="Times New Roman" w:cs="Times New Roman" w:eastAsia="Times New Roman" w:hint="default"/>
        </w:rPr>
        <w:t>63</w:t>
      </w:r>
      <w:r>
        <w:rPr/>
        <w:t>号）、《中华人民共和国企业所得税法实施 </w:t>
      </w:r>
      <w:r>
        <w:rPr>
          <w:spacing w:val="-1"/>
        </w:rPr>
        <w:t>条例》（国务院令第</w:t>
      </w:r>
      <w:r>
        <w:rPr>
          <w:rFonts w:ascii="Times New Roman" w:hAnsi="Times New Roman" w:cs="Times New Roman" w:eastAsia="Times New Roman" w:hint="default"/>
          <w:spacing w:val="-1"/>
        </w:rPr>
        <w:t>512</w:t>
      </w:r>
      <w:r>
        <w:rPr>
          <w:spacing w:val="-1"/>
        </w:rPr>
        <w:t>号）、科技部、财政部和国家税务总局颁布的《高新技术企业认定管理办法》（国科发火</w:t>
      </w:r>
      <w:r>
        <w:rPr>
          <w:rFonts w:ascii="Times New Roman" w:hAnsi="Times New Roman" w:cs="Times New Roman" w:eastAsia="Times New Roman" w:hint="default"/>
          <w:spacing w:val="-1"/>
        </w:rPr>
        <w:t>[2008]172</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号）及科技部、财政部和国家税务总局颁布的《高新技术企业认定管理工作指引》（国科发火</w:t>
      </w:r>
      <w:r>
        <w:rPr>
          <w:rFonts w:ascii="Times New Roman" w:hAnsi="Times New Roman" w:cs="Times New Roman" w:eastAsia="Times New Roman" w:hint="default"/>
        </w:rPr>
        <w:t>[2008]362</w:t>
      </w:r>
      <w:r>
        <w:rPr/>
        <w:t>号）的相关规定， 经认定的高新技术企业，减按</w:t>
      </w:r>
      <w:r>
        <w:rPr>
          <w:rFonts w:ascii="Times New Roman" w:hAnsi="Times New Roman" w:cs="Times New Roman" w:eastAsia="Times New Roman" w:hint="default"/>
        </w:rPr>
        <w:t>15%</w:t>
      </w:r>
      <w:r>
        <w:rPr/>
        <w:t>的税率征收企业所得税。</w:t>
      </w:r>
    </w:p>
    <w:p>
      <w:pPr>
        <w:pStyle w:val="BodyText"/>
        <w:spacing w:line="240" w:lineRule="auto" w:before="13"/>
        <w:ind w:right="0"/>
        <w:jc w:val="left"/>
      </w:pPr>
      <w:r>
        <w:rPr/>
        <w:t>北信源母公司属于中关村科技园区内企业，于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日取得北京市科学技术</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152" w:right="0"/>
        <w:jc w:val="left"/>
      </w:pPr>
      <w:r>
        <w:rPr/>
        <w:t>委员会、北京市财政局、北京市国家税务局、北京市地方税务局联合颁发的《高新技术企业证书》（</w:t>
      </w:r>
      <w:r>
        <w:rPr>
          <w:rFonts w:ascii="Times New Roman" w:hAnsi="Times New Roman" w:cs="Times New Roman" w:eastAsia="Times New Roman" w:hint="default"/>
        </w:rPr>
        <w:t>GR200811000038</w:t>
      </w:r>
      <w:r>
        <w:rPr/>
        <w:t>）、</w:t>
      </w:r>
    </w:p>
    <w:p>
      <w:pPr>
        <w:pStyle w:val="BodyText"/>
        <w:spacing w:line="300" w:lineRule="auto" w:before="63"/>
        <w:ind w:left="152" w:right="254"/>
        <w:jc w:val="left"/>
      </w:pPr>
      <w:r>
        <w:rPr/>
        <w:t>《高新技术企业证书》（</w:t>
      </w:r>
      <w:r>
        <w:rPr>
          <w:rFonts w:ascii="Times New Roman" w:hAnsi="Times New Roman" w:cs="Times New Roman" w:eastAsia="Times New Roman" w:hint="default"/>
        </w:rPr>
        <w:t>GF201111001810</w:t>
      </w:r>
      <w:r>
        <w:rPr/>
        <w:t>），认定有效期均为三年，公司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年适用</w:t>
      </w:r>
      <w:r>
        <w:rPr>
          <w:rFonts w:ascii="Times New Roman" w:hAnsi="Times New Roman" w:cs="Times New Roman" w:eastAsia="Times New Roman" w:hint="default"/>
        </w:rPr>
        <w:t>15%</w:t>
      </w:r>
      <w:r>
        <w:rPr/>
        <w:t>的企业所得税 税率。</w:t>
      </w:r>
    </w:p>
    <w:p>
      <w:pPr>
        <w:pStyle w:val="BodyText"/>
        <w:spacing w:line="304" w:lineRule="auto" w:before="31"/>
        <w:ind w:left="152" w:right="190" w:firstLine="360"/>
        <w:jc w:val="both"/>
      </w:pPr>
      <w:r>
        <w:rPr>
          <w:spacing w:val="-2"/>
        </w:rPr>
        <w:t>据中华人民共和国国家发展和改革委员会、中华人民共和国工业和信息化部、中华人民共和国财政部、中华人民共和国</w:t>
      </w:r>
      <w:r>
        <w:rPr/>
        <w:t> 商务部、国家税务总局</w:t>
      </w:r>
      <w:r>
        <w:rPr>
          <w:rFonts w:ascii="Times New Roman" w:hAnsi="Times New Roman" w:cs="Times New Roman" w:eastAsia="Times New Roman" w:hint="default"/>
        </w:rPr>
        <w:t>2013</w:t>
      </w:r>
      <w:r>
        <w:rPr/>
        <w:t>年联合下发的《关于认定</w:t>
      </w:r>
      <w:r>
        <w:rPr>
          <w:rFonts w:ascii="Times New Roman" w:hAnsi="Times New Roman" w:cs="Times New Roman" w:eastAsia="Times New Roman" w:hint="default"/>
        </w:rPr>
        <w:t>2011-2012</w:t>
      </w:r>
      <w:r>
        <w:rPr/>
        <w:t>年度国家规划布局内重点软件企业和集成电路设计企业的通 知》（发改高技</w:t>
      </w:r>
      <w:r>
        <w:rPr>
          <w:rFonts w:ascii="Times New Roman" w:hAnsi="Times New Roman" w:cs="Times New Roman" w:eastAsia="Times New Roman" w:hint="default"/>
        </w:rPr>
        <w:t>[2013]234</w:t>
      </w:r>
      <w:r>
        <w:rPr/>
        <w:t>号），北信源母公司被认定为</w:t>
      </w:r>
      <w:r>
        <w:rPr>
          <w:rFonts w:ascii="Times New Roman" w:hAnsi="Times New Roman" w:cs="Times New Roman" w:eastAsia="Times New Roman" w:hint="default"/>
        </w:rPr>
        <w:t>“2011</w:t>
      </w:r>
      <w:r>
        <w:rPr>
          <w:rFonts w:ascii="Times New Roman" w:hAnsi="Times New Roman" w:cs="Times New Roman" w:eastAsia="Times New Roman" w:hint="default"/>
        </w:rPr>
        <w:t>-2012</w:t>
      </w:r>
      <w:r>
        <w:rPr/>
        <w:t>年度国家规划布局内重点软件企业</w:t>
      </w:r>
      <w:r>
        <w:rPr>
          <w:rFonts w:ascii="Times New Roman" w:hAnsi="Times New Roman" w:cs="Times New Roman" w:eastAsia="Times New Roman" w:hint="default"/>
        </w:rPr>
        <w:t>”</w:t>
      </w:r>
      <w:r>
        <w:rPr/>
        <w:t>；同年，公司又被上 述各部委联合认定为</w:t>
      </w:r>
      <w:r>
        <w:rPr>
          <w:rFonts w:ascii="Times New Roman" w:hAnsi="Times New Roman" w:cs="Times New Roman" w:eastAsia="Times New Roman" w:hint="default"/>
        </w:rPr>
        <w:t>“2013</w:t>
      </w:r>
      <w:r>
        <w:rPr>
          <w:rFonts w:ascii="Times New Roman" w:hAnsi="Times New Roman" w:cs="Times New Roman" w:eastAsia="Times New Roman" w:hint="default"/>
        </w:rPr>
        <w:t>-2014</w:t>
      </w:r>
      <w:r>
        <w:rPr/>
        <w:t>年度国家规划布局内重点软件企业</w:t>
      </w:r>
      <w:r>
        <w:rPr>
          <w:rFonts w:ascii="Times New Roman" w:hAnsi="Times New Roman" w:cs="Times New Roman" w:eastAsia="Times New Roman" w:hint="default"/>
        </w:rPr>
        <w:t>”</w:t>
      </w:r>
      <w:r>
        <w:rPr/>
        <w:t>。根据《财政部国家税务总局关于企业所得税若干优惠 政策的通知》（财税</w:t>
      </w:r>
      <w:r>
        <w:rPr>
          <w:rFonts w:ascii="Times New Roman" w:hAnsi="Times New Roman" w:cs="Times New Roman" w:eastAsia="Times New Roman" w:hint="default"/>
        </w:rPr>
        <w:t>[2008]1</w:t>
      </w:r>
      <w:r>
        <w:rPr/>
        <w:t>号）关于</w:t>
      </w:r>
      <w:r>
        <w:rPr>
          <w:rFonts w:ascii="Times New Roman" w:hAnsi="Times New Roman" w:cs="Times New Roman" w:eastAsia="Times New Roman" w:hint="default"/>
        </w:rPr>
        <w:t>“</w:t>
      </w:r>
      <w:r>
        <w:rPr/>
        <w:t>国家规划布局内重点软件企业当年未享受低于</w:t>
      </w:r>
      <w:r>
        <w:rPr>
          <w:rFonts w:ascii="Times New Roman" w:hAnsi="Times New Roman" w:cs="Times New Roman" w:eastAsia="Times New Roman" w:hint="default"/>
        </w:rPr>
        <w:t>10%</w:t>
      </w:r>
      <w:r>
        <w:rPr/>
        <w:t>的税率优惠的，减按</w:t>
      </w:r>
      <w:r>
        <w:rPr>
          <w:rFonts w:ascii="Times New Roman" w:hAnsi="Times New Roman" w:cs="Times New Roman" w:eastAsia="Times New Roman" w:hint="default"/>
        </w:rPr>
        <w:t>10%</w:t>
      </w:r>
      <w:r>
        <w:rPr/>
        <w:t>的税率征 收企业所得税</w:t>
      </w:r>
      <w:r>
        <w:rPr>
          <w:rFonts w:ascii="Times New Roman" w:hAnsi="Times New Roman" w:cs="Times New Roman" w:eastAsia="Times New Roman" w:hint="default"/>
        </w:rPr>
        <w:t>”</w:t>
      </w:r>
      <w:r>
        <w:rPr/>
        <w:t>的规定，公司</w:t>
      </w:r>
      <w:r>
        <w:rPr>
          <w:rFonts w:ascii="Times New Roman" w:hAnsi="Times New Roman" w:cs="Times New Roman" w:eastAsia="Times New Roman" w:hint="default"/>
        </w:rPr>
        <w:t>2011-2014</w:t>
      </w:r>
      <w:r>
        <w:rPr/>
        <w:t>年度企业所得税税率将由原来的</w:t>
      </w:r>
      <w:r>
        <w:rPr>
          <w:rFonts w:ascii="Times New Roman" w:hAnsi="Times New Roman" w:cs="Times New Roman" w:eastAsia="Times New Roman" w:hint="default"/>
        </w:rPr>
        <w:t>15%</w:t>
      </w:r>
      <w:r>
        <w:rPr/>
        <w:t>调整为</w:t>
      </w:r>
      <w:r>
        <w:rPr>
          <w:rFonts w:ascii="Times New Roman" w:hAnsi="Times New Roman" w:cs="Times New Roman" w:eastAsia="Times New Roman" w:hint="default"/>
        </w:rPr>
        <w:t>10%</w:t>
      </w:r>
      <w:r>
        <w:rPr/>
        <w:t>。</w:t>
      </w:r>
    </w:p>
    <w:p>
      <w:pPr>
        <w:pStyle w:val="BodyText"/>
        <w:spacing w:line="309" w:lineRule="auto" w:before="9"/>
        <w:ind w:left="152" w:right="196" w:firstLine="360"/>
        <w:jc w:val="both"/>
      </w:pPr>
      <w:r>
        <w:rPr>
          <w:spacing w:val="-2"/>
        </w:rPr>
        <w:t>根据财政部、国家税务总局、海关总署下发的《关于鼓励软件产业和集成电路产业发展有关税收政策问题的通知》（财</w:t>
      </w:r>
      <w:r>
        <w:rPr/>
        <w:t> 税</w:t>
      </w:r>
      <w:r>
        <w:rPr>
          <w:rFonts w:ascii="Times New Roman" w:hAnsi="Times New Roman" w:cs="Times New Roman" w:eastAsia="Times New Roman" w:hint="default"/>
        </w:rPr>
        <w:t>[2000]25</w:t>
      </w:r>
      <w:r>
        <w:rPr/>
        <w:t>号文）、《企业所得税优惠审批结果通知书》（沪地税闸十六</w:t>
      </w:r>
      <w:r>
        <w:rPr>
          <w:rFonts w:ascii="Times New Roman" w:hAnsi="Times New Roman" w:cs="Times New Roman" w:eastAsia="Times New Roman" w:hint="default"/>
        </w:rPr>
        <w:t>[2011]000003</w:t>
      </w:r>
      <w:r>
        <w:rPr/>
        <w:t>号），上海北信源自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日免征企业所得税，自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日减半征收企业所得税。</w:t>
      </w:r>
    </w:p>
    <w:p>
      <w:pPr>
        <w:pStyle w:val="BodyText"/>
        <w:spacing w:line="300" w:lineRule="auto" w:before="5"/>
        <w:ind w:left="152" w:right="193" w:firstLine="360"/>
        <w:jc w:val="both"/>
      </w:pPr>
      <w:r>
        <w:rPr>
          <w:spacing w:val="-2"/>
        </w:rPr>
        <w:t>如果国家所得税税收优惠政策发生不利变化，或者北信源母公司</w:t>
      </w:r>
      <w:r>
        <w:rPr>
          <w:rFonts w:ascii="Times New Roman" w:hAnsi="Times New Roman" w:cs="Times New Roman" w:eastAsia="Times New Roman" w:hint="default"/>
          <w:spacing w:val="-2"/>
        </w:rPr>
        <w:t>2015</w:t>
      </w:r>
      <w:r>
        <w:rPr>
          <w:spacing w:val="-2"/>
        </w:rPr>
        <w:t>年及以后年度不能被认定为</w:t>
      </w:r>
      <w:r>
        <w:rPr>
          <w:rFonts w:ascii="Times New Roman" w:hAnsi="Times New Roman" w:cs="Times New Roman" w:eastAsia="Times New Roman" w:hint="default"/>
          <w:spacing w:val="-2"/>
        </w:rPr>
        <w:t>“</w:t>
      </w:r>
      <w:r>
        <w:rPr>
          <w:spacing w:val="-2"/>
        </w:rPr>
        <w:t>高新技术企业</w:t>
      </w:r>
      <w:r>
        <w:rPr>
          <w:rFonts w:ascii="Times New Roman" w:hAnsi="Times New Roman" w:cs="Times New Roman" w:eastAsia="Times New Roman" w:hint="default"/>
          <w:spacing w:val="-2"/>
        </w:rPr>
        <w:t>”</w:t>
      </w:r>
      <w:r>
        <w:rPr>
          <w:spacing w:val="-2"/>
        </w:rPr>
        <w:t>，公司</w:t>
      </w:r>
      <w:r>
        <w:rPr/>
        <w:t> 须按</w:t>
      </w:r>
      <w:r>
        <w:rPr>
          <w:rFonts w:ascii="Times New Roman" w:hAnsi="Times New Roman" w:cs="Times New Roman" w:eastAsia="Times New Roman" w:hint="default"/>
        </w:rPr>
        <w:t>25%</w:t>
      </w:r>
      <w:r>
        <w:rPr/>
        <w:t>的税率缴纳企业所得税，因此公司存在所得税税收优惠政策变化的风险。</w:t>
      </w:r>
    </w:p>
    <w:p>
      <w:pPr>
        <w:pStyle w:val="BodyText"/>
        <w:spacing w:line="300" w:lineRule="auto" w:before="13"/>
        <w:ind w:left="152" w:right="256" w:firstLine="360"/>
        <w:jc w:val="both"/>
      </w:pPr>
      <w:r>
        <w:rPr/>
        <w:t>（</w:t>
      </w:r>
      <w:r>
        <w:rPr>
          <w:rFonts w:ascii="Times New Roman" w:hAnsi="Times New Roman" w:cs="Times New Roman" w:eastAsia="Times New Roman" w:hint="default"/>
        </w:rPr>
        <w:t>2</w:t>
      </w:r>
      <w:r>
        <w:rPr/>
        <w:t>）根据财政部、国家税务总局《关于企业技术创新有关企业所得税优惠政策的通知》（财税</w:t>
      </w:r>
      <w:r>
        <w:rPr>
          <w:rFonts w:ascii="Times New Roman" w:hAnsi="Times New Roman" w:cs="Times New Roman" w:eastAsia="Times New Roman" w:hint="default"/>
        </w:rPr>
        <w:t>[2006]88</w:t>
      </w:r>
      <w:r>
        <w:rPr/>
        <w:t>号）和国家税 务总局《关于印发〈企业研究开发费用税前扣除管理办法（试行）〉的通知》（国税发</w:t>
      </w:r>
      <w:r>
        <w:rPr>
          <w:rFonts w:ascii="Times New Roman" w:hAnsi="Times New Roman" w:cs="Times New Roman" w:eastAsia="Times New Roman" w:hint="default"/>
        </w:rPr>
        <w:t>[2008]116</w:t>
      </w:r>
      <w:r>
        <w:rPr/>
        <w:t>号）的相关规定，对未形 成无形资产计入当期损益的研究开发费用，在按照规定据实扣除的基础上，加计扣除</w:t>
      </w:r>
      <w:r>
        <w:rPr>
          <w:rFonts w:ascii="Times New Roman" w:hAnsi="Times New Roman" w:cs="Times New Roman" w:eastAsia="Times New Roman" w:hint="default"/>
        </w:rPr>
        <w:t>50%</w:t>
      </w:r>
      <w:r>
        <w:rPr/>
        <w:t>。</w:t>
      </w:r>
    </w:p>
    <w:p>
      <w:pPr>
        <w:pStyle w:val="BodyText"/>
        <w:spacing w:line="240" w:lineRule="auto" w:before="13"/>
        <w:ind w:right="0"/>
        <w:jc w:val="left"/>
      </w:pPr>
      <w:r>
        <w:rPr/>
        <w:t>若国家所得税税收优惠政策发生不利变化，公司研究开发费用不能加计扣除，将在一定程度上影响公司的净利润水平。</w:t>
      </w:r>
    </w:p>
    <w:p>
      <w:pPr>
        <w:pStyle w:val="BodyText"/>
        <w:spacing w:line="240" w:lineRule="auto" w:before="76"/>
        <w:ind w:right="0"/>
        <w:jc w:val="left"/>
      </w:pPr>
      <w:r>
        <w:rPr>
          <w:rFonts w:ascii="Times New Roman" w:hAnsi="Times New Roman" w:cs="Times New Roman" w:eastAsia="Times New Roman" w:hint="default"/>
        </w:rPr>
        <w:t>3</w:t>
      </w:r>
      <w:r>
        <w:rPr/>
        <w:t>、政府补助变化的风险</w:t>
      </w:r>
    </w:p>
    <w:p>
      <w:pPr>
        <w:pStyle w:val="BodyText"/>
        <w:spacing w:line="300" w:lineRule="auto" w:before="63"/>
        <w:ind w:left="152" w:right="188"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2013</w:t>
      </w:r>
      <w:r>
        <w:rPr>
          <w:spacing w:val="-1"/>
        </w:rPr>
        <w:t>年和</w:t>
      </w:r>
      <w:r>
        <w:rPr>
          <w:rFonts w:ascii="Times New Roman" w:hAnsi="Times New Roman" w:cs="Times New Roman" w:eastAsia="Times New Roman" w:hint="default"/>
          <w:spacing w:val="-1"/>
        </w:rPr>
        <w:t>2014</w:t>
      </w:r>
      <w:r>
        <w:rPr>
          <w:spacing w:val="-1"/>
        </w:rPr>
        <w:t>年，公司对所获得的政府补助分别确认营业外收入</w:t>
      </w:r>
      <w:r>
        <w:rPr>
          <w:rFonts w:ascii="Times New Roman" w:hAnsi="Times New Roman" w:cs="Times New Roman" w:eastAsia="Times New Roman" w:hint="default"/>
          <w:spacing w:val="-1"/>
        </w:rPr>
        <w:t>207.97</w:t>
      </w:r>
      <w:r>
        <w:rPr>
          <w:spacing w:val="-1"/>
        </w:rPr>
        <w:t>万元、</w:t>
      </w:r>
      <w:r>
        <w:rPr>
          <w:rFonts w:ascii="Times New Roman" w:hAnsi="Times New Roman" w:cs="Times New Roman" w:eastAsia="Times New Roman" w:hint="default"/>
          <w:spacing w:val="-1"/>
        </w:rPr>
        <w:t>803.1</w:t>
      </w:r>
      <w:r>
        <w:rPr>
          <w:spacing w:val="-1"/>
        </w:rPr>
        <w:t>万元和</w:t>
      </w:r>
      <w:r>
        <w:rPr>
          <w:rFonts w:ascii="Times New Roman" w:hAnsi="Times New Roman" w:cs="Times New Roman" w:eastAsia="Times New Roman" w:hint="default"/>
          <w:spacing w:val="-1"/>
        </w:rPr>
        <w:t>303.02</w:t>
      </w:r>
      <w:r>
        <w:rPr>
          <w:spacing w:val="-1"/>
        </w:rPr>
        <w:t>万元，上述性</w:t>
      </w:r>
      <w:r>
        <w:rPr/>
        <w:t> 质的政府补助收入存在较大不确定性。</w:t>
      </w:r>
    </w:p>
    <w:p>
      <w:pPr>
        <w:pStyle w:val="BodyText"/>
        <w:spacing w:line="316" w:lineRule="auto" w:before="32"/>
        <w:ind w:left="152" w:right="191" w:firstLine="360"/>
        <w:jc w:val="both"/>
      </w:pPr>
      <w:r>
        <w:rPr>
          <w:spacing w:val="-2"/>
        </w:rPr>
        <w:t>综上，虽然国家税收优惠政策和政府补助并不构成公司利润来源的重要组成部分，但如果国家税收优惠政策和政府补助</w:t>
      </w:r>
      <w:r>
        <w:rPr/>
        <w:t> 金额发生较大变动，将对本公司的经营成果产生一定影响。</w:t>
      </w:r>
    </w:p>
    <w:p>
      <w:pPr>
        <w:pStyle w:val="BodyText"/>
        <w:spacing w:line="316" w:lineRule="auto" w:before="19"/>
        <w:ind w:left="585" w:right="201" w:hanging="72"/>
        <w:jc w:val="left"/>
      </w:pPr>
      <w:r>
        <w:rPr/>
        <w:t>（五）应收账款余额较大及增幅较大的风险 随着近年信息安全市场的快速发展，公司的业务规模迅速扩大，盈利能力不断增强，营业收入持续增长，应收账款也</w:t>
      </w:r>
    </w:p>
    <w:p>
      <w:pPr>
        <w:pStyle w:val="BodyText"/>
        <w:spacing w:line="312" w:lineRule="auto" w:before="19"/>
        <w:ind w:left="152" w:right="94"/>
        <w:jc w:val="left"/>
      </w:pPr>
      <w:r>
        <w:rPr>
          <w:spacing w:val="-2"/>
        </w:rPr>
        <w:t>相应增加。</w:t>
      </w:r>
      <w:r>
        <w:rPr>
          <w:rFonts w:ascii="Times New Roman" w:hAnsi="Times New Roman" w:cs="Times New Roman" w:eastAsia="Times New Roman" w:hint="default"/>
          <w:spacing w:val="-2"/>
        </w:rPr>
        <w:t>2012</w:t>
      </w:r>
      <w:r>
        <w:rPr>
          <w:spacing w:val="-2"/>
        </w:rPr>
        <w:t>年末至</w:t>
      </w:r>
      <w:r>
        <w:rPr>
          <w:rFonts w:ascii="Times New Roman" w:hAnsi="Times New Roman" w:cs="Times New Roman" w:eastAsia="Times New Roman" w:hint="default"/>
          <w:spacing w:val="-2"/>
        </w:rPr>
        <w:t>2014</w:t>
      </w:r>
      <w:r>
        <w:rPr>
          <w:spacing w:val="-2"/>
        </w:rPr>
        <w:t>年末，应收账款余额分别为</w:t>
      </w:r>
      <w:r>
        <w:rPr>
          <w:rFonts w:ascii="Times New Roman" w:hAnsi="Times New Roman" w:cs="Times New Roman" w:eastAsia="Times New Roman" w:hint="default"/>
          <w:spacing w:val="-2"/>
        </w:rPr>
        <w:t>15,544.53</w:t>
      </w:r>
      <w:r>
        <w:rPr>
          <w:spacing w:val="-2"/>
        </w:rPr>
        <w:t>万元、</w:t>
      </w:r>
      <w:r>
        <w:rPr>
          <w:rFonts w:ascii="Times New Roman" w:hAnsi="Times New Roman" w:cs="Times New Roman" w:eastAsia="Times New Roman" w:hint="default"/>
          <w:spacing w:val="-2"/>
        </w:rPr>
        <w:t>24,608.14</w:t>
      </w:r>
      <w:r>
        <w:rPr>
          <w:spacing w:val="-2"/>
        </w:rPr>
        <w:t>万元和</w:t>
      </w:r>
      <w:r>
        <w:rPr>
          <w:rFonts w:ascii="Times New Roman" w:hAnsi="Times New Roman" w:cs="Times New Roman" w:eastAsia="Times New Roman" w:hint="default"/>
          <w:spacing w:val="-2"/>
        </w:rPr>
        <w:t>35,996.06</w:t>
      </w:r>
      <w:r>
        <w:rPr>
          <w:spacing w:val="-2"/>
        </w:rPr>
        <w:t>万元。另外，公司营业收入</w:t>
      </w:r>
      <w:r>
        <w:rPr>
          <w:spacing w:val="-40"/>
        </w:rPr>
        <w:t> </w:t>
      </w:r>
      <w:r>
        <w:rPr>
          <w:spacing w:val="-40"/>
        </w:rPr>
      </w:r>
      <w:r>
        <w:rPr/>
        <w:t>具有季节性特征，销售集中在下半年尤其是第四季度，其中</w:t>
      </w:r>
      <w:r>
        <w:rPr>
          <w:rFonts w:ascii="Times New Roman" w:hAnsi="Times New Roman" w:cs="Times New Roman" w:eastAsia="Times New Roman" w:hint="default"/>
        </w:rPr>
        <w:t>2012</w:t>
      </w:r>
      <w:r>
        <w:rPr/>
        <w:t>至</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12</w:t>
      </w:r>
      <w:r>
        <w:rPr/>
        <w:t>月份营业收入占全年营业收入的比重分别为 </w:t>
      </w:r>
      <w:r>
        <w:rPr>
          <w:rFonts w:ascii="Times New Roman" w:hAnsi="Times New Roman" w:cs="Times New Roman" w:eastAsia="Times New Roman" w:hint="default"/>
        </w:rPr>
        <w:t>48.91%</w:t>
      </w:r>
      <w:r>
        <w:rPr/>
        <w:t>、</w:t>
      </w:r>
      <w:r>
        <w:rPr>
          <w:rFonts w:ascii="Times New Roman" w:hAnsi="Times New Roman" w:cs="Times New Roman" w:eastAsia="Times New Roman" w:hint="default"/>
        </w:rPr>
        <w:t>45.68%</w:t>
      </w:r>
      <w:r>
        <w:rPr/>
        <w:t>和</w:t>
      </w:r>
      <w:r>
        <w:rPr>
          <w:rFonts w:ascii="Times New Roman" w:hAnsi="Times New Roman" w:cs="Times New Roman" w:eastAsia="Times New Roman" w:hint="default"/>
        </w:rPr>
        <w:t>45.29%</w:t>
      </w:r>
      <w:r>
        <w:rPr/>
        <w:t>。由于第四季度销售的产品大部分尚在信用期，需要在次年进行收款，导致各年末的应收账款余 </w:t>
      </w:r>
      <w:r>
        <w:rPr>
          <w:spacing w:val="-2"/>
        </w:rPr>
        <w:t>额较大且增幅也较高。报告期内，公司进一步完善了应收账款管理制度，强化客户信用调查和信用评估制度，并根据客户性</w:t>
      </w:r>
      <w:r>
        <w:rPr>
          <w:spacing w:val="-65"/>
        </w:rPr>
        <w:t> </w:t>
      </w:r>
      <w:r>
        <w:rPr>
          <w:spacing w:val="-65"/>
        </w:rPr>
      </w:r>
      <w:r>
        <w:rPr/>
        <w:t>质的不同，规定不同的信用期限。公司加强项目管理，确保项目能够及时得到验收。公司还组织专人进行应收账款的管理， </w:t>
      </w:r>
      <w:r>
        <w:rPr>
          <w:spacing w:val="-2"/>
        </w:rPr>
        <w:t>并加大对相关责任人奖惩力度，促进应收账款的回款。公司产品的主要客户为政府部门、军队及军工企业、能源、金融等重</w:t>
      </w:r>
      <w:r>
        <w:rPr>
          <w:spacing w:val="-67"/>
        </w:rPr>
        <w:t> </w:t>
      </w:r>
      <w:r>
        <w:rPr>
          <w:spacing w:val="-67"/>
        </w:rPr>
      </w:r>
      <w:r>
        <w:rPr>
          <w:spacing w:val="-2"/>
        </w:rPr>
        <w:t>要领域的大型国有企事业单位，信用状况良好，发生坏账的风险较小，报告期内公司应收账款的回款质量较好。随着公司经</w:t>
      </w:r>
      <w:r>
        <w:rPr>
          <w:spacing w:val="-63"/>
        </w:rPr>
        <w:t> </w:t>
      </w:r>
      <w:r>
        <w:rPr>
          <w:spacing w:val="-63"/>
        </w:rPr>
      </w:r>
      <w:r>
        <w:rPr>
          <w:spacing w:val="-2"/>
        </w:rPr>
        <w:t>营规模的不断扩大，应收账款余额仍可能保持在较高水平。由于应收账款是公司资产的重要组成部分，如果公司主要客户的</w:t>
      </w:r>
      <w:r>
        <w:rPr>
          <w:spacing w:val="-63"/>
        </w:rPr>
        <w:t> </w:t>
      </w:r>
      <w:r>
        <w:rPr>
          <w:spacing w:val="-63"/>
        </w:rPr>
      </w:r>
      <w:r>
        <w:rPr>
          <w:spacing w:val="-2"/>
        </w:rPr>
        <w:t>财务经营状况发生恶化或公司收款措施不力，应收账款不能收回，将对公司资产质量以及财务状况产生较大不利影响，公司</w:t>
      </w:r>
      <w:r>
        <w:rPr>
          <w:spacing w:val="-63"/>
        </w:rPr>
        <w:t> </w:t>
      </w:r>
      <w:r>
        <w:rPr>
          <w:spacing w:val="-63"/>
        </w:rPr>
      </w:r>
      <w:r>
        <w:rPr/>
        <w:t>面临一定的呆、坏账风险。</w:t>
      </w:r>
    </w:p>
    <w:p>
      <w:pPr>
        <w:pStyle w:val="BodyText"/>
        <w:spacing w:line="360" w:lineRule="auto" w:before="22"/>
        <w:ind w:left="585" w:right="201" w:hanging="72"/>
        <w:jc w:val="left"/>
      </w:pPr>
      <w:r>
        <w:rPr/>
        <w:t>（六）人力成本上升的风险 报告期内，公司主营业务迅速发展，公司员工薪酬总体亦呈增长态势，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年和</w:t>
      </w:r>
      <w:r>
        <w:rPr>
          <w:rFonts w:ascii="Times New Roman" w:hAnsi="Times New Roman" w:cs="Times New Roman" w:eastAsia="Times New Roman" w:hint="default"/>
        </w:rPr>
        <w:t>2014</w:t>
      </w:r>
      <w:r>
        <w:rPr/>
        <w:t>年，公司全部人员总成</w:t>
      </w:r>
    </w:p>
    <w:p>
      <w:pPr>
        <w:pStyle w:val="BodyText"/>
        <w:spacing w:line="212" w:lineRule="exact"/>
        <w:ind w:left="152" w:right="0"/>
        <w:jc w:val="left"/>
        <w:rPr>
          <w:rFonts w:ascii="Times New Roman" w:hAnsi="Times New Roman" w:cs="Times New Roman" w:eastAsia="Times New Roman" w:hint="default"/>
        </w:rPr>
      </w:pPr>
      <w:r>
        <w:rPr/>
        <w:t>本分别为</w:t>
      </w:r>
      <w:r>
        <w:rPr>
          <w:rFonts w:ascii="Times New Roman" w:hAnsi="Times New Roman" w:cs="Times New Roman" w:eastAsia="Times New Roman" w:hint="default"/>
        </w:rPr>
        <w:t>5,063.86</w:t>
      </w:r>
      <w:r>
        <w:rPr/>
        <w:t>万元、</w:t>
      </w:r>
      <w:r>
        <w:rPr>
          <w:rFonts w:ascii="Times New Roman" w:hAnsi="Times New Roman" w:cs="Times New Roman" w:eastAsia="Times New Roman" w:hint="default"/>
        </w:rPr>
        <w:t>5,177.99</w:t>
      </w:r>
      <w:r>
        <w:rPr/>
        <w:t>万元和</w:t>
      </w:r>
      <w:r>
        <w:rPr>
          <w:rFonts w:ascii="Times New Roman" w:hAnsi="Times New Roman" w:cs="Times New Roman" w:eastAsia="Times New Roman" w:hint="default"/>
        </w:rPr>
        <w:t>8109.33</w:t>
      </w:r>
      <w:r>
        <w:rPr/>
        <w:t>万元，按月均人数加权计算的员工单位平均成本分别为每人</w:t>
      </w:r>
      <w:r>
        <w:rPr>
          <w:rFonts w:ascii="Times New Roman" w:hAnsi="Times New Roman" w:cs="Times New Roman" w:eastAsia="Times New Roman" w:hint="default"/>
        </w:rPr>
        <w:t>9.21</w:t>
      </w:r>
      <w:r>
        <w:rPr/>
        <w:t>万元</w:t>
      </w:r>
      <w:r>
        <w:rPr>
          <w:rFonts w:ascii="Times New Roman" w:hAnsi="Times New Roman" w:cs="Times New Roman" w:eastAsia="Times New Roman" w:hint="default"/>
        </w:rPr>
        <w:t>/</w:t>
      </w:r>
      <w:r>
        <w:rPr/>
        <w:t>年、</w:t>
      </w:r>
      <w:r>
        <w:rPr>
          <w:rFonts w:ascii="Times New Roman" w:hAnsi="Times New Roman" w:cs="Times New Roman" w:eastAsia="Times New Roman" w:hint="default"/>
        </w:rPr>
        <w:t>7.18</w:t>
      </w:r>
    </w:p>
    <w:p>
      <w:pPr>
        <w:pStyle w:val="BodyText"/>
        <w:spacing w:line="312" w:lineRule="auto" w:before="63"/>
        <w:ind w:left="152" w:right="187"/>
        <w:jc w:val="both"/>
      </w:pPr>
      <w:r>
        <w:rPr>
          <w:spacing w:val="-3"/>
        </w:rPr>
        <w:t>万元</w:t>
      </w:r>
      <w:r>
        <w:rPr>
          <w:rFonts w:ascii="Times New Roman" w:hAnsi="Times New Roman" w:cs="Times New Roman" w:eastAsia="Times New Roman" w:hint="default"/>
          <w:spacing w:val="-3"/>
        </w:rPr>
        <w:t>/</w:t>
      </w:r>
      <w:r>
        <w:rPr>
          <w:spacing w:val="-3"/>
        </w:rPr>
        <w:t>年和</w:t>
      </w:r>
      <w:r>
        <w:rPr>
          <w:rFonts w:ascii="Times New Roman" w:hAnsi="Times New Roman" w:cs="Times New Roman" w:eastAsia="Times New Roman" w:hint="default"/>
          <w:spacing w:val="-3"/>
        </w:rPr>
        <w:t>9.99</w:t>
      </w:r>
      <w:r>
        <w:rPr>
          <w:spacing w:val="-3"/>
        </w:rPr>
        <w:t>万元</w:t>
      </w:r>
      <w:r>
        <w:rPr>
          <w:rFonts w:ascii="Times New Roman" w:hAnsi="Times New Roman" w:cs="Times New Roman" w:eastAsia="Times New Roman" w:hint="default"/>
          <w:spacing w:val="-3"/>
        </w:rPr>
        <w:t>/</w:t>
      </w:r>
      <w:r>
        <w:rPr>
          <w:spacing w:val="-3"/>
        </w:rPr>
        <w:t>年。</w:t>
      </w:r>
      <w:r>
        <w:rPr>
          <w:rFonts w:ascii="Times New Roman" w:hAnsi="Times New Roman" w:cs="Times New Roman" w:eastAsia="Times New Roman" w:hint="default"/>
          <w:spacing w:val="-3"/>
        </w:rPr>
        <w:t>2012</w:t>
      </w:r>
      <w:r>
        <w:rPr>
          <w:spacing w:val="-3"/>
        </w:rPr>
        <w:t>年至</w:t>
      </w:r>
      <w:r>
        <w:rPr>
          <w:rFonts w:ascii="Times New Roman" w:hAnsi="Times New Roman" w:cs="Times New Roman" w:eastAsia="Times New Roman" w:hint="default"/>
          <w:spacing w:val="-3"/>
        </w:rPr>
        <w:t>2014</w:t>
      </w:r>
      <w:r>
        <w:rPr>
          <w:spacing w:val="-3"/>
        </w:rPr>
        <w:t>年，公司加大技术研发投入以及市场开发力度，扩大员工规模，</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2013</w:t>
      </w:r>
      <w:r>
        <w:rPr>
          <w:spacing w:val="-3"/>
        </w:rPr>
        <w:t>年和</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年，公司月均员工人数分别为</w:t>
      </w:r>
      <w:r>
        <w:rPr>
          <w:rFonts w:ascii="Times New Roman" w:hAnsi="Times New Roman" w:cs="Times New Roman" w:eastAsia="Times New Roman" w:hint="default"/>
        </w:rPr>
        <w:t>550</w:t>
      </w:r>
      <w:r>
        <w:rPr/>
        <w:t>人、</w:t>
      </w:r>
      <w:r>
        <w:rPr>
          <w:rFonts w:ascii="Times New Roman" w:hAnsi="Times New Roman" w:cs="Times New Roman" w:eastAsia="Times New Roman" w:hint="default"/>
        </w:rPr>
        <w:t>721</w:t>
      </w:r>
      <w:r>
        <w:rPr/>
        <w:t>人和</w:t>
      </w:r>
      <w:r>
        <w:rPr>
          <w:rFonts w:ascii="Times New Roman" w:hAnsi="Times New Roman" w:cs="Times New Roman" w:eastAsia="Times New Roman" w:hint="default"/>
        </w:rPr>
        <w:t>812</w:t>
      </w:r>
      <w:r>
        <w:rPr/>
        <w:t>人。随着公司营销服务体系建设的完成和外地研发中心的设立，人员增长 </w:t>
      </w:r>
      <w:r>
        <w:rPr>
          <w:spacing w:val="-2"/>
        </w:rPr>
        <w:t>主要集中在外地子分公司，虽然员工待遇水平在不断提高，但公司通过各种方式有效控制了单位人均成本的增加，提升了员</w:t>
      </w:r>
      <w:r>
        <w:rPr>
          <w:spacing w:val="-63"/>
        </w:rPr>
        <w:t> </w:t>
      </w:r>
      <w:r>
        <w:rPr>
          <w:spacing w:val="-63"/>
        </w:rPr>
      </w:r>
      <w:r>
        <w:rPr>
          <w:spacing w:val="-2"/>
        </w:rPr>
        <w:t>工积极性，促进了公司业务的快速发展。报告期内，公司处于快速发展阶段，并采取了适合现阶段公司特点的工资政策。随</w:t>
      </w:r>
      <w:r>
        <w:rPr>
          <w:spacing w:val="-66"/>
        </w:rPr>
        <w:t> </w:t>
      </w:r>
      <w:r>
        <w:rPr>
          <w:spacing w:val="-66"/>
        </w:rPr>
      </w:r>
      <w:r>
        <w:rPr>
          <w:spacing w:val="-2"/>
        </w:rPr>
        <w:t>着公司员工队伍的扩大和员工薪酬待遇水平的上升，如果公司全部人员总成本增幅与营业收入增幅不匹配，将可能对公司经</w:t>
      </w:r>
      <w:r>
        <w:rPr>
          <w:spacing w:val="-64"/>
        </w:rPr>
        <w:t> </w:t>
      </w:r>
      <w:r>
        <w:rPr>
          <w:spacing w:val="-64"/>
        </w:rPr>
      </w:r>
      <w:r>
        <w:rPr/>
        <w:t>营业绩产生一定影响。</w:t>
      </w:r>
    </w:p>
    <w:p>
      <w:pPr>
        <w:spacing w:after="0" w:line="312" w:lineRule="auto"/>
        <w:jc w:val="both"/>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right="331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152" w:right="0" w:firstLine="360"/>
        <w:jc w:val="left"/>
      </w:pPr>
      <w:r>
        <w:rPr/>
        <w:t>党的十八大以来，党和国家高度关注严峻的网络安全形势，尤其</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棱镜</w:t>
      </w:r>
      <w:r>
        <w:rPr>
          <w:rFonts w:ascii="Times New Roman" w:hAnsi="Times New Roman" w:cs="Times New Roman" w:eastAsia="Times New Roman" w:hint="default"/>
        </w:rPr>
        <w:t>”</w:t>
      </w:r>
      <w:r>
        <w:rPr/>
        <w:t>事件曝光后，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日，中央网络 </w:t>
      </w:r>
      <w:r>
        <w:rPr>
          <w:spacing w:val="-2"/>
        </w:rPr>
        <w:t>安全和信息化领导小组宣告成立，习近平主席任组长，在中央网络安全和信息化小组首次会议上，习近平发表重要讲话，指</w:t>
      </w:r>
      <w:r>
        <w:rPr>
          <w:spacing w:val="-66"/>
        </w:rPr>
        <w:t> </w:t>
      </w:r>
      <w:r>
        <w:rPr>
          <w:spacing w:val="-66"/>
        </w:rPr>
      </w:r>
      <w:r>
        <w:rPr>
          <w:spacing w:val="-2"/>
        </w:rPr>
        <w:t>出网络安全和信息化对一个国家很多领域都是牵一发而动全身的，要认清我们面临的形势和任务，充分认识做好工作的重要</w:t>
      </w:r>
      <w:r>
        <w:rPr>
          <w:spacing w:val="-63"/>
        </w:rPr>
        <w:t> </w:t>
      </w:r>
      <w:r>
        <w:rPr>
          <w:spacing w:val="-63"/>
        </w:rPr>
      </w:r>
      <w:r>
        <w:rPr>
          <w:spacing w:val="-4"/>
        </w:rPr>
        <w:t>性和紧迫性。这一系列政策的出台将信息安全提升到了国家安全的高度，将进一步推动整个国家的网络安全建设与保障工作，</w:t>
      </w:r>
      <w:r>
        <w:rPr>
          <w:spacing w:val="-44"/>
        </w:rPr>
        <w:t> </w:t>
      </w:r>
      <w:r>
        <w:rPr>
          <w:spacing w:val="-44"/>
        </w:rPr>
      </w:r>
      <w:r>
        <w:rPr>
          <w:spacing w:val="-2"/>
        </w:rPr>
        <w:t>标志着信息安全已提高到国家战略高度，随着更多促进信息安全行业发展的政策推出，国内信息安全行业迎来了产业化发展</w:t>
      </w:r>
      <w:r>
        <w:rPr>
          <w:spacing w:val="-64"/>
        </w:rPr>
        <w:t> </w:t>
      </w:r>
      <w:r>
        <w:rPr>
          <w:spacing w:val="-64"/>
        </w:rPr>
      </w:r>
      <w:r>
        <w:rPr/>
        <w:t>的新机遇。</w:t>
      </w:r>
    </w:p>
    <w:p>
      <w:pPr>
        <w:pStyle w:val="BodyText"/>
        <w:spacing w:line="316" w:lineRule="auto" w:before="20"/>
        <w:ind w:left="152" w:right="0" w:firstLine="360"/>
        <w:jc w:val="left"/>
      </w:pPr>
      <w:r>
        <w:rPr>
          <w:spacing w:val="-2"/>
        </w:rPr>
        <w:t>在国产化的浪潮下，作为国内信息安全领域领先的解决方案提供商，北信源紧随国内外竞争环境变化及国家法律政策导</w:t>
      </w:r>
      <w:r>
        <w:rPr/>
        <w:t> </w:t>
      </w:r>
      <w:r>
        <w:rPr>
          <w:spacing w:val="-2"/>
        </w:rPr>
        <w:t>向，对经营方针及计划进行了加强和提升，继续以自主研发的软件产品为核心，聚焦大数据、虚拟化、移动端管理领域，持</w:t>
      </w:r>
      <w:r>
        <w:rPr>
          <w:spacing w:val="-68"/>
        </w:rPr>
        <w:t> </w:t>
      </w:r>
      <w:r>
        <w:rPr>
          <w:spacing w:val="-68"/>
        </w:rPr>
      </w:r>
      <w:r>
        <w:rPr>
          <w:spacing w:val="-2"/>
        </w:rPr>
        <w:t>续加大技术创新力度及研发投入，提高产品质量和稳定性，优化产品结构。在</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月首届国家安全宣传周上，北信源提</w:t>
      </w:r>
      <w:r>
        <w:rPr>
          <w:spacing w:val="-59"/>
        </w:rPr>
        <w:t> </w:t>
      </w:r>
      <w:r>
        <w:rPr>
          <w:spacing w:val="-59"/>
        </w:rPr>
      </w:r>
      <w:r>
        <w:rPr>
          <w:spacing w:val="-4"/>
        </w:rPr>
        <w:t>出大数据时代“泛”终端安全管理理念。“泛”终端安全管理将传统的边界安全、内网安全、主机安全拓展到移动终端安全、</w:t>
      </w:r>
      <w:r>
        <w:rPr>
          <w:spacing w:val="-42"/>
        </w:rPr>
        <w:t> </w:t>
      </w:r>
      <w:r>
        <w:rPr>
          <w:spacing w:val="-42"/>
        </w:rPr>
      </w:r>
      <w:r>
        <w:rPr>
          <w:spacing w:val="-2"/>
        </w:rPr>
        <w:t>虚拟化安全、国产终端安全等多个新兴终端安全领域，采用“云管端”立体防御的思想，在对终端的范围、内涵和外延进行</w:t>
      </w:r>
      <w:r>
        <w:rPr>
          <w:spacing w:val="-70"/>
        </w:rPr>
        <w:t> </w:t>
      </w:r>
      <w:r>
        <w:rPr>
          <w:spacing w:val="-70"/>
        </w:rPr>
      </w:r>
      <w:r>
        <w:rPr>
          <w:spacing w:val="-2"/>
        </w:rPr>
        <w:t>拓展的同时，引入大数据技术来不断强化终端安全管理的广度和深度。报告期内，公司营销服务体系建设项目基本完成，进</w:t>
      </w:r>
      <w:r>
        <w:rPr>
          <w:spacing w:val="-65"/>
        </w:rPr>
        <w:t> </w:t>
      </w:r>
      <w:r>
        <w:rPr>
          <w:spacing w:val="-65"/>
        </w:rPr>
      </w:r>
      <w:r>
        <w:rPr>
          <w:spacing w:val="-2"/>
        </w:rPr>
        <w:t>一步增强了公司的市场营销力度，在业界权威机构赛迪顾问（</w:t>
      </w:r>
      <w:r>
        <w:rPr>
          <w:rFonts w:ascii="宋体" w:hAnsi="宋体" w:cs="宋体" w:eastAsia="宋体" w:hint="default"/>
          <w:spacing w:val="-2"/>
        </w:rPr>
        <w:t>CCID</w:t>
      </w:r>
      <w:r>
        <w:rPr>
          <w:spacing w:val="-2"/>
        </w:rPr>
        <w:t>）发布的中国信息安全产品市场研究报告中，北信源终端</w:t>
      </w:r>
      <w:r>
        <w:rPr>
          <w:spacing w:val="-61"/>
        </w:rPr>
        <w:t> </w:t>
      </w:r>
      <w:r>
        <w:rPr>
          <w:spacing w:val="-61"/>
        </w:rPr>
      </w:r>
      <w:r>
        <w:rPr>
          <w:spacing w:val="-2"/>
        </w:rPr>
        <w:t>安全管理产品在中国终端安全管理市场占有率连续第八年保持第一。同时，公司积极布局海外市场，完成设立马来西亚全资</w:t>
      </w:r>
      <w:r>
        <w:rPr>
          <w:spacing w:val="-65"/>
        </w:rPr>
        <w:t> </w:t>
      </w:r>
      <w:r>
        <w:rPr>
          <w:spacing w:val="-65"/>
        </w:rPr>
      </w:r>
      <w:r>
        <w:rPr/>
        <w:t>子公司，并已展开日常工作，为公司未来进一步发展海外市场打下坚实的基础。</w:t>
      </w:r>
    </w:p>
    <w:p>
      <w:pPr>
        <w:pStyle w:val="BodyText"/>
        <w:spacing w:line="300" w:lineRule="auto" w:before="19"/>
        <w:ind w:left="152" w:right="187" w:firstLine="360"/>
        <w:jc w:val="left"/>
      </w:pPr>
      <w:r>
        <w:rPr/>
        <w:t>报告期内，公司紧紧围绕年度发展规划和经营目标，实现营业收入</w:t>
      </w:r>
      <w:r>
        <w:rPr>
          <w:rFonts w:ascii="Times New Roman" w:hAnsi="Times New Roman" w:cs="Times New Roman" w:eastAsia="Times New Roman" w:hint="default"/>
        </w:rPr>
        <w:t>26,273.36</w:t>
      </w:r>
      <w:r>
        <w:rPr/>
        <w:t>万元，较上年同期上升了</w:t>
      </w:r>
      <w:r>
        <w:rPr>
          <w:rFonts w:ascii="Times New Roman" w:hAnsi="Times New Roman" w:cs="Times New Roman" w:eastAsia="Times New Roman" w:hint="default"/>
        </w:rPr>
        <w:t>15.13%</w:t>
      </w:r>
      <w:r>
        <w:rPr/>
        <w:t>，主要是 </w:t>
      </w:r>
      <w:r>
        <w:rPr>
          <w:spacing w:val="-3"/>
        </w:rPr>
        <w:t>由于公司</w:t>
      </w:r>
      <w:r>
        <w:rPr>
          <w:rFonts w:ascii="Times New Roman" w:hAnsi="Times New Roman" w:cs="Times New Roman" w:eastAsia="Times New Roman" w:hint="default"/>
          <w:spacing w:val="-3"/>
        </w:rPr>
        <w:t>2014</w:t>
      </w:r>
      <w:r>
        <w:rPr>
          <w:spacing w:val="-3"/>
        </w:rPr>
        <w:t>年度积极拓展市场，在软件系统产品和产品方面的销售有所增长。实现归属于上市公司股东的净利润为</w:t>
      </w:r>
      <w:r>
        <w:rPr>
          <w:rFonts w:ascii="Times New Roman" w:hAnsi="Times New Roman" w:cs="Times New Roman" w:eastAsia="Times New Roman" w:hint="default"/>
          <w:spacing w:val="-3"/>
        </w:rPr>
        <w:t>6,799.39</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1"/>
        </w:rPr>
        <w:t>万元，较上年同期上升了</w:t>
      </w:r>
      <w:r>
        <w:rPr>
          <w:rFonts w:ascii="Times New Roman" w:hAnsi="Times New Roman" w:cs="Times New Roman" w:eastAsia="Times New Roman" w:hint="default"/>
          <w:spacing w:val="-1"/>
        </w:rPr>
        <w:t>0.30%</w:t>
      </w:r>
      <w:r>
        <w:rPr>
          <w:spacing w:val="-1"/>
        </w:rPr>
        <w:t>。营业总成本为</w:t>
      </w:r>
      <w:r>
        <w:rPr>
          <w:rFonts w:ascii="Times New Roman" w:hAnsi="Times New Roman" w:cs="Times New Roman" w:eastAsia="Times New Roman" w:hint="default"/>
          <w:spacing w:val="-1"/>
        </w:rPr>
        <w:t>19,836.63</w:t>
      </w:r>
      <w:r>
        <w:rPr>
          <w:spacing w:val="-1"/>
        </w:rPr>
        <w:t>万元，较上年同期增长了</w:t>
      </w:r>
      <w:r>
        <w:rPr>
          <w:rFonts w:ascii="Times New Roman" w:hAnsi="Times New Roman" w:cs="Times New Roman" w:eastAsia="Times New Roman" w:hint="default"/>
          <w:spacing w:val="-1"/>
        </w:rPr>
        <w:t>10.87%</w:t>
      </w:r>
      <w:r>
        <w:rPr>
          <w:spacing w:val="-1"/>
        </w:rPr>
        <w:t>。公司总资产为</w:t>
      </w:r>
      <w:r>
        <w:rPr>
          <w:rFonts w:ascii="Times New Roman" w:hAnsi="Times New Roman" w:cs="Times New Roman" w:eastAsia="Times New Roman" w:hint="default"/>
          <w:spacing w:val="-1"/>
        </w:rPr>
        <w:t>79,168.72</w:t>
      </w:r>
      <w:r>
        <w:rPr>
          <w:spacing w:val="-1"/>
        </w:rPr>
        <w:t>万元，较</w:t>
      </w:r>
      <w:r>
        <w:rPr>
          <w:spacing w:val="-53"/>
        </w:rPr>
        <w:t> </w:t>
      </w:r>
      <w:r>
        <w:rPr>
          <w:spacing w:val="-53"/>
        </w:rPr>
      </w:r>
      <w:r>
        <w:rPr/>
        <w:t>上年同期增长了</w:t>
      </w:r>
      <w:r>
        <w:rPr>
          <w:rFonts w:ascii="Times New Roman" w:hAnsi="Times New Roman" w:cs="Times New Roman" w:eastAsia="Times New Roman" w:hint="default"/>
        </w:rPr>
        <w:t>12.21%</w:t>
      </w:r>
      <w:r>
        <w:rPr/>
        <w:t>，归属于上市公司股东的所有者权益为</w:t>
      </w:r>
      <w:r>
        <w:rPr>
          <w:rFonts w:ascii="Times New Roman" w:hAnsi="Times New Roman" w:cs="Times New Roman" w:eastAsia="Times New Roman" w:hint="default"/>
        </w:rPr>
        <w:t>70,139.48</w:t>
      </w:r>
      <w:r>
        <w:rPr/>
        <w:t>万元，较上年同期增长了</w:t>
      </w:r>
      <w:r>
        <w:rPr>
          <w:rFonts w:ascii="Times New Roman" w:hAnsi="Times New Roman" w:cs="Times New Roman" w:eastAsia="Times New Roman" w:hint="default"/>
        </w:rPr>
        <w:t>8.30%</w:t>
      </w:r>
      <w:r>
        <w:rPr/>
        <w:t>。</w:t>
      </w:r>
    </w:p>
    <w:p>
      <w:pPr>
        <w:pStyle w:val="BodyText"/>
        <w:spacing w:line="240" w:lineRule="auto" w:before="13"/>
        <w:ind w:right="0"/>
        <w:jc w:val="left"/>
      </w:pPr>
      <w:r>
        <w:rPr>
          <w:rFonts w:ascii="Times New Roman" w:hAnsi="Times New Roman" w:cs="Times New Roman" w:eastAsia="Times New Roman" w:hint="default"/>
        </w:rPr>
        <w:t>2014</w:t>
      </w:r>
      <w:r>
        <w:rPr/>
        <w:t>年公司重点完成以下工作：</w:t>
      </w:r>
    </w:p>
    <w:p>
      <w:pPr>
        <w:pStyle w:val="BodyText"/>
        <w:spacing w:line="316" w:lineRule="auto" w:before="63"/>
        <w:ind w:right="93"/>
        <w:jc w:val="left"/>
      </w:pPr>
      <w:r>
        <w:rPr/>
        <w:t>（</w:t>
      </w:r>
      <w:r>
        <w:rPr>
          <w:rFonts w:ascii="宋体" w:hAnsi="宋体" w:cs="宋体" w:eastAsia="宋体" w:hint="default"/>
        </w:rPr>
        <w:t>1</w:t>
      </w:r>
      <w:r>
        <w:rPr/>
        <w:t>）加大研发投入，推动技术及产品创新 报告期内，公司持续加大研发投入，不断追求技术和产品的创新。报告期内，公司取得“一种安全刻录及审计的方法”</w:t>
      </w:r>
    </w:p>
    <w:p>
      <w:pPr>
        <w:pStyle w:val="BodyText"/>
        <w:spacing w:line="316" w:lineRule="auto" w:before="19"/>
        <w:ind w:left="152" w:right="191"/>
        <w:jc w:val="both"/>
      </w:pPr>
      <w:r>
        <w:rPr/>
        <w:t>发明专利；取得“神州信源大数据安全管理平台</w:t>
      </w:r>
      <w:r>
        <w:rPr>
          <w:rFonts w:ascii="宋体" w:hAnsi="宋体" w:cs="宋体" w:eastAsia="宋体" w:hint="default"/>
        </w:rPr>
        <w:t>V1.0</w:t>
      </w:r>
      <w:r>
        <w:rPr/>
        <w:t>”、“北信源桌面虚拟化系统</w:t>
      </w:r>
      <w:r>
        <w:rPr>
          <w:rFonts w:ascii="宋体" w:hAnsi="宋体" w:cs="宋体" w:eastAsia="宋体" w:hint="default"/>
        </w:rPr>
        <w:t>V2.0[</w:t>
      </w:r>
      <w:r>
        <w:rPr/>
        <w:t>简称</w:t>
      </w:r>
      <w:r>
        <w:rPr>
          <w:rFonts w:ascii="宋体" w:hAnsi="宋体" w:cs="宋体" w:eastAsia="宋体" w:hint="default"/>
        </w:rPr>
        <w:t>: VRV</w:t>
      </w:r>
      <w:r>
        <w:rPr>
          <w:rFonts w:ascii="宋体" w:hAnsi="宋体" w:cs="宋体" w:eastAsia="宋体" w:hint="default"/>
          <w:spacing w:val="-6"/>
        </w:rPr>
        <w:t> </w:t>
      </w:r>
      <w:r>
        <w:rPr>
          <w:rFonts w:ascii="宋体" w:hAnsi="宋体" w:cs="宋体" w:eastAsia="宋体" w:hint="default"/>
        </w:rPr>
        <w:t>VDS]</w:t>
      </w:r>
      <w:r>
        <w:rPr/>
        <w:t>”、“北信源主机 监控审计与补丁分发系统</w:t>
      </w:r>
      <w:r>
        <w:rPr>
          <w:rFonts w:ascii="宋体" w:hAnsi="宋体" w:cs="宋体" w:eastAsia="宋体" w:hint="default"/>
        </w:rPr>
        <w:t>(</w:t>
      </w:r>
      <w:r>
        <w:rPr/>
        <w:t>中标麒麟版</w:t>
      </w:r>
      <w:r>
        <w:rPr>
          <w:rFonts w:ascii="宋体" w:hAnsi="宋体" w:cs="宋体" w:eastAsia="宋体" w:hint="default"/>
        </w:rPr>
        <w:t>)V6.6[</w:t>
      </w:r>
      <w:r>
        <w:rPr/>
        <w:t>简称</w:t>
      </w:r>
      <w:r>
        <w:rPr>
          <w:rFonts w:ascii="宋体" w:hAnsi="宋体" w:cs="宋体" w:eastAsia="宋体" w:hint="default"/>
        </w:rPr>
        <w:t>:</w:t>
      </w:r>
      <w:r>
        <w:rPr>
          <w:rFonts w:ascii="宋体" w:hAnsi="宋体" w:cs="宋体" w:eastAsia="宋体" w:hint="default"/>
          <w:spacing w:val="-3"/>
        </w:rPr>
        <w:t> </w:t>
      </w:r>
      <w:r>
        <w:rPr/>
        <w:t>主机监控审计与补丁分发</w:t>
      </w:r>
      <w:r>
        <w:rPr>
          <w:rFonts w:ascii="宋体" w:hAnsi="宋体" w:cs="宋体" w:eastAsia="宋体" w:hint="default"/>
        </w:rPr>
        <w:t>]</w:t>
      </w:r>
      <w:r>
        <w:rPr/>
        <w:t>”等共计</w:t>
      </w:r>
      <w:r>
        <w:rPr>
          <w:rFonts w:ascii="宋体" w:hAnsi="宋体" w:cs="宋体" w:eastAsia="宋体" w:hint="default"/>
        </w:rPr>
        <w:t>7</w:t>
      </w:r>
      <w:r>
        <w:rPr/>
        <w:t>项软件著作权，彰显出强大的技术 </w:t>
      </w:r>
      <w:r>
        <w:rPr>
          <w:spacing w:val="-2"/>
        </w:rPr>
        <w:t>研发和创新能力。同时，报告期内，公司不断强化新产品的开发力度，推出新一代文档定密系统、国产操作系统终端防护产</w:t>
      </w:r>
      <w:r>
        <w:rPr>
          <w:spacing w:val="-67"/>
        </w:rPr>
        <w:t> </w:t>
      </w:r>
      <w:r>
        <w:rPr>
          <w:spacing w:val="-67"/>
        </w:rPr>
      </w:r>
      <w:r>
        <w:rPr>
          <w:spacing w:val="-2"/>
        </w:rPr>
        <w:t>品等新产品，并重点关注虚拟化、大数据、移动端管理等领域的研发，在满足客户需求的同时也进一步提升了相应的市场占</w:t>
      </w:r>
      <w:r>
        <w:rPr>
          <w:spacing w:val="-64"/>
        </w:rPr>
        <w:t> </w:t>
      </w:r>
      <w:r>
        <w:rPr>
          <w:spacing w:val="-64"/>
        </w:rPr>
      </w:r>
      <w:r>
        <w:rPr/>
        <w:t>有率。</w:t>
      </w:r>
    </w:p>
    <w:p>
      <w:pPr>
        <w:pStyle w:val="BodyText"/>
        <w:spacing w:line="316" w:lineRule="auto" w:before="19"/>
        <w:ind w:right="0"/>
        <w:jc w:val="left"/>
      </w:pPr>
      <w:r>
        <w:rPr/>
        <w:t>（</w:t>
      </w:r>
      <w:r>
        <w:rPr>
          <w:rFonts w:ascii="宋体" w:hAnsi="宋体" w:cs="宋体" w:eastAsia="宋体" w:hint="default"/>
        </w:rPr>
        <w:t>2</w:t>
      </w:r>
      <w:r>
        <w:rPr/>
        <w:t>）积极展开资本运作，实现合作共赢 </w:t>
      </w:r>
      <w:r>
        <w:rPr>
          <w:spacing w:val="-2"/>
        </w:rPr>
        <w:t>报告期内，公司使用超募资金对北京双洲科技有限公司进行投资，使公司在“集中管控”等方面获得了强有力的技术和</w:t>
      </w:r>
    </w:p>
    <w:p>
      <w:pPr>
        <w:pStyle w:val="BodyText"/>
        <w:spacing w:line="316" w:lineRule="auto" w:before="19"/>
        <w:ind w:left="152" w:right="189"/>
        <w:jc w:val="both"/>
      </w:pPr>
      <w:r>
        <w:rPr>
          <w:spacing w:val="-2"/>
        </w:rPr>
        <w:t>产品支持，并进一步拓宽了公司在军队、政府等大型客户资源，从而进一步提升公司与各类客户的合作关系，达到了合作共</w:t>
      </w:r>
      <w:r>
        <w:rPr>
          <w:spacing w:val="-64"/>
        </w:rPr>
        <w:t> </w:t>
      </w:r>
      <w:r>
        <w:rPr>
          <w:spacing w:val="-64"/>
        </w:rPr>
      </w:r>
      <w:r>
        <w:rPr>
          <w:spacing w:val="-2"/>
        </w:rPr>
        <w:t>赢的良好效果。第四季度，公司拟通过发行股份购买资产收购北京中软华泰信息技术有限责任公司，截止本报告披露日，相</w:t>
      </w:r>
      <w:r>
        <w:rPr>
          <w:spacing w:val="-66"/>
        </w:rPr>
        <w:t> </w:t>
      </w:r>
      <w:r>
        <w:rPr>
          <w:spacing w:val="-66"/>
        </w:rPr>
      </w:r>
      <w:r>
        <w:rPr/>
        <w:t>关交易方案已通过董事会、股东会审议，并收到中国证监会反馈意见。</w:t>
      </w:r>
    </w:p>
    <w:p>
      <w:pPr>
        <w:pStyle w:val="BodyText"/>
        <w:spacing w:line="319" w:lineRule="auto" w:before="19"/>
        <w:ind w:right="0"/>
        <w:jc w:val="left"/>
      </w:pPr>
      <w:r>
        <w:rPr/>
        <w:t>（</w:t>
      </w:r>
      <w:r>
        <w:rPr>
          <w:rFonts w:ascii="宋体" w:hAnsi="宋体" w:cs="宋体" w:eastAsia="宋体" w:hint="default"/>
        </w:rPr>
        <w:t>3</w:t>
      </w:r>
      <w:r>
        <w:rPr/>
        <w:t>）积极参与行业活动，提升品牌影响力 </w:t>
      </w:r>
      <w:r>
        <w:rPr>
          <w:spacing w:val="-2"/>
        </w:rPr>
        <w:t>报告期内，公司继续保持与各类高校展开合作，同时积极参与各类行业论坛和研讨活动，与行业相关专家和政府机关展</w:t>
      </w:r>
    </w:p>
    <w:p>
      <w:pPr>
        <w:pStyle w:val="BodyText"/>
        <w:spacing w:line="240" w:lineRule="auto" w:before="17"/>
        <w:ind w:left="152" w:right="0"/>
        <w:jc w:val="both"/>
      </w:pPr>
      <w:r>
        <w:rPr/>
        <w:t>开多种形式的交流合作参与国家信息安全建设。</w:t>
      </w:r>
      <w:r>
        <w:rPr>
          <w:rFonts w:ascii="宋体" w:hAnsi="宋体" w:cs="宋体" w:eastAsia="宋体" w:hint="default"/>
        </w:rPr>
        <w:t>3</w:t>
      </w:r>
      <w:r>
        <w:rPr/>
        <w:t>月，北信源连续第十二年出色完成“全国人大”、“全国政协”会议信息</w:t>
      </w:r>
    </w:p>
    <w:p>
      <w:pPr>
        <w:spacing w:after="0" w:line="240"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184"/>
        <w:jc w:val="left"/>
      </w:pPr>
      <w:r>
        <w:rPr/>
        <w:t>安保服务任务。</w:t>
      </w:r>
      <w:r>
        <w:rPr>
          <w:rFonts w:ascii="宋体" w:hAnsi="宋体" w:cs="宋体" w:eastAsia="宋体" w:hint="default"/>
        </w:rPr>
        <w:t>5</w:t>
      </w:r>
      <w:r>
        <w:rPr/>
        <w:t>月，在业界享有盛誉的中国信息安全大会召开，北信源连续第四次获得“</w:t>
      </w:r>
      <w:r>
        <w:rPr>
          <w:rFonts w:ascii="宋体" w:hAnsi="宋体" w:cs="宋体" w:eastAsia="宋体" w:hint="default"/>
        </w:rPr>
        <w:t>2014</w:t>
      </w:r>
      <w:r>
        <w:rPr/>
        <w:t>年度中国信息安全最具影响</w:t>
      </w:r>
      <w:r>
        <w:rPr>
          <w:spacing w:val="-85"/>
        </w:rPr>
        <w:t> </w:t>
      </w:r>
      <w:r>
        <w:rPr/>
        <w:t>力企业”奖项。</w:t>
      </w:r>
      <w:r>
        <w:rPr>
          <w:rFonts w:ascii="宋体" w:hAnsi="宋体" w:cs="宋体" w:eastAsia="宋体" w:hint="default"/>
        </w:rPr>
        <w:t>5</w:t>
      </w:r>
      <w:r>
        <w:rPr/>
        <w:t>月，高质量完成“亚洲相互协作与信任措施会议第四次峰会”信息安保服务任务。</w:t>
      </w:r>
      <w:r>
        <w:rPr>
          <w:rFonts w:ascii="宋体" w:hAnsi="宋体" w:cs="宋体" w:eastAsia="宋体" w:hint="default"/>
        </w:rPr>
        <w:t>8</w:t>
      </w:r>
      <w:r>
        <w:rPr/>
        <w:t>月，圆满完成“</w:t>
      </w:r>
      <w:r>
        <w:rPr>
          <w:rFonts w:ascii="宋体" w:hAnsi="宋体" w:cs="宋体" w:eastAsia="宋体" w:hint="default"/>
        </w:rPr>
        <w:t>2014</w:t>
      </w:r>
      <w:r>
        <w:rPr>
          <w:rFonts w:ascii="宋体" w:hAnsi="宋体" w:cs="宋体" w:eastAsia="宋体" w:hint="default"/>
          <w:spacing w:val="-87"/>
        </w:rPr>
        <w:t> </w:t>
      </w:r>
      <w:r>
        <w:rPr>
          <w:rFonts w:ascii="宋体" w:hAnsi="宋体" w:cs="宋体" w:eastAsia="宋体" w:hint="default"/>
          <w:spacing w:val="-87"/>
        </w:rPr>
      </w:r>
      <w:r>
        <w:rPr>
          <w:spacing w:val="-5"/>
        </w:rPr>
        <w:t>年南京青奥会”信息安保服务任务，继</w:t>
      </w:r>
      <w:r>
        <w:rPr>
          <w:rFonts w:ascii="宋体" w:hAnsi="宋体" w:cs="宋体" w:eastAsia="宋体" w:hint="default"/>
          <w:spacing w:val="-5"/>
        </w:rPr>
        <w:t>2011</w:t>
      </w:r>
      <w:r>
        <w:rPr>
          <w:spacing w:val="-5"/>
        </w:rPr>
        <w:t>年深圳大运会后，又一次完成世界级运动会的安保任务。</w:t>
      </w:r>
      <w:r>
        <w:rPr>
          <w:rFonts w:ascii="宋体" w:hAnsi="宋体" w:cs="宋体" w:eastAsia="宋体" w:hint="default"/>
          <w:spacing w:val="-5"/>
        </w:rPr>
        <w:t>11</w:t>
      </w:r>
      <w:r>
        <w:rPr>
          <w:spacing w:val="-5"/>
        </w:rPr>
        <w:t>月，为“</w:t>
      </w:r>
      <w:r>
        <w:rPr>
          <w:rFonts w:ascii="宋体" w:hAnsi="宋体" w:cs="宋体" w:eastAsia="宋体" w:hint="default"/>
          <w:spacing w:val="-5"/>
        </w:rPr>
        <w:t>2014</w:t>
      </w:r>
      <w:r>
        <w:rPr>
          <w:spacing w:val="-5"/>
        </w:rPr>
        <w:t>北京</w:t>
      </w:r>
      <w:r>
        <w:rPr>
          <w:rFonts w:ascii="宋体" w:hAnsi="宋体" w:cs="宋体" w:eastAsia="宋体" w:hint="default"/>
          <w:spacing w:val="-5"/>
        </w:rPr>
        <w:t>APEC</w:t>
      </w:r>
      <w:r>
        <w:rPr>
          <w:rFonts w:ascii="宋体" w:hAnsi="宋体" w:cs="宋体" w:eastAsia="宋体" w:hint="default"/>
          <w:spacing w:val="-49"/>
        </w:rPr>
        <w:t> </w:t>
      </w:r>
      <w:r>
        <w:rPr>
          <w:rFonts w:ascii="宋体" w:hAnsi="宋体" w:cs="宋体" w:eastAsia="宋体" w:hint="default"/>
          <w:spacing w:val="-49"/>
        </w:rPr>
      </w:r>
      <w:r>
        <w:rPr/>
        <w:t>峰会”提供信息安保服务并赢得赞誉。</w:t>
      </w:r>
    </w:p>
    <w:p>
      <w:pPr>
        <w:pStyle w:val="BodyText"/>
        <w:spacing w:line="300" w:lineRule="auto" w:before="19"/>
        <w:ind w:right="0"/>
        <w:jc w:val="left"/>
      </w:pPr>
      <w:r>
        <w:rPr/>
        <w:t>（</w:t>
      </w:r>
      <w:r>
        <w:rPr>
          <w:rFonts w:ascii="Times New Roman" w:hAnsi="Times New Roman" w:cs="Times New Roman" w:eastAsia="Times New Roman" w:hint="default"/>
        </w:rPr>
        <w:t>4</w:t>
      </w:r>
      <w:r>
        <w:rPr/>
        <w:t>）募集资金使用情况 </w:t>
      </w:r>
      <w:r>
        <w:rPr>
          <w:spacing w:val="-2"/>
        </w:rPr>
        <w:t>报告期内，公司根据相关要求和募集资金使用计划，加紧项目建设，合理落实募投资金使用进度。报告期内，公司共投</w:t>
      </w:r>
    </w:p>
    <w:p>
      <w:pPr>
        <w:pStyle w:val="BodyText"/>
        <w:spacing w:line="304" w:lineRule="auto" w:before="31"/>
        <w:ind w:left="152" w:right="190"/>
        <w:jc w:val="both"/>
      </w:pPr>
      <w:r>
        <w:rPr/>
        <w:t>入募集资金</w:t>
      </w:r>
      <w:r>
        <w:rPr>
          <w:rFonts w:ascii="Times New Roman" w:hAnsi="Times New Roman" w:cs="Times New Roman" w:eastAsia="Times New Roman" w:hint="default"/>
        </w:rPr>
        <w:t>15,177.34</w:t>
      </w:r>
      <w:r>
        <w:rPr/>
        <w:t>万元，累计使用募集资金</w:t>
      </w:r>
      <w:r>
        <w:rPr>
          <w:rFonts w:ascii="Times New Roman" w:hAnsi="Times New Roman" w:cs="Times New Roman" w:eastAsia="Times New Roman" w:hint="default"/>
        </w:rPr>
        <w:t>31,926.71</w:t>
      </w:r>
      <w:r>
        <w:rPr/>
        <w:t>万元，结余募集资金</w:t>
      </w:r>
      <w:r>
        <w:rPr>
          <w:rFonts w:ascii="Times New Roman" w:hAnsi="Times New Roman" w:cs="Times New Roman" w:eastAsia="Times New Roman" w:hint="default"/>
        </w:rPr>
        <w:t>5,774.15</w:t>
      </w:r>
      <w:r>
        <w:rPr/>
        <w:t>万元（不含利息）。募投项目之一营销 </w:t>
      </w:r>
      <w:r>
        <w:rPr>
          <w:spacing w:val="-2"/>
        </w:rPr>
        <w:t>服务体系项目已按照计划建设完成，另外三个募投项目按计划积极推进，进一步提高了公司在终端安全管理、数据安全管理</w:t>
      </w:r>
      <w:r>
        <w:rPr>
          <w:spacing w:val="-63"/>
        </w:rPr>
        <w:t> </w:t>
      </w:r>
      <w:r>
        <w:rPr>
          <w:spacing w:val="-63"/>
        </w:rPr>
      </w:r>
      <w:r>
        <w:rPr/>
        <w:t>和安全管理平台几个方面的研发能力和产品生产能力。同时运用超募资金</w:t>
      </w:r>
      <w:r>
        <w:rPr>
          <w:rFonts w:ascii="Times New Roman" w:hAnsi="Times New Roman" w:cs="Times New Roman" w:eastAsia="Times New Roman" w:hint="default"/>
        </w:rPr>
        <w:t>1,000.00</w:t>
      </w:r>
      <w:r>
        <w:rPr/>
        <w:t>万元在马来西亚吉隆坡设立全资子公司， </w:t>
      </w:r>
      <w:r>
        <w:rPr>
          <w:spacing w:val="-1"/>
        </w:rPr>
        <w:t>公司计划以此为基础，向东南亚乃至全球辐射，进一步加速了公司的国际化进程。公司另使用超募资金</w:t>
      </w:r>
      <w:r>
        <w:rPr>
          <w:rFonts w:ascii="Times New Roman" w:hAnsi="Times New Roman" w:cs="Times New Roman" w:eastAsia="Times New Roman" w:hint="default"/>
          <w:spacing w:val="-1"/>
        </w:rPr>
        <w:t>500.00</w:t>
      </w:r>
      <w:r>
        <w:rPr>
          <w:spacing w:val="-1"/>
        </w:rPr>
        <w:t>万元用于投资</w:t>
      </w:r>
      <w:r>
        <w:rPr>
          <w:spacing w:val="-74"/>
        </w:rPr>
        <w:t> </w:t>
      </w:r>
      <w:r>
        <w:rPr>
          <w:spacing w:val="-74"/>
        </w:rPr>
      </w:r>
      <w:r>
        <w:rPr/>
        <w:t>北京双洲科技有限公司，增强了公司在</w:t>
      </w:r>
      <w:r>
        <w:rPr>
          <w:rFonts w:ascii="Times New Roman" w:hAnsi="Times New Roman" w:cs="Times New Roman" w:eastAsia="Times New Roman" w:hint="default"/>
        </w:rPr>
        <w:t>“</w:t>
      </w:r>
      <w:r>
        <w:rPr/>
        <w:t>集中管控</w:t>
      </w:r>
      <w:r>
        <w:rPr>
          <w:rFonts w:ascii="Times New Roman" w:hAnsi="Times New Roman" w:cs="Times New Roman" w:eastAsia="Times New Roman" w:hint="default"/>
        </w:rPr>
        <w:t>”</w:t>
      </w:r>
      <w:r>
        <w:rPr/>
        <w:t>等方面的科技实力，进一步拓宽了公司在军队、政府等大型客户资源。</w:t>
      </w:r>
    </w:p>
    <w:p>
      <w:pPr>
        <w:pStyle w:val="BodyText"/>
        <w:spacing w:line="300" w:lineRule="auto" w:before="9"/>
        <w:ind w:right="0"/>
        <w:jc w:val="left"/>
      </w:pPr>
      <w:r>
        <w:rPr/>
        <w:t>（</w:t>
      </w:r>
      <w:r>
        <w:rPr>
          <w:rFonts w:ascii="Times New Roman" w:hAnsi="Times New Roman" w:cs="Times New Roman" w:eastAsia="Times New Roman" w:hint="default"/>
        </w:rPr>
        <w:t>5</w:t>
      </w:r>
      <w:r>
        <w:rPr/>
        <w:t>）强化内部管控，提高运营效率 </w:t>
      </w:r>
      <w:r>
        <w:rPr>
          <w:spacing w:val="-2"/>
        </w:rPr>
        <w:t>报告期内，公司积极推进各事业部及子公司之间的资源整合和协同，设立公司产品资源库，定期组织业务交流，完善内</w:t>
      </w:r>
    </w:p>
    <w:p>
      <w:pPr>
        <w:pStyle w:val="BodyText"/>
        <w:spacing w:line="316" w:lineRule="auto" w:before="31"/>
        <w:ind w:left="152" w:right="94"/>
        <w:jc w:val="left"/>
      </w:pPr>
      <w:r>
        <w:rPr/>
        <w:t>部资源协调制度。顺应市场环境变化，实现销售管理集约化，统一资源调配，集中优势资源投入重点市场，加强各事业部、 </w:t>
      </w:r>
      <w:r>
        <w:rPr>
          <w:spacing w:val="-2"/>
        </w:rPr>
        <w:t>子公司的技术复用。同时公司不断强化目标管理，优化管理流程，优化绩效考核，提高工作效率，提升管理水平。通过完善</w:t>
      </w:r>
      <w:r>
        <w:rPr>
          <w:spacing w:val="-68"/>
        </w:rPr>
        <w:t> </w:t>
      </w:r>
      <w:r>
        <w:rPr>
          <w:spacing w:val="-68"/>
        </w:rPr>
      </w:r>
      <w:r>
        <w:rPr>
          <w:spacing w:val="-2"/>
        </w:rPr>
        <w:t>内部控制管理，细化预算工作。划小业务单元，成本精细化核算，跟进项目进程中的预算执行情况及成本控制，降低公司在</w:t>
      </w:r>
      <w:r>
        <w:rPr>
          <w:spacing w:val="-67"/>
        </w:rPr>
        <w:t> </w:t>
      </w:r>
      <w:r>
        <w:rPr>
          <w:spacing w:val="-67"/>
        </w:rPr>
      </w:r>
      <w:r>
        <w:rPr>
          <w:spacing w:val="-2"/>
        </w:rPr>
        <w:t>经营过程中面临的各种风险，提升公司整体运营效率。在信息披露与投资者关系方面，公司进一步完善了信息披露的内部审</w:t>
      </w:r>
      <w:r>
        <w:rPr>
          <w:spacing w:val="-62"/>
        </w:rPr>
        <w:t> </w:t>
      </w:r>
      <w:r>
        <w:rPr>
          <w:spacing w:val="-62"/>
        </w:rPr>
      </w:r>
      <w:r>
        <w:rPr/>
        <w:t>核流程，确保及时准确的公告相关内容。同时公司重视中小投资者利益，积极与投资者进行交流。</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）概述</w:t>
      </w:r>
    </w:p>
    <w:p>
      <w:pPr>
        <w:pStyle w:val="BodyText"/>
        <w:spacing w:line="316" w:lineRule="auto" w:before="103"/>
        <w:ind w:left="152" w:right="0" w:firstLine="648"/>
        <w:jc w:val="left"/>
      </w:pPr>
      <w:r>
        <w:rPr>
          <w:spacing w:val="-1"/>
        </w:rPr>
        <w:t>报告期内，公司有效地实施了年初董事会制定的业务目标与规划，积极推出新产品，研发新技术，进一步提升公司</w:t>
      </w:r>
      <w:r>
        <w:rPr/>
        <w:t> 创新能力，同时继续完善在国内的区域布局，在既有各个市场领域均保持了较为平稳的发展。</w:t>
      </w:r>
    </w:p>
    <w:p>
      <w:pPr>
        <w:pStyle w:val="BodyText"/>
        <w:spacing w:line="300" w:lineRule="auto" w:before="19"/>
        <w:ind w:left="801" w:right="0"/>
        <w:jc w:val="left"/>
      </w:pPr>
      <w:r>
        <w:rPr/>
        <w:t>报告期内，公司营业收入同比增长</w:t>
      </w:r>
      <w:r>
        <w:rPr>
          <w:rFonts w:ascii="Times New Roman" w:hAnsi="Times New Roman" w:cs="Times New Roman" w:eastAsia="Times New Roman" w:hint="default"/>
        </w:rPr>
        <w:t>15.13%</w:t>
      </w:r>
      <w:r>
        <w:rPr/>
        <w:t>，主要系公司销售收入增加所致。 报告期内，公司营业成本同比下降</w:t>
      </w:r>
      <w:r>
        <w:rPr>
          <w:rFonts w:ascii="Times New Roman" w:hAnsi="Times New Roman" w:cs="Times New Roman" w:eastAsia="Times New Roman" w:hint="default"/>
        </w:rPr>
        <w:t>32.57%</w:t>
      </w:r>
      <w:r>
        <w:rPr/>
        <w:t>，主要系公司其他业务成本下降所致。 </w:t>
      </w:r>
      <w:r>
        <w:rPr>
          <w:spacing w:val="-1"/>
        </w:rPr>
        <w:t>报告期内，公司管理费用同比增长</w:t>
      </w:r>
      <w:r>
        <w:rPr>
          <w:rFonts w:ascii="Times New Roman" w:hAnsi="Times New Roman" w:cs="Times New Roman" w:eastAsia="Times New Roman" w:hint="default"/>
          <w:spacing w:val="-1"/>
        </w:rPr>
        <w:t>24.22%</w:t>
      </w:r>
      <w:r>
        <w:rPr>
          <w:spacing w:val="-1"/>
        </w:rPr>
        <w:t>，主要系公司规模增大，加大研发投入和管理投入，研发支出和人员工资</w:t>
      </w:r>
    </w:p>
    <w:p>
      <w:pPr>
        <w:pStyle w:val="BodyText"/>
        <w:spacing w:line="240" w:lineRule="auto" w:before="13"/>
        <w:ind w:left="152" w:right="0"/>
        <w:jc w:val="left"/>
      </w:pPr>
      <w:r>
        <w:rPr/>
        <w:t>费用上升所致。</w:t>
      </w:r>
    </w:p>
    <w:p>
      <w:pPr>
        <w:pStyle w:val="BodyText"/>
        <w:spacing w:line="300" w:lineRule="auto" w:before="76"/>
        <w:ind w:left="801" w:right="0"/>
        <w:jc w:val="left"/>
      </w:pPr>
      <w:r>
        <w:rPr/>
        <w:t>报告期内，公司财务费用同比下降</w:t>
      </w:r>
      <w:r>
        <w:rPr>
          <w:rFonts w:ascii="Times New Roman" w:hAnsi="Times New Roman" w:cs="Times New Roman" w:eastAsia="Times New Roman" w:hint="default"/>
        </w:rPr>
        <w:t>23.12%</w:t>
      </w:r>
      <w:r>
        <w:rPr/>
        <w:t>，主要系公司</w:t>
      </w:r>
      <w:r>
        <w:rPr>
          <w:rFonts w:ascii="Times New Roman" w:hAnsi="Times New Roman" w:cs="Times New Roman" w:eastAsia="Times New Roman" w:hint="default"/>
        </w:rPr>
        <w:t>2014</w:t>
      </w:r>
      <w:r>
        <w:rPr/>
        <w:t>年利息收入变动所致。 报告期内，公司研发投入同比增长</w:t>
      </w:r>
      <w:r>
        <w:rPr>
          <w:rFonts w:ascii="Times New Roman" w:hAnsi="Times New Roman" w:cs="Times New Roman" w:eastAsia="Times New Roman" w:hint="default"/>
        </w:rPr>
        <w:t>29.96%</w:t>
      </w:r>
      <w:r>
        <w:rPr/>
        <w:t>，主要系公司加大研发力度，扩编研发人员所致。 报告期内，公司经营活动产生的现金流量净额同比下降</w:t>
      </w:r>
      <w:r>
        <w:rPr>
          <w:rFonts w:ascii="Times New Roman" w:hAnsi="Times New Roman" w:cs="Times New Roman" w:eastAsia="Times New Roman" w:hint="default"/>
        </w:rPr>
        <w:t>87.63%</w:t>
      </w:r>
      <w:r>
        <w:rPr/>
        <w:t>，主要系经营活动现金流入同比减少所致。 </w:t>
      </w:r>
      <w:r>
        <w:rPr>
          <w:spacing w:val="-1"/>
        </w:rPr>
        <w:t>报告期内，公司投资活动现金流出小计同比增长</w:t>
      </w:r>
      <w:r>
        <w:rPr>
          <w:rFonts w:ascii="Times New Roman" w:hAnsi="Times New Roman" w:cs="Times New Roman" w:eastAsia="Times New Roman" w:hint="default"/>
          <w:spacing w:val="-1"/>
        </w:rPr>
        <w:t>98.82%</w:t>
      </w:r>
      <w:r>
        <w:rPr>
          <w:spacing w:val="-1"/>
        </w:rPr>
        <w:t>，主要系购买武汉办公场地和对北京双洲科技有限公司的股</w:t>
      </w:r>
    </w:p>
    <w:p>
      <w:pPr>
        <w:pStyle w:val="BodyText"/>
        <w:spacing w:line="240" w:lineRule="auto" w:before="13"/>
        <w:ind w:left="152" w:right="0"/>
        <w:jc w:val="left"/>
      </w:pPr>
      <w:r>
        <w:rPr/>
        <w:t>权投资所致。</w:t>
      </w:r>
    </w:p>
    <w:p>
      <w:pPr>
        <w:pStyle w:val="BodyText"/>
        <w:spacing w:line="300" w:lineRule="auto" w:before="76"/>
        <w:ind w:left="801" w:right="90"/>
        <w:jc w:val="left"/>
      </w:pPr>
      <w:r>
        <w:rPr/>
        <w:t>报告期内，公司投资活动产生的现金流量净额同比下降</w:t>
      </w:r>
      <w:r>
        <w:rPr>
          <w:rFonts w:ascii="Times New Roman" w:hAnsi="Times New Roman" w:cs="Times New Roman" w:eastAsia="Times New Roman" w:hint="default"/>
        </w:rPr>
        <w:t>98.79%</w:t>
      </w:r>
      <w:r>
        <w:rPr/>
        <w:t>，主要系投资活动现金流出同比增加所致。 </w:t>
      </w:r>
      <w:r>
        <w:rPr>
          <w:spacing w:val="-3"/>
        </w:rPr>
        <w:t>报告期内，公司筹资活动现金流入小计同比减少</w:t>
      </w:r>
      <w:r>
        <w:rPr>
          <w:rFonts w:ascii="Times New Roman" w:hAnsi="Times New Roman" w:cs="Times New Roman" w:eastAsia="Times New Roman" w:hint="default"/>
          <w:spacing w:val="-3"/>
        </w:rPr>
        <w:t>100%</w:t>
      </w:r>
      <w:r>
        <w:rPr>
          <w:spacing w:val="-3"/>
        </w:rPr>
        <w:t>，主要系公司在</w:t>
      </w:r>
      <w:r>
        <w:rPr>
          <w:rFonts w:ascii="宋体" w:hAnsi="宋体" w:cs="宋体" w:eastAsia="宋体" w:hint="default"/>
          <w:spacing w:val="-3"/>
        </w:rPr>
        <w:t>2013</w:t>
      </w:r>
      <w:r>
        <w:rPr>
          <w:spacing w:val="-3"/>
        </w:rPr>
        <w:t>年获得北京市高新技术成果转化专项资金，</w:t>
      </w:r>
    </w:p>
    <w:p>
      <w:pPr>
        <w:pStyle w:val="BodyText"/>
        <w:spacing w:line="316" w:lineRule="auto" w:before="13"/>
        <w:ind w:left="801" w:right="0" w:hanging="649"/>
        <w:jc w:val="left"/>
      </w:pPr>
      <w:r>
        <w:rPr/>
        <w:t>而报告期内公司无此类款项所致。 </w:t>
      </w:r>
      <w:r>
        <w:rPr>
          <w:spacing w:val="-1"/>
        </w:rPr>
        <w:t>报告期内，公司现金及现金等价物净增加额同比下降</w:t>
      </w:r>
      <w:r>
        <w:rPr>
          <w:rFonts w:ascii="Times New Roman" w:hAnsi="Times New Roman" w:cs="Times New Roman" w:eastAsia="Times New Roman" w:hint="default"/>
          <w:spacing w:val="-1"/>
        </w:rPr>
        <w:t>74.45%</w:t>
      </w:r>
      <w:r>
        <w:rPr>
          <w:spacing w:val="-1"/>
        </w:rPr>
        <w:t>，主要系经营活动、投资活动产生的现金净流量同比下</w:t>
      </w:r>
    </w:p>
    <w:p>
      <w:pPr>
        <w:pStyle w:val="BodyText"/>
        <w:spacing w:line="235" w:lineRule="exact"/>
        <w:ind w:left="152" w:right="0"/>
        <w:jc w:val="left"/>
      </w:pPr>
      <w:r>
        <w:rPr/>
        <w:t>降所致。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3</w:t>
      </w:r>
      <w:r>
        <w:rPr/>
        <w:t>）收入</w:t>
      </w:r>
    </w:p>
    <w:p>
      <w:pPr>
        <w:spacing w:after="0" w:line="240" w:lineRule="auto"/>
        <w:jc w:val="left"/>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4" w:right="0"/>
              <w:jc w:val="left"/>
              <w:rPr>
                <w:rFonts w:ascii="Times New Roman" w:hAnsi="Times New Roman" w:cs="Times New Roman" w:eastAsia="Times New Roman" w:hint="default"/>
                <w:sz w:val="18"/>
                <w:szCs w:val="18"/>
              </w:rPr>
            </w:pPr>
            <w:r>
              <w:rPr>
                <w:rFonts w:ascii="Times New Roman"/>
                <w:sz w:val="18"/>
              </w:rPr>
              <w:t>262,733,639.30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3" w:right="0"/>
              <w:jc w:val="left"/>
              <w:rPr>
                <w:rFonts w:ascii="Times New Roman" w:hAnsi="Times New Roman" w:cs="Times New Roman" w:eastAsia="Times New Roman" w:hint="default"/>
                <w:sz w:val="18"/>
                <w:szCs w:val="18"/>
              </w:rPr>
            </w:pPr>
            <w:r>
              <w:rPr>
                <w:rFonts w:ascii="Times New Roman"/>
                <w:sz w:val="18"/>
              </w:rPr>
              <w:t>228,204,554.56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15.13%</w:t>
            </w:r>
          </w:p>
        </w:tc>
      </w:tr>
    </w:tbl>
    <w:p>
      <w:pPr>
        <w:pStyle w:val="BodyText"/>
        <w:spacing w:line="357" w:lineRule="auto" w:before="49"/>
        <w:ind w:right="93"/>
        <w:jc w:val="left"/>
      </w:pPr>
      <w:r>
        <w:rPr/>
        <w:t>驱动收入变化的因素 </w:t>
      </w:r>
      <w:r>
        <w:rPr>
          <w:color w:val="201E1E"/>
        </w:rPr>
        <w:t>报告期内，公司继续大力贯彻总部市场战略，拓展各类产品的应用范围，对军工、能源产业的核心用户进行深入挖掘，</w:t>
      </w:r>
      <w:r>
        <w:rPr/>
      </w:r>
    </w:p>
    <w:p>
      <w:pPr>
        <w:pStyle w:val="BodyText"/>
        <w:spacing w:line="224" w:lineRule="exact"/>
        <w:ind w:left="152" w:right="0"/>
        <w:jc w:val="left"/>
      </w:pPr>
      <w:r>
        <w:rPr>
          <w:color w:val="201E1E"/>
        </w:rPr>
        <w:t>适时推出新产品，引导客户需求，从而实现了公司营业收入的平稳增长。报告期内，公司依旧维持了产品销售及技术服务的</w:t>
      </w:r>
      <w:r>
        <w:rPr/>
      </w:r>
    </w:p>
    <w:p>
      <w:pPr>
        <w:pStyle w:val="BodyText"/>
        <w:spacing w:line="300" w:lineRule="auto" w:before="76"/>
        <w:ind w:left="152" w:right="214"/>
        <w:jc w:val="left"/>
      </w:pPr>
      <w:r>
        <w:rPr>
          <w:color w:val="201E1E"/>
        </w:rPr>
        <w:t>主营业务。其中，软件产品实现销售收入</w:t>
      </w:r>
      <w:r>
        <w:rPr>
          <w:rFonts w:ascii="Times New Roman" w:hAnsi="Times New Roman" w:cs="Times New Roman" w:eastAsia="Times New Roman" w:hint="default"/>
        </w:rPr>
        <w:t>193,352,085.60</w:t>
      </w:r>
      <w:r>
        <w:rPr/>
        <w:t>元，占主营业务收入比重为</w:t>
      </w:r>
      <w:r>
        <w:rPr>
          <w:rFonts w:ascii="Times New Roman" w:hAnsi="Times New Roman" w:cs="Times New Roman" w:eastAsia="Times New Roman" w:hint="default"/>
        </w:rPr>
        <w:t>74.68%</w:t>
      </w:r>
      <w:r>
        <w:rPr/>
        <w:t>。软件产品中的终端安全管理和 数据安全管理产品均保持了平稳增长。</w:t>
      </w:r>
    </w:p>
    <w:p>
      <w:pPr>
        <w:pStyle w:val="BodyText"/>
        <w:spacing w:line="240" w:lineRule="auto" w:before="94"/>
        <w:ind w:left="0" w:right="251"/>
        <w:jc w:val="right"/>
      </w:pPr>
      <w:r>
        <w:rPr/>
        <w:pict>
          <v:shape style="position:absolute;margin-left:56.400002pt;margin-top:1.171690pt;width:475.8pt;height:141.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1"/>
                    <w:gridCol w:w="1697"/>
                    <w:gridCol w:w="1889"/>
                    <w:gridCol w:w="1753"/>
                    <w:gridCol w:w="1452"/>
                  </w:tblGrid>
                  <w:tr>
                    <w:trPr>
                      <w:trHeight w:val="422" w:hRule="exact"/>
                    </w:trPr>
                    <w:tc>
                      <w:tcPr>
                        <w:tcW w:w="27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6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7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599" w:right="0"/>
                          <w:jc w:val="left"/>
                          <w:rPr>
                            <w:rFonts w:ascii="宋体" w:hAnsi="宋体" w:cs="宋体" w:eastAsia="宋体" w:hint="default"/>
                            <w:sz w:val="18"/>
                            <w:szCs w:val="18"/>
                          </w:rPr>
                        </w:pPr>
                        <w:r>
                          <w:rPr>
                            <w:rFonts w:ascii="宋体" w:hAnsi="宋体" w:cs="宋体" w:eastAsia="宋体" w:hint="default"/>
                            <w:sz w:val="18"/>
                            <w:szCs w:val="18"/>
                          </w:rPr>
                          <w:t>同比增减额</w:t>
                        </w:r>
                      </w:p>
                    </w:tc>
                    <w:tc>
                      <w:tcPr>
                        <w:tcW w:w="145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left="36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增减幅度（</w:t>
                        </w:r>
                        <w:r>
                          <w:rPr>
                            <w:rFonts w:ascii="Times New Roman" w:hAnsi="Times New Roman" w:cs="Times New Roman" w:eastAsia="Times New Roman" w:hint="default"/>
                            <w:spacing w:val="-12"/>
                            <w:sz w:val="18"/>
                            <w:szCs w:val="18"/>
                          </w:rPr>
                          <w:t>%</w:t>
                        </w:r>
                      </w:p>
                    </w:tc>
                  </w:tr>
                  <w:tr>
                    <w:trPr>
                      <w:trHeight w:val="34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8" w:right="0"/>
                          <w:jc w:val="left"/>
                          <w:rPr>
                            <w:rFonts w:ascii="宋体" w:hAnsi="宋体" w:cs="宋体" w:eastAsia="宋体" w:hint="default"/>
                            <w:sz w:val="20"/>
                            <w:szCs w:val="20"/>
                          </w:rPr>
                        </w:pPr>
                        <w:r>
                          <w:rPr>
                            <w:rFonts w:ascii="宋体" w:hAnsi="宋体" w:cs="宋体" w:eastAsia="宋体" w:hint="default"/>
                            <w:sz w:val="20"/>
                            <w:szCs w:val="20"/>
                          </w:rPr>
                          <w:t>一、软件产品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193,352,085.60</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157,489,568.30</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35,862,517.30</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22.77%</w:t>
                        </w:r>
                      </w:p>
                    </w:tc>
                  </w:tr>
                  <w:tr>
                    <w:trPr>
                      <w:trHeight w:val="341"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50" w:right="0"/>
                          <w:jc w:val="left"/>
                          <w:rPr>
                            <w:rFonts w:ascii="宋体" w:hAnsi="宋体" w:cs="宋体" w:eastAsia="宋体" w:hint="default"/>
                            <w:sz w:val="20"/>
                            <w:szCs w:val="20"/>
                          </w:rPr>
                        </w:pPr>
                        <w:r>
                          <w:rPr>
                            <w:rFonts w:ascii="宋体" w:hAnsi="宋体" w:cs="宋体" w:eastAsia="宋体" w:hint="default"/>
                            <w:sz w:val="20"/>
                            <w:szCs w:val="20"/>
                          </w:rPr>
                          <w:t>其中：终端安全管理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95"/>
                            <w:sz w:val="20"/>
                          </w:rPr>
                          <w:t>120,583,342.19</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w w:val="95"/>
                            <w:sz w:val="20"/>
                          </w:rPr>
                          <w:t>101,858,913.18</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
                          <w:jc w:val="right"/>
                          <w:rPr>
                            <w:rFonts w:ascii="Times New Roman" w:hAnsi="Times New Roman" w:cs="Times New Roman" w:eastAsia="Times New Roman" w:hint="default"/>
                            <w:sz w:val="20"/>
                            <w:szCs w:val="20"/>
                          </w:rPr>
                        </w:pPr>
                        <w:r>
                          <w:rPr>
                            <w:rFonts w:ascii="Times New Roman"/>
                            <w:w w:val="95"/>
                            <w:sz w:val="20"/>
                          </w:rPr>
                          <w:t>18,724,429.01</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18.38%</w:t>
                        </w:r>
                      </w:p>
                    </w:tc>
                  </w:tr>
                  <w:tr>
                    <w:trPr>
                      <w:trHeight w:val="34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133" w:right="0"/>
                          <w:jc w:val="left"/>
                          <w:rPr>
                            <w:rFonts w:ascii="宋体" w:hAnsi="宋体" w:cs="宋体" w:eastAsia="宋体" w:hint="default"/>
                            <w:sz w:val="20"/>
                            <w:szCs w:val="20"/>
                          </w:rPr>
                        </w:pPr>
                        <w:r>
                          <w:rPr>
                            <w:rFonts w:ascii="宋体" w:hAnsi="宋体" w:cs="宋体" w:eastAsia="宋体" w:hint="default"/>
                            <w:sz w:val="20"/>
                            <w:szCs w:val="20"/>
                          </w:rPr>
                          <w:t>数据安全管理</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54,526,324.96</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49,128,693.29</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5,397,631.67</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10.99%</w:t>
                        </w:r>
                      </w:p>
                    </w:tc>
                  </w:tr>
                  <w:tr>
                    <w:trPr>
                      <w:trHeight w:val="341"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33" w:right="0"/>
                          <w:jc w:val="left"/>
                          <w:rPr>
                            <w:rFonts w:ascii="宋体" w:hAnsi="宋体" w:cs="宋体" w:eastAsia="宋体" w:hint="default"/>
                            <w:sz w:val="20"/>
                            <w:szCs w:val="20"/>
                          </w:rPr>
                        </w:pPr>
                        <w:r>
                          <w:rPr>
                            <w:rFonts w:ascii="宋体" w:hAnsi="宋体" w:cs="宋体" w:eastAsia="宋体" w:hint="default"/>
                            <w:sz w:val="20"/>
                            <w:szCs w:val="20"/>
                          </w:rPr>
                          <w:t>安全管理平台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18,242,418.45</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6,501,961.83</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11,740,456.62</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180.57%</w:t>
                        </w:r>
                        <w:r>
                          <w:rPr>
                            <w:rFonts w:ascii="Times New Roman"/>
                            <w:sz w:val="20"/>
                          </w:rPr>
                        </w:r>
                      </w:p>
                    </w:tc>
                  </w:tr>
                  <w:tr>
                    <w:trPr>
                      <w:trHeight w:val="34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8" w:right="0"/>
                          <w:jc w:val="left"/>
                          <w:rPr>
                            <w:rFonts w:ascii="宋体" w:hAnsi="宋体" w:cs="宋体" w:eastAsia="宋体" w:hint="default"/>
                            <w:sz w:val="20"/>
                            <w:szCs w:val="20"/>
                          </w:rPr>
                        </w:pPr>
                        <w:r>
                          <w:rPr>
                            <w:rFonts w:ascii="宋体" w:hAnsi="宋体" w:cs="宋体" w:eastAsia="宋体" w:hint="default"/>
                            <w:sz w:val="20"/>
                            <w:szCs w:val="20"/>
                          </w:rPr>
                          <w:t>二、技术服务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39,113,250.40</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25,609,288.66</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13,503,961.74</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52.73%</w:t>
                        </w:r>
                      </w:p>
                    </w:tc>
                  </w:tr>
                  <w:tr>
                    <w:trPr>
                      <w:trHeight w:val="341"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8" w:right="0"/>
                          <w:jc w:val="left"/>
                          <w:rPr>
                            <w:rFonts w:ascii="宋体" w:hAnsi="宋体" w:cs="宋体" w:eastAsia="宋体" w:hint="default"/>
                            <w:sz w:val="20"/>
                            <w:szCs w:val="20"/>
                          </w:rPr>
                        </w:pPr>
                        <w:r>
                          <w:rPr>
                            <w:rFonts w:ascii="宋体" w:hAnsi="宋体" w:cs="宋体" w:eastAsia="宋体" w:hint="default"/>
                            <w:sz w:val="20"/>
                            <w:szCs w:val="20"/>
                          </w:rPr>
                          <w:t>三、硬件及其他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26,458,893.24</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24,662,640.30</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1,796,252.94</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7.28%</w:t>
                        </w:r>
                      </w:p>
                    </w:tc>
                  </w:tr>
                  <w:tr>
                    <w:trPr>
                      <w:trHeight w:val="343" w:hRule="exact"/>
                    </w:trPr>
                    <w:tc>
                      <w:tcPr>
                        <w:tcW w:w="2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258,924,229.24</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207,761,497.26</w:t>
                        </w:r>
                        <w:r>
                          <w:rPr>
                            <w:rFonts w:ascii="Times New Roman"/>
                            <w:sz w:val="20"/>
                          </w:rPr>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w w:val="95"/>
                            <w:sz w:val="20"/>
                          </w:rPr>
                          <w:t>51,162,731.98</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24.63%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4"/>
        <w:ind w:right="0"/>
        <w:jc w:val="left"/>
      </w:pPr>
      <w:r>
        <w:rPr/>
        <w:t>公司实物销售收入是否大于劳务收入</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19,731,234.3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23,792,464.81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-17.07%</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19,731,234.3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23,792,464.81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-17.07%</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40,438,542.44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17,771,584.49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40,438,542.44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17,771,584.49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127.55%</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76,418,353.46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53,676,503.25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42.37%</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76,418,353.46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53,676,503.25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42.37%</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60,646,922.97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65,604,455.07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60,646,922.97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65,604,455.07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-7.56%</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61,689,176.07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46,916,489.64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31.49%</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61,689,176.07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46,916,489.64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31.49%</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left="152" w:right="169" w:firstLine="360"/>
        <w:jc w:val="left"/>
      </w:pPr>
      <w:r>
        <w:rPr/>
        <w:t>报告期内，军工行业销售量和生产量同比增长</w:t>
      </w:r>
      <w:r>
        <w:rPr>
          <w:rFonts w:ascii="Times New Roman" w:hAnsi="Times New Roman" w:cs="Times New Roman" w:eastAsia="Times New Roman" w:hint="default"/>
        </w:rPr>
        <w:t>127.55%</w:t>
      </w:r>
      <w:r>
        <w:rPr/>
        <w:t>，主要系公司不断加大军工行业市场开发力度，提升服务品质， 引导客户需求，适时推广新产品，从而进一步提升对客户的持续服务，实现销售收入的快速增长。</w:t>
      </w:r>
    </w:p>
    <w:p>
      <w:pPr>
        <w:pStyle w:val="BodyText"/>
        <w:spacing w:line="300" w:lineRule="auto" w:before="31"/>
        <w:ind w:left="152" w:right="0" w:firstLine="360"/>
        <w:jc w:val="left"/>
      </w:pPr>
      <w:r>
        <w:rPr/>
        <w:t>报告期内，能源行业销售量和生产量同比增长</w:t>
      </w:r>
      <w:r>
        <w:rPr>
          <w:rFonts w:ascii="Times New Roman" w:hAnsi="Times New Roman" w:cs="Times New Roman" w:eastAsia="Times New Roman" w:hint="default"/>
        </w:rPr>
        <w:t>42.37%</w:t>
      </w:r>
      <w:r>
        <w:rPr/>
        <w:t>，主要系公司加强了对能源行业的开拓力度，成功复制了成熟案 </w:t>
      </w:r>
      <w:r>
        <w:rPr>
          <w:spacing w:val="-4"/>
        </w:rPr>
        <w:t>例的服务模式，例如中国海洋石油总公司，通过向客户提供深入、优质服务，有效保障了多家大型能源企业的信息安全需求。</w:t>
      </w:r>
    </w:p>
    <w:p>
      <w:pPr>
        <w:pStyle w:val="BodyText"/>
        <w:spacing w:line="300" w:lineRule="auto" w:before="31"/>
        <w:ind w:left="152" w:right="259" w:firstLine="360"/>
        <w:jc w:val="left"/>
      </w:pPr>
      <w:r>
        <w:rPr/>
        <w:t>报告期内，其他行业销售量和生产量同比增长</w:t>
      </w:r>
      <w:r>
        <w:rPr>
          <w:rFonts w:ascii="Times New Roman" w:hAnsi="Times New Roman" w:cs="Times New Roman" w:eastAsia="Times New Roman" w:hint="default"/>
        </w:rPr>
        <w:t>31.49%</w:t>
      </w:r>
      <w:r>
        <w:rPr/>
        <w:t>，主要系医疗、教育、科研等其他行业需求增大，公司采取了积 极的行业开拓政策，进一步促进了其他行业的销售收入快速增长。</w:t>
      </w:r>
    </w:p>
    <w:p>
      <w:pPr>
        <w:pStyle w:val="BodyText"/>
        <w:spacing w:line="240" w:lineRule="auto" w:before="72"/>
        <w:ind w:right="0"/>
        <w:jc w:val="left"/>
      </w:pPr>
      <w:r>
        <w:rPr/>
        <w:t>公司重大的在手订单情况</w:t>
      </w:r>
    </w:p>
    <w:p>
      <w:pPr>
        <w:pStyle w:val="BodyText"/>
        <w:spacing w:line="340" w:lineRule="auto" w:before="115"/>
        <w:ind w:right="7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4</w:t>
      </w:r>
      <w:r>
        <w:rPr/>
        <w:t>）成本</w:t>
      </w:r>
    </w:p>
    <w:p>
      <w:pPr>
        <w:pStyle w:val="BodyText"/>
        <w:spacing w:line="240" w:lineRule="auto" w:before="10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869,182.88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8,207,831.71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3,715,085.05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3,977,557.41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774,710.01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11,352,414.97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17,534,228.88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4,582,291.28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4,093,247.37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w:t>
            </w:r>
          </w:p>
        </w:tc>
      </w:tr>
    </w:tbl>
    <w:p>
      <w:pPr>
        <w:pStyle w:val="BodyText"/>
        <w:spacing w:line="240" w:lineRule="auto" w:before="49"/>
        <w:ind w:right="0"/>
        <w:jc w:val="left"/>
      </w:pPr>
      <w:r>
        <w:rPr>
          <w:rFonts w:ascii="Times New Roman" w:hAnsi="Times New Roman" w:cs="Times New Roman" w:eastAsia="Times New Roman" w:hint="default"/>
        </w:rPr>
        <w:t>5</w:t>
      </w:r>
      <w:r>
        <w:rPr/>
        <w:t>）费用</w:t>
      </w:r>
    </w:p>
    <w:p>
      <w:pPr>
        <w:pStyle w:val="BodyText"/>
        <w:spacing w:line="240" w:lineRule="auto" w:before="101"/>
        <w:ind w:left="0" w:right="19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96"/>
        <w:jc w:val="right"/>
      </w:pPr>
      <w:r>
        <w:rPr/>
        <w:pict>
          <v:shape style="position:absolute;margin-left:56.400002pt;margin-top:-143.438263pt;width:479.3pt;height:230.3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6"/>
                    <w:gridCol w:w="1637"/>
                    <w:gridCol w:w="1637"/>
                    <w:gridCol w:w="1462"/>
                    <w:gridCol w:w="291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66,353,355.81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56,975,534.62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82,034,542.38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66,041,097.15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-9,111,460.07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-7,400,553.26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6,159,239.57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77,419.91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7,855.63%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firstLine="360"/>
                          <w:jc w:val="left"/>
                          <w:rPr>
                            <w:rFonts w:ascii="宋体" w:hAnsi="宋体" w:cs="宋体" w:eastAsia="宋体" w:hint="default"/>
                            <w:sz w:val="18"/>
                            <w:szCs w:val="18"/>
                          </w:rPr>
                        </w:pPr>
                        <w:r>
                          <w:rPr>
                            <w:rFonts w:ascii="宋体" w:hAnsi="宋体" w:cs="宋体" w:eastAsia="宋体" w:hint="default"/>
                            <w:sz w:val="18"/>
                            <w:szCs w:val="18"/>
                          </w:rPr>
                          <w:t>本公司被认定为国家规划布局 </w:t>
                        </w:r>
                        <w:r>
                          <w:rPr>
                            <w:rFonts w:ascii="宋体" w:hAnsi="宋体" w:cs="宋体" w:eastAsia="宋体" w:hint="default"/>
                            <w:spacing w:val="-2"/>
                            <w:sz w:val="18"/>
                            <w:szCs w:val="18"/>
                          </w:rPr>
                          <w:t>内重点软件生产企业，如当年未享受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免税优惠的，减按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的税率征收企 </w:t>
                        </w:r>
                        <w:r>
                          <w:rPr>
                            <w:rFonts w:ascii="宋体" w:hAnsi="宋体" w:cs="宋体" w:eastAsia="宋体" w:hint="default"/>
                            <w:spacing w:val="-7"/>
                            <w:sz w:val="18"/>
                            <w:szCs w:val="18"/>
                          </w:rPr>
                          <w:t>业所得税，</w:t>
                        </w:r>
                        <w:r>
                          <w:rPr>
                            <w:rFonts w:ascii="Times New Roman" w:hAnsi="Times New Roman" w:cs="Times New Roman" w:eastAsia="Times New Roman" w:hint="default"/>
                            <w:spacing w:val="-7"/>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年本公司适用的企业 所得税税率为</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年按</w:t>
                        </w:r>
                        <w:r>
                          <w:rPr>
                            <w:rFonts w:ascii="宋体" w:hAnsi="宋体" w:cs="宋体" w:eastAsia="宋体" w:hint="default"/>
                            <w:spacing w:val="-33"/>
                            <w:sz w:val="18"/>
                            <w:szCs w:val="18"/>
                          </w:rPr>
                          <w:t> </w:t>
                        </w:r>
                        <w:r>
                          <w:rPr>
                            <w:rFonts w:ascii="Times New Roman" w:hAnsi="Times New Roman" w:cs="Times New Roman" w:eastAsia="Times New Roman" w:hint="default"/>
                            <w:spacing w:val="-7"/>
                            <w:sz w:val="18"/>
                            <w:szCs w:val="18"/>
                          </w:rPr>
                          <w:t>15%</w:t>
                        </w:r>
                        <w:r>
                          <w:rPr>
                            <w:rFonts w:ascii="宋体" w:hAnsi="宋体" w:cs="宋体" w:eastAsia="宋体" w:hint="default"/>
                            <w:spacing w:val="-7"/>
                            <w:sz w:val="18"/>
                            <w:szCs w:val="18"/>
                          </w:rPr>
                          <w:t>缴纳与计提所得税，减</w:t>
                        </w:r>
                      </w:p>
                      <w:p>
                        <w:pPr>
                          <w:pStyle w:val="TableParagraph"/>
                          <w:spacing w:line="300" w:lineRule="auto" w:before="7"/>
                          <w:ind w:left="23" w:right="91"/>
                          <w:jc w:val="left"/>
                          <w:rPr>
                            <w:rFonts w:ascii="宋体" w:hAnsi="宋体" w:cs="宋体" w:eastAsia="宋体" w:hint="default"/>
                            <w:sz w:val="18"/>
                            <w:szCs w:val="18"/>
                          </w:rPr>
                        </w:pPr>
                        <w:r>
                          <w:rPr>
                            <w:rFonts w:ascii="宋体" w:hAnsi="宋体" w:cs="宋体" w:eastAsia="宋体" w:hint="default"/>
                            <w:sz w:val="18"/>
                            <w:szCs w:val="18"/>
                          </w:rPr>
                          <w:t>免税金计入该期间，导致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年所 得税费用减少。</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6</w:t>
      </w:r>
      <w:r>
        <w:rPr/>
        <w:t>）研发投入</w:t>
      </w:r>
    </w:p>
    <w:p>
      <w:pPr>
        <w:pStyle w:val="BodyText"/>
        <w:spacing w:line="3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作为自主创新型企业，公司一直十分重视研发投入，坚持以客户需求为导向，走自主创新的产品研发道路。公司一方面</w:t>
      </w:r>
    </w:p>
    <w:p>
      <w:pPr>
        <w:spacing w:after="0" w:line="340" w:lineRule="auto"/>
        <w:jc w:val="left"/>
        <w:sectPr>
          <w:footerReference w:type="default" r:id="rId13"/>
          <w:pgSz w:w="11910" w:h="16840"/>
          <w:pgMar w:footer="979" w:header="877" w:top="1100" w:bottom="1160" w:left="980" w:right="940"/>
          <w:pgNumType w:start="15"/>
        </w:sectPr>
      </w:pPr>
    </w:p>
    <w:p>
      <w:pPr>
        <w:spacing w:line="240" w:lineRule="auto" w:before="11"/>
        <w:rPr>
          <w:rFonts w:ascii="宋体" w:hAnsi="宋体" w:cs="宋体" w:eastAsia="宋体" w:hint="default"/>
          <w:sz w:val="21"/>
          <w:szCs w:val="21"/>
        </w:rPr>
      </w:pPr>
    </w:p>
    <w:p>
      <w:pPr>
        <w:pStyle w:val="BodyText"/>
        <w:spacing w:line="240" w:lineRule="auto" w:before="44"/>
        <w:ind w:left="152" w:right="0"/>
        <w:jc w:val="left"/>
      </w:pPr>
      <w:r>
        <w:rPr>
          <w:spacing w:val="-4"/>
        </w:rPr>
        <w:t>努力做好提高、完善现有产品的各项技术和功能，另一方面加大新产品的研发力度。目前公司正在进行的研发项目主要包括：</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560"/>
        <w:gridCol w:w="1577"/>
        <w:gridCol w:w="6098"/>
        <w:gridCol w:w="1133"/>
      </w:tblGrid>
      <w:tr>
        <w:trPr>
          <w:trHeight w:val="427" w:hRule="exact"/>
        </w:trPr>
        <w:tc>
          <w:tcPr>
            <w:tcW w:w="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0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项目目标</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项目进度</w:t>
            </w:r>
          </w:p>
        </w:tc>
      </w:tr>
      <w:tr>
        <w:trPr>
          <w:trHeight w:val="739"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22" w:right="59" w:hanging="360"/>
              <w:jc w:val="left"/>
              <w:rPr>
                <w:rFonts w:ascii="宋体" w:hAnsi="宋体" w:cs="宋体" w:eastAsia="宋体" w:hint="default"/>
                <w:sz w:val="18"/>
                <w:szCs w:val="18"/>
              </w:rPr>
            </w:pPr>
            <w:r>
              <w:rPr>
                <w:rFonts w:ascii="宋体" w:hAnsi="宋体" w:cs="宋体" w:eastAsia="宋体" w:hint="default"/>
                <w:sz w:val="18"/>
                <w:szCs w:val="18"/>
              </w:rPr>
              <w:t>北信源机器大数据 分析系统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2" w:firstLine="360"/>
              <w:jc w:val="left"/>
              <w:rPr>
                <w:rFonts w:ascii="宋体" w:hAnsi="宋体" w:cs="宋体" w:eastAsia="宋体" w:hint="default"/>
                <w:sz w:val="18"/>
                <w:szCs w:val="18"/>
              </w:rPr>
            </w:pPr>
            <w:r>
              <w:rPr>
                <w:rFonts w:ascii="宋体" w:hAnsi="宋体" w:cs="宋体" w:eastAsia="宋体" w:hint="default"/>
                <w:spacing w:val="-2"/>
                <w:sz w:val="18"/>
                <w:szCs w:val="18"/>
              </w:rPr>
              <w:t>基于互联网、终端及网络安全设备、业务数据，通过大数据分析建模，为</w:t>
            </w:r>
            <w:r>
              <w:rPr>
                <w:rFonts w:ascii="宋体" w:hAnsi="宋体" w:cs="宋体" w:eastAsia="宋体" w:hint="default"/>
                <w:sz w:val="18"/>
                <w:szCs w:val="18"/>
              </w:rPr>
              <w:t> 客户提供基于大数据分析的决策支持平台。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产品研发阶段</w:t>
            </w:r>
          </w:p>
        </w:tc>
      </w:tr>
      <w:tr>
        <w:trPr>
          <w:trHeight w:val="739"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333" w:right="57" w:hanging="272"/>
              <w:jc w:val="left"/>
              <w:rPr>
                <w:rFonts w:ascii="宋体" w:hAnsi="宋体" w:cs="宋体" w:eastAsia="宋体" w:hint="default"/>
                <w:sz w:val="18"/>
                <w:szCs w:val="18"/>
              </w:rPr>
            </w:pPr>
            <w:r>
              <w:rPr>
                <w:rFonts w:ascii="宋体" w:hAnsi="宋体" w:cs="宋体" w:eastAsia="宋体" w:hint="default"/>
                <w:sz w:val="18"/>
                <w:szCs w:val="18"/>
              </w:rPr>
              <w:t>北信源国产终端安 全管理系统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firstLine="360"/>
              <w:jc w:val="left"/>
              <w:rPr>
                <w:rFonts w:ascii="宋体" w:hAnsi="宋体" w:cs="宋体" w:eastAsia="宋体" w:hint="default"/>
                <w:sz w:val="18"/>
                <w:szCs w:val="18"/>
              </w:rPr>
            </w:pPr>
            <w:r>
              <w:rPr>
                <w:rFonts w:ascii="宋体" w:hAnsi="宋体" w:cs="宋体" w:eastAsia="宋体" w:hint="default"/>
                <w:spacing w:val="-2"/>
                <w:sz w:val="18"/>
                <w:szCs w:val="18"/>
              </w:rPr>
              <w:t>实现对国产操作系统终端统一监控管理，形成独有的安全加固体系，达成</w:t>
            </w:r>
            <w:r>
              <w:rPr>
                <w:rFonts w:ascii="宋体" w:hAnsi="宋体" w:cs="宋体" w:eastAsia="宋体" w:hint="default"/>
                <w:sz w:val="18"/>
                <w:szCs w:val="18"/>
              </w:rPr>
              <w:t> 终端安全统一管理的目的。</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90" w:right="14" w:hanging="269"/>
              <w:jc w:val="left"/>
              <w:rPr>
                <w:rFonts w:ascii="宋体" w:hAnsi="宋体" w:cs="宋体" w:eastAsia="宋体" w:hint="default"/>
                <w:sz w:val="18"/>
                <w:szCs w:val="18"/>
              </w:rPr>
            </w:pPr>
            <w:r>
              <w:rPr>
                <w:rFonts w:ascii="宋体" w:hAnsi="宋体" w:cs="宋体" w:eastAsia="宋体" w:hint="default"/>
                <w:sz w:val="18"/>
                <w:szCs w:val="18"/>
              </w:rPr>
              <w:t>进行资本化处 理阶段</w:t>
            </w:r>
          </w:p>
        </w:tc>
      </w:tr>
      <w:tr>
        <w:trPr>
          <w:trHeight w:val="1676"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422" w:right="57" w:hanging="360"/>
              <w:jc w:val="left"/>
              <w:rPr>
                <w:rFonts w:ascii="宋体" w:hAnsi="宋体" w:cs="宋体" w:eastAsia="宋体" w:hint="default"/>
                <w:sz w:val="18"/>
                <w:szCs w:val="18"/>
              </w:rPr>
            </w:pPr>
            <w:r>
              <w:rPr>
                <w:rFonts w:ascii="宋体" w:hAnsi="宋体" w:cs="宋体" w:eastAsia="宋体" w:hint="default"/>
                <w:sz w:val="18"/>
                <w:szCs w:val="18"/>
              </w:rPr>
              <w:t>北信源虚拟化安全 管理平台</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 w:firstLine="360"/>
              <w:jc w:val="both"/>
              <w:rPr>
                <w:rFonts w:ascii="宋体" w:hAnsi="宋体" w:cs="宋体" w:eastAsia="宋体" w:hint="default"/>
                <w:sz w:val="18"/>
                <w:szCs w:val="18"/>
              </w:rPr>
            </w:pPr>
            <w:r>
              <w:rPr>
                <w:rFonts w:ascii="宋体" w:hAnsi="宋体" w:cs="宋体" w:eastAsia="宋体" w:hint="default"/>
                <w:spacing w:val="-2"/>
                <w:sz w:val="18"/>
                <w:szCs w:val="18"/>
              </w:rPr>
              <w:t>以虚拟化终端为核心保护对象，构建宿主机、虚拟机、接入终端三个层次</w:t>
            </w:r>
            <w:r>
              <w:rPr>
                <w:rFonts w:ascii="宋体" w:hAnsi="宋体" w:cs="宋体" w:eastAsia="宋体" w:hint="default"/>
                <w:sz w:val="18"/>
                <w:szCs w:val="18"/>
              </w:rPr>
              <w:t> </w:t>
            </w:r>
            <w:r>
              <w:rPr>
                <w:rFonts w:ascii="宋体" w:hAnsi="宋体" w:cs="宋体" w:eastAsia="宋体" w:hint="default"/>
                <w:spacing w:val="-2"/>
                <w:sz w:val="18"/>
                <w:szCs w:val="18"/>
              </w:rPr>
              <w:t>构建安全防护体系结构。从用户访问终端、虚拟机访问通道、虚拟机、虚拟机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服务器等不同层面，实现对虚拟化终端的安全运行管控和用户信息资产的安全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管理，帮助安全管理员对虚拟桌面实行集中管控，保障虚拟化终端的安全、可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靠、稳定运行和信息资产安全。</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产品研发阶段</w:t>
            </w:r>
          </w:p>
        </w:tc>
      </w:tr>
      <w:tr>
        <w:trPr>
          <w:trHeight w:val="778" w:hRule="exact"/>
        </w:trPr>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移动终端管理系统</w:t>
            </w:r>
          </w:p>
          <w:p>
            <w:pPr>
              <w:pStyle w:val="TableParagraph"/>
              <w:spacing w:line="240" w:lineRule="auto" w:before="157"/>
              <w:ind w:left="5" w:right="0"/>
              <w:jc w:val="center"/>
              <w:rPr>
                <w:rFonts w:ascii="Times New Roman" w:hAnsi="Times New Roman" w:cs="Times New Roman" w:eastAsia="Times New Roman" w:hint="default"/>
                <w:sz w:val="18"/>
                <w:szCs w:val="18"/>
              </w:rPr>
            </w:pPr>
            <w:r>
              <w:rPr>
                <w:rFonts w:ascii="Times New Roman"/>
                <w:spacing w:val="-6"/>
                <w:sz w:val="18"/>
              </w:rPr>
              <w:t>VRV</w:t>
            </w:r>
            <w:r>
              <w:rPr>
                <w:rFonts w:ascii="Times New Roman"/>
                <w:spacing w:val="-1"/>
                <w:sz w:val="18"/>
              </w:rPr>
              <w:t> </w:t>
            </w:r>
            <w:r>
              <w:rPr>
                <w:rFonts w:ascii="Times New Roman"/>
                <w:sz w:val="18"/>
              </w:rPr>
              <w:t>EMM</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firstLine="36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VRV</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EMM</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是综合管理智能移动设备、移动应用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和移动数据安全的企 业移动化管理的综合解决方案</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产品研发阶段</w:t>
            </w:r>
          </w:p>
        </w:tc>
      </w:tr>
    </w:tbl>
    <w:p>
      <w:pPr>
        <w:spacing w:line="240" w:lineRule="auto" w:before="1"/>
        <w:rPr>
          <w:rFonts w:ascii="宋体" w:hAnsi="宋体" w:cs="宋体" w:eastAsia="宋体" w:hint="default"/>
          <w:sz w:val="21"/>
          <w:szCs w:val="21"/>
        </w:rPr>
      </w:pPr>
    </w:p>
    <w:p>
      <w:pPr>
        <w:pStyle w:val="BodyText"/>
        <w:spacing w:line="316" w:lineRule="auto" w:before="44"/>
        <w:ind w:left="152" w:right="0" w:firstLine="360"/>
        <w:jc w:val="left"/>
      </w:pPr>
      <w:r>
        <w:rPr>
          <w:spacing w:val="-2"/>
        </w:rPr>
        <w:t>完成以上项目的研发，公司的产品种类将更加全面，可以为客户提供更加完善的信息安全保障体系，从而进一步拓宽公</w:t>
      </w:r>
      <w:r>
        <w:rPr/>
        <w:t> 司市场覆盖率。</w:t>
      </w:r>
    </w:p>
    <w:p>
      <w:pPr>
        <w:pStyle w:val="BodyText"/>
        <w:spacing w:line="240" w:lineRule="auto" w:before="59"/>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7"/>
        <w:gridCol w:w="2412"/>
        <w:gridCol w:w="2124"/>
        <w:gridCol w:w="2057"/>
      </w:tblGrid>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49,204,796.56</w:t>
            </w:r>
            <w:r>
              <w:rPr>
                <w:rFonts w:ascii="Times New Roman"/>
                <w:sz w:val="18"/>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37,861,659.39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21,947,795.50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9,416,533.82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19.14%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研发投入资本化率大幅变动的原因及其合理性说明</w:t>
      </w:r>
    </w:p>
    <w:p>
      <w:pPr>
        <w:pStyle w:val="BodyText"/>
        <w:spacing w:line="3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根据企业会计准则的相关要求，自</w:t>
      </w:r>
      <w:r>
        <w:rPr>
          <w:rFonts w:ascii="Times New Roman" w:hAnsi="Times New Roman" w:cs="Times New Roman" w:eastAsia="Times New Roman" w:hint="default"/>
          <w:spacing w:val="-2"/>
        </w:rPr>
        <w:t>2014</w:t>
      </w:r>
      <w:r>
        <w:rPr>
          <w:spacing w:val="-2"/>
        </w:rPr>
        <w:t>年起，公司针对已符合资本化条件的三个研发项目金甲防线、北信源国产终端安</w:t>
      </w:r>
    </w:p>
    <w:p>
      <w:pPr>
        <w:pStyle w:val="BodyText"/>
        <w:spacing w:line="215" w:lineRule="exact"/>
        <w:ind w:left="152" w:right="0"/>
        <w:jc w:val="left"/>
      </w:pPr>
      <w:r>
        <w:rPr/>
        <w:t>全管理系统和虚拟化终端安全管理系统进行了资本化处理，截止报告期末，公司资本化研发支出占研发投入的比例为</w:t>
      </w:r>
    </w:p>
    <w:p>
      <w:pPr>
        <w:pStyle w:val="BodyText"/>
        <w:spacing w:line="240" w:lineRule="auto" w:before="77"/>
        <w:ind w:left="152" w:right="0"/>
        <w:jc w:val="left"/>
      </w:pPr>
      <w:r>
        <w:rPr>
          <w:rFonts w:ascii="Times New Roman" w:hAnsi="Times New Roman" w:cs="Times New Roman" w:eastAsia="Times New Roman" w:hint="default"/>
        </w:rPr>
        <w:t>19.14%</w:t>
      </w:r>
      <w:r>
        <w:rPr/>
        <w:t>。</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7</w:t>
      </w:r>
      <w:r>
        <w:rPr/>
        <w:t>）现金流</w:t>
      </w:r>
    </w:p>
    <w:p>
      <w:pPr>
        <w:pStyle w:val="BodyText"/>
        <w:spacing w:line="240" w:lineRule="auto" w:before="10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2"/>
        <w:gridCol w:w="2413"/>
        <w:gridCol w:w="2408"/>
        <w:gridCol w:w="2199"/>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178,965,360.75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199,388,793.15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-10.24%</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198,292,389.94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209,689,550.99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-19,327,029.19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-10,300,757.84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-87.63%</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7,050.00</w:t>
            </w:r>
          </w:p>
        </w:tc>
        <w:tc>
          <w:tcPr>
            <w:tcW w:w="240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48,395,754.35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24,341,474.35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98.82%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50"/>
        <w:gridCol w:w="2413"/>
        <w:gridCol w:w="2408"/>
        <w:gridCol w:w="2199"/>
      </w:tblGrid>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-48,388,704.35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-24,341,474.35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-98.79%</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-13,340,000.00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-8.10%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-81,961,668.35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-46,982,232.19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-74.45%</w:t>
            </w: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19" w:lineRule="auto" w:before="101"/>
        <w:ind w:right="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报告期内，公司经营活动产生的现金流量净额同比下降</w:t>
      </w:r>
      <w:r>
        <w:rPr>
          <w:rFonts w:ascii="Times New Roman" w:hAnsi="Times New Roman" w:cs="Times New Roman" w:eastAsia="Times New Roman" w:hint="default"/>
        </w:rPr>
        <w:t>87.63%</w:t>
      </w:r>
      <w:r>
        <w:rPr/>
        <w:t>，主要系经营活动现金流入同比减少所致。 报告期内，公司投资活动现金流出小计同比增长</w:t>
      </w:r>
      <w:r>
        <w:rPr>
          <w:rFonts w:ascii="Times New Roman" w:hAnsi="Times New Roman" w:cs="Times New Roman" w:eastAsia="Times New Roman" w:hint="default"/>
        </w:rPr>
        <w:t>98.82%</w:t>
      </w:r>
      <w:r>
        <w:rPr/>
        <w:t>，主要系购买武汉办公场地和对北京双洲科技有限公司的股权</w:t>
      </w:r>
    </w:p>
    <w:p>
      <w:pPr>
        <w:pStyle w:val="BodyText"/>
        <w:spacing w:line="233" w:lineRule="exact"/>
        <w:ind w:left="152" w:right="0"/>
        <w:jc w:val="left"/>
      </w:pPr>
      <w:r>
        <w:rPr/>
        <w:t>投资所致。</w:t>
      </w:r>
    </w:p>
    <w:p>
      <w:pPr>
        <w:pStyle w:val="BodyText"/>
        <w:spacing w:line="300" w:lineRule="auto" w:before="76"/>
        <w:ind w:right="173"/>
        <w:jc w:val="left"/>
      </w:pPr>
      <w:r>
        <w:rPr/>
        <w:t>报告期内，公司投资活动产生的现金流量净额同比下降</w:t>
      </w:r>
      <w:r>
        <w:rPr>
          <w:rFonts w:ascii="Times New Roman" w:hAnsi="Times New Roman" w:cs="Times New Roman" w:eastAsia="Times New Roman" w:hint="default"/>
        </w:rPr>
        <w:t>98.79%</w:t>
      </w:r>
      <w:r>
        <w:rPr/>
        <w:t>，主要系投资活动现金流出同比增加所致。 报告期内，公司筹资活动现金流入小计同比减少</w:t>
      </w:r>
      <w:r>
        <w:rPr>
          <w:rFonts w:ascii="Times New Roman" w:hAnsi="Times New Roman" w:cs="Times New Roman" w:eastAsia="Times New Roman" w:hint="default"/>
        </w:rPr>
        <w:t>100%</w:t>
      </w:r>
      <w:r>
        <w:rPr/>
        <w:t>，主要系公司在</w:t>
      </w:r>
      <w:r>
        <w:rPr>
          <w:rFonts w:ascii="Times New Roman" w:hAnsi="Times New Roman" w:cs="Times New Roman" w:eastAsia="Times New Roman" w:hint="default"/>
        </w:rPr>
        <w:t>2013</w:t>
      </w:r>
      <w:r>
        <w:rPr/>
        <w:t>年获得北京市高新技术成果转化专项资金，</w:t>
      </w:r>
    </w:p>
    <w:p>
      <w:pPr>
        <w:pStyle w:val="BodyText"/>
        <w:spacing w:line="316" w:lineRule="auto" w:before="13"/>
        <w:ind w:right="218" w:hanging="361"/>
        <w:jc w:val="left"/>
      </w:pPr>
      <w:r>
        <w:rPr/>
        <w:t>而报告期内公司无此类款项所致。 报告期内，公司现金及现金等价物净增加额同比下降</w:t>
      </w:r>
      <w:r>
        <w:rPr>
          <w:rFonts w:ascii="Times New Roman" w:hAnsi="Times New Roman" w:cs="Times New Roman" w:eastAsia="Times New Roman" w:hint="default"/>
        </w:rPr>
        <w:t>74.45%</w:t>
      </w:r>
      <w:r>
        <w:rPr/>
        <w:t>，主要系经营活动、投资活动产生的现金净流量同比下降</w:t>
      </w:r>
    </w:p>
    <w:p>
      <w:pPr>
        <w:pStyle w:val="BodyText"/>
        <w:spacing w:line="235" w:lineRule="exact"/>
        <w:ind w:left="152" w:right="0"/>
        <w:jc w:val="left"/>
      </w:pPr>
      <w:r>
        <w:rPr/>
        <w:t>所致。</w:t>
      </w:r>
    </w:p>
    <w:p>
      <w:pPr>
        <w:pStyle w:val="BodyText"/>
        <w:spacing w:line="240" w:lineRule="auto" w:before="117"/>
        <w:ind w:right="0"/>
        <w:jc w:val="left"/>
      </w:pPr>
      <w:r>
        <w:rPr/>
        <w:t>报告期内公司经营活动的现金流量与本年度净利润存在重大差异的原因说明</w:t>
      </w:r>
    </w:p>
    <w:p>
      <w:pPr>
        <w:pStyle w:val="BodyText"/>
        <w:spacing w:line="338" w:lineRule="auto" w:before="115"/>
        <w:ind w:right="69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49,776,504.30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18.95%</w:t>
            </w:r>
          </w:p>
        </w:tc>
      </w:tr>
    </w:tbl>
    <w:p>
      <w:pPr>
        <w:pStyle w:val="BodyText"/>
        <w:spacing w:line="240" w:lineRule="auto" w:before="49"/>
        <w:ind w:right="0"/>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40" w:lineRule="auto" w:before="101"/>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11,092,216.52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bl>
    <w:p>
      <w:pPr>
        <w:pStyle w:val="BodyText"/>
        <w:spacing w:line="240" w:lineRule="auto" w:before="49"/>
        <w:ind w:right="0"/>
        <w:jc w:val="left"/>
      </w:pPr>
      <w:r>
        <w:rPr/>
        <w:t>向单一供应商采购比例超过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3"/>
        <w:ind w:right="365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40" w:lineRule="auto" w:before="39"/>
        <w:ind w:left="515" w:right="4731" w:hanging="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公司在招股说明书中披露的未来三年发展规划及目标如下：</w:t>
      </w:r>
    </w:p>
    <w:p>
      <w:pPr>
        <w:pStyle w:val="BodyText"/>
        <w:spacing w:line="316" w:lineRule="auto" w:before="1"/>
        <w:ind w:left="152" w:right="149" w:firstLine="343"/>
        <w:jc w:val="both"/>
      </w:pPr>
      <w:r>
        <w:rPr>
          <w:spacing w:val="-2"/>
        </w:rPr>
        <w:t>未来三年内，公司将实现以下目标：首先，主要围绕终端安全管理、数据安全管理及安全管理平台三大产品体系，在巩</w:t>
      </w:r>
      <w:r>
        <w:rPr/>
        <w:t> </w:t>
      </w:r>
      <w:r>
        <w:rPr>
          <w:spacing w:val="-2"/>
        </w:rPr>
        <w:t>固和扩大面向国家部委、大型企事业单位的信息安全产品的同时，积极发展面向中小企业及个人客户的单机版安全产品，为</w:t>
      </w:r>
      <w:r>
        <w:rPr>
          <w:spacing w:val="-63"/>
        </w:rPr>
        <w:t> </w:t>
      </w:r>
      <w:r>
        <w:rPr>
          <w:spacing w:val="-63"/>
        </w:rPr>
      </w:r>
      <w:r>
        <w:rPr>
          <w:spacing w:val="-2"/>
        </w:rPr>
        <w:t>公司创造新的利润增长点；其次，在进一步完善国内营销服务体系的基础上，逐步建立并完善国际营销网络，全面提升公司</w:t>
      </w:r>
      <w:r>
        <w:rPr>
          <w:spacing w:val="-65"/>
        </w:rPr>
        <w:t> </w:t>
      </w:r>
      <w:r>
        <w:rPr>
          <w:spacing w:val="-65"/>
        </w:rPr>
      </w:r>
      <w:r>
        <w:rPr/>
        <w:t>的技术服务能力和应急响应能力。</w:t>
      </w:r>
    </w:p>
    <w:p>
      <w:pPr>
        <w:pStyle w:val="BodyText"/>
        <w:spacing w:line="300" w:lineRule="auto" w:before="19"/>
        <w:ind w:left="549" w:right="137" w:hanging="108"/>
        <w:jc w:val="left"/>
      </w:pPr>
      <w:r>
        <w:rPr>
          <w:rFonts w:ascii="Times New Roman" w:hAnsi="Times New Roman" w:cs="Times New Roman" w:eastAsia="Times New Roman" w:hint="default"/>
        </w:rPr>
        <w:t>1</w:t>
      </w:r>
      <w:r>
        <w:rPr/>
        <w:t>、产品开发计划 本公司将利用本次发行募集资金重点投资于</w:t>
      </w:r>
      <w:r>
        <w:rPr>
          <w:rFonts w:ascii="Times New Roman" w:hAnsi="Times New Roman" w:cs="Times New Roman" w:eastAsia="Times New Roman" w:hint="default"/>
        </w:rPr>
        <w:t>“</w:t>
      </w:r>
      <w:r>
        <w:rPr/>
        <w:t>终端安全管理整体解决方案升级项目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数据安全管理整体解决方案研发</w:t>
      </w:r>
    </w:p>
    <w:p>
      <w:pPr>
        <w:pStyle w:val="BodyText"/>
        <w:spacing w:line="240" w:lineRule="auto" w:before="13"/>
        <w:ind w:left="152" w:right="0"/>
        <w:jc w:val="left"/>
      </w:pPr>
      <w:r>
        <w:rPr/>
        <w:t>项目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企业级云安全管理平台项目</w:t>
      </w:r>
      <w:r>
        <w:rPr>
          <w:rFonts w:ascii="Times New Roman" w:hAnsi="Times New Roman" w:cs="Times New Roman" w:eastAsia="Times New Roman" w:hint="default"/>
        </w:rPr>
        <w:t>”</w:t>
      </w:r>
      <w:r>
        <w:rPr/>
        <w:t>三个项目的产品开发和建设，不断完善和丰富企业级信息安全产品的功能和品种。同</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152" w:right="190"/>
        <w:jc w:val="both"/>
      </w:pPr>
      <w:r>
        <w:rPr>
          <w:spacing w:val="-2"/>
        </w:rPr>
        <w:t>时，公司不断开发适合中小企业及个人用户的单机版信息安全产品。根据行业发展的具体情况和趋势，公司还将加大对网络</w:t>
      </w:r>
      <w:r>
        <w:rPr>
          <w:spacing w:val="-63"/>
        </w:rPr>
        <w:t> </w:t>
      </w:r>
      <w:r>
        <w:rPr>
          <w:spacing w:val="-63"/>
        </w:rPr>
      </w:r>
      <w:r>
        <w:rPr>
          <w:spacing w:val="-2"/>
        </w:rPr>
        <w:t>文件保险箱、安全虚拟办公系统等产品和相关技术的研发投入，并密切关注移动终端、物联网的发展状况，保持产品和技术</w:t>
      </w:r>
      <w:r>
        <w:rPr>
          <w:spacing w:val="-64"/>
        </w:rPr>
        <w:t> </w:t>
      </w:r>
      <w:r>
        <w:rPr>
          <w:spacing w:val="-64"/>
        </w:rPr>
      </w:r>
      <w:r>
        <w:rPr/>
        <w:t>的创新性和前瞻性。</w:t>
      </w:r>
    </w:p>
    <w:p>
      <w:pPr>
        <w:pStyle w:val="BodyText"/>
        <w:spacing w:line="300" w:lineRule="auto" w:before="19"/>
        <w:ind w:right="0" w:hanging="89"/>
        <w:jc w:val="left"/>
      </w:pPr>
      <w:r>
        <w:rPr>
          <w:rFonts w:ascii="Times New Roman" w:hAnsi="Times New Roman" w:cs="Times New Roman" w:eastAsia="Times New Roman" w:hint="default"/>
        </w:rPr>
        <w:t>2</w:t>
      </w:r>
      <w:r>
        <w:rPr/>
        <w:t>、市场开发与营销服务网络建设计划 </w:t>
      </w:r>
      <w:r>
        <w:rPr>
          <w:spacing w:val="-2"/>
        </w:rPr>
        <w:t>本公司企业级信息安全产品被广泛运用于政府部门、军工以及金融和能源等国家重点行业的大中型骨干企业，由于这些</w:t>
      </w:r>
    </w:p>
    <w:p>
      <w:pPr>
        <w:pStyle w:val="BodyText"/>
        <w:spacing w:line="316" w:lineRule="auto" w:before="31"/>
        <w:ind w:left="152" w:right="190"/>
        <w:jc w:val="both"/>
      </w:pPr>
      <w:r>
        <w:rPr>
          <w:spacing w:val="-2"/>
        </w:rPr>
        <w:t>主要客户一般具有较典型的层级结构，对数量庞大的分支机构采取垂直的纵向管理模式，为保持整个系统运行的效率并保证</w:t>
      </w:r>
      <w:r>
        <w:rPr>
          <w:spacing w:val="-64"/>
        </w:rPr>
        <w:t> </w:t>
      </w:r>
      <w:r>
        <w:rPr>
          <w:spacing w:val="-64"/>
        </w:rPr>
      </w:r>
      <w:r>
        <w:rPr>
          <w:spacing w:val="-2"/>
        </w:rPr>
        <w:t>安全性，分支机构在采购信息安全产品时经常与总部保持一致，因此公司采取重点开拓客户的总部机构、并由总部机构向其</w:t>
      </w:r>
      <w:r>
        <w:rPr>
          <w:spacing w:val="-62"/>
        </w:rPr>
        <w:t> </w:t>
      </w:r>
      <w:r>
        <w:rPr>
          <w:spacing w:val="-62"/>
        </w:rPr>
      </w:r>
      <w:r>
        <w:rPr>
          <w:spacing w:val="-2"/>
        </w:rPr>
        <w:t>省、市、县级分支机构逐步推广的总部市场策略。为配合公司总部市场策略的实施，公司设立了政府军工事业部、金融能源</w:t>
      </w:r>
      <w:r>
        <w:rPr>
          <w:spacing w:val="-67"/>
        </w:rPr>
        <w:t> </w:t>
      </w:r>
      <w:r>
        <w:rPr>
          <w:spacing w:val="-67"/>
        </w:rPr>
      </w:r>
      <w:r>
        <w:rPr>
          <w:spacing w:val="-2"/>
        </w:rPr>
        <w:t>事业部、营销中心、渠道管理部和大区营销事业部，深入挖掘客户的需求和提供个性化的服务。随着总部市场策略的成功推</w:t>
      </w:r>
      <w:r>
        <w:rPr>
          <w:spacing w:val="-64"/>
        </w:rPr>
        <w:t> </w:t>
      </w:r>
      <w:r>
        <w:rPr>
          <w:spacing w:val="-64"/>
        </w:rPr>
      </w:r>
      <w:r>
        <w:rPr>
          <w:spacing w:val="-2"/>
        </w:rPr>
        <w:t>行，公司客户群迅速扩大。目前，公司的主要客户包括政府部门、军队军工以及金融、能源等重要领域的大型国有企业和事</w:t>
      </w:r>
      <w:r>
        <w:rPr>
          <w:spacing w:val="-67"/>
        </w:rPr>
        <w:t> </w:t>
      </w:r>
      <w:r>
        <w:rPr>
          <w:spacing w:val="-67"/>
        </w:rPr>
      </w:r>
      <w:r>
        <w:rPr/>
        <w:t>业单位。这些总部客户的良好积累为公司深入实施市场销售策略奠定了深厚的基础。</w:t>
      </w:r>
    </w:p>
    <w:p>
      <w:pPr>
        <w:pStyle w:val="BodyText"/>
        <w:spacing w:line="314" w:lineRule="auto" w:before="19"/>
        <w:ind w:left="152" w:right="190" w:firstLine="360"/>
        <w:jc w:val="both"/>
      </w:pPr>
      <w:r>
        <w:rPr>
          <w:spacing w:val="-2"/>
        </w:rPr>
        <w:t>为进一步开拓市场，保持销售增长的可持续性，公司将继续强化总部市场策略。一方面公司将深度挖掘已开发的政府部</w:t>
      </w:r>
      <w:r>
        <w:rPr/>
        <w:t> </w:t>
      </w:r>
      <w:r>
        <w:rPr>
          <w:spacing w:val="-2"/>
        </w:rPr>
        <w:t>门、军工、金融以及能源客户总部机构的需求，适时推广公司的新产品及服务；另一方面，公司将充分利用已形成的总部优</w:t>
      </w:r>
      <w:r>
        <w:rPr>
          <w:spacing w:val="-67"/>
        </w:rPr>
        <w:t> </w:t>
      </w:r>
      <w:r>
        <w:rPr>
          <w:spacing w:val="-67"/>
        </w:rPr>
      </w:r>
      <w:r>
        <w:rPr>
          <w:spacing w:val="-2"/>
        </w:rPr>
        <w:t>势，沿着纵向管理层级体系向其下属省、市、县级机构延伸，不断地拓展公司产品应用范围。在国家公安系统、国家税务系</w:t>
      </w:r>
      <w:r>
        <w:rPr>
          <w:spacing w:val="-68"/>
        </w:rPr>
        <w:t> </w:t>
      </w:r>
      <w:r>
        <w:rPr>
          <w:spacing w:val="-68"/>
        </w:rPr>
      </w:r>
      <w:r>
        <w:rPr>
          <w:spacing w:val="-2"/>
        </w:rPr>
        <w:t>统中，公司已成功将终端安全管理产品由其总部推广至全系统广泛应用；在能源客户中，公司深入开发了国家电网及其下属</w:t>
      </w:r>
      <w:r>
        <w:rPr>
          <w:spacing w:val="-65"/>
        </w:rPr>
        <w:t> </w:t>
      </w:r>
      <w:r>
        <w:rPr>
          <w:spacing w:val="-65"/>
        </w:rPr>
      </w:r>
      <w:r>
        <w:rPr>
          <w:rFonts w:ascii="Times New Roman" w:hAnsi="Times New Roman" w:cs="Times New Roman" w:eastAsia="Times New Roman" w:hint="default"/>
        </w:rPr>
        <w:t>26</w:t>
      </w:r>
      <w:r>
        <w:rPr>
          <w:rFonts w:ascii="Times New Roman" w:hAnsi="Times New Roman" w:cs="Times New Roman" w:eastAsia="Times New Roman" w:hint="default"/>
          <w:spacing w:val="27"/>
        </w:rPr>
        <w:t> </w:t>
      </w:r>
      <w:r>
        <w:rPr/>
        <w:t>个省电力公司、几十个直属单位，以及中国石油天然气集团公司及其直属的多个二级企业。公司从以上市场推广项目中 </w:t>
      </w:r>
      <w:r>
        <w:rPr>
          <w:spacing w:val="-2"/>
        </w:rPr>
        <w:t>积累了丰富经验和成熟的市场策略，亦使得公司更容易将成熟的市场销售模式向国家部委客户、大型金融机构客户、军工企</w:t>
      </w:r>
      <w:r>
        <w:rPr>
          <w:spacing w:val="-66"/>
        </w:rPr>
        <w:t> </w:t>
      </w:r>
      <w:r>
        <w:rPr>
          <w:spacing w:val="-66"/>
        </w:rPr>
      </w:r>
      <w:r>
        <w:rPr/>
        <w:t>业集团客户进行复制，以保持公司良好的后续客户的深度开发能力。</w:t>
      </w:r>
    </w:p>
    <w:p>
      <w:pPr>
        <w:pStyle w:val="BodyText"/>
        <w:spacing w:line="316" w:lineRule="auto" w:before="20"/>
        <w:ind w:left="152" w:right="103" w:firstLine="360"/>
        <w:jc w:val="both"/>
      </w:pPr>
      <w:r>
        <w:rPr>
          <w:spacing w:val="-4"/>
        </w:rPr>
        <w:t>对适用于个人用户的信息安全产品，公司将通过行业主流媒体、报纸、专业网站以及用户亲身体验等多种方式大力推广，</w:t>
      </w:r>
      <w:r>
        <w:rPr/>
        <w:t> 培育和壮大个人信息安全产品市场，树立良好的企业品牌形象，为未来公司个人信息安全产品的研发和市场推广奠定基础。</w:t>
      </w:r>
    </w:p>
    <w:p>
      <w:pPr>
        <w:pStyle w:val="BodyText"/>
        <w:spacing w:line="319" w:lineRule="auto" w:before="19"/>
        <w:ind w:left="152" w:right="0" w:firstLine="360"/>
        <w:jc w:val="left"/>
      </w:pPr>
      <w:r>
        <w:rPr>
          <w:spacing w:val="-2"/>
        </w:rPr>
        <w:t>本次募集资金到位后，公司还将进一步加强营销服务体系建设，逐步形成以北京为中心、广州、上海、西安、成都、沈</w:t>
      </w:r>
      <w:r>
        <w:rPr/>
        <w:t> </w:t>
      </w:r>
      <w:r>
        <w:rPr>
          <w:spacing w:val="-2"/>
        </w:rPr>
        <w:t>阳和武汉为区域中心，辐射各城市营销服务网点的三级联动管理的营销服务网络。营销服务体系的建成，将降低公司技术服</w:t>
      </w:r>
      <w:r>
        <w:rPr>
          <w:spacing w:val="-63"/>
        </w:rPr>
        <w:t> </w:t>
      </w:r>
      <w:r>
        <w:rPr>
          <w:spacing w:val="-63"/>
        </w:rPr>
      </w:r>
      <w:r>
        <w:rPr>
          <w:spacing w:val="-4"/>
        </w:rPr>
        <w:t>务的成本，提高公司对用户需求响应的及时性，不但有利于公司总部市场策略的实施，有利于个人信息安全产品的市场推广，</w:t>
      </w:r>
      <w:r>
        <w:rPr>
          <w:spacing w:val="-44"/>
        </w:rPr>
        <w:t> </w:t>
      </w:r>
      <w:r>
        <w:rPr>
          <w:spacing w:val="-44"/>
        </w:rPr>
      </w:r>
      <w:r>
        <w:rPr/>
        <w:t>而且可以加强公司与各地渠道商的合作，拓宽公司产品市场覆盖率。</w:t>
      </w:r>
    </w:p>
    <w:p>
      <w:pPr>
        <w:pStyle w:val="BodyText"/>
        <w:spacing w:line="300" w:lineRule="auto" w:before="17"/>
        <w:ind w:right="0" w:hanging="161"/>
        <w:jc w:val="left"/>
      </w:pPr>
      <w:r>
        <w:rPr>
          <w:rFonts w:ascii="Times New Roman" w:hAnsi="Times New Roman" w:cs="Times New Roman" w:eastAsia="Times New Roman" w:hint="default"/>
        </w:rPr>
        <w:t>3</w:t>
      </w:r>
      <w:r>
        <w:rPr/>
        <w:t>、人才扩充及培养计划 </w:t>
      </w:r>
      <w:r>
        <w:rPr>
          <w:spacing w:val="-4"/>
        </w:rPr>
        <w:t>本次募集资金到位后，随着募集资金投资项目的实施，公司将加大对中层以上管理人员和后台支持人员、技术研发人员、</w:t>
      </w:r>
    </w:p>
    <w:p>
      <w:pPr>
        <w:pStyle w:val="BodyText"/>
        <w:spacing w:line="300" w:lineRule="auto" w:before="31"/>
        <w:ind w:left="152" w:right="172"/>
        <w:jc w:val="left"/>
      </w:pPr>
      <w:r>
        <w:rPr/>
        <w:t>业务营销人员的需求，员工总数将从目前的</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多人增加至</w:t>
      </w:r>
      <w:r>
        <w:rPr>
          <w:rFonts w:ascii="Times New Roman" w:hAnsi="Times New Roman" w:cs="Times New Roman" w:eastAsia="Times New Roman" w:hint="default"/>
        </w:rPr>
        <w:t>600</w:t>
      </w:r>
      <w:r>
        <w:rPr/>
        <w:t>余人。其中，</w:t>
      </w:r>
      <w:r>
        <w:rPr>
          <w:rFonts w:ascii="Times New Roman" w:hAnsi="Times New Roman" w:cs="Times New Roman" w:eastAsia="Times New Roman" w:hint="default"/>
        </w:rPr>
        <w:t>“</w:t>
      </w:r>
      <w:r>
        <w:rPr/>
        <w:t>终端安全管理整体解决方案升级项目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数据</w:t>
      </w:r>
      <w:r>
        <w:rPr>
          <w:spacing w:val="2"/>
        </w:rPr>
        <w:t> </w:t>
      </w:r>
      <w:r>
        <w:rPr/>
        <w:t>安全管理整体解决方案研发项目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企业级云安全管理平台项目</w:t>
      </w:r>
      <w:r>
        <w:rPr>
          <w:rFonts w:ascii="Times New Roman" w:hAnsi="Times New Roman" w:cs="Times New Roman" w:eastAsia="Times New Roman" w:hint="default"/>
        </w:rPr>
        <w:t>”</w:t>
      </w:r>
      <w:r>
        <w:rPr/>
        <w:t>分别需要开发工程师、测试工程师等技术研发人员</w:t>
      </w:r>
      <w:r>
        <w:rPr>
          <w:rFonts w:ascii="Times New Roman" w:hAnsi="Times New Roman" w:cs="Times New Roman" w:eastAsia="Times New Roman" w:hint="default"/>
        </w:rPr>
        <w:t>50</w:t>
      </w:r>
      <w:r>
        <w:rPr>
          <w:rFonts w:ascii="Times New Roman" w:hAnsi="Times New Roman" w:cs="Times New Roman" w:eastAsia="Times New Roman" w:hint="default"/>
          <w:spacing w:val="28"/>
        </w:rPr>
        <w:t> </w:t>
      </w:r>
      <w:r>
        <w:rPr/>
        <w:t>余 人、</w:t>
      </w:r>
      <w:r>
        <w:rPr>
          <w:rFonts w:ascii="Times New Roman" w:hAnsi="Times New Roman" w:cs="Times New Roman" w:eastAsia="Times New Roman" w:hint="default"/>
        </w:rPr>
        <w:t>40  </w:t>
      </w:r>
      <w:r>
        <w:rPr/>
        <w:t>余人和</w:t>
      </w:r>
      <w:r>
        <w:rPr>
          <w:rFonts w:ascii="Times New Roman" w:hAnsi="Times New Roman" w:cs="Times New Roman" w:eastAsia="Times New Roman" w:hint="default"/>
        </w:rPr>
        <w:t>20  </w:t>
      </w:r>
      <w:r>
        <w:rPr/>
        <w:t>余人，</w:t>
      </w:r>
      <w:r>
        <w:rPr>
          <w:rFonts w:ascii="Times New Roman" w:hAnsi="Times New Roman" w:cs="Times New Roman" w:eastAsia="Times New Roman" w:hint="default"/>
        </w:rPr>
        <w:t>“</w:t>
      </w:r>
      <w:r>
        <w:rPr/>
        <w:t>营销服务体系建设项目</w:t>
      </w:r>
      <w:r>
        <w:rPr>
          <w:rFonts w:ascii="Times New Roman" w:hAnsi="Times New Roman" w:cs="Times New Roman" w:eastAsia="Times New Roman" w:hint="default"/>
        </w:rPr>
        <w:t>”</w:t>
      </w:r>
      <w:r>
        <w:rPr/>
        <w:t>需要技术支持人员和业务营销人员约</w:t>
      </w:r>
      <w:r>
        <w:rPr>
          <w:rFonts w:ascii="Times New Roman" w:hAnsi="Times New Roman" w:cs="Times New Roman" w:eastAsia="Times New Roman" w:hint="default"/>
        </w:rPr>
        <w:t>300</w:t>
      </w:r>
      <w:r>
        <w:rPr>
          <w:rFonts w:ascii="Times New Roman" w:hAnsi="Times New Roman" w:cs="Times New Roman" w:eastAsia="Times New Roman" w:hint="default"/>
          <w:spacing w:val="-14"/>
        </w:rPr>
        <w:t> </w:t>
      </w:r>
      <w:r>
        <w:rPr/>
        <w:t>人。</w:t>
      </w:r>
    </w:p>
    <w:p>
      <w:pPr>
        <w:pStyle w:val="BodyText"/>
        <w:spacing w:line="319" w:lineRule="auto" w:before="13"/>
        <w:ind w:left="152" w:right="189" w:firstLine="360"/>
        <w:jc w:val="both"/>
      </w:pPr>
      <w:r>
        <w:rPr>
          <w:spacing w:val="-2"/>
        </w:rPr>
        <w:t>为适应业务的快速发展，公司将实施积极的人才管理战略，坚持引进高素质人才的策略，不断充实和壮大公司的研发能</w:t>
      </w:r>
      <w:r>
        <w:rPr/>
        <w:t> </w:t>
      </w:r>
      <w:r>
        <w:rPr>
          <w:spacing w:val="-2"/>
        </w:rPr>
        <w:t>力、市场拓展能力和管理能力。同时，公司将不断加强对现有员工特别是骨干员工的岗位培训，根据不同岗位的要求，制定</w:t>
      </w:r>
      <w:r>
        <w:rPr>
          <w:spacing w:val="-67"/>
        </w:rPr>
        <w:t> </w:t>
      </w:r>
      <w:r>
        <w:rPr>
          <w:spacing w:val="-67"/>
        </w:rPr>
      </w:r>
      <w:r>
        <w:rPr>
          <w:spacing w:val="-2"/>
        </w:rPr>
        <w:t>详细的培训计划。内部业务骨干、核心技术人员以讲座和研讨形式与其他员工进行经常性的交流，并且公司定期邀请业内专</w:t>
      </w:r>
      <w:r>
        <w:rPr>
          <w:spacing w:val="-62"/>
        </w:rPr>
        <w:t> </w:t>
      </w:r>
      <w:r>
        <w:rPr>
          <w:spacing w:val="-62"/>
        </w:rPr>
      </w:r>
      <w:r>
        <w:rPr>
          <w:spacing w:val="-2"/>
        </w:rPr>
        <w:t>家、高校名师及科研院所研究人员进行专题讲座，以进一步提高员工的整体素质，使公司的研发人员能够紧跟国内外最新技</w:t>
      </w:r>
      <w:r>
        <w:rPr>
          <w:spacing w:val="-63"/>
        </w:rPr>
        <w:t> </w:t>
      </w:r>
      <w:r>
        <w:rPr>
          <w:spacing w:val="-63"/>
        </w:rPr>
      </w:r>
      <w:r>
        <w:rPr/>
        <w:t>术的发展动态，确保公司的技术和管理水平保持优势地位。</w:t>
      </w:r>
    </w:p>
    <w:p>
      <w:pPr>
        <w:pStyle w:val="BodyText"/>
        <w:spacing w:line="285" w:lineRule="auto" w:before="1"/>
        <w:ind w:right="0" w:hanging="161"/>
        <w:jc w:val="left"/>
      </w:pPr>
      <w:r>
        <w:rPr>
          <w:rFonts w:ascii="Times New Roman" w:hAnsi="Times New Roman" w:cs="Times New Roman" w:eastAsia="Times New Roman" w:hint="default"/>
          <w:sz w:val="20"/>
          <w:szCs w:val="20"/>
        </w:rPr>
        <w:t>4</w:t>
      </w:r>
      <w:r>
        <w:rPr>
          <w:sz w:val="20"/>
          <w:szCs w:val="20"/>
        </w:rPr>
        <w:t>、</w:t>
      </w:r>
      <w:r>
        <w:rPr/>
        <w:t>改革和结构调整规划</w:t>
      </w:r>
      <w:r>
        <w:rPr/>
        <w:t> </w:t>
      </w:r>
      <w:r>
        <w:rPr>
          <w:spacing w:val="-2"/>
        </w:rPr>
        <w:t>公司将进一步强化科学合理的法人治理结构，健全重大决策的程序和规则，确保公司的经营管理和投资决策的科学性和</w:t>
      </w:r>
    </w:p>
    <w:p>
      <w:pPr>
        <w:pStyle w:val="BodyText"/>
        <w:spacing w:line="316" w:lineRule="auto" w:before="42"/>
        <w:ind w:left="152" w:right="188"/>
        <w:jc w:val="both"/>
      </w:pPr>
      <w:r>
        <w:rPr>
          <w:spacing w:val="-2"/>
        </w:rPr>
        <w:t>准确性；进一步深化企业内部改革，强化科学管理，根据公司发展的需要，不断地优化公司的内部组织和管理，适时增加和</w:t>
      </w:r>
      <w:r>
        <w:rPr>
          <w:spacing w:val="-67"/>
        </w:rPr>
        <w:t> </w:t>
      </w:r>
      <w:r>
        <w:rPr>
          <w:spacing w:val="-67"/>
        </w:rPr>
      </w:r>
      <w:r>
        <w:rPr>
          <w:spacing w:val="-2"/>
        </w:rPr>
        <w:t>调整公司的事业部、大区营销服务中心和营销服务网点；进一步完善公司管理层与其他核心人员的激励和约束机制，保持公</w:t>
      </w:r>
      <w:r>
        <w:rPr>
          <w:spacing w:val="-61"/>
        </w:rPr>
        <w:t> </w:t>
      </w:r>
      <w:r>
        <w:rPr>
          <w:spacing w:val="-61"/>
        </w:rPr>
      </w:r>
      <w:r>
        <w:rPr/>
        <w:t>司管理层与其他核心人员队伍的稳定。</w:t>
      </w:r>
    </w:p>
    <w:p>
      <w:pPr>
        <w:pStyle w:val="BodyText"/>
        <w:spacing w:line="300" w:lineRule="auto" w:before="19"/>
        <w:ind w:right="0" w:hanging="161"/>
        <w:jc w:val="left"/>
      </w:pPr>
      <w:r>
        <w:rPr>
          <w:rFonts w:ascii="Times New Roman" w:hAnsi="Times New Roman" w:cs="Times New Roman" w:eastAsia="Times New Roman" w:hint="default"/>
        </w:rPr>
        <w:t>5</w:t>
      </w:r>
      <w:r>
        <w:rPr/>
        <w:t>、收购兼并计划 </w:t>
      </w:r>
      <w:r>
        <w:rPr>
          <w:spacing w:val="-2"/>
        </w:rPr>
        <w:t>目前，我国信息安全行业正处于快速成长期，市场需求稳定增长。然而由于国内信息安全行业企业规模普遍偏小，主要</w:t>
      </w:r>
    </w:p>
    <w:p>
      <w:pPr>
        <w:pStyle w:val="BodyText"/>
        <w:spacing w:line="319" w:lineRule="auto" w:before="31"/>
        <w:ind w:left="152" w:right="104"/>
        <w:jc w:val="both"/>
      </w:pPr>
      <w:r>
        <w:rPr>
          <w:spacing w:val="-2"/>
        </w:rPr>
        <w:t>信息安全企业的市场定位都为单一或少数几个行业细分市场，因此企业的抗风险能力仍然有待提高。为增强抗风险能力并巩</w:t>
      </w:r>
      <w:r>
        <w:rPr>
          <w:spacing w:val="-64"/>
        </w:rPr>
        <w:t> </w:t>
      </w:r>
      <w:r>
        <w:rPr>
          <w:spacing w:val="-64"/>
        </w:rPr>
      </w:r>
      <w:r>
        <w:rPr>
          <w:spacing w:val="-2"/>
        </w:rPr>
        <w:t>固公司在行业内的优势地位，本公司将根据自身在资金、技术和管理等方面的实际情况，围绕主营业务，有选择地适时并购</w:t>
      </w:r>
      <w:r>
        <w:rPr>
          <w:spacing w:val="-65"/>
        </w:rPr>
        <w:t> </w:t>
      </w:r>
      <w:r>
        <w:rPr>
          <w:spacing w:val="-65"/>
        </w:rPr>
      </w:r>
      <w:r>
        <w:rPr>
          <w:spacing w:val="-4"/>
        </w:rPr>
        <w:t>一些与自身发展目标相符合，具有一定的技术互补性或具有上下游关系的企业，逐步提升公司产品在信息安全领域的覆盖面。</w:t>
      </w:r>
    </w:p>
    <w:p>
      <w:pPr>
        <w:spacing w:after="0" w:line="319"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0" w:hanging="161"/>
        <w:jc w:val="left"/>
      </w:pPr>
      <w:r>
        <w:rPr>
          <w:rFonts w:ascii="Times New Roman" w:hAnsi="Times New Roman" w:cs="Times New Roman" w:eastAsia="Times New Roman" w:hint="default"/>
        </w:rPr>
        <w:t>6</w:t>
      </w:r>
      <w:r>
        <w:rPr/>
        <w:t>、国际化经营规划 </w:t>
      </w:r>
      <w:r>
        <w:rPr>
          <w:spacing w:val="-2"/>
        </w:rPr>
        <w:t>公司将抓住本次公开发行的有利时机，完成募集资金投资项目建设，全面提升公司的核心技术水平和技术服务能力。目</w:t>
      </w:r>
    </w:p>
    <w:p>
      <w:pPr>
        <w:pStyle w:val="BodyText"/>
        <w:spacing w:line="316" w:lineRule="auto" w:before="31"/>
        <w:ind w:left="152" w:right="190"/>
        <w:jc w:val="both"/>
      </w:pPr>
      <w:r>
        <w:rPr>
          <w:spacing w:val="-2"/>
        </w:rPr>
        <w:t>前，公司正在积极准备对已有优势产品进行二次研发，推出面向海外市场的多语言版本产品。公司将加强对外战略合作，并</w:t>
      </w:r>
      <w:r>
        <w:rPr>
          <w:spacing w:val="-64"/>
        </w:rPr>
        <w:t> </w:t>
      </w:r>
      <w:r>
        <w:rPr>
          <w:spacing w:val="-64"/>
        </w:rPr>
      </w:r>
      <w:r>
        <w:rPr>
          <w:spacing w:val="-2"/>
        </w:rPr>
        <w:t>考虑适时在当地设立代理机构甚至分支机构，逐步建立并完善国际营销网络，走国际化经营之路，力争成为国际著名的大型</w:t>
      </w:r>
      <w:r>
        <w:rPr>
          <w:spacing w:val="-63"/>
        </w:rPr>
        <w:t> </w:t>
      </w:r>
      <w:r>
        <w:rPr>
          <w:spacing w:val="-63"/>
        </w:rPr>
      </w:r>
      <w:r>
        <w:rPr/>
        <w:t>信息安全领导企业。</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t>前期披露的发展战略和经营计划在报告期内的进展情况</w:t>
      </w:r>
    </w:p>
    <w:p>
      <w:pPr>
        <w:pStyle w:val="BodyText"/>
        <w:spacing w:line="300" w:lineRule="auto" w:before="117"/>
        <w:ind w:right="0"/>
        <w:jc w:val="left"/>
      </w:pPr>
      <w:r>
        <w:rPr>
          <w:rFonts w:ascii="Times New Roman" w:hAnsi="Times New Roman" w:cs="Times New Roman" w:eastAsia="Times New Roman" w:hint="default"/>
        </w:rPr>
        <w:t>1</w:t>
      </w:r>
      <w:r>
        <w:rPr/>
        <w:t>、产品开发情况 </w:t>
      </w:r>
      <w:r>
        <w:rPr>
          <w:spacing w:val="-2"/>
        </w:rPr>
        <w:t>公司上市后按募投项目的计划推进募投项目的建设，以终端安全管理、数据安全管理及企业级云安全管理三个方向为主</w:t>
      </w:r>
    </w:p>
    <w:p>
      <w:pPr>
        <w:pStyle w:val="BodyText"/>
        <w:spacing w:line="300" w:lineRule="auto" w:before="31"/>
        <w:ind w:left="152" w:right="192"/>
        <w:jc w:val="both"/>
      </w:pPr>
      <w:r>
        <w:rPr/>
        <w:t>导，加快创新研发力度，报告期内公司共投入研发费用</w:t>
      </w:r>
      <w:r>
        <w:rPr>
          <w:rFonts w:ascii="Times New Roman" w:hAnsi="Times New Roman" w:cs="Times New Roman" w:eastAsia="Times New Roman" w:hint="default"/>
        </w:rPr>
        <w:t>4,920.48</w:t>
      </w:r>
      <w:r>
        <w:rPr/>
        <w:t>万元，进行自主知识产权的终端安全管理相关产品的研发， </w:t>
      </w:r>
      <w:r>
        <w:rPr>
          <w:spacing w:val="-2"/>
        </w:rPr>
        <w:t>先后取得发明专利</w:t>
      </w:r>
      <w:r>
        <w:rPr>
          <w:rFonts w:ascii="Times New Roman" w:hAnsi="Times New Roman" w:cs="Times New Roman" w:eastAsia="Times New Roman" w:hint="default"/>
          <w:spacing w:val="-2"/>
        </w:rPr>
        <w:t>1</w:t>
      </w:r>
      <w:r>
        <w:rPr>
          <w:spacing w:val="-2"/>
        </w:rPr>
        <w:t>项，软件著作权</w:t>
      </w:r>
      <w:r>
        <w:rPr>
          <w:rFonts w:ascii="Times New Roman" w:hAnsi="Times New Roman" w:cs="Times New Roman" w:eastAsia="Times New Roman" w:hint="default"/>
          <w:spacing w:val="-2"/>
        </w:rPr>
        <w:t>7</w:t>
      </w:r>
      <w:r>
        <w:rPr>
          <w:spacing w:val="-2"/>
        </w:rPr>
        <w:t>项。同时，公司紧随行业发展趋势，在大数据、云计算、虚拟化和移动终端等领域组建</w:t>
      </w:r>
      <w:r>
        <w:rPr>
          <w:spacing w:val="-66"/>
        </w:rPr>
        <w:t> </w:t>
      </w:r>
      <w:r>
        <w:rPr>
          <w:spacing w:val="-66"/>
        </w:rPr>
      </w:r>
      <w:r>
        <w:rPr/>
        <w:t>研发团队，开展新产品的研发和技术升级。</w:t>
      </w:r>
    </w:p>
    <w:p>
      <w:pPr>
        <w:pStyle w:val="BodyText"/>
        <w:spacing w:line="300" w:lineRule="auto" w:before="31"/>
        <w:ind w:right="0"/>
        <w:jc w:val="left"/>
      </w:pPr>
      <w:r>
        <w:rPr>
          <w:rFonts w:ascii="Times New Roman" w:hAnsi="Times New Roman" w:cs="Times New Roman" w:eastAsia="Times New Roman" w:hint="default"/>
        </w:rPr>
        <w:t>2</w:t>
      </w:r>
      <w:r>
        <w:rPr/>
        <w:t>、市场开发与营销服务网络建设情况 </w:t>
      </w:r>
      <w:r>
        <w:rPr>
          <w:spacing w:val="-2"/>
        </w:rPr>
        <w:t>报告期内，公司继续强化总部市场策略：一方面公司深度挖掘已开发的政府部门、军工、金融以及能源企业客户总部机</w:t>
      </w:r>
    </w:p>
    <w:p>
      <w:pPr>
        <w:pStyle w:val="BodyText"/>
        <w:spacing w:line="314" w:lineRule="auto" w:before="31"/>
        <w:ind w:left="152" w:right="174"/>
        <w:jc w:val="both"/>
      </w:pPr>
      <w:r>
        <w:rPr>
          <w:spacing w:val="-2"/>
        </w:rPr>
        <w:t>构的需求，适时推广公司的新产品及服务，同时通过投资、合作，进一步拓展公司产品的市场覆盖率；另一方面，公司充分</w:t>
      </w:r>
      <w:r>
        <w:rPr>
          <w:spacing w:val="-66"/>
        </w:rPr>
        <w:t> </w:t>
      </w:r>
      <w:r>
        <w:rPr>
          <w:spacing w:val="-66"/>
        </w:rPr>
      </w:r>
      <w:r>
        <w:rPr>
          <w:spacing w:val="-2"/>
        </w:rPr>
        <w:t>利用已形成的总部优势，沿着纵向管理层级体系向其下属省、市、县级机构延伸，不断地拓展公司产品应用范围；同时公司</w:t>
      </w:r>
      <w:r>
        <w:rPr>
          <w:spacing w:val="-65"/>
        </w:rPr>
        <w:t> </w:t>
      </w:r>
      <w:r>
        <w:rPr>
          <w:spacing w:val="-65"/>
        </w:rPr>
      </w:r>
      <w:r>
        <w:rPr/>
        <w:t>利用丰富的经验和成熟的市场策略</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将成熟的销售模式向其他行业和客户进行复制，不断开拓出优质的新客户；报告期内， </w:t>
      </w:r>
      <w:r>
        <w:rPr>
          <w:spacing w:val="-2"/>
        </w:rPr>
        <w:t>公司按照营销服务体系建设的规划，先后设立了武汉、西安研发中心，同时扩大了人员规模，增强在华中、华南区域及其周</w:t>
      </w:r>
      <w:r>
        <w:rPr>
          <w:spacing w:val="-67"/>
        </w:rPr>
        <w:t> </w:t>
      </w:r>
      <w:r>
        <w:rPr>
          <w:spacing w:val="-67"/>
        </w:rPr>
      </w:r>
      <w:r>
        <w:rPr/>
        <w:t>边的业务辐射能力，从而进一步缩短对用户需求的响应时间，提高了公司的服务质量。</w:t>
      </w:r>
    </w:p>
    <w:p>
      <w:pPr>
        <w:pStyle w:val="BodyText"/>
        <w:spacing w:line="240" w:lineRule="auto" w:before="20"/>
        <w:ind w:right="0"/>
        <w:jc w:val="left"/>
      </w:pPr>
      <w:r>
        <w:rPr>
          <w:rFonts w:ascii="Times New Roman" w:hAnsi="Times New Roman" w:cs="Times New Roman" w:eastAsia="Times New Roman" w:hint="default"/>
        </w:rPr>
        <w:t>3</w:t>
      </w:r>
      <w:r>
        <w:rPr/>
        <w:t>、人才扩充和培养情况</w:t>
      </w:r>
    </w:p>
    <w:p>
      <w:pPr>
        <w:pStyle w:val="BodyText"/>
        <w:spacing w:line="314" w:lineRule="auto" w:before="63"/>
        <w:ind w:left="152" w:right="191" w:firstLine="360"/>
        <w:jc w:val="both"/>
      </w:pPr>
      <w:r>
        <w:rPr>
          <w:rFonts w:ascii="Times New Roman" w:hAnsi="Times New Roman" w:cs="Times New Roman" w:eastAsia="Times New Roman" w:hint="default"/>
          <w:spacing w:val="-2"/>
        </w:rPr>
        <w:t>2014</w:t>
      </w:r>
      <w:r>
        <w:rPr>
          <w:spacing w:val="-2"/>
        </w:rPr>
        <w:t>年公司积极引进各类人才，推进人力资源建设，一方面，通过在全国各地设立分公司和研发中心，吸引当地高科技</w:t>
      </w:r>
      <w:r>
        <w:rPr/>
        <w:t> </w:t>
      </w:r>
      <w:r>
        <w:rPr>
          <w:spacing w:val="-2"/>
        </w:rPr>
        <w:t>人才，进一步扩充研发队伍，为各类产品的研发逐步合理配备人才；另一方面加强区域营销服务人员力量，配合营销服务体</w:t>
      </w:r>
      <w:r>
        <w:rPr>
          <w:spacing w:val="-64"/>
        </w:rPr>
        <w:t> </w:t>
      </w:r>
      <w:r>
        <w:rPr>
          <w:spacing w:val="-64"/>
        </w:rPr>
      </w:r>
      <w:r>
        <w:rPr>
          <w:spacing w:val="-2"/>
        </w:rPr>
        <w:t>系的建设计划，进一步增强了公司的本地化服务能力，提高了与客户的粘合度。报告期内，公司每季度定期组织各类专题的</w:t>
      </w:r>
      <w:r>
        <w:rPr>
          <w:spacing w:val="-65"/>
        </w:rPr>
        <w:t> </w:t>
      </w:r>
      <w:r>
        <w:rPr>
          <w:spacing w:val="-65"/>
        </w:rPr>
      </w:r>
      <w:r>
        <w:rPr>
          <w:spacing w:val="-2"/>
        </w:rPr>
        <w:t>培训活动，下属各部门也结合自身特点组织起各种各样的岗位培训、技能培训、管理知识培训、质量管理培训等。通过各种</w:t>
      </w:r>
      <w:r>
        <w:rPr>
          <w:spacing w:val="-67"/>
        </w:rPr>
        <w:t> </w:t>
      </w:r>
      <w:r>
        <w:rPr>
          <w:spacing w:val="-67"/>
        </w:rPr>
      </w:r>
      <w:r>
        <w:rPr/>
        <w:t>各样的学习，提高了管理人员和基层员工的素质，保证公司经营和文化建设等各项工作的有效开展。</w:t>
      </w:r>
    </w:p>
    <w:p>
      <w:pPr>
        <w:pStyle w:val="BodyText"/>
        <w:spacing w:line="300" w:lineRule="auto" w:before="20"/>
        <w:ind w:right="0"/>
        <w:jc w:val="left"/>
      </w:pPr>
      <w:r>
        <w:rPr>
          <w:rFonts w:ascii="Times New Roman" w:hAnsi="Times New Roman" w:cs="Times New Roman" w:eastAsia="Times New Roman" w:hint="default"/>
        </w:rPr>
        <w:t>4</w:t>
      </w:r>
      <w:r>
        <w:rPr/>
        <w:t>、内部治理情况 </w:t>
      </w:r>
      <w:r>
        <w:rPr>
          <w:spacing w:val="-2"/>
        </w:rPr>
        <w:t>公司进一步深化了企业内部改革，优化内部组织和管理，报告期内先后完善了人事管理制度、绩效考核制度、内控制度</w:t>
      </w:r>
    </w:p>
    <w:p>
      <w:pPr>
        <w:pStyle w:val="BodyText"/>
        <w:spacing w:line="316" w:lineRule="auto" w:before="31"/>
        <w:ind w:left="152" w:right="193"/>
        <w:jc w:val="both"/>
      </w:pPr>
      <w:r>
        <w:rPr>
          <w:spacing w:val="-2"/>
        </w:rPr>
        <w:t>等，提高了各部门间的配合效率，进而促进公司经营发展。同时，公司按照创业板上市公司规范运作等规定的要求，及时准</w:t>
      </w:r>
      <w:r>
        <w:rPr>
          <w:spacing w:val="-66"/>
        </w:rPr>
        <w:t> </w:t>
      </w:r>
      <w:r>
        <w:rPr>
          <w:spacing w:val="-66"/>
        </w:rPr>
      </w:r>
      <w:r>
        <w:rPr/>
        <w:t>确公开公平的进行信息披露，贯彻执行内幕信息管理制度，使公司的经营更加规范。</w:t>
      </w:r>
    </w:p>
    <w:p>
      <w:pPr>
        <w:pStyle w:val="BodyText"/>
        <w:spacing w:line="300" w:lineRule="auto" w:before="19"/>
        <w:ind w:right="93"/>
        <w:jc w:val="left"/>
      </w:pPr>
      <w:r>
        <w:rPr>
          <w:rFonts w:ascii="Times New Roman" w:hAnsi="Times New Roman" w:cs="Times New Roman" w:eastAsia="Times New Roman" w:hint="default"/>
        </w:rPr>
        <w:t>5</w:t>
      </w:r>
      <w:r>
        <w:rPr/>
        <w:t>、对外扩张及国际化情况 报告期内公司通过向北京双洲科技有限公司进行增资，与其建立了良好的合作伙伴关系，并且在安全理论、计算理论、</w:t>
      </w:r>
    </w:p>
    <w:p>
      <w:pPr>
        <w:pStyle w:val="BodyText"/>
        <w:spacing w:line="316" w:lineRule="auto" w:before="32"/>
        <w:ind w:left="152" w:right="193"/>
        <w:jc w:val="both"/>
      </w:pPr>
      <w:r>
        <w:rPr>
          <w:spacing w:val="-2"/>
        </w:rPr>
        <w:t>信息理论及安全管控和运营等领域获得了强大的技术支持；报告期内以超募资金成立马来西亚全资子公司，目前马来西亚子</w:t>
      </w:r>
      <w:r>
        <w:rPr>
          <w:spacing w:val="-64"/>
        </w:rPr>
        <w:t> </w:t>
      </w:r>
      <w:r>
        <w:rPr>
          <w:spacing w:val="-64"/>
        </w:rPr>
      </w:r>
      <w:r>
        <w:rPr/>
        <w:t>公司已正常运营，公司计划以此为基础，向东南亚乃至全球辐射，进一步加速了公司的国际化进程。</w:t>
      </w:r>
    </w:p>
    <w:p>
      <w:pPr>
        <w:pStyle w:val="BodyText"/>
        <w:spacing w:line="240" w:lineRule="auto" w:before="59"/>
        <w:ind w:right="0"/>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1"/>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19,731,234.30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18,814,739.34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40,438,542.44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32,230,710.73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76,418,353.46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72,440,796.05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60,646,922.97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49,294,508.00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61,689,176.07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57,106,884.79</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193,352,085.60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182,864,314.05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39,113,250.40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35,440,340.48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硬件及其他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26,458,893.24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11,582,984.39</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10,429,460.02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9,615,555.55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101,944,689.04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95,335,917.43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71,139,511.80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53,547,260.12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24,340,420.61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23,353,470.79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19,207,430.39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18,215,559.54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16,635,859.01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15,441,707.13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15,226,858.37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14,378,168.38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19"/>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859" w:space="4701"/>
            <w:col w:w="13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560"/>
        <w:gridCol w:w="994"/>
        <w:gridCol w:w="1416"/>
        <w:gridCol w:w="1419"/>
        <w:gridCol w:w="120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毛利率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1" w:firstLine="271"/>
              <w:jc w:val="left"/>
              <w:rPr>
                <w:rFonts w:ascii="宋体" w:hAnsi="宋体" w:cs="宋体" w:eastAsia="宋体" w:hint="default"/>
                <w:sz w:val="18"/>
                <w:szCs w:val="18"/>
              </w:rPr>
            </w:pPr>
            <w:r>
              <w:rPr>
                <w:rFonts w:ascii="宋体" w:hAnsi="宋体" w:cs="宋体" w:eastAsia="宋体" w:hint="default"/>
                <w:sz w:val="18"/>
                <w:szCs w:val="18"/>
              </w:rPr>
              <w:t>营业收入比 上年同期增减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4" w:firstLine="268"/>
              <w:jc w:val="left"/>
              <w:rPr>
                <w:rFonts w:ascii="宋体" w:hAnsi="宋体" w:cs="宋体" w:eastAsia="宋体" w:hint="default"/>
                <w:sz w:val="18"/>
                <w:szCs w:val="18"/>
              </w:rPr>
            </w:pPr>
            <w:r>
              <w:rPr>
                <w:rFonts w:ascii="宋体" w:hAnsi="宋体" w:cs="宋体" w:eastAsia="宋体" w:hint="default"/>
                <w:sz w:val="18"/>
                <w:szCs w:val="18"/>
              </w:rPr>
              <w:t>营业成本比 上年同期增减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1" w:firstLine="360"/>
              <w:jc w:val="left"/>
              <w:rPr>
                <w:rFonts w:ascii="宋体" w:hAnsi="宋体" w:cs="宋体" w:eastAsia="宋体" w:hint="default"/>
                <w:sz w:val="18"/>
                <w:szCs w:val="18"/>
              </w:rPr>
            </w:pPr>
            <w:r>
              <w:rPr>
                <w:rFonts w:ascii="宋体" w:hAnsi="宋体" w:cs="宋体" w:eastAsia="宋体" w:hint="default"/>
                <w:sz w:val="18"/>
                <w:szCs w:val="18"/>
              </w:rPr>
              <w:t>毛利率比 上年同期增减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40,438,542.44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8,207,831.71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能源行业</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76,418,353.46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3,977,557.41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60,646,922.97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11,352,414.97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61,689,176.07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4,582,291.28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软件产品</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193,352,085.60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10,487,771.55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技术服务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39,113,250.40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3,672,909.92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硬件及其他</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26,458,893.24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14,875,908.85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101,944,689.04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6,608,771.61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71,139,511.80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17,592,251.68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-13.86%</w:t>
            </w:r>
          </w:p>
        </w:tc>
      </w:tr>
    </w:tbl>
    <w:p>
      <w:pPr>
        <w:pStyle w:val="BodyText"/>
        <w:spacing w:line="240" w:lineRule="auto" w:before="49"/>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135"/>
        <w:gridCol w:w="1844"/>
        <w:gridCol w:w="991"/>
        <w:gridCol w:w="1277"/>
        <w:gridCol w:w="134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6" w:right="197" w:firstLine="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55" w:firstLine="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304,505,016.49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1"/>
              <w:jc w:val="right"/>
              <w:rPr>
                <w:rFonts w:ascii="Times New Roman" w:hAnsi="Times New Roman" w:cs="Times New Roman" w:eastAsia="Times New Roman" w:hint="default"/>
                <w:sz w:val="18"/>
                <w:szCs w:val="18"/>
              </w:rPr>
            </w:pPr>
            <w:r>
              <w:rPr>
                <w:rFonts w:ascii="Times New Roman"/>
                <w:spacing w:val="-1"/>
                <w:sz w:val="18"/>
              </w:rPr>
              <w:t>386,489,984.84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-16.32%</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359,960,646.14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1"/>
              <w:jc w:val="right"/>
              <w:rPr>
                <w:rFonts w:ascii="Times New Roman" w:hAnsi="Times New Roman" w:cs="Times New Roman" w:eastAsia="Times New Roman" w:hint="default"/>
                <w:sz w:val="18"/>
                <w:szCs w:val="18"/>
              </w:rPr>
            </w:pPr>
            <w:r>
              <w:rPr>
                <w:rFonts w:ascii="Times New Roman"/>
                <w:spacing w:val="-1"/>
                <w:sz w:val="18"/>
              </w:rPr>
              <w:t>246,081,382.46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10.59%</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10,248,073.02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5,240,399.17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0.55%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45,696,096.80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1"/>
              <w:jc w:val="right"/>
              <w:rPr>
                <w:rFonts w:ascii="Times New Roman" w:hAnsi="Times New Roman" w:cs="Times New Roman" w:eastAsia="Times New Roman" w:hint="default"/>
                <w:sz w:val="18"/>
                <w:szCs w:val="18"/>
              </w:rPr>
            </w:pPr>
            <w:r>
              <w:rPr>
                <w:rFonts w:ascii="Times New Roman"/>
                <w:spacing w:val="-1"/>
                <w:sz w:val="18"/>
              </w:rPr>
              <w:t>16,319,042.11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3.46%</w:t>
            </w:r>
          </w:p>
        </w:tc>
        <w:tc>
          <w:tcPr>
            <w:tcW w:w="13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1"/>
        <w:ind w:right="0"/>
        <w:jc w:val="left"/>
      </w:pPr>
      <w:r>
        <w:rPr>
          <w:rFonts w:ascii="Times New Roman" w:hAnsi="Times New Roman" w:cs="Times New Roman" w:eastAsia="Times New Roman" w:hint="default"/>
        </w:rPr>
        <w:t>3</w:t>
      </w:r>
      <w:r>
        <w:rPr/>
        <w:t>）以公允价值计量的资产和负债</w:t>
      </w:r>
    </w:p>
    <w:p>
      <w:pPr>
        <w:pStyle w:val="BodyText"/>
        <w:spacing w:line="340" w:lineRule="auto" w:before="103"/>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报告期内公司主要资产计量属性是否发生重大变化</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12"/>
        <w:rPr>
          <w:rFonts w:ascii="宋体" w:hAnsi="宋体" w:cs="宋体" w:eastAsia="宋体" w:hint="default"/>
          <w:b/>
          <w:bCs/>
          <w:sz w:val="22"/>
          <w:szCs w:val="22"/>
        </w:r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报告期内公司公司先后取得专利（</w:t>
      </w:r>
      <w:r>
        <w:rPr>
          <w:rFonts w:ascii="Times New Roman" w:hAnsi="Times New Roman" w:cs="Times New Roman" w:eastAsia="Times New Roman" w:hint="default"/>
          <w:spacing w:val="-2"/>
        </w:rPr>
        <w:t>1</w:t>
      </w:r>
      <w:r>
        <w:rPr>
          <w:spacing w:val="-2"/>
        </w:rPr>
        <w:t>）项，软件著作权（</w:t>
      </w:r>
      <w:r>
        <w:rPr>
          <w:rFonts w:ascii="Times New Roman" w:hAnsi="Times New Roman" w:cs="Times New Roman" w:eastAsia="Times New Roman" w:hint="default"/>
          <w:spacing w:val="-2"/>
        </w:rPr>
        <w:t>7</w:t>
      </w:r>
      <w:r>
        <w:rPr>
          <w:spacing w:val="-2"/>
        </w:rPr>
        <w:t>）项，取得各类销售许可、认证、资质等共计（</w:t>
      </w:r>
      <w:r>
        <w:rPr>
          <w:rFonts w:ascii="Times New Roman" w:hAnsi="Times New Roman" w:cs="Times New Roman" w:eastAsia="Times New Roman" w:hint="default"/>
          <w:spacing w:val="-2"/>
        </w:rPr>
        <w:t>1</w:t>
      </w:r>
      <w:r>
        <w:rPr>
          <w:rFonts w:ascii="宋体" w:hAnsi="宋体" w:cs="宋体" w:eastAsia="宋体" w:hint="default"/>
          <w:spacing w:val="-2"/>
        </w:rPr>
        <w:t>3</w:t>
      </w:r>
      <w:r>
        <w:rPr>
          <w:spacing w:val="-2"/>
        </w:rPr>
        <w:t>）项，明细</w:t>
      </w:r>
    </w:p>
    <w:p>
      <w:pPr>
        <w:pStyle w:val="BodyText"/>
        <w:spacing w:line="215" w:lineRule="exact"/>
        <w:ind w:left="152" w:right="0"/>
        <w:jc w:val="left"/>
      </w:pPr>
      <w:r>
        <w:rPr/>
        <w:t>如下</w:t>
      </w:r>
    </w:p>
    <w:p>
      <w:pPr>
        <w:spacing w:line="240" w:lineRule="auto" w:before="4"/>
        <w:rPr>
          <w:rFonts w:ascii="宋体" w:hAnsi="宋体" w:cs="宋体" w:eastAsia="宋体" w:hint="default"/>
          <w:sz w:val="26"/>
          <w:szCs w:val="26"/>
        </w:rPr>
      </w:pPr>
    </w:p>
    <w:p>
      <w:pPr>
        <w:pStyle w:val="BodyText"/>
        <w:spacing w:line="240" w:lineRule="auto" w:before="44"/>
        <w:ind w:right="0"/>
        <w:jc w:val="left"/>
      </w:pPr>
      <w:r>
        <w:rPr/>
        <w:t>专利：</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756"/>
        <w:gridCol w:w="3800"/>
        <w:gridCol w:w="3351"/>
      </w:tblGrid>
      <w:tr>
        <w:trPr>
          <w:trHeight w:val="346"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7" w:right="0"/>
              <w:jc w:val="center"/>
              <w:rPr>
                <w:rFonts w:ascii="宋体" w:hAnsi="宋体" w:cs="宋体" w:eastAsia="宋体" w:hint="default"/>
                <w:sz w:val="18"/>
                <w:szCs w:val="18"/>
              </w:rPr>
            </w:pPr>
            <w:r>
              <w:rPr>
                <w:rFonts w:ascii="宋体" w:hAnsi="宋体" w:cs="宋体" w:eastAsia="宋体" w:hint="default"/>
                <w:sz w:val="18"/>
                <w:szCs w:val="18"/>
              </w:rPr>
              <w:t>专利号</w:t>
            </w:r>
          </w:p>
        </w:tc>
      </w:tr>
      <w:tr>
        <w:trPr>
          <w:trHeight w:val="348"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1" w:right="0"/>
              <w:jc w:val="center"/>
              <w:rPr>
                <w:rFonts w:ascii="Times New Roman" w:hAnsi="Times New Roman" w:cs="Times New Roman" w:eastAsia="Times New Roman" w:hint="default"/>
                <w:sz w:val="18"/>
                <w:szCs w:val="18"/>
              </w:rPr>
            </w:pPr>
            <w:r>
              <w:rPr>
                <w:rFonts w:ascii="Times New Roman"/>
                <w:sz w:val="18"/>
              </w:rPr>
              <w:t>1</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1" w:right="0"/>
              <w:jc w:val="center"/>
              <w:rPr>
                <w:rFonts w:ascii="宋体" w:hAnsi="宋体" w:cs="宋体" w:eastAsia="宋体" w:hint="default"/>
                <w:sz w:val="18"/>
                <w:szCs w:val="18"/>
              </w:rPr>
            </w:pPr>
            <w:r>
              <w:rPr>
                <w:rFonts w:ascii="宋体" w:hAnsi="宋体" w:cs="宋体" w:eastAsia="宋体" w:hint="default"/>
                <w:sz w:val="18"/>
                <w:szCs w:val="18"/>
              </w:rPr>
              <w:t>一种安全刻录及审计的方法</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9" w:right="0"/>
              <w:jc w:val="center"/>
              <w:rPr>
                <w:rFonts w:ascii="Times New Roman" w:hAnsi="Times New Roman" w:cs="Times New Roman" w:eastAsia="Times New Roman" w:hint="default"/>
                <w:sz w:val="18"/>
                <w:szCs w:val="18"/>
              </w:rPr>
            </w:pPr>
            <w:r>
              <w:rPr>
                <w:rFonts w:ascii="Times New Roman"/>
                <w:sz w:val="18"/>
              </w:rPr>
              <w:t>ZL201010553013.3</w:t>
            </w:r>
          </w:p>
        </w:tc>
      </w:tr>
    </w:tbl>
    <w:p>
      <w:pPr>
        <w:pStyle w:val="BodyText"/>
        <w:spacing w:line="240" w:lineRule="auto" w:before="8"/>
        <w:ind w:right="0"/>
        <w:jc w:val="left"/>
      </w:pPr>
      <w:r>
        <w:rPr/>
        <w:t>截至报告期末，公司共取得各项专利共计（</w:t>
      </w:r>
      <w:r>
        <w:rPr>
          <w:rFonts w:ascii="Times New Roman" w:hAnsi="Times New Roman" w:cs="Times New Roman" w:eastAsia="Times New Roman" w:hint="default"/>
        </w:rPr>
        <w:t>7</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729" w:right="0"/>
        <w:jc w:val="left"/>
      </w:pPr>
      <w:r>
        <w:rPr/>
        <w:t>软件著作权：</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770"/>
        <w:gridCol w:w="4931"/>
        <w:gridCol w:w="2127"/>
      </w:tblGrid>
      <w:tr>
        <w:trPr>
          <w:trHeight w:val="34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32"/>
              <w:jc w:val="right"/>
              <w:rPr>
                <w:rFonts w:ascii="宋体" w:hAnsi="宋体" w:cs="宋体" w:eastAsia="宋体" w:hint="default"/>
                <w:sz w:val="18"/>
                <w:szCs w:val="18"/>
              </w:rPr>
            </w:pPr>
            <w:r>
              <w:rPr>
                <w:rFonts w:ascii="宋体" w:hAnsi="宋体" w:cs="宋体" w:eastAsia="宋体" w:hint="default"/>
                <w:sz w:val="18"/>
                <w:szCs w:val="18"/>
              </w:rPr>
              <w:t>软件著作权号</w:t>
            </w:r>
          </w:p>
        </w:tc>
      </w:tr>
      <w:tr>
        <w:trPr>
          <w:trHeight w:val="346"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1" w:right="0"/>
              <w:jc w:val="center"/>
              <w:rPr>
                <w:rFonts w:ascii="Times New Roman" w:hAnsi="Times New Roman" w:cs="Times New Roman" w:eastAsia="Times New Roman" w:hint="default"/>
                <w:sz w:val="18"/>
                <w:szCs w:val="18"/>
              </w:rPr>
            </w:pPr>
            <w:r>
              <w:rPr>
                <w:rFonts w:ascii="Times New Roman"/>
                <w:sz w:val="18"/>
              </w:rPr>
              <w:t>1</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北信源金甲防线系统</w:t>
            </w:r>
            <w:r>
              <w:rPr>
                <w:rFonts w:ascii="Times New Roman" w:hAnsi="Times New Roman" w:cs="Times New Roman" w:eastAsia="Times New Roman" w:hint="default"/>
                <w:sz w:val="18"/>
                <w:szCs w:val="18"/>
              </w:rPr>
              <w:t>V3.0.0.2[</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北信源金甲防线</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2"/>
              <w:jc w:val="right"/>
              <w:rPr>
                <w:rFonts w:ascii="Times New Roman" w:hAnsi="Times New Roman" w:cs="Times New Roman" w:eastAsia="Times New Roman" w:hint="default"/>
                <w:sz w:val="18"/>
                <w:szCs w:val="18"/>
              </w:rPr>
            </w:pPr>
            <w:r>
              <w:rPr>
                <w:rFonts w:ascii="Times New Roman"/>
                <w:spacing w:val="-1"/>
                <w:sz w:val="18"/>
              </w:rPr>
              <w:t>2014SR004495</w:t>
            </w:r>
          </w:p>
        </w:tc>
      </w:tr>
      <w:tr>
        <w:trPr>
          <w:trHeight w:val="34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1" w:right="0"/>
              <w:jc w:val="center"/>
              <w:rPr>
                <w:rFonts w:ascii="Times New Roman" w:hAnsi="Times New Roman" w:cs="Times New Roman" w:eastAsia="Times New Roman" w:hint="default"/>
                <w:sz w:val="18"/>
                <w:szCs w:val="18"/>
              </w:rPr>
            </w:pPr>
            <w:r>
              <w:rPr>
                <w:rFonts w:ascii="Times New Roman"/>
                <w:sz w:val="18"/>
              </w:rPr>
              <w:t>2</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北信源桌面虚拟化系统</w:t>
            </w:r>
            <w:r>
              <w:rPr>
                <w:rFonts w:ascii="Times New Roman" w:hAnsi="Times New Roman" w:cs="Times New Roman" w:eastAsia="Times New Roman" w:hint="default"/>
                <w:sz w:val="18"/>
                <w:szCs w:val="18"/>
              </w:rPr>
              <w:t>V2.0[</w:t>
            </w:r>
            <w:r>
              <w:rPr>
                <w:rFonts w:ascii="宋体" w:hAnsi="宋体" w:cs="宋体" w:eastAsia="宋体" w:hint="default"/>
                <w:sz w:val="18"/>
                <w:szCs w:val="18"/>
              </w:rPr>
              <w:t>简称</w:t>
            </w:r>
            <w:r>
              <w:rPr>
                <w:rFonts w:ascii="Times New Roman" w:hAnsi="Times New Roman" w:cs="Times New Roman" w:eastAsia="Times New Roman" w:hint="default"/>
                <w:sz w:val="18"/>
                <w:szCs w:val="18"/>
              </w:rPr>
              <w:t>: VRV</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VDS]</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2014SR011154</w:t>
            </w:r>
          </w:p>
        </w:tc>
      </w:tr>
      <w:tr>
        <w:trPr>
          <w:trHeight w:val="346"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1" w:right="0"/>
              <w:jc w:val="center"/>
              <w:rPr>
                <w:rFonts w:ascii="Times New Roman" w:hAnsi="Times New Roman" w:cs="Times New Roman" w:eastAsia="Times New Roman" w:hint="default"/>
                <w:sz w:val="18"/>
                <w:szCs w:val="18"/>
              </w:rPr>
            </w:pPr>
            <w:r>
              <w:rPr>
                <w:rFonts w:ascii="Times New Roman"/>
                <w:sz w:val="18"/>
              </w:rPr>
              <w:t>3</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北信源金甲卫士软件</w:t>
            </w:r>
            <w:r>
              <w:rPr>
                <w:rFonts w:ascii="Times New Roman" w:hAnsi="Times New Roman" w:cs="Times New Roman" w:eastAsia="Times New Roman" w:hint="default"/>
                <w:sz w:val="18"/>
                <w:szCs w:val="18"/>
              </w:rPr>
              <w:t>V3.0.0.2[</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北信源金甲卫士</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2"/>
              <w:jc w:val="right"/>
              <w:rPr>
                <w:rFonts w:ascii="Times New Roman" w:hAnsi="Times New Roman" w:cs="Times New Roman" w:eastAsia="Times New Roman" w:hint="default"/>
                <w:sz w:val="18"/>
                <w:szCs w:val="18"/>
              </w:rPr>
            </w:pPr>
            <w:r>
              <w:rPr>
                <w:rFonts w:ascii="Times New Roman"/>
                <w:spacing w:val="-1"/>
                <w:sz w:val="18"/>
              </w:rPr>
              <w:t>2014SR015477</w:t>
            </w:r>
          </w:p>
        </w:tc>
      </w:tr>
      <w:tr>
        <w:trPr>
          <w:trHeight w:val="34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1" w:right="0"/>
              <w:jc w:val="center"/>
              <w:rPr>
                <w:rFonts w:ascii="Times New Roman" w:hAnsi="Times New Roman" w:cs="Times New Roman" w:eastAsia="Times New Roman" w:hint="default"/>
                <w:sz w:val="18"/>
                <w:szCs w:val="18"/>
              </w:rPr>
            </w:pPr>
            <w:r>
              <w:rPr>
                <w:rFonts w:ascii="Times New Roman"/>
                <w:sz w:val="18"/>
              </w:rPr>
              <w:t>4</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计算机终端安全护理系统</w:t>
            </w:r>
            <w:r>
              <w:rPr>
                <w:rFonts w:ascii="Times New Roman" w:hAnsi="Times New Roman" w:cs="Times New Roman" w:eastAsia="Times New Roman" w:hint="default"/>
                <w:sz w:val="18"/>
                <w:szCs w:val="18"/>
              </w:rPr>
              <w:t>V6.7[</w:t>
            </w:r>
            <w:r>
              <w:rPr>
                <w:rFonts w:ascii="宋体" w:hAnsi="宋体" w:cs="宋体" w:eastAsia="宋体" w:hint="default"/>
                <w:sz w:val="18"/>
                <w:szCs w:val="18"/>
              </w:rPr>
              <w:t>简称</w:t>
            </w:r>
            <w:r>
              <w:rPr>
                <w:rFonts w:ascii="Times New Roman" w:hAnsi="Times New Roman" w:cs="Times New Roman" w:eastAsia="Times New Roman" w:hint="default"/>
                <w:sz w:val="18"/>
                <w:szCs w:val="18"/>
              </w:rPr>
              <w:t>: PC</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care]</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2014SR065530</w:t>
            </w:r>
          </w:p>
        </w:tc>
      </w:tr>
      <w:tr>
        <w:trPr>
          <w:trHeight w:val="65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1" w:right="0"/>
              <w:jc w:val="center"/>
              <w:rPr>
                <w:rFonts w:ascii="Times New Roman" w:hAnsi="Times New Roman" w:cs="Times New Roman" w:eastAsia="Times New Roman" w:hint="default"/>
                <w:sz w:val="18"/>
                <w:szCs w:val="18"/>
              </w:rPr>
            </w:pPr>
            <w:r>
              <w:rPr>
                <w:rFonts w:ascii="Times New Roman"/>
                <w:sz w:val="18"/>
              </w:rPr>
              <w:t>5</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1286" w:right="24" w:hanging="896"/>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中标麒麟版</w:t>
            </w:r>
            <w:r>
              <w:rPr>
                <w:rFonts w:ascii="Times New Roman" w:hAnsi="Times New Roman" w:cs="Times New Roman" w:eastAsia="Times New Roman" w:hint="default"/>
                <w:sz w:val="18"/>
                <w:szCs w:val="18"/>
              </w:rPr>
              <w:t>)V6.6[</w:t>
            </w:r>
            <w:r>
              <w:rPr>
                <w:rFonts w:ascii="宋体" w:hAnsi="宋体" w:cs="宋体" w:eastAsia="宋体" w:hint="default"/>
                <w:sz w:val="18"/>
                <w:szCs w:val="18"/>
              </w:rPr>
              <w:t>简 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主机监控审计与补丁分发</w:t>
            </w:r>
            <w:r>
              <w:rPr>
                <w:rFonts w:ascii="Times New Roman" w:hAnsi="Times New Roman" w:cs="Times New Roman" w:eastAsia="Times New Roman" w:hint="default"/>
                <w:sz w:val="18"/>
                <w:szCs w:val="18"/>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2"/>
              <w:jc w:val="right"/>
              <w:rPr>
                <w:rFonts w:ascii="Times New Roman" w:hAnsi="Times New Roman" w:cs="Times New Roman" w:eastAsia="Times New Roman" w:hint="default"/>
                <w:sz w:val="18"/>
                <w:szCs w:val="18"/>
              </w:rPr>
            </w:pPr>
            <w:r>
              <w:rPr>
                <w:rFonts w:ascii="Times New Roman"/>
                <w:spacing w:val="-1"/>
                <w:sz w:val="18"/>
              </w:rPr>
              <w:t>2014SR193655</w:t>
            </w:r>
          </w:p>
        </w:tc>
      </w:tr>
      <w:tr>
        <w:trPr>
          <w:trHeight w:val="34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1" w:right="0"/>
              <w:jc w:val="center"/>
              <w:rPr>
                <w:rFonts w:ascii="Times New Roman" w:hAnsi="Times New Roman" w:cs="Times New Roman" w:eastAsia="Times New Roman" w:hint="default"/>
                <w:sz w:val="18"/>
                <w:szCs w:val="18"/>
              </w:rPr>
            </w:pPr>
            <w:r>
              <w:rPr>
                <w:rFonts w:ascii="Times New Roman"/>
                <w:sz w:val="18"/>
              </w:rPr>
              <w:t>6</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北信源网络数据存储软件</w:t>
            </w:r>
            <w:r>
              <w:rPr>
                <w:rFonts w:ascii="Times New Roman" w:hAnsi="Times New Roman" w:cs="Times New Roman" w:eastAsia="Times New Roman" w:hint="default"/>
                <w:sz w:val="18"/>
                <w:szCs w:val="18"/>
              </w:rPr>
              <w:t>V2.0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12"/>
              <w:jc w:val="right"/>
              <w:rPr>
                <w:rFonts w:ascii="Times New Roman" w:hAnsi="Times New Roman" w:cs="Times New Roman" w:eastAsia="Times New Roman" w:hint="default"/>
                <w:sz w:val="18"/>
                <w:szCs w:val="18"/>
              </w:rPr>
            </w:pPr>
            <w:r>
              <w:rPr>
                <w:rFonts w:ascii="Times New Roman"/>
                <w:spacing w:val="-1"/>
                <w:sz w:val="18"/>
              </w:rPr>
              <w:t>2014SR104742</w:t>
            </w:r>
          </w:p>
        </w:tc>
      </w:tr>
      <w:tr>
        <w:trPr>
          <w:trHeight w:val="348" w:hRule="exact"/>
        </w:trPr>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1" w:right="0"/>
              <w:jc w:val="center"/>
              <w:rPr>
                <w:rFonts w:ascii="Times New Roman" w:hAnsi="Times New Roman" w:cs="Times New Roman" w:eastAsia="Times New Roman" w:hint="default"/>
                <w:sz w:val="18"/>
                <w:szCs w:val="18"/>
              </w:rPr>
            </w:pPr>
            <w:r>
              <w:rPr>
                <w:rFonts w:ascii="Times New Roman"/>
                <w:sz w:val="18"/>
              </w:rPr>
              <w:t>7</w:t>
            </w:r>
          </w:p>
        </w:tc>
        <w:tc>
          <w:tcPr>
            <w:tcW w:w="4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神州信源大数据安全管理平台</w:t>
            </w:r>
            <w:r>
              <w:rPr>
                <w:rFonts w:ascii="Times New Roman" w:hAnsi="Times New Roman" w:cs="Times New Roman" w:eastAsia="Times New Roman" w:hint="default"/>
                <w:sz w:val="18"/>
                <w:szCs w:val="18"/>
              </w:rPr>
              <w:t>V1.0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2"/>
              <w:jc w:val="right"/>
              <w:rPr>
                <w:rFonts w:ascii="Times New Roman" w:hAnsi="Times New Roman" w:cs="Times New Roman" w:eastAsia="Times New Roman" w:hint="default"/>
                <w:sz w:val="18"/>
                <w:szCs w:val="18"/>
              </w:rPr>
            </w:pPr>
            <w:r>
              <w:rPr>
                <w:rFonts w:ascii="Times New Roman"/>
                <w:spacing w:val="-1"/>
                <w:sz w:val="18"/>
              </w:rPr>
              <w:t>2014SR025005</w:t>
            </w:r>
          </w:p>
        </w:tc>
      </w:tr>
    </w:tbl>
    <w:p>
      <w:pPr>
        <w:pStyle w:val="BodyText"/>
        <w:spacing w:line="240" w:lineRule="auto" w:before="8"/>
        <w:ind w:right="0"/>
        <w:jc w:val="left"/>
      </w:pPr>
      <w:r>
        <w:rPr/>
        <w:t>截至报告期末，公司累计获得各项软件著作权共计（</w:t>
      </w:r>
      <w:r>
        <w:rPr>
          <w:rFonts w:ascii="Times New Roman" w:hAnsi="Times New Roman" w:cs="Times New Roman" w:eastAsia="Times New Roman" w:hint="default"/>
        </w:rPr>
        <w:t>78</w:t>
      </w:r>
      <w:r>
        <w:rPr/>
        <w:t>）项</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计算机信息系统安全专用产品销售许可证：</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665"/>
        <w:gridCol w:w="3922"/>
        <w:gridCol w:w="3320"/>
      </w:tblGrid>
      <w:tr>
        <w:trPr>
          <w:trHeight w:val="348"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1"/>
              <w:jc w:val="right"/>
              <w:rPr>
                <w:rFonts w:ascii="宋体" w:hAnsi="宋体" w:cs="宋体" w:eastAsia="宋体" w:hint="default"/>
                <w:sz w:val="18"/>
                <w:szCs w:val="18"/>
              </w:rPr>
            </w:pPr>
            <w:r>
              <w:rPr>
                <w:rFonts w:ascii="宋体" w:hAnsi="宋体" w:cs="宋体" w:eastAsia="宋体" w:hint="default"/>
                <w:sz w:val="18"/>
                <w:szCs w:val="18"/>
              </w:rPr>
              <w:t>序号</w:t>
            </w:r>
          </w:p>
        </w:tc>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7"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425"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1</w:t>
            </w:r>
          </w:p>
        </w:tc>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北信源金甲防线系统</w:t>
            </w:r>
            <w:r>
              <w:rPr>
                <w:rFonts w:ascii="Times New Roman" w:hAnsi="Times New Roman" w:cs="Times New Roman" w:eastAsia="Times New Roman" w:hint="default"/>
                <w:sz w:val="18"/>
                <w:szCs w:val="18"/>
              </w:rPr>
              <w:t>V3.0.0.2</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7" w:right="0"/>
              <w:jc w:val="center"/>
              <w:rPr>
                <w:rFonts w:ascii="宋体" w:hAnsi="宋体" w:cs="宋体" w:eastAsia="宋体" w:hint="default"/>
                <w:sz w:val="18"/>
                <w:szCs w:val="18"/>
              </w:rPr>
            </w:pPr>
            <w:r>
              <w:rPr>
                <w:rFonts w:ascii="宋体" w:hAnsi="宋体" w:cs="宋体" w:eastAsia="宋体" w:hint="default"/>
                <w:sz w:val="18"/>
                <w:szCs w:val="18"/>
              </w:rPr>
              <w:t>公安部公共信息网络安全监察局</w:t>
            </w:r>
          </w:p>
        </w:tc>
      </w:tr>
      <w:tr>
        <w:trPr>
          <w:trHeight w:val="430"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2</w:t>
            </w:r>
          </w:p>
        </w:tc>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计算机终端安全护理系统</w:t>
            </w:r>
            <w:r>
              <w:rPr>
                <w:rFonts w:ascii="Times New Roman" w:hAnsi="Times New Roman" w:cs="Times New Roman" w:eastAsia="Times New Roman" w:hint="default"/>
                <w:sz w:val="18"/>
                <w:szCs w:val="18"/>
              </w:rPr>
              <w:t>V6.7</w:t>
            </w:r>
          </w:p>
        </w:tc>
        <w:tc>
          <w:tcPr>
            <w:tcW w:w="3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7" w:right="0"/>
              <w:jc w:val="center"/>
              <w:rPr>
                <w:rFonts w:ascii="宋体" w:hAnsi="宋体" w:cs="宋体" w:eastAsia="宋体" w:hint="default"/>
                <w:sz w:val="18"/>
                <w:szCs w:val="18"/>
              </w:rPr>
            </w:pPr>
            <w:r>
              <w:rPr>
                <w:rFonts w:ascii="宋体" w:hAnsi="宋体" w:cs="宋体" w:eastAsia="宋体" w:hint="default"/>
                <w:sz w:val="18"/>
                <w:szCs w:val="18"/>
              </w:rPr>
              <w:t>公安部公共信息网络安全监察局</w:t>
            </w: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t>截至报告期末，公司累计获得《计算机信息系统安全专用产品销售许可证》共计（</w:t>
      </w:r>
      <w:r>
        <w:rPr>
          <w:rFonts w:ascii="Times New Roman" w:hAnsi="Times New Roman" w:cs="Times New Roman" w:eastAsia="Times New Roman" w:hint="default"/>
        </w:rPr>
        <w:t>14</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涉密信息系统产品检测证书：</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665"/>
        <w:gridCol w:w="4184"/>
        <w:gridCol w:w="3059"/>
      </w:tblGrid>
      <w:tr>
        <w:trPr>
          <w:trHeight w:val="346"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41"/>
              <w:jc w:val="right"/>
              <w:rPr>
                <w:rFonts w:ascii="宋体" w:hAnsi="宋体" w:cs="宋体" w:eastAsia="宋体" w:hint="default"/>
                <w:sz w:val="18"/>
                <w:szCs w:val="18"/>
              </w:rPr>
            </w:pPr>
            <w:r>
              <w:rPr>
                <w:rFonts w:ascii="宋体" w:hAnsi="宋体" w:cs="宋体" w:eastAsia="宋体" w:hint="default"/>
                <w:sz w:val="18"/>
                <w:szCs w:val="18"/>
              </w:rPr>
              <w:t>序号</w:t>
            </w:r>
          </w:p>
        </w:tc>
        <w:tc>
          <w:tcPr>
            <w:tcW w:w="4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59"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348"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1</w:t>
            </w:r>
          </w:p>
        </w:tc>
        <w:tc>
          <w:tcPr>
            <w:tcW w:w="4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V6.6(</w:t>
            </w:r>
            <w:r>
              <w:rPr>
                <w:rFonts w:ascii="宋体" w:hAnsi="宋体" w:cs="宋体" w:eastAsia="宋体" w:hint="default"/>
                <w:sz w:val="18"/>
                <w:szCs w:val="18"/>
              </w:rPr>
              <w:t>单机版</w:t>
            </w:r>
            <w:r>
              <w:rPr>
                <w:rFonts w:ascii="Times New Roman" w:hAnsi="Times New Roman" w:cs="Times New Roman" w:eastAsia="Times New Roman" w:hint="default"/>
                <w:sz w:val="18"/>
                <w:szCs w:val="18"/>
              </w:rPr>
              <w:t>)</w:t>
            </w:r>
          </w:p>
        </w:tc>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国家保密科技测评中心</w:t>
            </w:r>
          </w:p>
        </w:tc>
      </w:tr>
    </w:tbl>
    <w:p>
      <w:pPr>
        <w:pStyle w:val="BodyText"/>
        <w:spacing w:line="240" w:lineRule="auto" w:before="8"/>
        <w:ind w:right="0"/>
        <w:jc w:val="left"/>
      </w:pPr>
      <w:r>
        <w:rPr/>
        <w:t>截至报告期末，公司累计获得《涉密信息系统产品检测证书》共计（</w:t>
      </w:r>
      <w:r>
        <w:rPr>
          <w:rFonts w:ascii="Times New Roman" w:hAnsi="Times New Roman" w:cs="Times New Roman" w:eastAsia="Times New Roman" w:hint="default"/>
        </w:rPr>
        <w:t>8</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军用信息安全产品认证证书：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tbl>
      <w:tblPr>
        <w:tblW w:w="0" w:type="auto"/>
        <w:jc w:val="left"/>
        <w:tblInd w:w="429" w:type="dxa"/>
        <w:tblLayout w:type="fixed"/>
        <w:tblCellMar>
          <w:top w:w="0" w:type="dxa"/>
          <w:left w:w="0" w:type="dxa"/>
          <w:bottom w:w="0" w:type="dxa"/>
          <w:right w:w="0" w:type="dxa"/>
        </w:tblCellMar>
        <w:tblLook w:val="01E0"/>
      </w:tblPr>
      <w:tblGrid>
        <w:gridCol w:w="665"/>
        <w:gridCol w:w="3759"/>
        <w:gridCol w:w="3687"/>
      </w:tblGrid>
      <w:tr>
        <w:trPr>
          <w:trHeight w:val="348"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1"/>
              <w:jc w:val="right"/>
              <w:rPr>
                <w:rFonts w:ascii="宋体" w:hAnsi="宋体" w:cs="宋体" w:eastAsia="宋体" w:hint="default"/>
                <w:sz w:val="18"/>
                <w:szCs w:val="18"/>
              </w:rPr>
            </w:pPr>
            <w:r>
              <w:rPr>
                <w:rFonts w:ascii="宋体" w:hAnsi="宋体" w:cs="宋体" w:eastAsia="宋体" w:hint="default"/>
                <w:sz w:val="18"/>
                <w:szCs w:val="18"/>
              </w:rPr>
              <w:t>序号</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9"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740"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1</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1288" w:right="70" w:hanging="857"/>
              <w:jc w:val="left"/>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 系统</w:t>
            </w:r>
            <w:r>
              <w:rPr>
                <w:rFonts w:ascii="Times New Roman" w:hAnsi="Times New Roman" w:cs="Times New Roman" w:eastAsia="Times New Roman" w:hint="default"/>
                <w:sz w:val="18"/>
                <w:szCs w:val="18"/>
              </w:rPr>
              <w:t>V6.6.02.03</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20"/>
                <w:szCs w:val="20"/>
              </w:rPr>
            </w:pPr>
            <w:r>
              <w:rPr>
                <w:rFonts w:ascii="宋体" w:hAnsi="宋体" w:cs="宋体" w:eastAsia="宋体" w:hint="default"/>
                <w:w w:val="95"/>
                <w:sz w:val="20"/>
                <w:szCs w:val="20"/>
              </w:rPr>
              <w:t>中国人民解放军信息安全测评认证中心</w:t>
            </w:r>
            <w:r>
              <w:rPr>
                <w:rFonts w:ascii="宋体" w:hAnsi="宋体" w:cs="宋体" w:eastAsia="宋体" w:hint="default"/>
                <w:sz w:val="20"/>
                <w:szCs w:val="20"/>
              </w:rPr>
            </w:r>
          </w:p>
        </w:tc>
      </w:tr>
      <w:tr>
        <w:trPr>
          <w:trHeight w:val="425"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2</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北信源数据库审计系统 </w:t>
            </w:r>
            <w:r>
              <w:rPr>
                <w:rFonts w:ascii="Times New Roman" w:hAnsi="Times New Roman" w:cs="Times New Roman" w:eastAsia="Times New Roman" w:hint="default"/>
                <w:sz w:val="18"/>
                <w:szCs w:val="18"/>
              </w:rPr>
              <w:t>VRV-DBAS</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V3.0</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69"/>
              <w:jc w:val="right"/>
              <w:rPr>
                <w:rFonts w:ascii="宋体" w:hAnsi="宋体" w:cs="宋体" w:eastAsia="宋体" w:hint="default"/>
                <w:sz w:val="20"/>
                <w:szCs w:val="20"/>
              </w:rPr>
            </w:pPr>
            <w:r>
              <w:rPr>
                <w:rFonts w:ascii="宋体" w:hAnsi="宋体" w:cs="宋体" w:eastAsia="宋体" w:hint="default"/>
                <w:w w:val="95"/>
                <w:sz w:val="20"/>
                <w:szCs w:val="20"/>
              </w:rPr>
              <w:t>中国人民解放军信息安全测评认证中心</w:t>
            </w:r>
            <w:r>
              <w:rPr>
                <w:rFonts w:ascii="宋体" w:hAnsi="宋体" w:cs="宋体" w:eastAsia="宋体" w:hint="default"/>
                <w:sz w:val="20"/>
                <w:szCs w:val="20"/>
              </w:rPr>
            </w:r>
          </w:p>
        </w:tc>
      </w:tr>
      <w:tr>
        <w:trPr>
          <w:trHeight w:val="427"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3</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北信源金甲防线</w:t>
            </w:r>
            <w:r>
              <w:rPr>
                <w:rFonts w:ascii="Times New Roman" w:hAnsi="Times New Roman" w:cs="Times New Roman" w:eastAsia="Times New Roman" w:hint="default"/>
                <w:sz w:val="18"/>
                <w:szCs w:val="18"/>
              </w:rPr>
              <w:t>XP</w:t>
            </w:r>
            <w:r>
              <w:rPr>
                <w:rFonts w:ascii="宋体" w:hAnsi="宋体" w:cs="宋体" w:eastAsia="宋体" w:hint="default"/>
                <w:sz w:val="18"/>
                <w:szCs w:val="18"/>
              </w:rPr>
              <w:t>安全防护系统</w:t>
            </w:r>
            <w:r>
              <w:rPr>
                <w:rFonts w:ascii="Times New Roman" w:hAnsi="Times New Roman" w:cs="Times New Roman" w:eastAsia="Times New Roman" w:hint="default"/>
                <w:sz w:val="18"/>
                <w:szCs w:val="18"/>
              </w:rPr>
              <w:t>V3.0.0.2</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9"/>
              <w:jc w:val="right"/>
              <w:rPr>
                <w:rFonts w:ascii="宋体" w:hAnsi="宋体" w:cs="宋体" w:eastAsia="宋体" w:hint="default"/>
                <w:sz w:val="20"/>
                <w:szCs w:val="20"/>
              </w:rPr>
            </w:pPr>
            <w:r>
              <w:rPr>
                <w:rFonts w:ascii="宋体" w:hAnsi="宋体" w:cs="宋体" w:eastAsia="宋体" w:hint="default"/>
                <w:w w:val="95"/>
                <w:sz w:val="20"/>
                <w:szCs w:val="20"/>
              </w:rPr>
              <w:t>中国人民解放军信息安全测评认证中心</w:t>
            </w:r>
            <w:r>
              <w:rPr>
                <w:rFonts w:ascii="宋体" w:hAnsi="宋体" w:cs="宋体" w:eastAsia="宋体" w:hint="default"/>
                <w:sz w:val="20"/>
                <w:szCs w:val="20"/>
              </w:rPr>
            </w:r>
          </w:p>
        </w:tc>
      </w:tr>
      <w:tr>
        <w:trPr>
          <w:trHeight w:val="430"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4</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北信源虚拟终端管理系统</w:t>
            </w:r>
            <w:r>
              <w:rPr>
                <w:rFonts w:ascii="Times New Roman" w:hAnsi="Times New Roman" w:cs="Times New Roman" w:eastAsia="Times New Roman" w:hint="default"/>
                <w:sz w:val="18"/>
                <w:szCs w:val="18"/>
              </w:rPr>
              <w:t>V2.0</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69"/>
              <w:jc w:val="right"/>
              <w:rPr>
                <w:rFonts w:ascii="宋体" w:hAnsi="宋体" w:cs="宋体" w:eastAsia="宋体" w:hint="default"/>
                <w:sz w:val="20"/>
                <w:szCs w:val="20"/>
              </w:rPr>
            </w:pPr>
            <w:r>
              <w:rPr>
                <w:rFonts w:ascii="宋体" w:hAnsi="宋体" w:cs="宋体" w:eastAsia="宋体" w:hint="default"/>
                <w:w w:val="95"/>
                <w:sz w:val="20"/>
                <w:szCs w:val="20"/>
              </w:rPr>
              <w:t>中国人民解放军信息安全测评认证中心</w:t>
            </w:r>
            <w:r>
              <w:rPr>
                <w:rFonts w:ascii="宋体" w:hAnsi="宋体" w:cs="宋体" w:eastAsia="宋体" w:hint="default"/>
                <w:sz w:val="20"/>
                <w:szCs w:val="20"/>
              </w:rPr>
            </w:r>
          </w:p>
        </w:tc>
      </w:tr>
    </w:tbl>
    <w:p>
      <w:pPr>
        <w:pStyle w:val="BodyText"/>
        <w:spacing w:line="240" w:lineRule="auto" w:before="8"/>
        <w:ind w:right="0"/>
        <w:jc w:val="left"/>
      </w:pPr>
      <w:r>
        <w:rPr/>
        <w:t>截至报告期末，公司累计获得《军用信息安全产品认证证书》共计（</w:t>
      </w:r>
      <w:r>
        <w:rPr>
          <w:rFonts w:ascii="Times New Roman" w:hAnsi="Times New Roman" w:cs="Times New Roman" w:eastAsia="Times New Roman" w:hint="default"/>
        </w:rPr>
        <w:t>8</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软件产品证书：</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665"/>
        <w:gridCol w:w="3901"/>
        <w:gridCol w:w="3546"/>
      </w:tblGrid>
      <w:tr>
        <w:trPr>
          <w:trHeight w:val="346"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1"/>
              <w:jc w:val="right"/>
              <w:rPr>
                <w:rFonts w:ascii="宋体" w:hAnsi="宋体" w:cs="宋体" w:eastAsia="宋体" w:hint="default"/>
                <w:sz w:val="18"/>
                <w:szCs w:val="18"/>
              </w:rPr>
            </w:pPr>
            <w:r>
              <w:rPr>
                <w:rFonts w:ascii="宋体" w:hAnsi="宋体" w:cs="宋体" w:eastAsia="宋体" w:hint="default"/>
                <w:sz w:val="18"/>
                <w:szCs w:val="18"/>
              </w:rPr>
              <w:t>序号</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348"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1</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北信源计算机终端安全护理系统软件</w:t>
            </w:r>
            <w:r>
              <w:rPr>
                <w:rFonts w:ascii="Times New Roman" w:hAnsi="Times New Roman" w:cs="Times New Roman" w:eastAsia="Times New Roman" w:hint="default"/>
                <w:sz w:val="20"/>
                <w:szCs w:val="20"/>
              </w:rPr>
              <w:t>V6.7</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97" w:right="0"/>
              <w:jc w:val="center"/>
              <w:rPr>
                <w:rFonts w:ascii="宋体" w:hAnsi="宋体" w:cs="宋体" w:eastAsia="宋体" w:hint="default"/>
                <w:sz w:val="20"/>
                <w:szCs w:val="20"/>
              </w:rPr>
            </w:pPr>
            <w:r>
              <w:rPr>
                <w:rFonts w:ascii="宋体" w:hAnsi="宋体" w:cs="宋体" w:eastAsia="宋体" w:hint="default"/>
                <w:sz w:val="20"/>
                <w:szCs w:val="20"/>
              </w:rPr>
              <w:t>北京市经济和信息化委员会</w:t>
            </w:r>
          </w:p>
        </w:tc>
      </w:tr>
      <w:tr>
        <w:trPr>
          <w:trHeight w:val="427"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2</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6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北信源金甲防线系统软件</w:t>
            </w:r>
            <w:r>
              <w:rPr>
                <w:rFonts w:ascii="Times New Roman" w:hAnsi="Times New Roman" w:cs="Times New Roman" w:eastAsia="Times New Roman" w:hint="default"/>
                <w:sz w:val="20"/>
                <w:szCs w:val="20"/>
              </w:rPr>
              <w:t>V3.0.0.2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97" w:right="0"/>
              <w:jc w:val="center"/>
              <w:rPr>
                <w:rFonts w:ascii="宋体" w:hAnsi="宋体" w:cs="宋体" w:eastAsia="宋体" w:hint="default"/>
                <w:sz w:val="20"/>
                <w:szCs w:val="20"/>
              </w:rPr>
            </w:pPr>
            <w:r>
              <w:rPr>
                <w:rFonts w:ascii="宋体" w:hAnsi="宋体" w:cs="宋体" w:eastAsia="宋体" w:hint="default"/>
                <w:sz w:val="20"/>
                <w:szCs w:val="20"/>
              </w:rPr>
              <w:t>北京市经济和信息化委员会</w:t>
            </w:r>
          </w:p>
        </w:tc>
      </w:tr>
    </w:tbl>
    <w:p>
      <w:pPr>
        <w:pStyle w:val="BodyText"/>
        <w:spacing w:line="600" w:lineRule="auto" w:before="8"/>
        <w:ind w:right="4373"/>
        <w:jc w:val="left"/>
      </w:pPr>
      <w:r>
        <w:rPr/>
        <w:pict>
          <v:shape style="position:absolute;margin-left:70.463997pt;margin-top:46.791683pt;width:406.65pt;height:5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5"/>
                    <w:gridCol w:w="3901"/>
                    <w:gridCol w:w="3546"/>
                  </w:tblGrid>
                  <w:tr>
                    <w:trPr>
                      <w:trHeight w:val="346"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1"/>
                          <w:jc w:val="right"/>
                          <w:rPr>
                            <w:rFonts w:ascii="宋体" w:hAnsi="宋体" w:cs="宋体" w:eastAsia="宋体" w:hint="default"/>
                            <w:sz w:val="18"/>
                            <w:szCs w:val="18"/>
                          </w:rPr>
                        </w:pPr>
                        <w:r>
                          <w:rPr>
                            <w:rFonts w:ascii="宋体" w:hAnsi="宋体" w:cs="宋体" w:eastAsia="宋体" w:hint="default"/>
                            <w:sz w:val="18"/>
                            <w:szCs w:val="18"/>
                          </w:rPr>
                          <w:t>序号</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660"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z w:val="18"/>
                          </w:rPr>
                          <w:t>1</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397" w:right="0"/>
                          <w:jc w:val="center"/>
                          <w:rPr>
                            <w:rFonts w:ascii="宋体" w:hAnsi="宋体" w:cs="宋体" w:eastAsia="宋体" w:hint="default"/>
                            <w:sz w:val="20"/>
                            <w:szCs w:val="20"/>
                          </w:rPr>
                        </w:pPr>
                        <w:r>
                          <w:rPr>
                            <w:rFonts w:ascii="宋体" w:hAnsi="宋体" w:cs="宋体" w:eastAsia="宋体" w:hint="default"/>
                            <w:sz w:val="20"/>
                            <w:szCs w:val="20"/>
                          </w:rPr>
                          <w:t>国家工商行政管理局商标局</w:t>
                        </w:r>
                      </w:p>
                    </w:tc>
                  </w:tr>
                </w:tbl>
                <w:p>
                  <w:pPr/>
                </w:p>
              </w:txbxContent>
            </v:textbox>
            <w10:wrap type="none"/>
          </v:shape>
        </w:pict>
      </w:r>
      <w:r>
        <w:rPr/>
        <w:t>截至报告期末，公司累计获得《软件产品证书》共计（</w:t>
      </w:r>
      <w:r>
        <w:rPr>
          <w:rFonts w:ascii="Times New Roman" w:hAnsi="Times New Roman" w:cs="Times New Roman" w:eastAsia="Times New Roman" w:hint="default"/>
        </w:rPr>
        <w:t>18</w:t>
      </w:r>
      <w:r>
        <w:rPr/>
        <w:t>）项。 商标注册证：</w:t>
      </w:r>
    </w:p>
    <w:p>
      <w:pPr>
        <w:spacing w:line="240" w:lineRule="auto" w:before="10"/>
        <w:rPr>
          <w:rFonts w:ascii="宋体" w:hAnsi="宋体" w:cs="宋体" w:eastAsia="宋体" w:hint="default"/>
          <w:sz w:val="16"/>
          <w:szCs w:val="16"/>
        </w:rPr>
      </w:pPr>
    </w:p>
    <w:p>
      <w:pPr>
        <w:spacing w:line="516" w:lineRule="exact"/>
        <w:ind w:left="2085" w:right="0" w:firstLine="0"/>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1461626" cy="32766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1461626" cy="327660"/>
                    </a:xfrm>
                    <a:prstGeom prst="rect">
                      <a:avLst/>
                    </a:prstGeom>
                  </pic:spPr>
                </pic:pic>
              </a:graphicData>
            </a:graphic>
          </wp:inline>
        </w:drawing>
      </w:r>
      <w:r>
        <w:rPr>
          <w:rFonts w:ascii="宋体" w:hAnsi="宋体" w:cs="宋体" w:eastAsia="宋体" w:hint="default"/>
          <w:position w:val="-9"/>
          <w:sz w:val="20"/>
          <w:szCs w:val="20"/>
        </w:rPr>
      </w:r>
    </w:p>
    <w:p>
      <w:pPr>
        <w:spacing w:after="0" w:line="516" w:lineRule="exact"/>
        <w:rPr>
          <w:rFonts w:ascii="宋体" w:hAnsi="宋体" w:cs="宋体" w:eastAsia="宋体" w:hint="default"/>
          <w:sz w:val="20"/>
          <w:szCs w:val="20"/>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r>
        <w:rPr/>
        <w:pict>
          <v:shape style="position:absolute;margin-left:217.009995pt;margin-top:520.039978pt;width:112.35pt;height:113.2pt;mso-position-horizontal-relative:page;mso-position-vertical-relative:page;z-index:-7254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出口等。</w:t>
                  </w:r>
                </w:p>
              </w:txbxContent>
            </v:textbox>
            <w10:wrap type="none"/>
          </v:shape>
        </w:pict>
      </w:r>
      <w:r>
        <w:rPr/>
        <w:pict>
          <v:group style="position:absolute;margin-left:250.130005pt;margin-top:520.039978pt;width:79.25pt;height:113.2pt;mso-position-horizontal-relative:page;mso-position-vertical-relative:page;z-index:-725392" coordorigin="5003,10401" coordsize="1585,2264">
            <v:group style="position:absolute;left:5003;top:10401;width:1585;height:2264" coordorigin="5003,10401" coordsize="1585,2264">
              <v:shape style="position:absolute;left:5003;top:10401;width:1585;height:2264" coordorigin="5003,10401" coordsize="1585,2264" path="m5003,12664l6587,12664,6587,10401,5003,10401,5003,12664xe" filled="true" fillcolor="#ffffff" stroked="false">
                <v:path arrowok="t"/>
                <v:fill type="solid"/>
              </v:shape>
            </v:group>
            <v:group style="position:absolute;left:5024;top:11337;width:1539;height:392" coordorigin="5024,11337" coordsize="1539,392">
              <v:shape style="position:absolute;left:5024;top:11337;width:1539;height:392" coordorigin="5024,11337" coordsize="1539,392" path="m5024,11728l6563,11728,6563,11337,5024,11337,5024,11728xe" filled="true" fillcolor="#ffffff" stroked="false">
                <v:path arrowok="t"/>
                <v:fill type="solid"/>
              </v:shape>
            </v:group>
            <w10:wrap type="none"/>
          </v:group>
        </w:pict>
      </w:r>
    </w:p>
    <w:tbl>
      <w:tblPr>
        <w:tblW w:w="0" w:type="auto"/>
        <w:jc w:val="left"/>
        <w:tblInd w:w="429" w:type="dxa"/>
        <w:tblLayout w:type="fixed"/>
        <w:tblCellMar>
          <w:top w:w="0" w:type="dxa"/>
          <w:left w:w="0" w:type="dxa"/>
          <w:bottom w:w="0" w:type="dxa"/>
          <w:right w:w="0" w:type="dxa"/>
        </w:tblCellMar>
        <w:tblLook w:val="01E0"/>
      </w:tblPr>
      <w:tblGrid>
        <w:gridCol w:w="665"/>
        <w:gridCol w:w="3901"/>
        <w:gridCol w:w="3546"/>
      </w:tblGrid>
      <w:tr>
        <w:trPr>
          <w:trHeight w:val="1676" w:hRule="exact"/>
        </w:trPr>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z w:val="18"/>
              </w:rPr>
              <w:t>2</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5"/>
                <w:szCs w:val="5"/>
              </w:rPr>
            </w:pPr>
          </w:p>
          <w:p>
            <w:pPr>
              <w:pStyle w:val="TableParagraph"/>
              <w:spacing w:line="1537" w:lineRule="exact"/>
              <w:ind w:left="1381" w:right="0"/>
              <w:jc w:val="left"/>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976502" cy="97650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976502" cy="976502"/>
                          </a:xfrm>
                          <a:prstGeom prst="rect">
                            <a:avLst/>
                          </a:prstGeom>
                        </pic:spPr>
                      </pic:pic>
                    </a:graphicData>
                  </a:graphic>
                </wp:inline>
              </w:drawing>
            </w:r>
            <w:r>
              <w:rPr>
                <w:rFonts w:ascii="宋体" w:hAnsi="宋体" w:cs="宋体" w:eastAsia="宋体" w:hint="default"/>
                <w:position w:val="-30"/>
                <w:sz w:val="20"/>
                <w:szCs w:val="20"/>
              </w:rPr>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765" w:right="0"/>
              <w:jc w:val="left"/>
              <w:rPr>
                <w:rFonts w:ascii="宋体" w:hAnsi="宋体" w:cs="宋体" w:eastAsia="宋体" w:hint="default"/>
                <w:sz w:val="20"/>
                <w:szCs w:val="20"/>
              </w:rPr>
            </w:pPr>
            <w:r>
              <w:rPr>
                <w:rFonts w:ascii="宋体" w:hAnsi="宋体" w:cs="宋体" w:eastAsia="宋体" w:hint="default"/>
                <w:sz w:val="20"/>
                <w:szCs w:val="20"/>
              </w:rPr>
              <w:t>国家工商行政管理局商标局</w:t>
            </w:r>
          </w:p>
        </w:tc>
      </w:tr>
    </w:tbl>
    <w:p>
      <w:pPr>
        <w:pStyle w:val="BodyText"/>
        <w:spacing w:line="240" w:lineRule="auto" w:before="8"/>
        <w:ind w:right="0"/>
        <w:jc w:val="left"/>
      </w:pPr>
      <w:r>
        <w:rPr/>
        <w:t>截至报告期末，公司累计获得商标注册证（</w:t>
      </w:r>
      <w:r>
        <w:rPr>
          <w:rFonts w:ascii="Times New Roman" w:hAnsi="Times New Roman" w:cs="Times New Roman" w:eastAsia="Times New Roman" w:hint="default"/>
        </w:rPr>
        <w:t>19</w:t>
      </w:r>
      <w:r>
        <w:rPr/>
        <w:t>）项。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BodyText"/>
        <w:spacing w:line="240" w:lineRule="auto"/>
        <w:ind w:right="0"/>
        <w:jc w:val="left"/>
      </w:pPr>
      <w:r>
        <w:rPr/>
        <w:t>资质：</w:t>
      </w:r>
    </w:p>
    <w:p>
      <w:pPr>
        <w:spacing w:line="240" w:lineRule="auto" w:before="3"/>
        <w:rPr>
          <w:rFonts w:ascii="宋体" w:hAnsi="宋体" w:cs="宋体" w:eastAsia="宋体" w:hint="default"/>
          <w:sz w:val="5"/>
          <w:szCs w:val="5"/>
        </w:rPr>
      </w:pPr>
    </w:p>
    <w:tbl>
      <w:tblPr>
        <w:tblW w:w="0" w:type="auto"/>
        <w:jc w:val="left"/>
        <w:tblInd w:w="429" w:type="dxa"/>
        <w:tblLayout w:type="fixed"/>
        <w:tblCellMar>
          <w:top w:w="0" w:type="dxa"/>
          <w:left w:w="0" w:type="dxa"/>
          <w:bottom w:w="0" w:type="dxa"/>
          <w:right w:w="0" w:type="dxa"/>
        </w:tblCellMar>
        <w:tblLook w:val="01E0"/>
      </w:tblPr>
      <w:tblGrid>
        <w:gridCol w:w="672"/>
        <w:gridCol w:w="3752"/>
        <w:gridCol w:w="3687"/>
      </w:tblGrid>
      <w:tr>
        <w:trPr>
          <w:trHeight w:val="34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6"/>
              <w:jc w:val="right"/>
              <w:rPr>
                <w:rFonts w:ascii="宋体" w:hAnsi="宋体" w:cs="宋体" w:eastAsia="宋体" w:hint="default"/>
                <w:sz w:val="18"/>
                <w:szCs w:val="18"/>
              </w:rPr>
            </w:pPr>
            <w:r>
              <w:rPr>
                <w:rFonts w:ascii="宋体" w:hAnsi="宋体" w:cs="宋体" w:eastAsia="宋体" w:hint="default"/>
                <w:sz w:val="18"/>
                <w:szCs w:val="18"/>
              </w:rPr>
              <w:t>序号</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颁发单位</w:t>
            </w:r>
          </w:p>
        </w:tc>
      </w:tr>
      <w:tr>
        <w:trPr>
          <w:trHeight w:val="658"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2"/>
              <w:ind w:left="820" w:right="420" w:firstLine="48"/>
              <w:jc w:val="left"/>
              <w:rPr>
                <w:rFonts w:ascii="Times New Roman" w:hAnsi="Times New Roman" w:cs="Times New Roman" w:eastAsia="Times New Roman" w:hint="default"/>
                <w:sz w:val="20"/>
                <w:szCs w:val="20"/>
              </w:rPr>
            </w:pPr>
            <w:r>
              <w:rPr>
                <w:rFonts w:ascii="宋体" w:hAnsi="宋体" w:cs="宋体" w:eastAsia="宋体" w:hint="default"/>
                <w:sz w:val="20"/>
                <w:szCs w:val="20"/>
              </w:rPr>
              <w:t>信息技术产品安全测评证书</w:t>
            </w:r>
            <w:r>
              <w:rPr>
                <w:rFonts w:ascii="宋体" w:hAnsi="宋体" w:cs="宋体" w:eastAsia="宋体" w:hint="default"/>
                <w:w w:val="99"/>
                <w:sz w:val="20"/>
                <w:szCs w:val="20"/>
              </w:rPr>
              <w:t> </w:t>
            </w:r>
            <w:r>
              <w:rPr>
                <w:rFonts w:ascii="宋体" w:hAnsi="宋体" w:cs="宋体" w:eastAsia="宋体" w:hint="default"/>
                <w:sz w:val="20"/>
                <w:szCs w:val="20"/>
              </w:rPr>
              <w:t>北信源金甲防线系统</w:t>
            </w:r>
            <w:r>
              <w:rPr>
                <w:rFonts w:ascii="Times New Roman" w:hAnsi="Times New Roman" w:cs="Times New Roman" w:eastAsia="Times New Roman" w:hint="default"/>
                <w:sz w:val="20"/>
                <w:szCs w:val="20"/>
              </w:rPr>
              <w:t>V3.0.0.2</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9" w:right="0"/>
              <w:jc w:val="center"/>
              <w:rPr>
                <w:rFonts w:ascii="宋体" w:hAnsi="宋体" w:cs="宋体" w:eastAsia="宋体" w:hint="default"/>
                <w:sz w:val="18"/>
                <w:szCs w:val="18"/>
              </w:rPr>
            </w:pPr>
            <w:r>
              <w:rPr>
                <w:rFonts w:ascii="宋体" w:hAnsi="宋体" w:cs="宋体" w:eastAsia="宋体" w:hint="default"/>
                <w:sz w:val="18"/>
                <w:szCs w:val="18"/>
              </w:rPr>
              <w:t>中国信息安全测评中心</w:t>
            </w:r>
          </w:p>
        </w:tc>
      </w:tr>
      <w:tr>
        <w:trPr>
          <w:trHeight w:val="427" w:hRule="exact"/>
        </w:trPr>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z w:val="18"/>
              </w:rPr>
              <w:t>2</w:t>
            </w:r>
          </w:p>
        </w:tc>
        <w:tc>
          <w:tcPr>
            <w:tcW w:w="3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96"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信用等级证书</w:t>
            </w:r>
            <w:r>
              <w:rPr>
                <w:rFonts w:ascii="Times New Roman" w:hAnsi="Times New Roman" w:cs="Times New Roman" w:eastAsia="Times New Roman" w:hint="default"/>
                <w:sz w:val="20"/>
                <w:szCs w:val="20"/>
              </w:rPr>
              <w:t>AAA</w:t>
            </w:r>
          </w:p>
        </w:tc>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59" w:right="0"/>
              <w:jc w:val="center"/>
              <w:rPr>
                <w:rFonts w:ascii="宋体" w:hAnsi="宋体" w:cs="宋体" w:eastAsia="宋体" w:hint="default"/>
                <w:sz w:val="18"/>
                <w:szCs w:val="18"/>
              </w:rPr>
            </w:pPr>
            <w:r>
              <w:rPr>
                <w:rFonts w:ascii="宋体" w:hAnsi="宋体" w:cs="宋体" w:eastAsia="宋体" w:hint="default"/>
                <w:sz w:val="18"/>
                <w:szCs w:val="18"/>
              </w:rPr>
              <w:t>联合信用管理公司</w:t>
            </w:r>
          </w:p>
        </w:tc>
      </w:tr>
    </w:tbl>
    <w:p>
      <w:pPr>
        <w:pStyle w:val="BodyText"/>
        <w:spacing w:line="240" w:lineRule="auto" w:before="8"/>
        <w:ind w:right="0"/>
        <w:jc w:val="left"/>
      </w:pPr>
      <w:r>
        <w:rPr/>
        <w:t>截至报告期末，公司累计获得资质（</w:t>
      </w:r>
      <w:r>
        <w:rPr>
          <w:rFonts w:ascii="Times New Roman" w:hAnsi="Times New Roman" w:cs="Times New Roman" w:eastAsia="Times New Roman" w:hint="default"/>
        </w:rPr>
        <w:t>13</w:t>
      </w:r>
      <w:r>
        <w:rPr/>
        <w:t>）项</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4"/>
        <w:gridCol w:w="1059"/>
        <w:gridCol w:w="670"/>
        <w:gridCol w:w="493"/>
        <w:gridCol w:w="1101"/>
        <w:gridCol w:w="924"/>
        <w:gridCol w:w="139"/>
        <w:gridCol w:w="1063"/>
        <w:gridCol w:w="929"/>
        <w:gridCol w:w="1058"/>
      </w:tblGrid>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31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-75.00%</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1021"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7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2" w:right="70" w:firstLine="360"/>
              <w:jc w:val="left"/>
              <w:rPr>
                <w:rFonts w:ascii="宋体" w:hAnsi="宋体" w:cs="宋体" w:eastAsia="宋体" w:hint="default"/>
                <w:sz w:val="18"/>
                <w:szCs w:val="18"/>
              </w:rPr>
            </w:pPr>
            <w:r>
              <w:rPr>
                <w:rFonts w:ascii="宋体" w:hAnsi="宋体" w:cs="宋体" w:eastAsia="宋体" w:hint="default"/>
                <w:sz w:val="18"/>
                <w:szCs w:val="18"/>
              </w:rPr>
              <w:t>上市公司占被 投资公司权益比例</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0" w:right="96" w:firstLine="360"/>
              <w:jc w:val="left"/>
              <w:rPr>
                <w:rFonts w:ascii="宋体" w:hAnsi="宋体" w:cs="宋体" w:eastAsia="宋体" w:hint="default"/>
                <w:sz w:val="18"/>
                <w:szCs w:val="18"/>
              </w:rPr>
            </w:pPr>
            <w:r>
              <w:rPr>
                <w:rFonts w:ascii="宋体" w:hAnsi="宋体" w:cs="宋体" w:eastAsia="宋体" w:hint="default"/>
                <w:sz w:val="18"/>
                <w:szCs w:val="18"/>
              </w:rPr>
              <w:t>本期 投资盈亏</w:t>
            </w:r>
          </w:p>
          <w:p>
            <w:pPr>
              <w:pStyle w:val="TableParagraph"/>
              <w:spacing w:line="240" w:lineRule="auto" w:before="20"/>
              <w:ind w:left="19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4" w:right="72"/>
              <w:jc w:val="left"/>
              <w:rPr>
                <w:rFonts w:ascii="宋体" w:hAnsi="宋体" w:cs="宋体" w:eastAsia="宋体" w:hint="default"/>
                <w:sz w:val="18"/>
                <w:szCs w:val="18"/>
              </w:rPr>
            </w:pPr>
            <w:r>
              <w:rPr>
                <w:rFonts w:ascii="宋体" w:hAnsi="宋体" w:cs="宋体" w:eastAsia="宋体" w:hint="default"/>
                <w:sz w:val="18"/>
                <w:szCs w:val="18"/>
              </w:rPr>
              <w:t>是否涉 诉</w:t>
            </w:r>
          </w:p>
        </w:tc>
      </w:tr>
      <w:tr>
        <w:trPr>
          <w:trHeight w:val="2278"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19" w:firstLine="360"/>
              <w:jc w:val="left"/>
              <w:rPr>
                <w:rFonts w:ascii="宋体" w:hAnsi="宋体" w:cs="宋体" w:eastAsia="宋体" w:hint="default"/>
                <w:sz w:val="18"/>
                <w:szCs w:val="18"/>
              </w:rPr>
            </w:pPr>
            <w:r>
              <w:rPr>
                <w:rFonts w:ascii="宋体" w:hAnsi="宋体" w:cs="宋体" w:eastAsia="宋体" w:hint="default"/>
                <w:spacing w:val="-9"/>
                <w:sz w:val="18"/>
                <w:szCs w:val="18"/>
              </w:rPr>
              <w:t>北信源（马来西亚）信</w:t>
            </w:r>
            <w:r>
              <w:rPr>
                <w:rFonts w:ascii="宋体" w:hAnsi="宋体" w:cs="宋体" w:eastAsia="宋体" w:hint="default"/>
                <w:sz w:val="18"/>
                <w:szCs w:val="18"/>
              </w:rPr>
              <w:t> 息技术公司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firstLine="360"/>
              <w:jc w:val="both"/>
              <w:rPr>
                <w:rFonts w:ascii="宋体" w:hAnsi="宋体" w:cs="宋体" w:eastAsia="宋体" w:hint="default"/>
                <w:sz w:val="18"/>
                <w:szCs w:val="18"/>
              </w:rPr>
            </w:pPr>
            <w:r>
              <w:rPr>
                <w:rFonts w:ascii="宋体" w:hAnsi="宋体" w:cs="宋体" w:eastAsia="宋体" w:hint="default"/>
                <w:sz w:val="18"/>
                <w:szCs w:val="18"/>
              </w:rPr>
              <w:t>计算机软硬件的 研发、生产、销售， 计算机技术服务及信 息服务、咨询服务、 培训，互联网应用， 技术进出口、货物进 </w:t>
            </w:r>
            <w:r>
              <w:rPr>
                <w:rFonts w:ascii="宋体" w:hAnsi="宋体" w:cs="宋体" w:eastAsia="宋体" w:hint="default"/>
                <w:spacing w:val="-6"/>
                <w:sz w:val="18"/>
                <w:szCs w:val="18"/>
              </w:rPr>
              <w:t>出口、代理进</w:t>
            </w:r>
          </w:p>
        </w:tc>
        <w:tc>
          <w:tcPr>
            <w:tcW w:w="493" w:type="dxa"/>
            <w:tcBorders>
              <w:top w:val="single" w:sz="4" w:space="0" w:color="000000"/>
              <w:left w:val="single" w:sz="4" w:space="0" w:color="000000"/>
              <w:bottom w:val="single" w:sz="4" w:space="0" w:color="000000"/>
              <w:right w:val="nil" w:sz="6" w:space="0" w:color="auto"/>
            </w:tcBorders>
          </w:tcPr>
          <w:p>
            <w:pPr/>
          </w:p>
        </w:tc>
        <w:tc>
          <w:tcPr>
            <w:tcW w:w="110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100.00%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firstLine="360"/>
              <w:jc w:val="both"/>
              <w:rPr>
                <w:rFonts w:ascii="宋体" w:hAnsi="宋体" w:cs="宋体" w:eastAsia="宋体" w:hint="default"/>
                <w:sz w:val="18"/>
                <w:szCs w:val="18"/>
              </w:rPr>
            </w:pPr>
            <w:r>
              <w:rPr>
                <w:rFonts w:ascii="宋体" w:hAnsi="宋体" w:cs="宋体" w:eastAsia="宋体" w:hint="default"/>
                <w:sz w:val="18"/>
                <w:szCs w:val="18"/>
              </w:rPr>
              <w:t>技术推广服务； 计算机系统服务；数 据处理；公共软件服 务；销售计算机、软 件及辅助设备、通讯 设备（不含卫星地面 发射、接收设备）</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14.28%</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rFonts w:ascii="Times New Roman" w:hAnsi="Times New Roman" w:cs="Times New Roman" w:eastAsia="Times New Roman" w:hint="default"/>
        </w:rPr>
        <w:t>2</w:t>
      </w:r>
      <w:r>
        <w:rPr/>
        <w:t>）募集资金使用情况</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募集资金总体使用情况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单位：万元</w:t>
      </w:r>
    </w:p>
    <w:p>
      <w:pPr>
        <w:spacing w:after="0" w:line="240" w:lineRule="auto"/>
        <w:jc w:val="left"/>
        <w:sectPr>
          <w:type w:val="continuous"/>
          <w:pgSz w:w="11910" w:h="16840"/>
          <w:pgMar w:top="1060" w:bottom="1160" w:left="980" w:right="980"/>
          <w:cols w:num="2" w:equalWidth="0">
            <w:col w:w="2451" w:space="5929"/>
            <w:col w:w="157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59"/>
        <w:jc w:val="right"/>
      </w:pPr>
      <w:r>
        <w:rPr/>
        <w:pict>
          <v:shape style="position:absolute;margin-left:56.400002pt;margin-top:-272.218292pt;width:479.3pt;height:471.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71"/>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37,700.86</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15,177.34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31,926.69</w:t>
                        </w:r>
                        <w:r>
                          <w:rPr>
                            <w:rFonts w:ascii="Times New Roman"/>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57"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61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17,041.11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万元用于终端安全管理整体解决方案升级项目、数 据安全管理整体解决方案研发项目、企业级云安全管理平台项目、营销服务体系建设项目。</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日，公司第一届董事会第九次临时会议审议通过了《关于使用部分超募资金永久性补充流动资金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，使用超募资金人</w:t>
                        </w:r>
                        <w:r>
                          <w:rPr>
                            <w:rFonts w:ascii="宋体" w:hAnsi="宋体" w:cs="宋体" w:eastAsia="宋体" w:hint="default"/>
                            <w:spacing w:val="2"/>
                            <w:sz w:val="18"/>
                            <w:szCs w:val="18"/>
                          </w:rPr>
                          <w:t>民</w:t>
                        </w:r>
                        <w:r>
                          <w:rPr>
                            <w:rFonts w:ascii="宋体" w:hAnsi="宋体" w:cs="宋体" w:eastAsia="宋体" w:hint="default"/>
                            <w:sz w:val="18"/>
                            <w:szCs w:val="18"/>
                          </w:rPr>
                          <w:t>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万元永久性补充</w:t>
                        </w:r>
                        <w:r>
                          <w:rPr>
                            <w:rFonts w:ascii="宋体" w:hAnsi="宋体" w:cs="宋体" w:eastAsia="宋体" w:hint="default"/>
                            <w:spacing w:val="-3"/>
                            <w:sz w:val="18"/>
                            <w:szCs w:val="18"/>
                          </w:rPr>
                          <w:t>流</w:t>
                        </w:r>
                        <w:r>
                          <w:rPr>
                            <w:rFonts w:ascii="宋体" w:hAnsi="宋体" w:cs="宋体" w:eastAsia="宋体" w:hint="default"/>
                            <w:sz w:val="18"/>
                            <w:szCs w:val="18"/>
                          </w:rPr>
                          <w:t>动资金。</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日，公司第一届董事会第九次会议审议通过了《关于使用部分超募资金对全资子公司江苏神州信源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系统工程有限公司进行增资的议案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万元对全资子公司江苏</w:t>
                        </w:r>
                        <w:r>
                          <w:rPr>
                            <w:rFonts w:ascii="宋体" w:hAnsi="宋体" w:cs="宋体" w:eastAsia="宋体" w:hint="default"/>
                            <w:spacing w:val="-3"/>
                            <w:sz w:val="18"/>
                            <w:szCs w:val="18"/>
                          </w:rPr>
                          <w:t>神</w:t>
                        </w:r>
                        <w:r>
                          <w:rPr>
                            <w:rFonts w:ascii="宋体" w:hAnsi="宋体" w:cs="宋体" w:eastAsia="宋体" w:hint="default"/>
                            <w:sz w:val="18"/>
                            <w:szCs w:val="18"/>
                          </w:rPr>
                          <w:t>州信源系统工程有限公司进行</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增资，用于筹建南京研发培训中心和南京技术支持中心项目，截至报告期末，公司已使用超募资金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万元对江苏神 舟信源系统工程有限公司增资完毕。</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24"/>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第</w:t>
                        </w:r>
                        <w:r>
                          <w:rPr>
                            <w:rFonts w:ascii="宋体" w:hAnsi="宋体" w:cs="宋体" w:eastAsia="宋体" w:hint="default"/>
                            <w:sz w:val="18"/>
                            <w:szCs w:val="18"/>
                          </w:rPr>
                          <w:t>二届董事会第一次会议审议通过</w:t>
                        </w:r>
                        <w:r>
                          <w:rPr>
                            <w:rFonts w:ascii="宋体" w:hAnsi="宋体" w:cs="宋体" w:eastAsia="宋体" w:hint="default"/>
                            <w:spacing w:val="-24"/>
                            <w:sz w:val="18"/>
                            <w:szCs w:val="18"/>
                          </w:rPr>
                          <w:t>了</w:t>
                        </w:r>
                        <w:r>
                          <w:rPr>
                            <w:rFonts w:ascii="宋体" w:hAnsi="宋体" w:cs="宋体" w:eastAsia="宋体" w:hint="default"/>
                            <w:sz w:val="18"/>
                            <w:szCs w:val="18"/>
                          </w:rPr>
                          <w:t>《关于使用部分超募资金建设武汉研发中心的议案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万元用于建设武汉研发中心，其中购置办公场所用房产支出约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万元，办公场地装修、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科研设备及其他投入约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万元，截至报告期末，该项目已使用超募资金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日，公司第二届董事会第三次临时会议审议通过了《关于以部分超募资金设立境外全资子公司的议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案》同意使用超募资金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万元用于建设马来西亚全资子公司，截止本报告期末超募资金已支付完毕。</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84"/>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公司第</w:t>
                        </w:r>
                        <w:r>
                          <w:rPr>
                            <w:rFonts w:ascii="宋体" w:hAnsi="宋体" w:cs="宋体" w:eastAsia="宋体" w:hint="default"/>
                            <w:spacing w:val="-3"/>
                            <w:sz w:val="18"/>
                            <w:szCs w:val="18"/>
                          </w:rPr>
                          <w:t>二</w:t>
                        </w:r>
                        <w:r>
                          <w:rPr>
                            <w:rFonts w:ascii="宋体" w:hAnsi="宋体" w:cs="宋体" w:eastAsia="宋体" w:hint="default"/>
                            <w:sz w:val="18"/>
                            <w:szCs w:val="18"/>
                          </w:rPr>
                          <w:t>届董事会第六次会议审议通过</w:t>
                        </w:r>
                        <w:r>
                          <w:rPr>
                            <w:rFonts w:ascii="宋体" w:hAnsi="宋体" w:cs="宋体" w:eastAsia="宋体" w:hint="default"/>
                            <w:spacing w:val="-85"/>
                            <w:sz w:val="18"/>
                            <w:szCs w:val="18"/>
                          </w:rPr>
                          <w:t>了</w:t>
                        </w:r>
                        <w:r>
                          <w:rPr>
                            <w:rFonts w:ascii="宋体" w:hAnsi="宋体" w:cs="宋体" w:eastAsia="宋体" w:hint="default"/>
                            <w:sz w:val="18"/>
                            <w:szCs w:val="18"/>
                          </w:rPr>
                          <w:t>《关于使用部分超募资金永久性补充流动资金的议案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同意使用超募资金人民币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万元永久性补充流动资金。截至本报告期末该项目超募资金已支付完毕。</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日，公司第二届董事会第五次临时会议审议通过了《关于使用部分超募资金向北京双洲科技有限公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司增资的议案</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同意使用超募资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万元向北京双洲科技</w:t>
                        </w:r>
                        <w:r>
                          <w:rPr>
                            <w:rFonts w:ascii="宋体" w:hAnsi="宋体" w:cs="宋体" w:eastAsia="宋体" w:hint="default"/>
                            <w:spacing w:val="-3"/>
                            <w:sz w:val="18"/>
                            <w:szCs w:val="18"/>
                          </w:rPr>
                          <w:t>有</w:t>
                        </w:r>
                        <w:r>
                          <w:rPr>
                            <w:rFonts w:ascii="宋体" w:hAnsi="宋体" w:cs="宋体" w:eastAsia="宋体" w:hint="default"/>
                            <w:sz w:val="18"/>
                            <w:szCs w:val="18"/>
                          </w:rPr>
                          <w:t>限公司增资</w:t>
                        </w:r>
                        <w:r>
                          <w:rPr>
                            <w:rFonts w:ascii="宋体" w:hAnsi="宋体" w:cs="宋体" w:eastAsia="宋体" w:hint="default"/>
                            <w:spacing w:val="-39"/>
                            <w:sz w:val="18"/>
                            <w:szCs w:val="18"/>
                          </w:rPr>
                          <w:t>。</w:t>
                        </w: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元计入注册资本</w:t>
                        </w:r>
                        <w:r>
                          <w:rPr>
                            <w:rFonts w:ascii="宋体" w:hAnsi="宋体" w:cs="宋体" w:eastAsia="宋体" w:hint="default"/>
                            <w:spacing w:val="-38"/>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3  </w:t>
                        </w:r>
                        <w:r>
                          <w:rPr>
                            <w:rFonts w:ascii="宋体" w:hAnsi="宋体" w:cs="宋体" w:eastAsia="宋体" w:hint="default"/>
                            <w:sz w:val="18"/>
                            <w:szCs w:val="18"/>
                          </w:rPr>
                          <w:t>万</w:t>
                        </w:r>
                      </w:p>
                      <w:p>
                        <w:pPr>
                          <w:pStyle w:val="TableParagraph"/>
                          <w:spacing w:line="300"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元计入资本公积。增资完成后，双洲科技注册资本将由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万元增至 </w:t>
                        </w:r>
                        <w:r>
                          <w:rPr>
                            <w:rFonts w:ascii="Times New Roman" w:hAnsi="Times New Roman" w:cs="Times New Roman" w:eastAsia="Times New Roman" w:hint="default"/>
                            <w:sz w:val="18"/>
                            <w:szCs w:val="18"/>
                          </w:rPr>
                          <w:t>1166.6667 </w:t>
                        </w:r>
                        <w:r>
                          <w:rPr>
                            <w:rFonts w:ascii="宋体" w:hAnsi="宋体" w:cs="宋体" w:eastAsia="宋体" w:hint="default"/>
                            <w:sz w:val="18"/>
                            <w:szCs w:val="18"/>
                          </w:rPr>
                          <w:t>万元，公司持股比例为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14.29%</w:t>
                        </w:r>
                        <w:r>
                          <w:rPr>
                            <w:rFonts w:ascii="宋体" w:hAnsi="宋体" w:cs="宋体" w:eastAsia="宋体" w:hint="default"/>
                            <w:sz w:val="18"/>
                            <w:szCs w:val="18"/>
                          </w:rPr>
                          <w:t>。截止 本报告期末该项目超募资金已支付完毕。</w:t>
                        </w:r>
                      </w:p>
                      <w:p>
                        <w:pPr>
                          <w:pStyle w:val="TableParagraph"/>
                          <w:spacing w:line="240" w:lineRule="auto" w:before="72"/>
                          <w:ind w:left="38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已累计使用募集资金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万元（不含利息</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451" w:space="5929"/>
            <w:col w:w="157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1"/>
        <w:gridCol w:w="722"/>
        <w:gridCol w:w="723"/>
        <w:gridCol w:w="720"/>
        <w:gridCol w:w="881"/>
        <w:gridCol w:w="994"/>
        <w:gridCol w:w="850"/>
        <w:gridCol w:w="710"/>
        <w:gridCol w:w="567"/>
        <w:gridCol w:w="566"/>
        <w:gridCol w:w="566"/>
        <w:gridCol w:w="641"/>
      </w:tblGrid>
      <w:tr>
        <w:trPr>
          <w:trHeight w:val="192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181" w:right="89" w:firstLine="268"/>
              <w:jc w:val="left"/>
              <w:rPr>
                <w:rFonts w:ascii="宋体" w:hAnsi="宋体" w:cs="宋体" w:eastAsia="宋体" w:hint="default"/>
                <w:sz w:val="18"/>
                <w:szCs w:val="18"/>
              </w:rPr>
            </w:pPr>
            <w:r>
              <w:rPr>
                <w:rFonts w:ascii="宋体" w:hAnsi="宋体" w:cs="宋体" w:eastAsia="宋体" w:hint="default"/>
                <w:sz w:val="18"/>
                <w:szCs w:val="18"/>
              </w:rPr>
              <w:t>承诺投资项目 和超募资金投向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60" w:right="50" w:firstLine="388"/>
              <w:jc w:val="both"/>
              <w:rPr>
                <w:rFonts w:ascii="Times New Roman" w:hAnsi="Times New Roman" w:cs="Times New Roman" w:eastAsia="Times New Roman" w:hint="default"/>
                <w:sz w:val="18"/>
                <w:szCs w:val="18"/>
              </w:rPr>
            </w:pPr>
            <w:r>
              <w:rPr>
                <w:rFonts w:ascii="宋体" w:hAnsi="宋体" w:cs="宋体" w:eastAsia="宋体" w:hint="default"/>
                <w:sz w:val="18"/>
                <w:szCs w:val="18"/>
              </w:rPr>
              <w:t>是 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86" w:right="84" w:firstLine="360"/>
              <w:jc w:val="both"/>
              <w:rPr>
                <w:rFonts w:ascii="宋体" w:hAnsi="宋体" w:cs="宋体" w:eastAsia="宋体" w:hint="default"/>
                <w:sz w:val="18"/>
                <w:szCs w:val="18"/>
              </w:rPr>
            </w:pPr>
            <w:r>
              <w:rPr>
                <w:rFonts w:ascii="宋体" w:hAnsi="宋体" w:cs="宋体" w:eastAsia="宋体" w:hint="default"/>
                <w:sz w:val="18"/>
                <w:szCs w:val="18"/>
              </w:rPr>
              <w:t>募 集资金 承诺投 资总额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86" w:right="83" w:firstLine="360"/>
              <w:jc w:val="both"/>
              <w:rPr>
                <w:rFonts w:ascii="宋体" w:hAnsi="宋体" w:cs="宋体" w:eastAsia="宋体" w:hint="default"/>
                <w:sz w:val="18"/>
                <w:szCs w:val="18"/>
              </w:rPr>
            </w:pPr>
            <w:r>
              <w:rPr>
                <w:rFonts w:ascii="宋体" w:hAnsi="宋体" w:cs="宋体" w:eastAsia="宋体" w:hint="default"/>
                <w:sz w:val="18"/>
                <w:szCs w:val="18"/>
              </w:rPr>
              <w:t>调 整后投 资总额</w:t>
            </w:r>
          </w:p>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sz w:val="18"/>
              </w:rPr>
              <w:t>(1)</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76" w:right="72" w:firstLine="360"/>
              <w:jc w:val="left"/>
              <w:rPr>
                <w:rFonts w:ascii="宋体" w:hAnsi="宋体" w:cs="宋体" w:eastAsia="宋体" w:hint="default"/>
                <w:sz w:val="18"/>
                <w:szCs w:val="18"/>
              </w:rPr>
            </w:pPr>
            <w:r>
              <w:rPr>
                <w:rFonts w:ascii="宋体" w:hAnsi="宋体" w:cs="宋体" w:eastAsia="宋体" w:hint="default"/>
                <w:sz w:val="18"/>
                <w:szCs w:val="18"/>
              </w:rPr>
              <w:t>本报 告期投入</w:t>
            </w:r>
          </w:p>
          <w:p>
            <w:pPr>
              <w:pStyle w:val="TableParagraph"/>
              <w:spacing w:line="240" w:lineRule="auto" w:before="19"/>
              <w:ind w:left="2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40" w:right="41" w:firstLine="360"/>
              <w:jc w:val="left"/>
              <w:rPr>
                <w:rFonts w:ascii="宋体" w:hAnsi="宋体" w:cs="宋体" w:eastAsia="宋体" w:hint="default"/>
                <w:sz w:val="18"/>
                <w:szCs w:val="18"/>
              </w:rPr>
            </w:pPr>
            <w:r>
              <w:rPr>
                <w:rFonts w:ascii="宋体" w:hAnsi="宋体" w:cs="宋体" w:eastAsia="宋体" w:hint="default"/>
                <w:sz w:val="18"/>
                <w:szCs w:val="18"/>
              </w:rPr>
              <w:t>截至期 末累计投入</w:t>
            </w:r>
          </w:p>
          <w:p>
            <w:pPr>
              <w:pStyle w:val="TableParagraph"/>
              <w:spacing w:line="240" w:lineRule="auto" w:before="19"/>
              <w:ind w:left="2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45" w:right="41" w:firstLine="374"/>
              <w:jc w:val="both"/>
              <w:rPr>
                <w:rFonts w:ascii="宋体" w:hAnsi="宋体" w:cs="宋体" w:eastAsia="宋体" w:hint="default"/>
                <w:sz w:val="18"/>
                <w:szCs w:val="18"/>
              </w:rPr>
            </w:pPr>
            <w:r>
              <w:rPr>
                <w:rFonts w:ascii="宋体" w:hAnsi="宋体" w:cs="宋体" w:eastAsia="宋体" w:hint="default"/>
                <w:sz w:val="18"/>
                <w:szCs w:val="18"/>
              </w:rPr>
              <w:t>截至 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4" w:right="0"/>
              <w:jc w:val="left"/>
              <w:rPr>
                <w:rFonts w:ascii="Times New Roman" w:hAnsi="Times New Roman" w:cs="Times New Roman" w:eastAsia="Times New Roman" w:hint="default"/>
                <w:sz w:val="18"/>
                <w:szCs w:val="18"/>
              </w:rPr>
            </w:pPr>
            <w:r>
              <w:rPr>
                <w:rFonts w:ascii="Times New Roman"/>
                <w:sz w:val="18"/>
              </w:rPr>
              <w:t>(2)/(1)</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79" w:right="79" w:firstLine="360"/>
              <w:jc w:val="both"/>
              <w:rPr>
                <w:rFonts w:ascii="宋体" w:hAnsi="宋体" w:cs="宋体" w:eastAsia="宋体" w:hint="default"/>
                <w:sz w:val="18"/>
                <w:szCs w:val="18"/>
              </w:rPr>
            </w:pPr>
            <w:r>
              <w:rPr>
                <w:rFonts w:ascii="宋体" w:hAnsi="宋体" w:cs="宋体" w:eastAsia="宋体" w:hint="default"/>
                <w:sz w:val="18"/>
                <w:szCs w:val="18"/>
              </w:rPr>
              <w:t>项 目达到 预定可 使用状 态日期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98" w:right="-7" w:firstLine="285"/>
              <w:jc w:val="left"/>
              <w:rPr>
                <w:rFonts w:ascii="宋体" w:hAnsi="宋体" w:cs="宋体" w:eastAsia="宋体" w:hint="default"/>
                <w:sz w:val="18"/>
                <w:szCs w:val="18"/>
              </w:rPr>
            </w:pPr>
            <w:r>
              <w:rPr>
                <w:rFonts w:ascii="宋体" w:hAnsi="宋体" w:cs="宋体" w:eastAsia="宋体" w:hint="default"/>
                <w:sz w:val="18"/>
                <w:szCs w:val="18"/>
              </w:rPr>
              <w:t>本 报告 期实 现的 效益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8" w:firstLine="285"/>
              <w:jc w:val="left"/>
              <w:rPr>
                <w:rFonts w:ascii="宋体" w:hAnsi="宋体" w:cs="宋体" w:eastAsia="宋体" w:hint="default"/>
                <w:sz w:val="18"/>
                <w:szCs w:val="18"/>
              </w:rPr>
            </w:pPr>
            <w:r>
              <w:rPr>
                <w:rFonts w:ascii="宋体" w:hAnsi="宋体" w:cs="宋体" w:eastAsia="宋体" w:hint="default"/>
                <w:sz w:val="18"/>
                <w:szCs w:val="18"/>
              </w:rPr>
              <w:t>截 止报 告期 末累 计实 现的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98" w:right="-8" w:firstLine="285"/>
              <w:jc w:val="left"/>
              <w:rPr>
                <w:rFonts w:ascii="宋体" w:hAnsi="宋体" w:cs="宋体" w:eastAsia="宋体" w:hint="default"/>
                <w:sz w:val="18"/>
                <w:szCs w:val="18"/>
              </w:rPr>
            </w:pPr>
            <w:r>
              <w:rPr>
                <w:rFonts w:ascii="宋体" w:hAnsi="宋体" w:cs="宋体" w:eastAsia="宋体" w:hint="default"/>
                <w:sz w:val="18"/>
                <w:szCs w:val="18"/>
              </w:rPr>
              <w:t>是 否达 到预 计效 益</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45" w:right="43" w:firstLine="360"/>
              <w:jc w:val="both"/>
              <w:rPr>
                <w:rFonts w:ascii="宋体" w:hAnsi="宋体" w:cs="宋体" w:eastAsia="宋体" w:hint="default"/>
                <w:sz w:val="18"/>
                <w:szCs w:val="18"/>
              </w:rPr>
            </w:pPr>
            <w:r>
              <w:rPr>
                <w:rFonts w:ascii="宋体" w:hAnsi="宋体" w:cs="宋体" w:eastAsia="宋体" w:hint="default"/>
                <w:sz w:val="18"/>
                <w:szCs w:val="18"/>
              </w:rPr>
              <w:t>项 目可行 性是否 发生重 大变化</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22"/>
        <w:gridCol w:w="703"/>
        <w:gridCol w:w="753"/>
        <w:gridCol w:w="720"/>
        <w:gridCol w:w="881"/>
        <w:gridCol w:w="994"/>
        <w:gridCol w:w="850"/>
        <w:gridCol w:w="710"/>
        <w:gridCol w:w="567"/>
        <w:gridCol w:w="566"/>
        <w:gridCol w:w="566"/>
        <w:gridCol w:w="641"/>
      </w:tblGrid>
      <w:tr>
        <w:trPr>
          <w:trHeight w:val="363"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效益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、终端安全管 理整体解决方案升 级项目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7,563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7,563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3,743.42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7,375.68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97.52%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、数据安全整 体解决方案研发项 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4,856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4,856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2,584.95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4,893.57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1"/>
                <w:sz w:val="18"/>
              </w:rPr>
              <w:t>100.77%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、企业级云安 全管理平台项目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2,243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2,243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1,164.09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2,088.73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93.12%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、营销服务体 系建设项目</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2,682.2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2,682.2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1,625.86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2,683.13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Times New Roman" w:hAnsi="Times New Roman" w:cs="Times New Roman" w:eastAsia="Times New Roman" w:hint="default"/>
                <w:sz w:val="18"/>
                <w:szCs w:val="18"/>
              </w:rPr>
            </w:pPr>
            <w:r>
              <w:rPr>
                <w:rFonts w:ascii="Times New Roman"/>
                <w:spacing w:val="-1"/>
                <w:sz w:val="18"/>
              </w:rPr>
              <w:t>100.03%</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承诺投资项目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17,344.2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z w:val="18"/>
              </w:rPr>
              <w:t>17,344.2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9,118.32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17,041.11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firstLine="360"/>
              <w:jc w:val="both"/>
              <w:rPr>
                <w:rFonts w:ascii="宋体" w:hAnsi="宋体" w:cs="宋体" w:eastAsia="宋体" w:hint="default"/>
                <w:sz w:val="18"/>
                <w:szCs w:val="18"/>
              </w:rPr>
            </w:pPr>
            <w:r>
              <w:rPr>
                <w:rFonts w:ascii="宋体" w:hAnsi="宋体" w:cs="宋体" w:eastAsia="宋体" w:hint="default"/>
                <w:sz w:val="18"/>
                <w:szCs w:val="18"/>
              </w:rPr>
              <w:t>江苏神州信源 系统工程有限公司 增资款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建设武汉研发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559.02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1,385.58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86.60%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firstLine="360"/>
              <w:jc w:val="left"/>
              <w:rPr>
                <w:rFonts w:ascii="宋体" w:hAnsi="宋体" w:cs="宋体" w:eastAsia="宋体" w:hint="default"/>
                <w:sz w:val="18"/>
                <w:szCs w:val="18"/>
              </w:rPr>
            </w:pPr>
            <w:r>
              <w:rPr>
                <w:rFonts w:ascii="宋体" w:hAnsi="宋体" w:cs="宋体" w:eastAsia="宋体" w:hint="default"/>
                <w:sz w:val="18"/>
                <w:szCs w:val="18"/>
              </w:rPr>
              <w:t>设立马来西亚 子公司</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firstLine="360"/>
              <w:jc w:val="left"/>
              <w:rPr>
                <w:rFonts w:ascii="宋体" w:hAnsi="宋体" w:cs="宋体" w:eastAsia="宋体" w:hint="default"/>
                <w:sz w:val="18"/>
                <w:szCs w:val="18"/>
              </w:rPr>
            </w:pPr>
            <w:r>
              <w:rPr>
                <w:rFonts w:ascii="宋体" w:hAnsi="宋体" w:cs="宋体" w:eastAsia="宋体" w:hint="default"/>
                <w:sz w:val="18"/>
                <w:szCs w:val="18"/>
              </w:rPr>
              <w:t>北京双洲科技 有限公司投资款</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z w:val="18"/>
              </w:rPr>
              <w:t>--</w:t>
            </w:r>
          </w:p>
        </w:tc>
        <w:tc>
          <w:tcPr>
            <w:tcW w:w="75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z w:val="18"/>
              </w:rPr>
              <w:t>--</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超募资金投向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z w:val="18"/>
              </w:rPr>
              <w:t>--</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15,100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6,059.02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14,885.58</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1"/>
              <w:jc w:val="right"/>
              <w:rPr>
                <w:rFonts w:ascii="Times New Roman" w:hAnsi="Times New Roman" w:cs="Times New Roman" w:eastAsia="Times New Roman" w:hint="default"/>
                <w:sz w:val="18"/>
                <w:szCs w:val="18"/>
              </w:rPr>
            </w:pPr>
            <w:r>
              <w:rPr>
                <w:rFonts w:ascii="Times New Roman"/>
                <w:sz w:val="18"/>
              </w:rPr>
              <w:t>--</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
              <w:jc w:val="right"/>
              <w:rPr>
                <w:rFonts w:ascii="Times New Roman" w:hAnsi="Times New Roman" w:cs="Times New Roman" w:eastAsia="Times New Roman" w:hint="default"/>
                <w:sz w:val="18"/>
                <w:szCs w:val="18"/>
              </w:rPr>
            </w:pPr>
            <w:r>
              <w:rPr>
                <w:rFonts w:ascii="Times New Roman"/>
                <w:sz w:val="18"/>
              </w:rPr>
              <w:t>32,444.2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right"/>
              <w:rPr>
                <w:rFonts w:ascii="Times New Roman" w:hAnsi="Times New Roman" w:cs="Times New Roman" w:eastAsia="Times New Roman" w:hint="default"/>
                <w:sz w:val="18"/>
                <w:szCs w:val="18"/>
              </w:rPr>
            </w:pPr>
            <w:r>
              <w:rPr>
                <w:rFonts w:ascii="Times New Roman"/>
                <w:sz w:val="18"/>
              </w:rPr>
              <w:t>32,444.2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15,177.34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31,926.69</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40"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4"/>
              <w:jc w:val="right"/>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firstLine="360"/>
              <w:jc w:val="left"/>
              <w:rPr>
                <w:rFonts w:ascii="宋体" w:hAnsi="宋体" w:cs="宋体" w:eastAsia="宋体" w:hint="default"/>
                <w:sz w:val="18"/>
                <w:szCs w:val="18"/>
              </w:rPr>
            </w:pPr>
            <w:r>
              <w:rPr>
                <w:rFonts w:ascii="宋体" w:hAnsi="宋体" w:cs="宋体" w:eastAsia="宋体" w:hint="default"/>
                <w:sz w:val="18"/>
                <w:szCs w:val="18"/>
              </w:rPr>
              <w:t>未达到计划进 度或预计收益的情 </w:t>
            </w:r>
            <w:r>
              <w:rPr>
                <w:rFonts w:ascii="宋体" w:hAnsi="宋体" w:cs="宋体" w:eastAsia="宋体" w:hint="default"/>
                <w:spacing w:val="-5"/>
                <w:sz w:val="18"/>
                <w:szCs w:val="18"/>
              </w:rPr>
              <w:t>况和原因（分具体项</w:t>
            </w:r>
            <w:r>
              <w:rPr>
                <w:rFonts w:ascii="宋体" w:hAnsi="宋体" w:cs="宋体" w:eastAsia="宋体" w:hint="default"/>
                <w:sz w:val="18"/>
                <w:szCs w:val="18"/>
              </w:rPr>
              <w:t> 目）</w:t>
            </w:r>
          </w:p>
        </w:tc>
        <w:tc>
          <w:tcPr>
            <w:tcW w:w="79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5" w:firstLine="360"/>
              <w:jc w:val="both"/>
              <w:rPr>
                <w:rFonts w:ascii="宋体" w:hAnsi="宋体" w:cs="宋体" w:eastAsia="宋体" w:hint="default"/>
                <w:sz w:val="18"/>
                <w:szCs w:val="18"/>
              </w:rPr>
            </w:pPr>
            <w:r>
              <w:rPr>
                <w:rFonts w:ascii="宋体" w:hAnsi="宋体" w:cs="宋体" w:eastAsia="宋体" w:hint="default"/>
                <w:sz w:val="18"/>
                <w:szCs w:val="18"/>
              </w:rPr>
              <w:t>项目可行性发 生重大变化的情况 说明</w:t>
            </w:r>
          </w:p>
        </w:tc>
        <w:tc>
          <w:tcPr>
            <w:tcW w:w="795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9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90.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41"/>
                  </w:tblGrid>
                  <w:tr>
                    <w:trPr>
                      <w:trHeight w:val="401"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 w:right="21" w:firstLine="360"/>
                          <w:jc w:val="left"/>
                          <w:rPr>
                            <w:rFonts w:ascii="宋体" w:hAnsi="宋体" w:cs="宋体" w:eastAsia="宋体" w:hint="default"/>
                            <w:sz w:val="18"/>
                            <w:szCs w:val="18"/>
                          </w:rPr>
                        </w:pPr>
                        <w:r>
                          <w:rPr>
                            <w:rFonts w:ascii="宋体" w:hAnsi="宋体" w:cs="宋体" w:eastAsia="宋体" w:hint="default"/>
                            <w:sz w:val="18"/>
                            <w:szCs w:val="18"/>
                          </w:rPr>
                          <w:t>超募资金的金 </w:t>
                        </w:r>
                        <w:r>
                          <w:rPr>
                            <w:rFonts w:ascii="宋体" w:hAnsi="宋体" w:cs="宋体" w:eastAsia="宋体" w:hint="default"/>
                            <w:spacing w:val="-5"/>
                            <w:sz w:val="18"/>
                            <w:szCs w:val="18"/>
                          </w:rPr>
                          <w:t>额、用途及使用进展</w:t>
                        </w:r>
                        <w:r>
                          <w:rPr>
                            <w:rFonts w:ascii="宋体" w:hAnsi="宋体" w:cs="宋体" w:eastAsia="宋体" w:hint="default"/>
                            <w:sz w:val="18"/>
                            <w:szCs w:val="18"/>
                          </w:rPr>
                          <w:t> 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5"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09" w:firstLine="360"/>
                          <w:jc w:val="left"/>
                          <w:rPr>
                            <w:rFonts w:ascii="宋体" w:hAnsi="宋体" w:cs="宋体" w:eastAsia="宋体" w:hint="default"/>
                            <w:sz w:val="18"/>
                            <w:szCs w:val="18"/>
                          </w:rPr>
                        </w:pPr>
                        <w:r>
                          <w:rPr>
                            <w:rFonts w:ascii="宋体" w:hAnsi="宋体" w:cs="宋体" w:eastAsia="宋体" w:hint="default"/>
                            <w:sz w:val="18"/>
                            <w:szCs w:val="18"/>
                          </w:rPr>
                          <w:t>本公司超募资金 </w:t>
                        </w:r>
                        <w:r>
                          <w:rPr>
                            <w:rFonts w:ascii="Times New Roman" w:hAnsi="Times New Roman" w:cs="Times New Roman" w:eastAsia="Times New Roman" w:hint="default"/>
                            <w:sz w:val="18"/>
                            <w:szCs w:val="18"/>
                          </w:rPr>
                          <w:t>20,356.66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万元，主要用于其它与主营业务相关的营运资金。截止到本报告期末</w:t>
                        </w:r>
                        <w:r>
                          <w:rPr>
                            <w:rFonts w:ascii="宋体" w:hAnsi="宋体" w:cs="宋体" w:eastAsia="宋体" w:hint="default"/>
                            <w:sz w:val="18"/>
                            <w:szCs w:val="18"/>
                          </w:rPr>
                          <w:t> 具体使用情况如下：</w:t>
                        </w:r>
                      </w:p>
                      <w:p>
                        <w:pPr>
                          <w:pStyle w:val="TableParagraph"/>
                          <w:spacing w:line="309" w:lineRule="auto" w:before="74"/>
                          <w:ind w:left="26" w:right="2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日，公司第一届董事会第九次临时会议审议通过了《关于使用部分超募资 </w:t>
                        </w:r>
                        <w:r>
                          <w:rPr>
                            <w:rFonts w:ascii="宋体" w:hAnsi="宋体" w:cs="宋体" w:eastAsia="宋体" w:hint="default"/>
                            <w:spacing w:val="-3"/>
                            <w:sz w:val="18"/>
                            <w:szCs w:val="18"/>
                          </w:rPr>
                          <w:t>金永久性补充流动资金的议案》，同意公司使用超募资金（其他与主营业务相关的营运资金）人民币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万元永久性补充与主营业务相关的流动资金，截至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年末，此项计划已完成。</w:t>
                        </w:r>
                      </w:p>
                      <w:p>
                        <w:pPr>
                          <w:pStyle w:val="TableParagraph"/>
                          <w:spacing w:line="240" w:lineRule="auto" w:before="46"/>
                          <w:ind w:left="38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日，公司第一届董事会第九次会议审议通过了《关于使用部分超募资金对</w:t>
                        </w:r>
                      </w:p>
                      <w:p>
                        <w:pPr>
                          <w:pStyle w:val="TableParagraph"/>
                          <w:spacing w:line="309" w:lineRule="auto" w:before="63"/>
                          <w:ind w:left="26" w:right="21"/>
                          <w:jc w:val="both"/>
                          <w:rPr>
                            <w:rFonts w:ascii="宋体" w:hAnsi="宋体" w:cs="宋体" w:eastAsia="宋体" w:hint="default"/>
                            <w:sz w:val="18"/>
                            <w:szCs w:val="18"/>
                          </w:rPr>
                        </w:pPr>
                        <w:r>
                          <w:rPr>
                            <w:rFonts w:ascii="宋体" w:hAnsi="宋体" w:cs="宋体" w:eastAsia="宋体" w:hint="default"/>
                            <w:spacing w:val="-3"/>
                            <w:sz w:val="18"/>
                            <w:szCs w:val="18"/>
                          </w:rPr>
                          <w:t>全资子公司江苏神州信源系统工程有限公司进行增资的议案》，同意使用超募资金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4,000.00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万元对全</w:t>
                        </w:r>
                        <w:r>
                          <w:rPr>
                            <w:rFonts w:ascii="宋体" w:hAnsi="宋体" w:cs="宋体" w:eastAsia="宋体" w:hint="default"/>
                            <w:spacing w:val="-81"/>
                            <w:sz w:val="18"/>
                            <w:szCs w:val="18"/>
                          </w:rPr>
                          <w:t> </w:t>
                        </w:r>
                        <w:r>
                          <w:rPr>
                            <w:rFonts w:ascii="宋体" w:hAnsi="宋体" w:cs="宋体" w:eastAsia="宋体" w:hint="default"/>
                            <w:spacing w:val="-1"/>
                            <w:sz w:val="18"/>
                            <w:szCs w:val="18"/>
                          </w:rPr>
                          <w:t>资子公司江苏神州信源系统工程有限公司进行增资，用于筹建南京研发培训中心和南京技术支持中心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项目，截至报告期末，公司已使用超募资金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 </w:t>
                        </w:r>
                        <w:r>
                          <w:rPr>
                            <w:rFonts w:ascii="宋体" w:hAnsi="宋体" w:cs="宋体" w:eastAsia="宋体" w:hint="default"/>
                            <w:sz w:val="18"/>
                            <w:szCs w:val="18"/>
                          </w:rPr>
                          <w:t>万元对江苏神州信源系统工程有限公司增资完毕</w:t>
                        </w:r>
                      </w:p>
                      <w:p>
                        <w:pPr>
                          <w:pStyle w:val="TableParagraph"/>
                          <w:spacing w:line="240" w:lineRule="auto" w:before="44"/>
                          <w:ind w:left="38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日，公司第二届董事会第一次会议审议通过了《关于使用部分超募资金建设</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武汉研发中心的议案</w:t>
                        </w:r>
                        <w:r>
                          <w:rPr>
                            <w:rFonts w:ascii="宋体" w:hAnsi="宋体" w:cs="宋体" w:eastAsia="宋体" w:hint="default"/>
                            <w:spacing w:val="-9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使</w:t>
                        </w:r>
                        <w:r>
                          <w:rPr>
                            <w:rFonts w:ascii="宋体" w:hAnsi="宋体" w:cs="宋体" w:eastAsia="宋体" w:hint="default"/>
                            <w:sz w:val="18"/>
                            <w:szCs w:val="18"/>
                          </w:rPr>
                          <w:t>用超募资金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w:t>
                        </w:r>
                        <w:r>
                          <w:rPr>
                            <w:rFonts w:ascii="宋体" w:hAnsi="宋体" w:cs="宋体" w:eastAsia="宋体" w:hint="default"/>
                            <w:spacing w:val="-3"/>
                            <w:sz w:val="18"/>
                            <w:szCs w:val="18"/>
                          </w:rPr>
                          <w:t>于</w:t>
                        </w:r>
                        <w:r>
                          <w:rPr>
                            <w:rFonts w:ascii="宋体" w:hAnsi="宋体" w:cs="宋体" w:eastAsia="宋体" w:hint="default"/>
                            <w:sz w:val="18"/>
                            <w:szCs w:val="18"/>
                          </w:rPr>
                          <w:t>建设武汉研发中心，其中购置办公场地</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房产支出约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办公场地装修、科研设备及其他投入约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万元，截至报告期末，该项目已</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使用超募资金支付购置办公场用房产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1,385.58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38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日，公司第二届董事会第三次临时会议审议通过了《关于以部分超募资金设</w:t>
                        </w:r>
                      </w:p>
                      <w:p>
                        <w:pPr>
                          <w:pStyle w:val="TableParagraph"/>
                          <w:spacing w:line="300" w:lineRule="auto" w:before="63"/>
                          <w:ind w:left="26" w:right="24"/>
                          <w:jc w:val="both"/>
                          <w:rPr>
                            <w:rFonts w:ascii="宋体" w:hAnsi="宋体" w:cs="宋体" w:eastAsia="宋体" w:hint="default"/>
                            <w:sz w:val="18"/>
                            <w:szCs w:val="18"/>
                          </w:rPr>
                        </w:pPr>
                        <w:r>
                          <w:rPr>
                            <w:rFonts w:ascii="宋体" w:hAnsi="宋体" w:cs="宋体" w:eastAsia="宋体" w:hint="default"/>
                            <w:spacing w:val="-5"/>
                            <w:sz w:val="18"/>
                            <w:szCs w:val="18"/>
                          </w:rPr>
                          <w:t>立境外全资子公司的议案》，同意使用超募资金</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1,000.00</w:t>
                        </w:r>
                        <w:r>
                          <w:rPr>
                            <w:rFonts w:ascii="Times New Roman" w:hAnsi="Times New Roman" w:cs="Times New Roman" w:eastAsia="Times New Roman" w:hint="default"/>
                            <w:spacing w:val="23"/>
                            <w:sz w:val="18"/>
                            <w:szCs w:val="18"/>
                          </w:rPr>
                          <w:t> </w:t>
                        </w:r>
                        <w:r>
                          <w:rPr>
                            <w:rFonts w:ascii="宋体" w:hAnsi="宋体" w:cs="宋体" w:eastAsia="宋体" w:hint="default"/>
                            <w:spacing w:val="-1"/>
                            <w:sz w:val="18"/>
                            <w:szCs w:val="18"/>
                          </w:rPr>
                          <w:t>万元用于建设马来西亚全资子公司，截至报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告期末，该项目超募资金已支付完毕。</w:t>
                        </w:r>
                      </w:p>
                      <w:p>
                        <w:pPr>
                          <w:pStyle w:val="TableParagraph"/>
                          <w:spacing w:line="240" w:lineRule="auto" w:before="72"/>
                          <w:ind w:left="38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日，公司第二届董事会第五次临时会议审议通过了《关于使用部分超募资金</w:t>
                        </w:r>
                      </w:p>
                      <w:p>
                        <w:pPr>
                          <w:pStyle w:val="TableParagraph"/>
                          <w:spacing w:line="300" w:lineRule="auto" w:before="63"/>
                          <w:ind w:left="26" w:right="20"/>
                          <w:jc w:val="both"/>
                          <w:rPr>
                            <w:rFonts w:ascii="宋体" w:hAnsi="宋体" w:cs="宋体" w:eastAsia="宋体" w:hint="default"/>
                            <w:sz w:val="18"/>
                            <w:szCs w:val="18"/>
                          </w:rPr>
                        </w:pPr>
                        <w:r>
                          <w:rPr>
                            <w:rFonts w:ascii="宋体" w:hAnsi="宋体" w:cs="宋体" w:eastAsia="宋体" w:hint="default"/>
                            <w:spacing w:val="-4"/>
                            <w:sz w:val="18"/>
                            <w:szCs w:val="18"/>
                          </w:rPr>
                          <w:t>向北京双洲科技有限公司增资的议案》，同意使用超募资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万元向北京双洲科技有限公司增资。其</w:t>
                        </w:r>
                        <w:r>
                          <w:rPr>
                            <w:rFonts w:ascii="宋体" w:hAnsi="宋体" w:cs="宋体" w:eastAsia="宋体" w:hint="default"/>
                            <w:spacing w:val="-86"/>
                            <w:sz w:val="18"/>
                            <w:szCs w:val="18"/>
                          </w:rPr>
                          <w:t> </w:t>
                        </w:r>
                        <w:r>
                          <w:rPr>
                            <w:rFonts w:ascii="宋体" w:hAnsi="宋体" w:cs="宋体" w:eastAsia="宋体" w:hint="default"/>
                            <w:sz w:val="18"/>
                            <w:szCs w:val="18"/>
                          </w:rPr>
                          <w:t>中 </w:t>
                        </w:r>
                        <w:r>
                          <w:rPr>
                            <w:rFonts w:ascii="Times New Roman" w:hAnsi="Times New Roman" w:cs="Times New Roman" w:eastAsia="Times New Roman" w:hint="default"/>
                            <w:sz w:val="18"/>
                            <w:szCs w:val="18"/>
                          </w:rPr>
                          <w:t>166.6667 </w:t>
                        </w:r>
                        <w:r>
                          <w:rPr>
                            <w:rFonts w:ascii="宋体" w:hAnsi="宋体" w:cs="宋体" w:eastAsia="宋体" w:hint="default"/>
                            <w:sz w:val="18"/>
                            <w:szCs w:val="18"/>
                          </w:rPr>
                          <w:t>万元计入注册资本，</w:t>
                        </w:r>
                        <w:r>
                          <w:rPr>
                            <w:rFonts w:ascii="Times New Roman" w:hAnsi="Times New Roman" w:cs="Times New Roman" w:eastAsia="Times New Roman" w:hint="default"/>
                            <w:sz w:val="18"/>
                            <w:szCs w:val="18"/>
                          </w:rPr>
                          <w:t>333.3333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万元计入资本公积。增资完成后，双洲科技注册资本将由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万元增至 </w:t>
                        </w:r>
                        <w:r>
                          <w:rPr>
                            <w:rFonts w:ascii="Times New Roman" w:hAnsi="Times New Roman" w:cs="Times New Roman" w:eastAsia="Times New Roman" w:hint="default"/>
                            <w:sz w:val="18"/>
                            <w:szCs w:val="18"/>
                          </w:rPr>
                          <w:t>1,166.6667  </w:t>
                        </w:r>
                        <w:r>
                          <w:rPr>
                            <w:rFonts w:ascii="宋体" w:hAnsi="宋体" w:cs="宋体" w:eastAsia="宋体" w:hint="default"/>
                            <w:sz w:val="18"/>
                            <w:szCs w:val="18"/>
                          </w:rPr>
                          <w:t>万元，公司持股比例为</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14.29%</w:t>
                        </w:r>
                        <w:r>
                          <w:rPr>
                            <w:rFonts w:ascii="宋体" w:hAnsi="宋体" w:cs="宋体" w:eastAsia="宋体" w:hint="default"/>
                            <w:sz w:val="18"/>
                            <w:szCs w:val="18"/>
                          </w:rPr>
                          <w:t>。截止报告期末，该项目超募资金已支付</w:t>
                        </w:r>
                      </w:p>
                      <w:p>
                        <w:pPr>
                          <w:pStyle w:val="TableParagraph"/>
                          <w:spacing w:line="240" w:lineRule="auto" w:before="13"/>
                          <w:ind w:left="26" w:right="0"/>
                          <w:jc w:val="both"/>
                          <w:rPr>
                            <w:rFonts w:ascii="宋体" w:hAnsi="宋体" w:cs="宋体" w:eastAsia="宋体" w:hint="default"/>
                            <w:sz w:val="18"/>
                            <w:szCs w:val="18"/>
                          </w:rPr>
                        </w:pPr>
                        <w:r>
                          <w:rPr>
                            <w:rFonts w:ascii="宋体" w:hAnsi="宋体" w:cs="宋体" w:eastAsia="宋体" w:hint="default"/>
                            <w:sz w:val="18"/>
                            <w:szCs w:val="18"/>
                          </w:rPr>
                          <w:t>完毕。截至报告期末，公司已累计使用超募资金 </w:t>
                        </w:r>
                        <w:r>
                          <w:rPr>
                            <w:rFonts w:ascii="Times New Roman" w:hAnsi="Times New Roman" w:cs="Times New Roman" w:eastAsia="Times New Roman" w:hint="default"/>
                            <w:sz w:val="18"/>
                            <w:szCs w:val="18"/>
                          </w:rPr>
                          <w:t>14,885.58 </w:t>
                        </w:r>
                        <w:r>
                          <w:rPr>
                            <w:rFonts w:ascii="宋体" w:hAnsi="宋体" w:cs="宋体" w:eastAsia="宋体" w:hint="default"/>
                            <w:sz w:val="18"/>
                            <w:szCs w:val="18"/>
                          </w:rPr>
                          <w:t>万元，剩余超募资金净额为 </w:t>
                        </w:r>
                        <w:r>
                          <w:rPr>
                            <w:rFonts w:ascii="Times New Roman" w:hAnsi="Times New Roman" w:cs="Times New Roman" w:eastAsia="Times New Roman" w:hint="default"/>
                            <w:sz w:val="18"/>
                            <w:szCs w:val="18"/>
                          </w:rPr>
                          <w:t>5471.08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（不含利息</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027"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firstLine="360"/>
                          <w:jc w:val="both"/>
                          <w:rPr>
                            <w:rFonts w:ascii="宋体" w:hAnsi="宋体" w:cs="宋体" w:eastAsia="宋体" w:hint="default"/>
                            <w:sz w:val="18"/>
                            <w:szCs w:val="18"/>
                          </w:rPr>
                        </w:pPr>
                        <w:r>
                          <w:rPr>
                            <w:rFonts w:ascii="宋体" w:hAnsi="宋体" w:cs="宋体" w:eastAsia="宋体" w:hint="default"/>
                            <w:sz w:val="18"/>
                            <w:szCs w:val="18"/>
                          </w:rPr>
                          <w:t>募集资金投资 项目实施地点变更 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firstLine="360"/>
                          <w:jc w:val="both"/>
                          <w:rPr>
                            <w:rFonts w:ascii="宋体" w:hAnsi="宋体" w:cs="宋体" w:eastAsia="宋体" w:hint="default"/>
                            <w:sz w:val="18"/>
                            <w:szCs w:val="18"/>
                          </w:rPr>
                        </w:pPr>
                        <w:r>
                          <w:rPr>
                            <w:rFonts w:ascii="宋体" w:hAnsi="宋体" w:cs="宋体" w:eastAsia="宋体" w:hint="default"/>
                            <w:sz w:val="18"/>
                            <w:szCs w:val="18"/>
                          </w:rPr>
                          <w:t>募集资金投资 项目实施方式调整 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6" w:firstLine="360"/>
                          <w:jc w:val="both"/>
                          <w:rPr>
                            <w:rFonts w:ascii="宋体" w:hAnsi="宋体" w:cs="宋体" w:eastAsia="宋体" w:hint="default"/>
                            <w:sz w:val="18"/>
                            <w:szCs w:val="18"/>
                          </w:rPr>
                        </w:pPr>
                        <w:r>
                          <w:rPr>
                            <w:rFonts w:ascii="宋体" w:hAnsi="宋体" w:cs="宋体" w:eastAsia="宋体" w:hint="default"/>
                            <w:sz w:val="18"/>
                            <w:szCs w:val="18"/>
                          </w:rPr>
                          <w:t>募集资金投资 项目先期投入及置 换情况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firstLine="360"/>
                          <w:jc w:val="both"/>
                          <w:rPr>
                            <w:rFonts w:ascii="宋体" w:hAnsi="宋体" w:cs="宋体" w:eastAsia="宋体" w:hint="default"/>
                            <w:sz w:val="18"/>
                            <w:szCs w:val="18"/>
                          </w:rPr>
                        </w:pPr>
                        <w:r>
                          <w:rPr>
                            <w:rFonts w:ascii="宋体" w:hAnsi="宋体" w:cs="宋体" w:eastAsia="宋体" w:hint="default"/>
                            <w:sz w:val="18"/>
                            <w:szCs w:val="18"/>
                          </w:rPr>
                          <w:t>用闲置募集资 金暂时补充流动资 金情况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firstLine="360"/>
                          <w:jc w:val="both"/>
                          <w:rPr>
                            <w:rFonts w:ascii="宋体" w:hAnsi="宋体" w:cs="宋体" w:eastAsia="宋体" w:hint="default"/>
                            <w:sz w:val="18"/>
                            <w:szCs w:val="18"/>
                          </w:rPr>
                        </w:pPr>
                        <w:r>
                          <w:rPr>
                            <w:rFonts w:ascii="宋体" w:hAnsi="宋体" w:cs="宋体" w:eastAsia="宋体" w:hint="default"/>
                            <w:sz w:val="18"/>
                            <w:szCs w:val="18"/>
                          </w:rPr>
                          <w:t>项目实施出现 募集资金结余的金 额及原因</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6" w:firstLine="360"/>
                          <w:jc w:val="left"/>
                          <w:rPr>
                            <w:rFonts w:ascii="宋体" w:hAnsi="宋体" w:cs="宋体" w:eastAsia="宋体" w:hint="default"/>
                            <w:sz w:val="18"/>
                            <w:szCs w:val="18"/>
                          </w:rPr>
                        </w:pPr>
                        <w:r>
                          <w:rPr>
                            <w:rFonts w:ascii="宋体" w:hAnsi="宋体" w:cs="宋体" w:eastAsia="宋体" w:hint="default"/>
                            <w:sz w:val="18"/>
                            <w:szCs w:val="18"/>
                          </w:rPr>
                          <w:t>尚未使用的募 集资金用途及去向</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8" w:firstLine="360"/>
                          <w:jc w:val="left"/>
                          <w:rPr>
                            <w:rFonts w:ascii="宋体" w:hAnsi="宋体" w:cs="宋体" w:eastAsia="宋体" w:hint="default"/>
                            <w:sz w:val="18"/>
                            <w:szCs w:val="18"/>
                          </w:rPr>
                        </w:pPr>
                        <w:r>
                          <w:rPr>
                            <w:rFonts w:ascii="宋体" w:hAnsi="宋体" w:cs="宋体" w:eastAsia="宋体" w:hint="default"/>
                            <w:spacing w:val="-1"/>
                            <w:sz w:val="18"/>
                            <w:szCs w:val="18"/>
                          </w:rPr>
                          <w:t>尚未使用的募集资金（包括超募资金）全部存放在募集资金银行专户中，按募集资金管理办法严</w:t>
                        </w:r>
                        <w:r>
                          <w:rPr>
                            <w:rFonts w:ascii="宋体" w:hAnsi="宋体" w:cs="宋体" w:eastAsia="宋体" w:hint="default"/>
                            <w:sz w:val="18"/>
                            <w:szCs w:val="18"/>
                          </w:rPr>
                          <w:t> 格管理和使用。</w:t>
                        </w:r>
                      </w:p>
                    </w:tc>
                  </w:tr>
                  <w:tr>
                    <w:trPr>
                      <w:trHeight w:val="40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募集资金使用</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公司已披露的相关信息不存在未及时、真实、准确、完整披露的情况。</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before="44"/>
        <w:ind w:left="0" w:right="15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56"/>
        <w:jc w:val="right"/>
      </w:pPr>
      <w:r>
        <w:rPr/>
        <w:t>。</w:t>
      </w:r>
    </w:p>
    <w:p>
      <w:pPr>
        <w:spacing w:after="0" w:line="240" w:lineRule="auto"/>
        <w:jc w:val="right"/>
        <w:sectPr>
          <w:pgSz w:w="11910" w:h="16840"/>
          <w:pgMar w:header="877" w:footer="979" w:top="1100" w:bottom="1160" w:left="980" w:right="980"/>
        </w:sectPr>
      </w:pPr>
    </w:p>
    <w:p>
      <w:pPr>
        <w:spacing w:line="240" w:lineRule="auto" w:before="3"/>
        <w:rPr>
          <w:rFonts w:ascii="宋体" w:hAnsi="宋体" w:cs="宋体" w:eastAsia="宋体" w:hint="default"/>
          <w:sz w:val="24"/>
          <w:szCs w:val="24"/>
        </w:rPr>
      </w:pP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15pt;height:34.7pt;mso-position-horizontal-relative:char;mso-position-vertical-relative:line" coordorigin="0,0" coordsize="9583,694">
            <v:group style="position:absolute;left:12;top:14;width:1623;height:666" coordorigin="12,14" coordsize="1623,666">
              <v:shape style="position:absolute;left:12;top:14;width:1623;height:666" coordorigin="12,14" coordsize="1623,666" path="m12,680l1635,680,1635,14,12,14,12,680xe" filled="true" fillcolor="#d2d2d2" stroked="false">
                <v:path arrowok="t"/>
                <v:fill type="solid"/>
              </v:shape>
            </v:group>
            <v:group style="position:absolute;left:34;top:14;width:1578;height:313" coordorigin="34,14" coordsize="1578,313">
              <v:shape style="position:absolute;left:34;top:14;width:1578;height:313" coordorigin="34,14" coordsize="1578,313" path="m34,327l1611,327,1611,14,34,14,34,327xe" filled="true" fillcolor="#d2d2d2" stroked="false">
                <v:path arrowok="t"/>
                <v:fill type="solid"/>
              </v:shape>
            </v:group>
            <v:group style="position:absolute;left:34;top:327;width:1578;height:353" coordorigin="34,327" coordsize="1578,353">
              <v:shape style="position:absolute;left:34;top:327;width:1578;height:353" coordorigin="34,327" coordsize="1578,353" path="m34,680l1611,680,1611,327,34,327,34,680xe" filled="true" fillcolor="#d2d2d2" stroked="false">
                <v:path arrowok="t"/>
                <v:fill type="solid"/>
              </v:shape>
            </v:group>
            <v:group style="position:absolute;left:10;top:10;width:1623;height:2" coordorigin="10,10" coordsize="1623,2">
              <v:shape style="position:absolute;left:10;top:10;width:1623;height:2" coordorigin="10,10" coordsize="1623,0" path="m10,10l1632,10e" filled="false" stroked="true" strokeweight=".48pt" strokecolor="#000000">
                <v:path arrowok="t"/>
              </v:shape>
            </v:group>
            <v:group style="position:absolute;left:1642;top:10;width:7931;height:2" coordorigin="1642,10" coordsize="7931,2">
              <v:shape style="position:absolute;left:1642;top:10;width:7931;height:2" coordorigin="1642,10" coordsize="7931,0" path="m1642,10l9573,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623;height:2" coordorigin="10,684" coordsize="1623,2">
              <v:shape style="position:absolute;left:10;top:684;width:1623;height:2" coordorigin="10,684" coordsize="1623,0" path="m10,684l1632,684e" filled="false" stroked="true" strokeweight=".48pt" strokecolor="#000000">
                <v:path arrowok="t"/>
              </v:shape>
            </v:group>
            <v:group style="position:absolute;left:1637;top:5;width:2;height:685" coordorigin="1637,5" coordsize="2,685">
              <v:shape style="position:absolute;left:1637;top:5;width:2;height:685" coordorigin="1637,5" coordsize="0,685" path="m1637,5l1637,689e" filled="false" stroked="true" strokeweight=".48pt" strokecolor="#000000">
                <v:path arrowok="t"/>
              </v:shape>
            </v:group>
            <v:group style="position:absolute;left:1642;top:684;width:7931;height:2" coordorigin="1642,684" coordsize="7931,2">
              <v:shape style="position:absolute;left:1642;top:684;width:7931;height:2" coordorigin="1642,684" coordsize="7931,0" path="m1642,684l9573,684e" filled="false" stroked="true" strokeweight=".48pt" strokecolor="#000000">
                <v:path arrowok="t"/>
              </v:shape>
            </v:group>
            <v:group style="position:absolute;left:9578;top:5;width:2;height:685" coordorigin="9578,5" coordsize="2,685">
              <v:shape style="position:absolute;left:9578;top:5;width:2;height:685" coordorigin="9578,5" coordsize="0,685" path="m9578,5l9578,689e" filled="false" stroked="true" strokeweight=".47998pt" strokecolor="#000000">
                <v:path arrowok="t"/>
              </v:shape>
              <v:shape style="position:absolute;left:6;top:10;width:1632;height:675" type="#_x0000_t202" filled="false" stroked="false">
                <v:textbox inset="0,0,0,0">
                  <w:txbxContent>
                    <w:p>
                      <w:pPr>
                        <w:spacing w:line="316" w:lineRule="auto" w:before="13"/>
                        <w:ind w:left="27" w:right="161" w:firstLine="0"/>
                        <w:jc w:val="left"/>
                        <w:rPr>
                          <w:rFonts w:ascii="宋体" w:hAnsi="宋体" w:cs="宋体" w:eastAsia="宋体" w:hint="default"/>
                          <w:sz w:val="18"/>
                          <w:szCs w:val="18"/>
                        </w:rPr>
                      </w:pPr>
                      <w:r>
                        <w:rPr>
                          <w:rFonts w:ascii="宋体" w:hAnsi="宋体" w:cs="宋体" w:eastAsia="宋体" w:hint="default"/>
                          <w:sz w:val="18"/>
                          <w:szCs w:val="18"/>
                        </w:rPr>
                        <w:t>及披露中存在的问 题或其他情况</w:t>
                      </w:r>
                    </w:p>
                  </w:txbxContent>
                </v:textbox>
                <w10:wrap type="none"/>
              </v:shape>
            </v:group>
          </v:group>
        </w:pict>
      </w:r>
      <w:r>
        <w:rPr>
          <w:rFonts w:ascii="宋体" w:hAnsi="宋体" w:cs="宋体" w:eastAsia="宋体" w:hint="default"/>
          <w:position w:val="-13"/>
          <w:sz w:val="20"/>
          <w:szCs w:val="20"/>
        </w:rPr>
      </w:r>
    </w:p>
    <w:p>
      <w:pPr>
        <w:pStyle w:val="BodyText"/>
        <w:spacing w:line="240" w:lineRule="auto" w:before="44"/>
        <w:ind w:right="0"/>
        <w:jc w:val="left"/>
      </w:pPr>
      <w:r>
        <w:rPr>
          <w:rFonts w:ascii="Times New Roman" w:hAnsi="Times New Roman" w:cs="Times New Roman" w:eastAsia="Times New Roman" w:hint="default"/>
        </w:rPr>
        <w:t>3.</w:t>
      </w:r>
      <w:r>
        <w:rPr/>
        <w:t>募集资金变更项目情况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3</w:t>
      </w:r>
      <w:r>
        <w:rPr/>
        <w:t>）非募集资金投资的重大项目情况</w:t>
      </w:r>
    </w:p>
    <w:p>
      <w:pPr>
        <w:pStyle w:val="BodyText"/>
        <w:spacing w:line="348" w:lineRule="auto" w:before="103"/>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338" w:lineRule="auto" w:before="14"/>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持有其他上市公司股权情况的说明</w:t>
      </w:r>
    </w:p>
    <w:p>
      <w:pPr>
        <w:pStyle w:val="BodyText"/>
        <w:spacing w:line="240" w:lineRule="auto" w:before="44"/>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适用</w:t>
      </w:r>
      <w:r>
        <w:rPr>
          <w:rFonts w:ascii="Times New Roman" w:hAnsi="Times New Roman" w:cs="Times New Roman" w:eastAsia="Times New Roman" w:hint="default"/>
        </w:rPr>
        <w:t>√</w:t>
      </w:r>
      <w:r>
        <w:rPr/>
        <w:t>不适用</w:t>
      </w:r>
    </w:p>
    <w:p>
      <w:pPr>
        <w:pStyle w:val="BodyText"/>
        <w:spacing w:line="240" w:lineRule="auto" w:before="103"/>
        <w:ind w:right="0"/>
        <w:jc w:val="left"/>
      </w:pPr>
      <w:r>
        <w:rPr>
          <w:rFonts w:ascii="Times New Roman" w:hAnsi="Times New Roman" w:cs="Times New Roman" w:eastAsia="Times New Roman" w:hint="default"/>
        </w:rPr>
        <w:t>5</w:t>
      </w:r>
      <w:r>
        <w:rPr/>
        <w:t>）持有金融企业股权情况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121" w:right="7123"/>
        <w:jc w:val="center"/>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公司报告期无控股参股公司。</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left="133" w:right="7123"/>
        <w:jc w:val="center"/>
        <w:rPr>
          <w:b w:val="0"/>
          <w:bCs w:val="0"/>
        </w:rPr>
      </w:pPr>
      <w:r>
        <w:rPr/>
        <w:t>二、公司未来发展的展望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（一）行业格局和趋势</w:t>
      </w:r>
    </w:p>
    <w:p>
      <w:pPr>
        <w:pStyle w:val="BodyText"/>
        <w:spacing w:line="240" w:lineRule="auto" w:before="118"/>
        <w:ind w:right="0"/>
        <w:jc w:val="left"/>
      </w:pPr>
      <w:r>
        <w:rPr>
          <w:rFonts w:ascii="Times New Roman" w:hAnsi="Times New Roman" w:cs="Times New Roman" w:eastAsia="Times New Roman" w:hint="default"/>
        </w:rPr>
        <w:t>1</w:t>
      </w:r>
      <w:r>
        <w:rPr/>
        <w:t>、信息安全市场的行业格局和趋势</w:t>
      </w:r>
    </w:p>
    <w:p>
      <w:pPr>
        <w:pStyle w:val="BodyText"/>
        <w:spacing w:line="314" w:lineRule="auto" w:before="103"/>
        <w:ind w:left="152" w:right="148" w:firstLine="360"/>
        <w:jc w:val="both"/>
      </w:pPr>
      <w:r>
        <w:rPr>
          <w:rFonts w:ascii="Times New Roman" w:hAnsi="Times New Roman" w:cs="Times New Roman" w:eastAsia="Times New Roman" w:hint="default"/>
          <w:color w:val="333333"/>
          <w:spacing w:val="-2"/>
        </w:rPr>
        <w:t>21</w:t>
      </w:r>
      <w:r>
        <w:rPr>
          <w:color w:val="333333"/>
          <w:spacing w:val="-2"/>
        </w:rPr>
        <w:t>世纪是信息的时代，社会的信息化已成为当今世界发展的潮流，信息的获取、处理和信息安全保障能力成为一个国家</w:t>
      </w:r>
      <w:r>
        <w:rPr>
          <w:color w:val="333333"/>
        </w:rPr>
        <w:t> </w:t>
      </w:r>
      <w:r>
        <w:rPr>
          <w:color w:val="333333"/>
          <w:spacing w:val="-2"/>
        </w:rPr>
        <w:t>综合国力和经济竞争力的重要组成部分，信息安全已经成为影响国家安全、社会稳定和经济发展的决定性因素。当前我国</w:t>
      </w:r>
      <w:r>
        <w:rPr>
          <w:spacing w:val="-2"/>
        </w:rPr>
        <w:t>信</w:t>
      </w:r>
      <w:r>
        <w:rPr>
          <w:spacing w:val="-61"/>
        </w:rPr>
        <w:t> </w:t>
      </w:r>
      <w:r>
        <w:rPr>
          <w:spacing w:val="-61"/>
        </w:rPr>
      </w:r>
      <w:r>
        <w:rPr>
          <w:spacing w:val="-2"/>
        </w:rPr>
        <w:t>息技术的应用领域逐渐从小型业务系统向大型、关键业务系统扩展，越来越多的政府机关和企事业单位建立了自己的信息网</w:t>
      </w:r>
      <w:r>
        <w:rPr>
          <w:spacing w:val="-64"/>
        </w:rPr>
        <w:t> </w:t>
      </w:r>
      <w:r>
        <w:rPr>
          <w:spacing w:val="-64"/>
        </w:rPr>
      </w:r>
      <w:r>
        <w:rPr>
          <w:spacing w:val="-2"/>
        </w:rPr>
        <w:t>络，信息系统的基础性、全局性作用日益增强，我国政治安全、经济安全和国防安全越来越依赖信息系统安全运行。作为保</w:t>
      </w:r>
      <w:r>
        <w:rPr>
          <w:spacing w:val="-66"/>
        </w:rPr>
        <w:t> </w:t>
      </w:r>
      <w:r>
        <w:rPr>
          <w:spacing w:val="-66"/>
        </w:rPr>
      </w:r>
      <w:r>
        <w:rPr>
          <w:spacing w:val="-2"/>
        </w:rPr>
        <w:t>障和维护信息系统安全的重要工具和手段，信息安全产品在信息系统的地位越来越重要。然而由于信息安全产品的普及率不</w:t>
      </w:r>
      <w:r>
        <w:rPr>
          <w:spacing w:val="-63"/>
        </w:rPr>
        <w:t> </w:t>
      </w:r>
      <w:r>
        <w:rPr>
          <w:spacing w:val="-63"/>
        </w:rPr>
      </w:r>
      <w:r>
        <w:rPr>
          <w:spacing w:val="-2"/>
        </w:rPr>
        <w:t>足、信息安全意识薄弱等原因，信息安全事件屡有发生，高危漏洞持续频发，移动互联网和云计算等新的复杂应用环境，引</w:t>
      </w:r>
      <w:r>
        <w:rPr>
          <w:spacing w:val="-67"/>
        </w:rPr>
        <w:t> </w:t>
      </w:r>
      <w:r>
        <w:rPr>
          <w:spacing w:val="-67"/>
        </w:rPr>
      </w:r>
      <w:r>
        <w:rPr/>
        <w:t>入了更大的安全风险，这都表明全球信息安全形势依旧严峻。</w:t>
      </w:r>
    </w:p>
    <w:p>
      <w:pPr>
        <w:pStyle w:val="BodyText"/>
        <w:spacing w:line="316" w:lineRule="auto" w:before="59"/>
        <w:ind w:left="152" w:right="0" w:firstLine="360"/>
        <w:jc w:val="left"/>
      </w:pPr>
      <w:r>
        <w:rPr>
          <w:spacing w:val="-2"/>
        </w:rPr>
        <w:t>信息安全威胁的持续性、造成破坏的严重性和广泛性引起全球关注，各国纷纷加大对信息安全行业的投资，带动了全球</w:t>
      </w:r>
      <w:r>
        <w:rPr/>
        <w:t> 信息安全产品市场的持续发展。根据赛迪顾问的预测数据，</w:t>
      </w:r>
      <w:r>
        <w:rPr>
          <w:rFonts w:ascii="Times New Roman" w:hAnsi="Times New Roman" w:cs="Times New Roman" w:eastAsia="Times New Roman" w:hint="default"/>
        </w:rPr>
        <w:t>2015</w:t>
      </w:r>
      <w:r>
        <w:rPr/>
        <w:t>年中国信息安全产品市场规模将达到</w:t>
      </w:r>
      <w:r>
        <w:rPr>
          <w:rFonts w:ascii="Times New Roman" w:hAnsi="Times New Roman" w:cs="Times New Roman" w:eastAsia="Times New Roman" w:hint="default"/>
        </w:rPr>
        <w:t>279.07</w:t>
      </w:r>
      <w:r>
        <w:rPr/>
        <w:t>亿元。</w:t>
      </w:r>
    </w:p>
    <w:p>
      <w:pPr>
        <w:pStyle w:val="BodyText"/>
        <w:spacing w:line="316" w:lineRule="auto" w:before="40"/>
        <w:ind w:left="152" w:right="0" w:firstLine="360"/>
        <w:jc w:val="left"/>
      </w:pPr>
      <w:r>
        <w:rPr>
          <w:spacing w:val="-2"/>
        </w:rPr>
        <w:t>与全球信息安全市场相比，我国信息安全行业正处于快速成长期，信息安全需求层次逐步从中央向省级、地市甚至县级</w:t>
      </w:r>
      <w:r>
        <w:rPr/>
        <w:t> </w:t>
      </w:r>
      <w:r>
        <w:rPr>
          <w:spacing w:val="-2"/>
        </w:rPr>
        <w:t>渗透，从核心业务安全监控向全面业务安全保护扩展，从网络实施阶段的安全布置到网络运行过程的安全维护，安全需求正</w:t>
      </w:r>
    </w:p>
    <w:p>
      <w:pPr>
        <w:spacing w:after="0" w:line="316"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152" w:right="0"/>
        <w:jc w:val="left"/>
      </w:pPr>
      <w:r>
        <w:rPr>
          <w:spacing w:val="-2"/>
        </w:rPr>
        <w:t>在向更高层次、更广范围延伸，安全产品的市场需求不断扩大。根据赛迪顾问的统计数据，未来我国信息安全市场仍将保持</w:t>
      </w:r>
      <w:r>
        <w:rPr>
          <w:spacing w:val="-65"/>
        </w:rPr>
        <w:t> </w:t>
      </w:r>
      <w:r>
        <w:rPr>
          <w:spacing w:val="-65"/>
        </w:rPr>
      </w:r>
      <w:r>
        <w:rPr/>
        <w:t>快速增长，未来</w:t>
      </w:r>
      <w:r>
        <w:rPr>
          <w:rFonts w:ascii="Times New Roman" w:hAnsi="Times New Roman" w:cs="Times New Roman" w:eastAsia="Times New Roman" w:hint="default"/>
        </w:rPr>
        <w:t>3</w:t>
      </w:r>
      <w:r>
        <w:rPr/>
        <w:t>年内中国信息安全产品市场规模将保持</w:t>
      </w:r>
      <w:r>
        <w:rPr>
          <w:rFonts w:ascii="Times New Roman" w:hAnsi="Times New Roman" w:cs="Times New Roman" w:eastAsia="Times New Roman" w:hint="default"/>
        </w:rPr>
        <w:t>21.3%</w:t>
      </w:r>
      <w:r>
        <w:rPr/>
        <w:t>的年均复合增长率。</w:t>
      </w:r>
    </w:p>
    <w:p>
      <w:pPr>
        <w:pStyle w:val="BodyText"/>
        <w:spacing w:line="240" w:lineRule="auto" w:before="40"/>
        <w:ind w:right="0"/>
        <w:jc w:val="left"/>
      </w:pPr>
      <w:r>
        <w:rPr/>
        <w:t>我国信息安全行业的市场需求具有以下特点：</w:t>
      </w:r>
    </w:p>
    <w:p>
      <w:pPr>
        <w:pStyle w:val="BodyText"/>
        <w:spacing w:line="309" w:lineRule="auto" w:before="115"/>
        <w:ind w:left="152" w:right="194" w:firstLine="360"/>
        <w:jc w:val="both"/>
      </w:pPr>
      <w:r>
        <w:rPr/>
        <w:t>（</w:t>
      </w:r>
      <w:r>
        <w:rPr>
          <w:rFonts w:ascii="Times New Roman" w:hAnsi="Times New Roman" w:cs="Times New Roman" w:eastAsia="Times New Roman" w:hint="default"/>
        </w:rPr>
        <w:t>1</w:t>
      </w:r>
      <w:r>
        <w:rPr/>
        <w:t>）安全威胁是市场需求快速增长的主要驱动力，信息安全最大的特点即</w:t>
      </w:r>
      <w:r>
        <w:rPr>
          <w:rFonts w:ascii="Times New Roman" w:hAnsi="Times New Roman" w:cs="Times New Roman" w:eastAsia="Times New Roman" w:hint="default"/>
        </w:rPr>
        <w:t>“</w:t>
      </w:r>
      <w:r>
        <w:rPr/>
        <w:t>问题就是机会</w:t>
      </w:r>
      <w:r>
        <w:rPr>
          <w:rFonts w:ascii="Times New Roman" w:hAnsi="Times New Roman" w:cs="Times New Roman" w:eastAsia="Times New Roman" w:hint="default"/>
        </w:rPr>
        <w:t>”</w:t>
      </w:r>
      <w:r>
        <w:rPr/>
        <w:t>。目前网络安全威胁仍然严 </w:t>
      </w:r>
      <w:r>
        <w:rPr>
          <w:spacing w:val="-2"/>
        </w:rPr>
        <w:t>峻，以获利为目的的网络犯罪行为日益增多，网络罪犯愈发趋于专业化，目的愈发商业化。信息安全形势日益严峻，进一步</w:t>
      </w:r>
      <w:r>
        <w:rPr>
          <w:spacing w:val="-67"/>
        </w:rPr>
        <w:t> </w:t>
      </w:r>
      <w:r>
        <w:rPr>
          <w:spacing w:val="-67"/>
        </w:rPr>
      </w:r>
      <w:r>
        <w:rPr/>
        <w:t>推动了用户内在的信息安全建设需求。</w:t>
      </w:r>
    </w:p>
    <w:p>
      <w:pPr>
        <w:pStyle w:val="BodyText"/>
        <w:spacing w:line="300" w:lineRule="auto" w:before="65"/>
        <w:ind w:left="152" w:right="0" w:firstLine="360"/>
        <w:jc w:val="left"/>
      </w:pPr>
      <w:r>
        <w:rPr>
          <w:spacing w:val="-3"/>
        </w:rPr>
        <w:t>（</w:t>
      </w:r>
      <w:r>
        <w:rPr>
          <w:rFonts w:ascii="Times New Roman" w:hAnsi="Times New Roman" w:cs="Times New Roman" w:eastAsia="Times New Roman" w:hint="default"/>
          <w:spacing w:val="-3"/>
        </w:rPr>
        <w:t>2</w:t>
      </w:r>
      <w:r>
        <w:rPr>
          <w:spacing w:val="-3"/>
        </w:rPr>
        <w:t>）国家政策要求是市场需求增长的重要推动力</w:t>
      </w:r>
      <w:r>
        <w:rPr>
          <w:rFonts w:ascii="Times New Roman" w:hAnsi="Times New Roman" w:cs="Times New Roman" w:eastAsia="Times New Roman" w:hint="default"/>
          <w:spacing w:val="-3"/>
        </w:rPr>
        <w:t>,</w:t>
      </w:r>
      <w:r>
        <w:rPr>
          <w:spacing w:val="-3"/>
        </w:rPr>
        <w:t>在信息安全建设方面，国家一直予以高度重视，近年来各类政策不断，</w:t>
      </w:r>
      <w:r>
        <w:rPr/>
        <w:t> 显著推动了国内信息安全产业的发展。</w:t>
      </w:r>
    </w:p>
    <w:p>
      <w:pPr>
        <w:pStyle w:val="BodyText"/>
        <w:spacing w:line="309" w:lineRule="auto" w:before="72"/>
        <w:ind w:left="152" w:right="94" w:firstLine="360"/>
        <w:jc w:val="left"/>
      </w:pPr>
      <w:r>
        <w:rPr/>
        <w:t>近年来，在《信息安全产业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发展规划》发布后，</w:t>
      </w:r>
      <w:r>
        <w:rPr>
          <w:rFonts w:ascii="Times New Roman" w:hAnsi="Times New Roman" w:cs="Times New Roman" w:eastAsia="Times New Roman" w:hint="default"/>
        </w:rPr>
        <w:t>2012</w:t>
      </w:r>
      <w:r>
        <w:rPr/>
        <w:t>年国家相继出台了一系列的政策法规，持续推动了信息安 </w:t>
      </w:r>
      <w:r>
        <w:rPr>
          <w:spacing w:val="-2"/>
        </w:rPr>
        <w:t>全产业的发展</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12</w:t>
      </w:r>
      <w:r>
        <w:rPr>
          <w:spacing w:val="-2"/>
        </w:rPr>
        <w:t>日，中国共产党十八届三中全会公报指出将设立国家安全委员会，并依托国家安全委员会不断完</w:t>
      </w:r>
      <w:r>
        <w:rPr>
          <w:spacing w:val="-60"/>
        </w:rPr>
        <w:t> </w:t>
      </w:r>
      <w:r>
        <w:rPr>
          <w:spacing w:val="-60"/>
        </w:rPr>
      </w:r>
      <w:r>
        <w:rPr/>
        <w:t>善国家的安全体制和安全战略，确保国家安全。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日，中央网络安全和信息化领导小组宣告成立，习近平主席任 </w:t>
      </w:r>
      <w:r>
        <w:rPr>
          <w:spacing w:val="-2"/>
        </w:rPr>
        <w:t>组长截至</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月，北京等</w:t>
      </w:r>
      <w:r>
        <w:rPr>
          <w:rFonts w:ascii="宋体" w:hAnsi="宋体" w:cs="宋体" w:eastAsia="宋体" w:hint="default"/>
          <w:spacing w:val="-2"/>
        </w:rPr>
        <w:t>17</w:t>
      </w:r>
      <w:r>
        <w:rPr>
          <w:spacing w:val="-2"/>
        </w:rPr>
        <w:t>个省成立了省级网络安全和信息化领导小组，</w:t>
      </w:r>
      <w:r>
        <w:rPr>
          <w:rFonts w:ascii="宋体" w:hAnsi="宋体" w:cs="宋体" w:eastAsia="宋体" w:hint="default"/>
          <w:spacing w:val="-2"/>
        </w:rPr>
        <w:t>2015</w:t>
      </w:r>
      <w:r>
        <w:rPr>
          <w:spacing w:val="-2"/>
        </w:rPr>
        <w:t>年省级网信办机构将建设完毕并开始落实</w:t>
      </w:r>
      <w:r>
        <w:rPr>
          <w:spacing w:val="-57"/>
        </w:rPr>
        <w:t> </w:t>
      </w:r>
      <w:r>
        <w:rPr>
          <w:spacing w:val="-57"/>
        </w:rPr>
      </w:r>
      <w:r>
        <w:rPr/>
        <w:t>国家信息安全政策。</w:t>
      </w:r>
      <w:r>
        <w:rPr>
          <w:rFonts w:ascii="宋体" w:hAnsi="宋体" w:cs="宋体" w:eastAsia="宋体" w:hint="default"/>
        </w:rPr>
        <w:t>2014</w:t>
      </w:r>
      <w:r>
        <w:rPr/>
        <w:t>年</w:t>
      </w:r>
      <w:r>
        <w:rPr>
          <w:rFonts w:ascii="宋体" w:hAnsi="宋体" w:cs="宋体" w:eastAsia="宋体" w:hint="default"/>
        </w:rPr>
        <w:t>9</w:t>
      </w:r>
      <w:r>
        <w:rPr/>
        <w:t>月，银监会发文要求银行机构应用安全可控信息技术加强网络安全和信息化建设，预计</w:t>
      </w:r>
      <w:r>
        <w:rPr>
          <w:rFonts w:ascii="宋体" w:hAnsi="宋体" w:cs="宋体" w:eastAsia="宋体" w:hint="default"/>
        </w:rPr>
        <w:t>2015</w:t>
      </w:r>
      <w:r>
        <w:rPr/>
        <w:t>年 </w:t>
      </w:r>
      <w:r>
        <w:rPr>
          <w:spacing w:val="-4"/>
        </w:rPr>
        <w:t>中央网信办及各行业主管机构亦将推出类似行业政策，推动信息安全国产替代进程加速。同时，未来几年网络安全国家战略、</w:t>
      </w:r>
      <w:r>
        <w:rPr>
          <w:spacing w:val="-44"/>
        </w:rPr>
        <w:t> </w:t>
      </w:r>
      <w:r>
        <w:rPr>
          <w:spacing w:val="-44"/>
        </w:rPr>
      </w:r>
      <w:r>
        <w:rPr/>
        <w:t>网络安全审查制度、网络安全法等更多重磅政策可能陆续出台。政策的持续加码，信息安全行业有望迎来更为蓬勃的发展。</w:t>
      </w:r>
    </w:p>
    <w:p>
      <w:pPr>
        <w:pStyle w:val="BodyText"/>
        <w:spacing w:line="340" w:lineRule="auto" w:before="62"/>
        <w:ind w:right="0"/>
        <w:jc w:val="left"/>
      </w:pPr>
      <w:r>
        <w:rPr/>
        <w:t>（</w:t>
      </w:r>
      <w:r>
        <w:rPr>
          <w:rFonts w:ascii="Times New Roman" w:hAnsi="Times New Roman" w:cs="Times New Roman" w:eastAsia="Times New Roman" w:hint="default"/>
        </w:rPr>
        <w:t>3</w:t>
      </w:r>
      <w:r>
        <w:rPr/>
        <w:t>）市场需求呈现多样化，客户关注重点不同 </w:t>
      </w:r>
      <w:r>
        <w:rPr>
          <w:spacing w:val="-4"/>
        </w:rPr>
        <w:t>目前，信息安全产品正逐步由被动防御走向主动防御，高精确、无打扰的主动性信息安全产品成为整个市场关注的热点。</w:t>
      </w:r>
    </w:p>
    <w:p>
      <w:pPr>
        <w:pStyle w:val="BodyText"/>
        <w:spacing w:line="316" w:lineRule="auto" w:before="1"/>
        <w:ind w:left="152" w:right="0"/>
        <w:jc w:val="left"/>
      </w:pPr>
      <w:r>
        <w:rPr>
          <w:spacing w:val="-2"/>
        </w:rPr>
        <w:t>然而由于应用环境及关注点不同，不同用户对信息安全产品的需求显现不同的特点。政府用户对信息安全产品是否能满足符</w:t>
      </w:r>
      <w:r>
        <w:rPr>
          <w:spacing w:val="-64"/>
        </w:rPr>
        <w:t> </w:t>
      </w:r>
      <w:r>
        <w:rPr>
          <w:spacing w:val="-64"/>
        </w:rPr>
      </w:r>
      <w:r>
        <w:rPr>
          <w:spacing w:val="-4"/>
        </w:rPr>
        <w:t>合国家政策的合规性功能更加关注，同时亦关注信息安全产品生产企业的行业知名度、售后服务能力及应急响应能力等方面；</w:t>
      </w:r>
      <w:r>
        <w:rPr>
          <w:spacing w:val="-44"/>
        </w:rPr>
        <w:t> </w:t>
      </w:r>
      <w:r>
        <w:rPr>
          <w:spacing w:val="-44"/>
        </w:rPr>
      </w:r>
      <w:r>
        <w:rPr>
          <w:spacing w:val="-2"/>
        </w:rPr>
        <w:t>金融、能源、电信等重点行业的骨干企业用户对信息安全产品的要求更高，不仅关注企业品牌、产品功能、服务能力，而且</w:t>
      </w:r>
      <w:r>
        <w:rPr>
          <w:spacing w:val="-68"/>
        </w:rPr>
        <w:t> </w:t>
      </w:r>
      <w:r>
        <w:rPr>
          <w:spacing w:val="-68"/>
        </w:rPr>
      </w:r>
      <w:r>
        <w:rPr>
          <w:spacing w:val="-2"/>
        </w:rPr>
        <w:t>对各种信息安全产品防护能力的有效组合更为关注，这就要求信息安全企业具备较强的二次开发能力，提供的安全产品和解</w:t>
      </w:r>
      <w:r>
        <w:rPr>
          <w:spacing w:val="-64"/>
        </w:rPr>
        <w:t> </w:t>
      </w:r>
      <w:r>
        <w:rPr>
          <w:spacing w:val="-64"/>
        </w:rPr>
      </w:r>
      <w:r>
        <w:rPr>
          <w:spacing w:val="-2"/>
        </w:rPr>
        <w:t>决方案能够适应更加复杂的运行环境；普通中、小型企业由于资金实力较弱，信息安全投资有限，对实用性强且价格较便宜</w:t>
      </w:r>
      <w:r>
        <w:rPr>
          <w:spacing w:val="-64"/>
        </w:rPr>
        <w:t> </w:t>
      </w:r>
      <w:r>
        <w:rPr>
          <w:spacing w:val="-64"/>
        </w:rPr>
      </w:r>
      <w:r>
        <w:rPr/>
        <w:t>的信息安全产品更感兴趣。</w:t>
      </w:r>
    </w:p>
    <w:p>
      <w:pPr>
        <w:pStyle w:val="BodyText"/>
        <w:spacing w:line="357" w:lineRule="auto" w:before="59"/>
        <w:ind w:right="0"/>
        <w:jc w:val="left"/>
      </w:pPr>
      <w:r>
        <w:rPr/>
        <w:t>（</w:t>
      </w:r>
      <w:r>
        <w:rPr>
          <w:rFonts w:ascii="宋体" w:hAnsi="宋体" w:cs="宋体" w:eastAsia="宋体" w:hint="default"/>
        </w:rPr>
        <w:t>4</w:t>
      </w:r>
      <w:r>
        <w:rPr/>
        <w:t>）安全需求由单纯防外向内外兼防转化 </w:t>
      </w:r>
      <w:r>
        <w:rPr>
          <w:spacing w:val="-2"/>
        </w:rPr>
        <w:t>近年来，随着信息化建设的不断深入及不断发展，信息安全正面临日益严峻的挑战。外部风险的日益增高，网络攻击事</w:t>
      </w:r>
    </w:p>
    <w:p>
      <w:pPr>
        <w:pStyle w:val="BodyText"/>
        <w:spacing w:line="224" w:lineRule="exact"/>
        <w:ind w:left="152" w:right="0"/>
        <w:jc w:val="left"/>
      </w:pPr>
      <w:r>
        <w:rPr/>
        <w:t>件频发，而相应的防范技术与设备也越来越明细，如防火墙、</w:t>
      </w:r>
      <w:r>
        <w:rPr>
          <w:rFonts w:ascii="宋体" w:hAnsi="宋体" w:cs="宋体" w:eastAsia="宋体" w:hint="default"/>
        </w:rPr>
        <w:t>IDS</w:t>
      </w:r>
      <w:r>
        <w:rPr/>
        <w:t>等等。对比之下，内部风险控制则急待加强，内部人员在</w:t>
      </w:r>
    </w:p>
    <w:p>
      <w:pPr>
        <w:pStyle w:val="BodyText"/>
        <w:spacing w:line="316" w:lineRule="auto" w:before="76"/>
        <w:ind w:left="152" w:right="191"/>
        <w:jc w:val="both"/>
      </w:pPr>
      <w:r>
        <w:rPr>
          <w:spacing w:val="-2"/>
        </w:rPr>
        <w:t>系统开发和维护过程中，越权访问、窃取敏感信息或者侵吞公共利益等等，这些各种形式的诱惑，使我们清晰地认识到内部</w:t>
      </w:r>
      <w:r>
        <w:rPr>
          <w:spacing w:val="-65"/>
        </w:rPr>
        <w:t> </w:t>
      </w:r>
      <w:r>
        <w:rPr>
          <w:spacing w:val="-65"/>
        </w:rPr>
      </w:r>
      <w:r>
        <w:rPr/>
        <w:t>威胁正在逐渐加大。根据国际安全界的统计，每年全球计算机网络遭受的攻击和破坏</w:t>
      </w:r>
      <w:r>
        <w:rPr>
          <w:rFonts w:ascii="宋体" w:hAnsi="宋体" w:cs="宋体" w:eastAsia="宋体" w:hint="default"/>
        </w:rPr>
        <w:t>70%</w:t>
      </w:r>
      <w:r>
        <w:rPr/>
        <w:t>是内部人员所为。来自内部的数据 失窃和破坏所造成的危害远远高于外部黑客的攻击。资料显示我国只有</w:t>
      </w:r>
      <w:r>
        <w:rPr>
          <w:rFonts w:ascii="宋体" w:hAnsi="宋体" w:cs="宋体" w:eastAsia="宋体" w:hint="default"/>
        </w:rPr>
        <w:t>11%</w:t>
      </w:r>
      <w:r>
        <w:rPr/>
        <w:t>的网络注重对内部网络行为的监控与审计，而且 多为制度监管。而在美国这一数值达到</w:t>
      </w:r>
      <w:r>
        <w:rPr>
          <w:rFonts w:ascii="宋体" w:hAnsi="宋体" w:cs="宋体" w:eastAsia="宋体" w:hint="default"/>
        </w:rPr>
        <w:t>23%</w:t>
      </w:r>
      <w:r>
        <w:rPr/>
        <w:t>，并多为技术监管。内部风险的控制和防范，是当前及未来信息安全市场发展的 主流。</w:t>
      </w:r>
    </w:p>
    <w:p>
      <w:pPr>
        <w:pStyle w:val="BodyText"/>
        <w:spacing w:line="240" w:lineRule="auto" w:before="60"/>
        <w:ind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行动计划及信息安全行业价值提升</w:t>
      </w:r>
    </w:p>
    <w:p>
      <w:pPr>
        <w:pStyle w:val="BodyText"/>
        <w:spacing w:line="307" w:lineRule="auto" w:before="103"/>
        <w:ind w:left="152" w:right="188" w:firstLine="504"/>
        <w:jc w:val="both"/>
      </w:pP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是对创新</w:t>
      </w:r>
      <w:r>
        <w:rPr>
          <w:rFonts w:ascii="Times New Roman" w:hAnsi="Times New Roman" w:cs="Times New Roman" w:eastAsia="Times New Roman" w:hint="default"/>
          <w:spacing w:val="-1"/>
        </w:rPr>
        <w:t>2.0</w:t>
      </w:r>
      <w:r>
        <w:rPr>
          <w:spacing w:val="-1"/>
        </w:rPr>
        <w:t>时代新一代信息技术与创新</w:t>
      </w:r>
      <w:r>
        <w:rPr>
          <w:rFonts w:ascii="Times New Roman" w:hAnsi="Times New Roman" w:cs="Times New Roman" w:eastAsia="Times New Roman" w:hint="default"/>
          <w:spacing w:val="-1"/>
        </w:rPr>
        <w:t>2.0</w:t>
      </w:r>
      <w:r>
        <w:rPr>
          <w:spacing w:val="-1"/>
        </w:rPr>
        <w:t>相互作用共同演化推进经济社会发展新形态的高度概括。</w:t>
      </w:r>
      <w:r>
        <w:rPr>
          <w:rFonts w:ascii="Times New Roman" w:hAnsi="Times New Roman" w:cs="Times New Roman" w:eastAsia="Times New Roman" w:hint="default"/>
          <w:spacing w:val="-1"/>
        </w:rPr>
        <w:t>2015</w:t>
      </w:r>
      <w:r>
        <w:rPr>
          <w:spacing w:val="-1"/>
        </w:rPr>
        <w:t>年</w:t>
      </w:r>
      <w:r>
        <w:rPr/>
        <w:t> </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日上午十二届全国人大三次会议上，李克强总理在政府工作报告中首次提出</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行动计划，这是创新</w:t>
      </w:r>
      <w:r>
        <w:rPr>
          <w:rFonts w:ascii="Times New Roman" w:hAnsi="Times New Roman" w:cs="Times New Roman" w:eastAsia="Times New Roman" w:hint="default"/>
          <w:spacing w:val="-1"/>
        </w:rPr>
        <w:t>2.0</w:t>
      </w:r>
      <w:r>
        <w:rPr>
          <w:spacing w:val="-1"/>
        </w:rPr>
        <w:t>下互联网</w:t>
      </w:r>
      <w:r>
        <w:rPr>
          <w:spacing w:val="-65"/>
        </w:rPr>
        <w:t> </w:t>
      </w:r>
      <w:r>
        <w:rPr>
          <w:spacing w:val="-65"/>
        </w:rPr>
      </w:r>
      <w:r>
        <w:rPr/>
        <w:t>发展新形态、新业态，是知识社会创新</w:t>
      </w:r>
      <w:r>
        <w:rPr>
          <w:rFonts w:ascii="Times New Roman" w:hAnsi="Times New Roman" w:cs="Times New Roman" w:eastAsia="Times New Roman" w:hint="default"/>
        </w:rPr>
        <w:t>2.0</w:t>
      </w:r>
      <w:r>
        <w:rPr/>
        <w:t>推动下的互联网形态演进。伴随知识社会的来临，驱动当今社会变革的不仅仅是 </w:t>
      </w:r>
      <w:r>
        <w:rPr>
          <w:spacing w:val="-2"/>
        </w:rPr>
        <w:t>无所不在的网络，还有无所不在的计算、无所不在的数据、无所不在的知识。随着互联网的深入应用，特别是以移动技术为</w:t>
      </w:r>
      <w:r>
        <w:rPr>
          <w:spacing w:val="-67"/>
        </w:rPr>
        <w:t> </w:t>
      </w:r>
      <w:r>
        <w:rPr>
          <w:spacing w:val="-67"/>
        </w:rPr>
      </w:r>
      <w:r>
        <w:rPr>
          <w:spacing w:val="-2"/>
        </w:rPr>
        <w:t>代表的普适计算、泛在网络的发展与向生产生活、经济社会发展各方面的渗透，信息技术推动的面向知识社会的创新形态形</w:t>
      </w:r>
      <w:r>
        <w:rPr>
          <w:spacing w:val="-61"/>
        </w:rPr>
        <w:t> </w:t>
      </w:r>
      <w:r>
        <w:rPr>
          <w:spacing w:val="-61"/>
        </w:rPr>
      </w:r>
      <w:r>
        <w:rPr/>
        <w:t>成日益收到关注。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信息安全</w:t>
      </w:r>
      <w:r>
        <w:rPr>
          <w:rFonts w:ascii="Times New Roman" w:hAnsi="Times New Roman" w:cs="Times New Roman" w:eastAsia="Times New Roman" w:hint="default"/>
        </w:rPr>
        <w:t>”</w:t>
      </w:r>
      <w:r>
        <w:rPr/>
        <w:t>的发展方向将是信息安全行业价值的一种提升。</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40" w:lineRule="auto"/>
        <w:ind w:right="0"/>
        <w:jc w:val="left"/>
      </w:pPr>
      <w:r>
        <w:rPr>
          <w:rFonts w:ascii="Times New Roman" w:hAnsi="Times New Roman" w:cs="Times New Roman" w:eastAsia="Times New Roman" w:hint="default"/>
        </w:rPr>
        <w:t>2</w:t>
      </w:r>
      <w:r>
        <w:rPr/>
        <w:t>、</w:t>
      </w:r>
      <w:r>
        <w:rPr>
          <w:rFonts w:ascii="宋体" w:hAnsi="宋体" w:cs="宋体" w:eastAsia="宋体" w:hint="default"/>
          <w:b/>
          <w:bCs/>
        </w:rPr>
        <w:t>安全管理市场需求状况</w:t>
      </w:r>
      <w:r>
        <w:rPr>
          <w:rFonts w:ascii="宋体" w:hAnsi="宋体" w:cs="宋体" w:eastAsia="宋体" w:hint="default"/>
          <w:b/>
          <w:bCs/>
          <w:w w:val="99"/>
        </w:rPr>
        <w:t> </w:t>
      </w:r>
      <w:r>
        <w:rPr>
          <w:spacing w:val="-2"/>
        </w:rPr>
        <w:t>由于企业内部终端数量多，人员层次不同，流动性大，安全意识薄弱而产生病毒泛滥、终端滥用资源、非授权访问、恶</w:t>
      </w:r>
    </w:p>
    <w:p>
      <w:pPr>
        <w:pStyle w:val="BodyText"/>
        <w:spacing w:line="316" w:lineRule="auto" w:before="1"/>
        <w:ind w:left="152" w:right="0"/>
        <w:jc w:val="left"/>
      </w:pPr>
      <w:r>
        <w:rPr>
          <w:spacing w:val="-2"/>
        </w:rPr>
        <w:t>意终端破坏、信息泄密等等安全事件不胜枚举，安全威胁问题对于以信息为生存基础的企业来说甚至将是致命的，而解决外</w:t>
      </w:r>
      <w:r>
        <w:rPr>
          <w:spacing w:val="-63"/>
        </w:rPr>
        <w:t> </w:t>
      </w:r>
      <w:r>
        <w:rPr>
          <w:spacing w:val="-63"/>
        </w:rPr>
      </w:r>
      <w:r>
        <w:rPr>
          <w:spacing w:val="-4"/>
        </w:rPr>
        <w:t>部攻击防范问题的网络安全设备根本无法解决此类威胁，要为企业建立全面立体的安全防护体系，就不可忽视终端弱点管理，</w:t>
      </w:r>
    </w:p>
    <w:p>
      <w:pPr>
        <w:spacing w:after="0" w:line="316" w:lineRule="auto"/>
        <w:jc w:val="left"/>
        <w:sectPr>
          <w:footerReference w:type="default" r:id="rId16"/>
          <w:pgSz w:w="11910" w:h="16840"/>
          <w:pgMar w:footer="979" w:header="877" w:top="1100" w:bottom="1160" w:left="980" w:right="940"/>
          <w:pgNumType w:start="28"/>
        </w:sectPr>
      </w:pPr>
    </w:p>
    <w:p>
      <w:pPr>
        <w:spacing w:line="240" w:lineRule="auto" w:before="11"/>
        <w:rPr>
          <w:rFonts w:ascii="宋体" w:hAnsi="宋体" w:cs="宋体" w:eastAsia="宋体" w:hint="default"/>
          <w:sz w:val="21"/>
          <w:szCs w:val="21"/>
        </w:rPr>
      </w:pPr>
    </w:p>
    <w:p>
      <w:pPr>
        <w:pStyle w:val="BodyText"/>
        <w:spacing w:line="316" w:lineRule="auto" w:before="44"/>
        <w:ind w:left="152" w:right="0"/>
        <w:jc w:val="left"/>
      </w:pPr>
      <w:r>
        <w:rPr>
          <w:spacing w:val="-2"/>
        </w:rPr>
        <w:t>强化针对终端的弱点管理比解决外部安全威胁问题更重要。建设一个有效的终端安全管理体系，不仅能够保障终端安全，而</w:t>
      </w:r>
      <w:r>
        <w:rPr>
          <w:spacing w:val="-62"/>
        </w:rPr>
        <w:t> </w:t>
      </w:r>
      <w:r>
        <w:rPr>
          <w:spacing w:val="-62"/>
        </w:rPr>
      </w:r>
      <w:r>
        <w:rPr/>
        <w:t>且能够提升网络整体的安全防御能力。</w:t>
      </w:r>
    </w:p>
    <w:p>
      <w:pPr>
        <w:pStyle w:val="BodyText"/>
        <w:spacing w:line="316" w:lineRule="auto" w:before="59"/>
        <w:ind w:left="152" w:right="193" w:firstLine="360"/>
        <w:jc w:val="both"/>
      </w:pPr>
      <w:r>
        <w:rPr>
          <w:spacing w:val="-2"/>
        </w:rPr>
        <w:t>终端安全管理作为信息安全的细分领域，在我国起步较晚，正处于高速发展的时期。目前，终端安全管理市场需求主要</w:t>
      </w:r>
      <w:r>
        <w:rPr/>
        <w:t> </w:t>
      </w:r>
      <w:r>
        <w:rPr>
          <w:spacing w:val="-2"/>
        </w:rPr>
        <w:t>来自于国家关键信息基础设施及各级政府机关、军工、金融以及能源等国家重点行业及大中型企业，随着个人信息资产重要</w:t>
      </w:r>
      <w:r>
        <w:rPr>
          <w:spacing w:val="-66"/>
        </w:rPr>
        <w:t> </w:t>
      </w:r>
      <w:r>
        <w:rPr>
          <w:spacing w:val="-66"/>
        </w:rPr>
      </w:r>
      <w:r>
        <w:rPr/>
        <w:t>性的提升，市场需求将更为广泛迫切。公司作为该领域的开拓者和引领者，始终密切关注该行业的发展趋势。</w:t>
      </w:r>
    </w:p>
    <w:p>
      <w:pPr>
        <w:spacing w:line="316" w:lineRule="auto" w:before="57"/>
        <w:ind w:left="152" w:right="0" w:firstLine="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大数据在重新定义企业智商的同时，对企业核心资产也进行了重塑，成为现代商业社会的核心竞争力。</w:t>
      </w:r>
      <w:r>
        <w:rPr>
          <w:rFonts w:ascii="宋体" w:hAnsi="宋体" w:cs="宋体" w:eastAsia="宋体" w:hint="default"/>
          <w:sz w:val="18"/>
          <w:szCs w:val="18"/>
        </w:rPr>
        <w:t>大数据成为 </w:t>
      </w:r>
      <w:r>
        <w:rPr>
          <w:rFonts w:ascii="宋体" w:hAnsi="宋体" w:cs="宋体" w:eastAsia="宋体" w:hint="default"/>
          <w:spacing w:val="-4"/>
          <w:sz w:val="18"/>
          <w:szCs w:val="18"/>
        </w:rPr>
        <w:t>网络攻击的显著目标，加大了隐私泄露风险，但同时大数据技术为信息安全提供了新支撑。通过大量终端数据的采集与分析，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大数据技术有助于更好的构建网络及用户异常行为模型，更有针对性地应对各类终端安全威胁，消除和控制各类攻击的危害。</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同时，可以帮助和指导企业对全业务流程进行有效运营和优化，帮助企业做出最明智的决策。</w:t>
      </w:r>
    </w:p>
    <w:p>
      <w:pPr>
        <w:pStyle w:val="BodyText"/>
        <w:spacing w:line="319" w:lineRule="auto" w:before="59"/>
        <w:ind w:left="152" w:right="0" w:firstLine="360"/>
        <w:jc w:val="left"/>
      </w:pPr>
      <w:r>
        <w:rPr>
          <w:rFonts w:ascii="宋体" w:hAnsi="宋体" w:cs="宋体" w:eastAsia="宋体" w:hint="default"/>
          <w:b/>
          <w:bCs/>
        </w:rPr>
        <w:t>(2)</w:t>
      </w:r>
      <w:r>
        <w:rPr>
          <w:rFonts w:ascii="宋体" w:hAnsi="宋体" w:cs="宋体" w:eastAsia="宋体" w:hint="default"/>
          <w:b/>
          <w:bCs/>
        </w:rPr>
        <w:t>当前我国发展自主可控的软硬件已成为共识。</w:t>
      </w:r>
      <w:r>
        <w:rPr/>
        <w:t>从“十五”开始，经过十余年努力，以</w:t>
      </w:r>
      <w:r>
        <w:rPr>
          <w:rFonts w:ascii="宋体" w:hAnsi="宋体" w:cs="宋体" w:eastAsia="宋体" w:hint="default"/>
        </w:rPr>
        <w:t>CPU</w:t>
      </w:r>
      <w:r>
        <w:rPr/>
        <w:t>和操作系统为代表的自主 </w:t>
      </w:r>
      <w:r>
        <w:rPr>
          <w:spacing w:val="-2"/>
        </w:rPr>
        <w:t>软硬件已经形成体系，在武器装备、指挥系统、党政军信息化等方面做到了基本可用，在终端领域则得到广泛应用。如何为</w:t>
      </w:r>
      <w:r>
        <w:rPr>
          <w:spacing w:val="-67"/>
        </w:rPr>
        <w:t> </w:t>
      </w:r>
      <w:r>
        <w:rPr>
          <w:spacing w:val="-67"/>
        </w:rPr>
      </w:r>
      <w:r>
        <w:rPr>
          <w:spacing w:val="-2"/>
        </w:rPr>
        <w:t>国产化替代提供有效的安全和服务支撑，构建基于国产软硬件平台的终端安全管理体系及产品系列，实现用户业务的安全平</w:t>
      </w:r>
      <w:r>
        <w:rPr>
          <w:spacing w:val="-64"/>
        </w:rPr>
        <w:t> </w:t>
      </w:r>
      <w:r>
        <w:rPr>
          <w:spacing w:val="-64"/>
        </w:rPr>
      </w:r>
      <w:r>
        <w:rPr/>
        <w:t>滑迁移，成为我国信息安全行业的当务之急。</w:t>
      </w:r>
    </w:p>
    <w:p>
      <w:pPr>
        <w:spacing w:line="316" w:lineRule="auto" w:before="58"/>
        <w:ind w:left="152" w:right="181" w:firstLine="36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随着智能手机、各类平板电脑的广泛普及应用，相对于以</w:t>
      </w:r>
      <w:r>
        <w:rPr>
          <w:rFonts w:ascii="宋体" w:hAnsi="宋体" w:cs="宋体" w:eastAsia="宋体" w:hint="default"/>
          <w:b/>
          <w:bCs/>
          <w:sz w:val="18"/>
          <w:szCs w:val="18"/>
        </w:rPr>
        <w:t>PC</w:t>
      </w:r>
      <w:r>
        <w:rPr>
          <w:rFonts w:ascii="宋体" w:hAnsi="宋体" w:cs="宋体" w:eastAsia="宋体" w:hint="default"/>
          <w:b/>
          <w:bCs/>
          <w:sz w:val="18"/>
          <w:szCs w:val="18"/>
        </w:rPr>
        <w:t>为中心的传统</w:t>
      </w:r>
      <w:r>
        <w:rPr>
          <w:rFonts w:ascii="宋体" w:hAnsi="宋体" w:cs="宋体" w:eastAsia="宋体" w:hint="default"/>
          <w:b/>
          <w:bCs/>
          <w:sz w:val="18"/>
          <w:szCs w:val="18"/>
        </w:rPr>
        <w:t>IT</w:t>
      </w:r>
      <w:r>
        <w:rPr>
          <w:rFonts w:ascii="宋体" w:hAnsi="宋体" w:cs="宋体" w:eastAsia="宋体" w:hint="default"/>
          <w:b/>
          <w:bCs/>
          <w:sz w:val="18"/>
          <w:szCs w:val="18"/>
        </w:rPr>
        <w:t>平台，</w:t>
      </w:r>
      <w:r>
        <w:rPr>
          <w:rFonts w:ascii="宋体" w:hAnsi="宋体" w:cs="宋体" w:eastAsia="宋体" w:hint="default"/>
          <w:b/>
          <w:bCs/>
          <w:sz w:val="18"/>
          <w:szCs w:val="18"/>
        </w:rPr>
        <w:t>Mobile IT</w:t>
      </w:r>
      <w:r>
        <w:rPr>
          <w:rFonts w:ascii="宋体" w:hAnsi="宋体" w:cs="宋体" w:eastAsia="宋体" w:hint="default"/>
          <w:b/>
          <w:bCs/>
          <w:spacing w:val="-39"/>
          <w:sz w:val="18"/>
          <w:szCs w:val="18"/>
        </w:rPr>
        <w:t> </w:t>
      </w:r>
      <w:r>
        <w:rPr>
          <w:rFonts w:ascii="宋体" w:hAnsi="宋体" w:cs="宋体" w:eastAsia="宋体" w:hint="default"/>
          <w:b/>
          <w:bCs/>
          <w:sz w:val="18"/>
          <w:szCs w:val="18"/>
        </w:rPr>
        <w:t>以移动终端为服务中</w:t>
      </w:r>
      <w:r>
        <w:rPr>
          <w:rFonts w:ascii="宋体" w:hAnsi="宋体" w:cs="宋体" w:eastAsia="宋体" w:hint="default"/>
          <w:b/>
          <w:bCs/>
          <w:w w:val="99"/>
          <w:sz w:val="18"/>
          <w:szCs w:val="18"/>
        </w:rPr>
        <w:t> </w:t>
      </w:r>
      <w:r>
        <w:rPr>
          <w:rFonts w:ascii="宋体" w:hAnsi="宋体" w:cs="宋体" w:eastAsia="宋体" w:hint="default"/>
          <w:b/>
          <w:bCs/>
          <w:sz w:val="18"/>
          <w:szCs w:val="18"/>
        </w:rPr>
        <w:t>心，其应用环境日趋多样化，安全边界更加模糊。</w:t>
      </w:r>
      <w:r>
        <w:rPr>
          <w:rFonts w:ascii="宋体" w:hAnsi="宋体" w:cs="宋体" w:eastAsia="宋体" w:hint="default"/>
          <w:sz w:val="18"/>
          <w:szCs w:val="18"/>
        </w:rPr>
        <w:t>如何融合传统</w:t>
      </w:r>
      <w:r>
        <w:rPr>
          <w:rFonts w:ascii="宋体" w:hAnsi="宋体" w:cs="宋体" w:eastAsia="宋体" w:hint="default"/>
          <w:sz w:val="18"/>
          <w:szCs w:val="18"/>
        </w:rPr>
        <w:t>PC</w:t>
      </w:r>
      <w:r>
        <w:rPr>
          <w:rFonts w:ascii="宋体" w:hAnsi="宋体" w:cs="宋体" w:eastAsia="宋体" w:hint="default"/>
          <w:sz w:val="18"/>
          <w:szCs w:val="18"/>
        </w:rPr>
        <w:t>及</w:t>
      </w:r>
      <w:r>
        <w:rPr>
          <w:rFonts w:ascii="宋体" w:hAnsi="宋体" w:cs="宋体" w:eastAsia="宋体" w:hint="default"/>
          <w:sz w:val="18"/>
          <w:szCs w:val="18"/>
        </w:rPr>
        <w:t>Mobile</w:t>
      </w:r>
      <w:r>
        <w:rPr>
          <w:rFonts w:ascii="宋体" w:hAnsi="宋体" w:cs="宋体" w:eastAsia="宋体" w:hint="default"/>
          <w:spacing w:val="-4"/>
          <w:sz w:val="18"/>
          <w:szCs w:val="18"/>
        </w:rPr>
        <w:t> </w:t>
      </w:r>
      <w:r>
        <w:rPr>
          <w:rFonts w:ascii="宋体" w:hAnsi="宋体" w:cs="宋体" w:eastAsia="宋体" w:hint="default"/>
          <w:sz w:val="18"/>
          <w:szCs w:val="18"/>
        </w:rPr>
        <w:t>IT</w:t>
      </w:r>
      <w:r>
        <w:rPr>
          <w:rFonts w:ascii="宋体" w:hAnsi="宋体" w:cs="宋体" w:eastAsia="宋体" w:hint="default"/>
          <w:sz w:val="18"/>
          <w:szCs w:val="18"/>
        </w:rPr>
        <w:t>管理范畴，精确区分企业数据与个人隐私</w:t>
      </w:r>
      <w:r>
        <w:rPr>
          <w:rFonts w:ascii="宋体" w:hAnsi="宋体" w:cs="宋体" w:eastAsia="宋体" w:hint="default"/>
          <w:sz w:val="18"/>
          <w:szCs w:val="18"/>
        </w:rPr>
        <w:t>, </w:t>
      </w:r>
      <w:r>
        <w:rPr>
          <w:rFonts w:ascii="宋体" w:hAnsi="宋体" w:cs="宋体" w:eastAsia="宋体" w:hint="default"/>
          <w:sz w:val="18"/>
          <w:szCs w:val="18"/>
        </w:rPr>
        <w:t>支持企业数据与个人数据的安全分割，需要规避和解决大量复杂的问题和风险。</w:t>
      </w:r>
    </w:p>
    <w:p>
      <w:pPr>
        <w:spacing w:line="316" w:lineRule="auto" w:before="57"/>
        <w:ind w:left="152" w:right="191" w:firstLine="360"/>
        <w:jc w:val="both"/>
        <w:rPr>
          <w:rFonts w:ascii="宋体" w:hAnsi="宋体" w:cs="宋体" w:eastAsia="宋体" w:hint="default"/>
          <w:sz w:val="18"/>
          <w:szCs w:val="18"/>
        </w:rPr>
      </w:pPr>
      <w:r>
        <w:rPr>
          <w:rFonts w:ascii="宋体" w:hAnsi="宋体" w:cs="宋体" w:eastAsia="宋体" w:hint="default"/>
          <w:b/>
          <w:bCs/>
          <w:w w:val="95"/>
          <w:sz w:val="18"/>
          <w:szCs w:val="18"/>
        </w:rPr>
        <w:t>(4)</w:t>
      </w:r>
      <w:r>
        <w:rPr>
          <w:rFonts w:ascii="宋体" w:hAnsi="宋体" w:cs="宋体" w:eastAsia="宋体" w:hint="default"/>
          <w:b/>
          <w:bCs/>
          <w:w w:val="95"/>
          <w:sz w:val="18"/>
          <w:szCs w:val="18"/>
        </w:rPr>
        <w:t>云计算大量运用包括计算能力虚拟化、网络虚拟化、存储虚拟化等技术。</w:t>
      </w:r>
      <w:r>
        <w:rPr>
          <w:rFonts w:ascii="宋体" w:hAnsi="宋体" w:cs="宋体" w:eastAsia="宋体" w:hint="default"/>
          <w:w w:val="95"/>
          <w:sz w:val="18"/>
          <w:szCs w:val="18"/>
        </w:rPr>
        <w:t>虚拟化技术引入后产生了一些特定的安全 </w:t>
      </w:r>
      <w:r>
        <w:rPr>
          <w:rFonts w:ascii="宋体" w:hAnsi="宋体" w:cs="宋体" w:eastAsia="宋体" w:hint="default"/>
          <w:spacing w:val="-2"/>
          <w:sz w:val="18"/>
          <w:szCs w:val="18"/>
        </w:rPr>
        <w:t>风险，在终端、网络和服务端的安全需求均发生了相应变化，虚拟化服务器和终端的安全问题首当其冲，传统的安全保护手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段已经不适应云计算的需求，怎样解决虚拟化方面的安全是云计算与传统安全的一个重大区别。</w:t>
      </w:r>
    </w:p>
    <w:p>
      <w:pPr>
        <w:pStyle w:val="BodyText"/>
        <w:spacing w:line="319" w:lineRule="auto" w:before="59"/>
        <w:ind w:left="152" w:right="191" w:firstLine="360"/>
        <w:jc w:val="both"/>
      </w:pPr>
      <w:r>
        <w:rPr/>
        <w:t>（</w:t>
      </w:r>
      <w:r>
        <w:rPr>
          <w:rFonts w:ascii="宋体" w:hAnsi="宋体" w:cs="宋体" w:eastAsia="宋体" w:hint="default"/>
        </w:rPr>
        <w:t>5</w:t>
      </w:r>
      <w:r>
        <w:rPr/>
        <w:t>）由于用户的终端数量庞大、总类繁杂、应用环境多变、涉及业务敏感，使得其网络管理人员难以有效掌控企业内 </w:t>
      </w:r>
      <w:r>
        <w:rPr>
          <w:spacing w:val="-2"/>
        </w:rPr>
        <w:t>部终端资产的配置及其变化情况，难以及时发现和控制终端软件的非法安装及应用，难以实现各种环境下对终端的自适应保</w:t>
      </w:r>
      <w:r>
        <w:rPr>
          <w:spacing w:val="-63"/>
        </w:rPr>
        <w:t> </w:t>
      </w:r>
      <w:r>
        <w:rPr>
          <w:spacing w:val="-63"/>
        </w:rPr>
      </w:r>
      <w:r>
        <w:rPr/>
        <w:t>护，因此，终端进行集中化、自动化、主动性安全管理和防护，成为行业发展主流方向。</w:t>
      </w:r>
    </w:p>
    <w:p>
      <w:pPr>
        <w:pStyle w:val="BodyText"/>
        <w:spacing w:line="316" w:lineRule="auto" w:before="58"/>
        <w:ind w:left="152" w:right="0" w:firstLine="360"/>
        <w:jc w:val="left"/>
      </w:pPr>
      <w:r>
        <w:rPr>
          <w:spacing w:val="-2"/>
        </w:rPr>
        <w:t>终端安全管理产品是传统安全设施无法满足日益严峻的安全形势的必然产物，是信息安全技术向更为复杂、更贴近业务</w:t>
      </w:r>
      <w:r>
        <w:rPr/>
        <w:t> </w:t>
      </w:r>
      <w:r>
        <w:rPr>
          <w:spacing w:val="-4"/>
        </w:rPr>
        <w:t>的内网管理方向发展的必然趋势。公司作为一家拥有自主知识产权的信息安全企业，经过多年的发展，通过不断地技术创新，</w:t>
      </w:r>
      <w:r>
        <w:rPr>
          <w:spacing w:val="-44"/>
        </w:rPr>
        <w:t> </w:t>
      </w:r>
      <w:r>
        <w:rPr>
          <w:spacing w:val="-44"/>
        </w:rPr>
      </w:r>
      <w:r>
        <w:rPr>
          <w:spacing w:val="-2"/>
        </w:rPr>
        <w:t>在终端安全管理、数据安全管理、安全管理平台等产品系列及安全服务整体解决方案等方面形成多项核心技术，成为国内最</w:t>
      </w:r>
      <w:r>
        <w:rPr>
          <w:spacing w:val="-62"/>
        </w:rPr>
        <w:t> </w:t>
      </w:r>
      <w:r>
        <w:rPr>
          <w:spacing w:val="-62"/>
        </w:rPr>
      </w:r>
      <w:r>
        <w:rPr>
          <w:spacing w:val="-2"/>
        </w:rPr>
        <w:t>具技术创新和产品研发实力的信息安全引领厂商之一。根据赛迪顾问的统计，公司终端安全管理产品在国内市场占有率已连</w:t>
      </w:r>
      <w:r>
        <w:rPr>
          <w:spacing w:val="-64"/>
        </w:rPr>
        <w:t> </w:t>
      </w:r>
      <w:r>
        <w:rPr>
          <w:spacing w:val="-64"/>
        </w:rPr>
      </w:r>
      <w:r>
        <w:rPr/>
        <w:t>续多年保持第一。</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pStyle w:val="BodyText"/>
        <w:spacing w:line="240" w:lineRule="auto"/>
        <w:ind w:right="0"/>
        <w:jc w:val="left"/>
      </w:pPr>
      <w:r>
        <w:rPr/>
        <w:t>（二）公司发展战略和经营计划</w:t>
      </w:r>
    </w:p>
    <w:p>
      <w:pPr>
        <w:pStyle w:val="BodyText"/>
        <w:spacing w:line="300" w:lineRule="auto" w:before="117"/>
        <w:ind w:left="152" w:right="90" w:firstLine="360"/>
        <w:jc w:val="left"/>
      </w:pPr>
      <w:r>
        <w:rPr>
          <w:rFonts w:ascii="Times New Roman" w:hAnsi="Times New Roman" w:cs="Times New Roman" w:eastAsia="Times New Roman" w:hint="default"/>
          <w:spacing w:val="-2"/>
        </w:rPr>
        <w:t>1</w:t>
      </w:r>
      <w:r>
        <w:rPr>
          <w:spacing w:val="-2"/>
        </w:rPr>
        <w:t>、公司的战略目标是：</w:t>
      </w:r>
      <w:r>
        <w:rPr>
          <w:rFonts w:ascii="Times New Roman" w:hAnsi="Times New Roman" w:cs="Times New Roman" w:eastAsia="Times New Roman" w:hint="default"/>
          <w:spacing w:val="-2"/>
        </w:rPr>
        <w:t>“</w:t>
      </w:r>
      <w:r>
        <w:rPr>
          <w:spacing w:val="-2"/>
        </w:rPr>
        <w:t>以总部经营战略为点，总部向各分支机构不断延伸的发展模式为线，发展中小企业和个人客户</w:t>
      </w:r>
      <w:r>
        <w:rPr/>
        <w:t> </w:t>
      </w:r>
      <w:r>
        <w:rPr>
          <w:spacing w:val="-1"/>
        </w:rPr>
        <w:t>的经营模式为面</w:t>
      </w:r>
      <w:r>
        <w:rPr>
          <w:rFonts w:ascii="Times New Roman" w:hAnsi="Times New Roman" w:cs="Times New Roman" w:eastAsia="Times New Roman" w:hint="default"/>
          <w:spacing w:val="-1"/>
        </w:rPr>
        <w:t>”</w:t>
      </w:r>
      <w:r>
        <w:rPr>
          <w:spacing w:val="-1"/>
        </w:rPr>
        <w:t>，力争使得本公司经营理念上的</w:t>
      </w:r>
      <w:r>
        <w:rPr>
          <w:rFonts w:ascii="Times New Roman" w:hAnsi="Times New Roman" w:cs="Times New Roman" w:eastAsia="Times New Roman" w:hint="default"/>
          <w:spacing w:val="-1"/>
        </w:rPr>
        <w:t>“</w:t>
      </w:r>
      <w:r>
        <w:rPr>
          <w:spacing w:val="-1"/>
        </w:rPr>
        <w:t>点、线、面</w:t>
      </w:r>
      <w:r>
        <w:rPr>
          <w:rFonts w:ascii="Times New Roman" w:hAnsi="Times New Roman" w:cs="Times New Roman" w:eastAsia="Times New Roman" w:hint="default"/>
          <w:spacing w:val="-1"/>
        </w:rPr>
        <w:t>”</w:t>
      </w:r>
      <w:r>
        <w:rPr>
          <w:spacing w:val="-1"/>
        </w:rPr>
        <w:t>有机结合，相辅相成，不断地提升核心竞争力和市场占有率，</w:t>
      </w:r>
      <w:r>
        <w:rPr>
          <w:spacing w:val="-88"/>
        </w:rPr>
        <w:t> </w:t>
      </w:r>
      <w:r>
        <w:rPr>
          <w:spacing w:val="-88"/>
        </w:rPr>
      </w:r>
      <w:r>
        <w:rPr/>
        <w:t>将公司发展成为国内领先、国际一流的信息安全大型企业。</w:t>
      </w:r>
    </w:p>
    <w:p>
      <w:pPr>
        <w:pStyle w:val="BodyText"/>
        <w:spacing w:line="316" w:lineRule="auto" w:before="70"/>
        <w:ind w:left="152" w:right="94" w:firstLine="360"/>
        <w:jc w:val="left"/>
      </w:pPr>
      <w:r>
        <w:rPr>
          <w:spacing w:val="-2"/>
        </w:rPr>
        <w:t>公司在巩固和扩大面向国家部委、大型企事业单位的信息安全产品的同时，积极发展面向中小企业及互联网个人客户的</w:t>
      </w:r>
      <w:r>
        <w:rPr/>
        <w:t> 安全产品，为公司创造新的利润增长点；其次，在进一步完善国内营销服务体系的基础上，逐步建立并完善国际营销网络， 全面提升公司的技术服务能力和应急响应能力。</w:t>
      </w:r>
    </w:p>
    <w:p>
      <w:pPr>
        <w:pStyle w:val="BodyText"/>
        <w:spacing w:line="312" w:lineRule="auto" w:before="59"/>
        <w:ind w:left="152" w:right="195"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年，公司将在国家一系列政策的支持下，持续加大研发投入，吸引各类人才的加入及与各类其他优秀厂商展开 </w:t>
      </w:r>
      <w:r>
        <w:rPr>
          <w:spacing w:val="-2"/>
        </w:rPr>
        <w:t>更为积极而全面的合作，适时推出各类新产品，引导客户的安全需求，并在努力拓展金融、运营商等领域的同时，继续加大</w:t>
      </w:r>
      <w:r>
        <w:rPr>
          <w:spacing w:val="-67"/>
        </w:rPr>
        <w:t> </w:t>
      </w:r>
      <w:r>
        <w:rPr>
          <w:spacing w:val="-67"/>
        </w:rPr>
      </w:r>
      <w:r>
        <w:rPr>
          <w:spacing w:val="-2"/>
        </w:rPr>
        <w:t>对能源、军工、军队等行业客户的持续开发；同时，公司也将在继续完善国内现有市场布局的同时，着重对海外市场进行拓</w:t>
      </w:r>
      <w:r>
        <w:rPr>
          <w:spacing w:val="-67"/>
        </w:rPr>
        <w:t> </w:t>
      </w:r>
      <w:r>
        <w:rPr>
          <w:spacing w:val="-67"/>
        </w:rPr>
      </w:r>
      <w:r>
        <w:rPr/>
        <w:t>展，促使公司在信息安全领域的国际知名度得到进一步提升。</w:t>
      </w:r>
    </w:p>
    <w:p>
      <w:pPr>
        <w:pStyle w:val="BodyText"/>
        <w:spacing w:line="338" w:lineRule="auto" w:before="63"/>
        <w:ind w:right="213"/>
        <w:jc w:val="left"/>
      </w:pPr>
      <w:r>
        <w:rPr/>
        <w:t>（</w:t>
      </w:r>
      <w:r>
        <w:rPr>
          <w:rFonts w:ascii="Times New Roman" w:hAnsi="Times New Roman" w:cs="Times New Roman" w:eastAsia="Times New Roman" w:hint="default"/>
        </w:rPr>
        <w:t>1</w:t>
      </w:r>
      <w:r>
        <w:rPr/>
        <w:t>）产品研发方面 公司将继续推动募投项目的建设和产出，为公司提供新的增长点。以</w:t>
      </w:r>
      <w:r>
        <w:rPr>
          <w:rFonts w:ascii="Times New Roman" w:hAnsi="Times New Roman" w:cs="Times New Roman" w:eastAsia="Times New Roman" w:hint="default"/>
        </w:rPr>
        <w:t>“</w:t>
      </w:r>
      <w:r>
        <w:rPr/>
        <w:t>北信源虚拟化安全管理平台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北信源大数据分</w:t>
      </w:r>
    </w:p>
    <w:p>
      <w:pPr>
        <w:pStyle w:val="BodyText"/>
        <w:spacing w:line="230" w:lineRule="exact"/>
        <w:ind w:left="152" w:right="0"/>
        <w:jc w:val="left"/>
      </w:pPr>
      <w:r>
        <w:rPr/>
        <w:t>析系统</w:t>
      </w:r>
      <w:r>
        <w:rPr>
          <w:rFonts w:ascii="Times New Roman" w:hAnsi="Times New Roman" w:cs="Times New Roman" w:eastAsia="Times New Roman" w:hint="default"/>
        </w:rPr>
        <w:t>”</w:t>
      </w:r>
      <w:r>
        <w:rPr/>
        <w:t>等项目、产品开发和建设为核心，不断完善和丰富企业级信息安全产品的功能和品种，及时把握行业性产品需求的</w:t>
      </w:r>
    </w:p>
    <w:p>
      <w:pPr>
        <w:spacing w:after="0" w:line="230" w:lineRule="exact"/>
        <w:jc w:val="left"/>
        <w:sectPr>
          <w:footerReference w:type="default" r:id="rId17"/>
          <w:pgSz w:w="11910" w:h="16840"/>
          <w:pgMar w:footer="979" w:header="877" w:top="1100" w:bottom="1160" w:left="980" w:right="940"/>
          <w:pgNumType w:start="29"/>
        </w:sectPr>
      </w:pPr>
    </w:p>
    <w:p>
      <w:pPr>
        <w:spacing w:line="240" w:lineRule="auto" w:before="11"/>
        <w:rPr>
          <w:rFonts w:ascii="宋体" w:hAnsi="宋体" w:cs="宋体" w:eastAsia="宋体" w:hint="default"/>
          <w:sz w:val="21"/>
          <w:szCs w:val="21"/>
        </w:rPr>
      </w:pPr>
    </w:p>
    <w:p>
      <w:pPr>
        <w:pStyle w:val="BodyText"/>
        <w:spacing w:line="312" w:lineRule="auto" w:before="44"/>
        <w:ind w:left="152" w:right="0"/>
        <w:jc w:val="left"/>
      </w:pPr>
      <w:r>
        <w:rPr>
          <w:spacing w:val="-4"/>
        </w:rPr>
        <w:t>差异化，提高客户对于产品的满意度。同时，公司前期已经在大数据方向投入了大量的资源进行跟踪和研究，在大数据采集、</w:t>
      </w:r>
      <w:r>
        <w:rPr>
          <w:spacing w:val="-46"/>
        </w:rPr>
        <w:t> </w:t>
      </w:r>
      <w:r>
        <w:rPr>
          <w:spacing w:val="-46"/>
        </w:rPr>
      </w:r>
      <w:r>
        <w:rPr>
          <w:spacing w:val="-2"/>
        </w:rPr>
        <w:t>存储、分析、展示等方向积累了丰富的经验和系列成果，以此为基础，公司将进一步加大在该领域的研发投入，不断增强传</w:t>
      </w:r>
      <w:r>
        <w:rPr>
          <w:spacing w:val="-67"/>
        </w:rPr>
        <w:t> </w:t>
      </w:r>
      <w:r>
        <w:rPr>
          <w:spacing w:val="-67"/>
        </w:rPr>
      </w:r>
      <w:r>
        <w:rPr/>
        <w:t>统终端安全管理核心竞争力的同时，适时推出基于内网大数据分析的各类新产品、新服务，紧随</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的发展趋势，进 一步构建信息安全管理产品的综合平台，面向终端用户，深入挖掘用户需求，保持产品和技术的创新性和前瞻性。</w:t>
      </w:r>
    </w:p>
    <w:p>
      <w:pPr>
        <w:pStyle w:val="BodyText"/>
        <w:spacing w:line="316" w:lineRule="auto" w:before="63"/>
        <w:ind w:left="152" w:right="0" w:firstLine="360"/>
        <w:jc w:val="left"/>
      </w:pPr>
      <w:r>
        <w:rPr>
          <w:spacing w:val="-2"/>
        </w:rPr>
        <w:t>公司目前管理的终端数量达到数千万，采集的信息非常庞大复杂，非常适合大数据应用，为此，公司提出了“大数据加</w:t>
      </w:r>
      <w:r>
        <w:rPr/>
        <w:t> </w:t>
      </w:r>
      <w:r>
        <w:rPr>
          <w:spacing w:val="-2"/>
        </w:rPr>
        <w:t>固内网安全，大数据提升管理效率”的理念。一方面，公司在传统业务的基础上进一步拓展了终端的外延，将管理范围延伸</w:t>
      </w:r>
      <w:r>
        <w:rPr>
          <w:spacing w:val="-64"/>
        </w:rPr>
        <w:t> </w:t>
      </w:r>
      <w:r>
        <w:rPr>
          <w:spacing w:val="-64"/>
        </w:rPr>
      </w:r>
      <w:r>
        <w:rPr>
          <w:spacing w:val="-2"/>
        </w:rPr>
        <w:t>到移动终端、国产化终端以及非智能终端等领域，为大数据处理提供了更为丰富的数据来源。另一方面，公司采用了云计算</w:t>
      </w:r>
      <w:r>
        <w:rPr>
          <w:spacing w:val="-63"/>
        </w:rPr>
        <w:t> </w:t>
      </w:r>
      <w:r>
        <w:rPr>
          <w:spacing w:val="-63"/>
        </w:rPr>
      </w:r>
      <w:r>
        <w:rPr>
          <w:spacing w:val="-4"/>
        </w:rPr>
        <w:t>及大数据技术，重构并优化了传统产品体系，将安全管理与企业业务流程进行深度融合，对网络流量、用户行为、业务模式、</w:t>
      </w:r>
      <w:r>
        <w:rPr>
          <w:spacing w:val="-41"/>
        </w:rPr>
        <w:t> </w:t>
      </w:r>
      <w:r>
        <w:rPr>
          <w:spacing w:val="-41"/>
        </w:rPr>
      </w:r>
      <w:r>
        <w:rPr>
          <w:spacing w:val="-2"/>
        </w:rPr>
        <w:t>安全事件进行更为智能的采集、存储和分析，实现了固定和移动办公、安全管理和业务模式的无缝衔接，为企业及个人用户</w:t>
      </w:r>
      <w:r>
        <w:rPr>
          <w:spacing w:val="-63"/>
        </w:rPr>
        <w:t> </w:t>
      </w:r>
      <w:r>
        <w:rPr>
          <w:spacing w:val="-63"/>
        </w:rPr>
      </w:r>
      <w:r>
        <w:rPr>
          <w:spacing w:val="-2"/>
        </w:rPr>
        <w:t>提供更为安全、智能、便捷、全面的内网及终端安全管理产品体系及解决方案。同时，公司借助</w:t>
      </w:r>
      <w:r>
        <w:rPr>
          <w:rFonts w:ascii="宋体" w:hAnsi="宋体" w:cs="宋体" w:eastAsia="宋体" w:hint="default"/>
          <w:spacing w:val="-2"/>
        </w:rPr>
        <w:t>IT</w:t>
      </w:r>
      <w:r>
        <w:rPr>
          <w:spacing w:val="-2"/>
        </w:rPr>
        <w:t>终端与用户高度粘合的优</w:t>
      </w:r>
      <w:r>
        <w:rPr>
          <w:spacing w:val="-63"/>
        </w:rPr>
        <w:t> </w:t>
      </w:r>
      <w:r>
        <w:rPr>
          <w:spacing w:val="-63"/>
        </w:rPr>
      </w:r>
      <w:r>
        <w:rPr>
          <w:spacing w:val="-2"/>
        </w:rPr>
        <w:t>势，正稳步推进企业业务流程优化的相关功能和产品，从而为形成完善的企业商业智能打下坚实的基础。通过对大数据的开</w:t>
      </w:r>
      <w:r>
        <w:rPr>
          <w:spacing w:val="-63"/>
        </w:rPr>
        <w:t> </w:t>
      </w:r>
      <w:r>
        <w:rPr>
          <w:spacing w:val="-63"/>
        </w:rPr>
      </w:r>
      <w:r>
        <w:rPr/>
        <w:t>拓性运用，公司将再次引领内网安全管理领域的技术革新。</w:t>
      </w:r>
    </w:p>
    <w:p>
      <w:pPr>
        <w:pStyle w:val="BodyText"/>
        <w:spacing w:line="340" w:lineRule="auto" w:before="57"/>
        <w:ind w:right="0"/>
        <w:jc w:val="left"/>
      </w:pPr>
      <w:r>
        <w:rPr/>
        <w:t>（</w:t>
      </w:r>
      <w:r>
        <w:rPr>
          <w:rFonts w:ascii="Times New Roman" w:hAnsi="Times New Roman" w:cs="Times New Roman" w:eastAsia="Times New Roman" w:hint="default"/>
        </w:rPr>
        <w:t>2</w:t>
      </w:r>
      <w:r>
        <w:rPr/>
        <w:t>）市场方面 </w:t>
      </w:r>
      <w:r>
        <w:rPr>
          <w:spacing w:val="-2"/>
        </w:rPr>
        <w:t>公司将继续强化总部市场战略，在对能源、军工、军队、政府等重点行业进行全面开拓、深入挖掘、实现持续销售的同</w:t>
      </w:r>
    </w:p>
    <w:p>
      <w:pPr>
        <w:pStyle w:val="BodyText"/>
        <w:spacing w:line="316" w:lineRule="auto" w:before="1"/>
        <w:ind w:left="152" w:right="194"/>
        <w:jc w:val="both"/>
      </w:pPr>
      <w:r>
        <w:rPr>
          <w:spacing w:val="-2"/>
        </w:rPr>
        <w:t>时，将大力加强对金融、运营商、制造等行业和领域的开发力度，发挥在各行业的优质案例的示范作用，从而拓宽产品市场</w:t>
      </w:r>
      <w:r>
        <w:rPr>
          <w:spacing w:val="-66"/>
        </w:rPr>
        <w:t> </w:t>
      </w:r>
      <w:r>
        <w:rPr>
          <w:spacing w:val="-66"/>
        </w:rPr>
      </w:r>
      <w:r>
        <w:rPr/>
        <w:t>应用领域，提高产品市场覆盖率。</w:t>
      </w:r>
    </w:p>
    <w:p>
      <w:pPr>
        <w:pStyle w:val="BodyText"/>
        <w:spacing w:line="338" w:lineRule="auto" w:before="59"/>
        <w:ind w:right="0"/>
        <w:jc w:val="left"/>
      </w:pPr>
      <w:r>
        <w:rPr/>
        <w:t>（</w:t>
      </w:r>
      <w:r>
        <w:rPr>
          <w:rFonts w:ascii="Times New Roman" w:hAnsi="Times New Roman" w:cs="Times New Roman" w:eastAsia="Times New Roman" w:hint="default"/>
        </w:rPr>
        <w:t>3</w:t>
      </w:r>
      <w:r>
        <w:rPr/>
        <w:t>）营销服务体系建设方面 </w:t>
      </w:r>
      <w:r>
        <w:rPr>
          <w:spacing w:val="-2"/>
        </w:rPr>
        <w:t>结合募投项目营销服务体系的建设完成，公司将继续全面优化现有营销和服务体系，进一步完善国内布局从而缩短营销</w:t>
      </w:r>
    </w:p>
    <w:p>
      <w:pPr>
        <w:pStyle w:val="BodyText"/>
        <w:spacing w:line="309" w:lineRule="auto" w:before="2"/>
        <w:ind w:left="152" w:right="190"/>
        <w:jc w:val="both"/>
      </w:pPr>
      <w:r>
        <w:rPr>
          <w:spacing w:val="-2"/>
        </w:rPr>
        <w:t>服务响应时间，提升服务效率和质量，提升与客户粘合度。同时，公司将进一步发展海外市场，计划在</w:t>
      </w:r>
      <w:r>
        <w:rPr>
          <w:rFonts w:ascii="Times New Roman" w:hAnsi="Times New Roman" w:cs="Times New Roman" w:eastAsia="Times New Roman" w:hint="default"/>
          <w:spacing w:val="-2"/>
        </w:rPr>
        <w:t>2015</w:t>
      </w:r>
      <w:r>
        <w:rPr>
          <w:spacing w:val="-2"/>
        </w:rPr>
        <w:t>年，通过马来西</w:t>
      </w:r>
      <w:r>
        <w:rPr>
          <w:spacing w:val="-63"/>
        </w:rPr>
        <w:t> </w:t>
      </w:r>
      <w:r>
        <w:rPr>
          <w:spacing w:val="-63"/>
        </w:rPr>
      </w:r>
      <w:r>
        <w:rPr>
          <w:spacing w:val="-2"/>
        </w:rPr>
        <w:t>亚子公司投入运营，完成国际化版本产品的研发生产，大力开拓马来西亚市场并以此为基点，向整个东南亚乃至全球范围内</w:t>
      </w:r>
      <w:r>
        <w:rPr>
          <w:spacing w:val="-63"/>
        </w:rPr>
        <w:t> </w:t>
      </w:r>
      <w:r>
        <w:rPr>
          <w:spacing w:val="-63"/>
        </w:rPr>
      </w:r>
      <w:r>
        <w:rPr/>
        <w:t>辐射。</w:t>
      </w:r>
    </w:p>
    <w:p>
      <w:pPr>
        <w:pStyle w:val="BodyText"/>
        <w:spacing w:line="340" w:lineRule="auto" w:before="65"/>
        <w:ind w:right="0"/>
        <w:jc w:val="left"/>
      </w:pPr>
      <w:r>
        <w:rPr/>
        <w:t>（</w:t>
      </w:r>
      <w:r>
        <w:rPr>
          <w:rFonts w:ascii="Times New Roman" w:hAnsi="Times New Roman" w:cs="Times New Roman" w:eastAsia="Times New Roman" w:hint="default"/>
        </w:rPr>
        <w:t>4</w:t>
      </w:r>
      <w:r>
        <w:rPr/>
        <w:t>）人力资源和公司管理方面 </w:t>
      </w:r>
      <w:r>
        <w:rPr>
          <w:spacing w:val="-2"/>
        </w:rPr>
        <w:t>为适应业务的快速发展，公司将实施积极的人才管理战略，坚持引进高素质人才的策略，不断充实和壮大公司的研发能</w:t>
      </w:r>
    </w:p>
    <w:p>
      <w:pPr>
        <w:pStyle w:val="BodyText"/>
        <w:spacing w:line="316" w:lineRule="auto" w:before="1"/>
        <w:ind w:left="152" w:right="190"/>
        <w:jc w:val="both"/>
      </w:pPr>
      <w:r>
        <w:rPr>
          <w:spacing w:val="-2"/>
        </w:rPr>
        <w:t>力、市场拓展能力和管理能力。同时，公司将不断加强对现有员工特别是骨干员工的岗位培训，根据不同岗位的要求，制定</w:t>
      </w:r>
      <w:r>
        <w:rPr>
          <w:spacing w:val="-67"/>
        </w:rPr>
        <w:t> </w:t>
      </w:r>
      <w:r>
        <w:rPr>
          <w:spacing w:val="-67"/>
        </w:rPr>
      </w:r>
      <w:r>
        <w:rPr>
          <w:spacing w:val="-2"/>
        </w:rPr>
        <w:t>详细的培训计划。内部业务骨干、核心技术人员以讲座和研讨形式与其他员工进行经常性的交流，并且公司定期邀请业内专</w:t>
      </w:r>
      <w:r>
        <w:rPr>
          <w:spacing w:val="-63"/>
        </w:rPr>
        <w:t> </w:t>
      </w:r>
      <w:r>
        <w:rPr>
          <w:spacing w:val="-63"/>
        </w:rPr>
      </w:r>
      <w:r>
        <w:rPr>
          <w:spacing w:val="-2"/>
        </w:rPr>
        <w:t>家、高校名师及科研院所研究人员进行专题讲座，以进一步提高员工的整体素质，使公司的研发人员能够紧跟国内外最新技</w:t>
      </w:r>
      <w:r>
        <w:rPr>
          <w:spacing w:val="-63"/>
        </w:rPr>
        <w:t> </w:t>
      </w:r>
      <w:r>
        <w:rPr>
          <w:spacing w:val="-63"/>
        </w:rPr>
      </w:r>
      <w:r>
        <w:rPr/>
        <w:t>术的发展动态，确保公司的技术和管理水平保持优势地位。</w:t>
      </w:r>
    </w:p>
    <w:p>
      <w:pPr>
        <w:pStyle w:val="BodyText"/>
        <w:spacing w:line="340" w:lineRule="auto" w:before="57"/>
        <w:ind w:right="0"/>
        <w:jc w:val="left"/>
      </w:pPr>
      <w:r>
        <w:rPr/>
        <w:t>（</w:t>
      </w:r>
      <w:r>
        <w:rPr>
          <w:rFonts w:ascii="Times New Roman" w:hAnsi="Times New Roman" w:cs="Times New Roman" w:eastAsia="Times New Roman" w:hint="default"/>
        </w:rPr>
        <w:t>5</w:t>
      </w:r>
      <w:r>
        <w:rPr/>
        <w:t>）对外投资方面 </w:t>
      </w:r>
      <w:r>
        <w:rPr>
          <w:spacing w:val="-2"/>
        </w:rPr>
        <w:t>公司将以资本市场为依托，根据公司业务发展战略，充分利用上市公司资本平台资源，围绕公司核心业务，积极寻找各</w:t>
      </w:r>
    </w:p>
    <w:p>
      <w:pPr>
        <w:pStyle w:val="BodyText"/>
        <w:spacing w:line="300" w:lineRule="auto" w:before="1"/>
        <w:ind w:left="152" w:right="191"/>
        <w:jc w:val="both"/>
      </w:pPr>
      <w:r>
        <w:rPr/>
        <w:t>种潜在的投资机会，在</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年战略投资北京双洲、收购中软华泰</w:t>
      </w:r>
      <w:r>
        <w:rPr>
          <w:spacing w:val="-49"/>
        </w:rPr>
        <w:t> </w:t>
      </w:r>
      <w:r>
        <w:rPr>
          <w:rFonts w:ascii="Times New Roman" w:hAnsi="Times New Roman" w:cs="Times New Roman" w:eastAsia="Times New Roman" w:hint="default"/>
          <w:spacing w:val="-3"/>
        </w:rPr>
        <w:t>100%</w:t>
      </w:r>
      <w:r>
        <w:rPr>
          <w:spacing w:val="-3"/>
        </w:rPr>
        <w:t>股权的基础上，进一步发掘技术合作、市场合作、重</w:t>
      </w:r>
      <w:r>
        <w:rPr/>
        <w:t> 组并购的机会，以稳健的策略，在适当的时机不断完善公司产业结构，提高公司的市场占有率和竞争力。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316" w:lineRule="auto"/>
        <w:ind w:left="515" w:right="7831" w:hanging="3"/>
        <w:jc w:val="left"/>
      </w:pPr>
      <w:r>
        <w:rPr/>
        <w:t>（三）可能的风险 详见第三章第四节。</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0"/>
        <w:jc w:val="both"/>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0"/>
        <w:jc w:val="both"/>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left="152" w:right="107" w:firstLine="360"/>
        <w:jc w:val="both"/>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 </w:t>
      </w:r>
      <w:r>
        <w:rPr>
          <w:spacing w:val="-11"/>
        </w:rPr>
        <w:t>价值计量》、《企业会计准则第</w:t>
      </w:r>
      <w:r>
        <w:rPr>
          <w:rFonts w:ascii="Times New Roman" w:hAnsi="Times New Roman" w:cs="Times New Roman" w:eastAsia="Times New Roman" w:hint="default"/>
          <w:spacing w:val="-11"/>
        </w:rPr>
        <w:t>30</w:t>
      </w:r>
      <w:r>
        <w:rPr>
          <w:spacing w:val="-11"/>
        </w:rPr>
        <w:t>号</w:t>
      </w:r>
      <w:r>
        <w:rPr>
          <w:rFonts w:ascii="Times New Roman" w:hAnsi="Times New Roman" w:cs="Times New Roman" w:eastAsia="Times New Roman" w:hint="default"/>
          <w:spacing w:val="-11"/>
        </w:rPr>
        <w:t>——</w:t>
      </w:r>
      <w:r>
        <w:rPr>
          <w:spacing w:val="-11"/>
        </w:rPr>
        <w:t>财务报表列报（</w:t>
      </w:r>
      <w:r>
        <w:rPr>
          <w:rFonts w:ascii="Times New Roman" w:hAnsi="Times New Roman" w:cs="Times New Roman" w:eastAsia="Times New Roman" w:hint="default"/>
          <w:spacing w:val="-11"/>
        </w:rPr>
        <w:t>2014</w:t>
      </w:r>
      <w:r>
        <w:rPr>
          <w:spacing w:val="-11"/>
        </w:rPr>
        <w:t>年修订）》、《企业会计准则第</w:t>
      </w:r>
      <w:r>
        <w:rPr>
          <w:rFonts w:ascii="Times New Roman" w:hAnsi="Times New Roman" w:cs="Times New Roman" w:eastAsia="Times New Roman" w:hint="default"/>
          <w:spacing w:val="-11"/>
        </w:rPr>
        <w:t>9</w:t>
      </w:r>
      <w:r>
        <w:rPr>
          <w:spacing w:val="-11"/>
        </w:rPr>
        <w:t>号</w:t>
      </w:r>
      <w:r>
        <w:rPr>
          <w:rFonts w:ascii="Times New Roman" w:hAnsi="Times New Roman" w:cs="Times New Roman" w:eastAsia="Times New Roman" w:hint="default"/>
          <w:spacing w:val="-11"/>
        </w:rPr>
        <w:t>——</w:t>
      </w:r>
      <w:r>
        <w:rPr>
          <w:spacing w:val="-11"/>
        </w:rPr>
        <w:t>职工薪酬（</w:t>
      </w:r>
      <w:r>
        <w:rPr>
          <w:rFonts w:ascii="Times New Roman" w:hAnsi="Times New Roman" w:cs="Times New Roman" w:eastAsia="Times New Roman" w:hint="default"/>
          <w:spacing w:val="-11"/>
        </w:rPr>
        <w:t>2014</w:t>
      </w:r>
      <w:r>
        <w:rPr>
          <w:spacing w:val="-11"/>
        </w:rPr>
        <w:t>年修订）》、</w:t>
      </w:r>
    </w:p>
    <w:p>
      <w:pPr>
        <w:pStyle w:val="BodyText"/>
        <w:spacing w:line="300" w:lineRule="auto" w:before="13"/>
        <w:ind w:left="152" w:right="191"/>
        <w:jc w:val="both"/>
      </w:pPr>
      <w:r>
        <w:rPr>
          <w:spacing w:val="-9"/>
        </w:rPr>
        <w:t>《企业会计准则第</w:t>
      </w:r>
      <w:r>
        <w:rPr>
          <w:rFonts w:ascii="Times New Roman" w:hAnsi="Times New Roman" w:cs="Times New Roman" w:eastAsia="Times New Roman" w:hint="default"/>
          <w:spacing w:val="-9"/>
        </w:rPr>
        <w:t>33</w:t>
      </w:r>
      <w:r>
        <w:rPr>
          <w:spacing w:val="-9"/>
        </w:rPr>
        <w:t>号</w:t>
      </w:r>
      <w:r>
        <w:rPr>
          <w:rFonts w:ascii="Times New Roman" w:hAnsi="Times New Roman" w:cs="Times New Roman" w:eastAsia="Times New Roman" w:hint="default"/>
          <w:spacing w:val="-9"/>
        </w:rPr>
        <w:t>——</w:t>
      </w:r>
      <w:r>
        <w:rPr>
          <w:spacing w:val="-9"/>
        </w:rPr>
        <w:t>合并财务报表（</w:t>
      </w:r>
      <w:r>
        <w:rPr>
          <w:rFonts w:ascii="Times New Roman" w:hAnsi="Times New Roman" w:cs="Times New Roman" w:eastAsia="Times New Roman" w:hint="default"/>
          <w:spacing w:val="-9"/>
        </w:rPr>
        <w:t>2014</w:t>
      </w:r>
      <w:r>
        <w:rPr>
          <w:spacing w:val="-9"/>
        </w:rPr>
        <w:t>年修订）》、《企业会计准则第</w:t>
      </w:r>
      <w:r>
        <w:rPr>
          <w:rFonts w:ascii="Times New Roman" w:hAnsi="Times New Roman" w:cs="Times New Roman" w:eastAsia="Times New Roman" w:hint="default"/>
          <w:spacing w:val="-9"/>
        </w:rPr>
        <w:t>40</w:t>
      </w:r>
      <w:r>
        <w:rPr>
          <w:spacing w:val="-9"/>
        </w:rPr>
        <w:t>号</w:t>
      </w:r>
      <w:r>
        <w:rPr>
          <w:rFonts w:ascii="Times New Roman" w:hAnsi="Times New Roman" w:cs="Times New Roman" w:eastAsia="Times New Roman" w:hint="default"/>
          <w:spacing w:val="-9"/>
        </w:rPr>
        <w:t>——</w:t>
      </w:r>
      <w:r>
        <w:rPr>
          <w:spacing w:val="-9"/>
        </w:rPr>
        <w:t>合营安排》、《企业会计准则第</w:t>
      </w:r>
      <w:r>
        <w:rPr>
          <w:rFonts w:ascii="Times New Roman" w:hAnsi="Times New Roman" w:cs="Times New Roman" w:eastAsia="Times New Roman" w:hint="default"/>
          <w:spacing w:val="-9"/>
        </w:rPr>
        <w:t>2</w:t>
      </w:r>
      <w:r>
        <w:rPr>
          <w:spacing w:val="-9"/>
        </w:rPr>
        <w:t>号</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35"/>
        </w:rPr>
        <w:t> </w:t>
      </w:r>
      <w:r>
        <w:rPr>
          <w:spacing w:val="-5"/>
        </w:rPr>
        <w:t>长期股权投资（</w:t>
      </w:r>
      <w:r>
        <w:rPr>
          <w:rFonts w:ascii="Times New Roman" w:hAnsi="Times New Roman" w:cs="Times New Roman" w:eastAsia="Times New Roman" w:hint="default"/>
          <w:spacing w:val="-5"/>
        </w:rPr>
        <w:t>2014</w:t>
      </w:r>
      <w:r>
        <w:rPr>
          <w:spacing w:val="-5"/>
        </w:rPr>
        <w:t>年修订）》及《企业会计准则第</w:t>
      </w:r>
      <w:r>
        <w:rPr>
          <w:rFonts w:ascii="Times New Roman" w:hAnsi="Times New Roman" w:cs="Times New Roman" w:eastAsia="Times New Roman" w:hint="default"/>
          <w:spacing w:val="-5"/>
        </w:rPr>
        <w:t>41</w:t>
      </w:r>
      <w:r>
        <w:rPr>
          <w:spacing w:val="-5"/>
        </w:rPr>
        <w:t>号</w:t>
      </w:r>
      <w:r>
        <w:rPr>
          <w:rFonts w:ascii="Times New Roman" w:hAnsi="Times New Roman" w:cs="Times New Roman" w:eastAsia="Times New Roman" w:hint="default"/>
          <w:spacing w:val="-5"/>
        </w:rPr>
        <w:t>——</w:t>
      </w:r>
      <w:r>
        <w:rPr>
          <w:spacing w:val="-5"/>
        </w:rPr>
        <w:t>在其他主体中权益的披露》，要求自</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w:t>
      </w:r>
      <w:r>
        <w:rPr>
          <w:spacing w:val="-5"/>
        </w:rPr>
        <w:t>日起在所有执行</w:t>
      </w:r>
      <w:r>
        <w:rPr>
          <w:spacing w:val="-53"/>
        </w:rPr>
        <w:t> </w:t>
      </w:r>
      <w:r>
        <w:rPr>
          <w:spacing w:val="-53"/>
        </w:rPr>
      </w:r>
      <w:r>
        <w:rPr>
          <w:spacing w:val="-1"/>
        </w:rPr>
        <w:t>企业会计准则的企业范围内施行，鼓励在境外上市的企业提前执行。同时，财政部以财会</w:t>
      </w:r>
      <w:r>
        <w:rPr>
          <w:rFonts w:ascii="Times New Roman" w:hAnsi="Times New Roman" w:cs="Times New Roman" w:eastAsia="Times New Roman" w:hint="default"/>
          <w:spacing w:val="-1"/>
        </w:rPr>
        <w:t>[2014]23</w:t>
      </w:r>
      <w:r>
        <w:rPr>
          <w:spacing w:val="-1"/>
        </w:rPr>
        <w:t>号发布了《企业会计准则</w:t>
      </w:r>
      <w:r>
        <w:rPr>
          <w:spacing w:val="-57"/>
        </w:rPr>
        <w:t> </w:t>
      </w:r>
      <w:r>
        <w:rPr>
          <w:spacing w:val="-57"/>
        </w:rPr>
      </w:r>
      <w:r>
        <w:rPr>
          <w:spacing w:val="-5"/>
          <w:w w:val="100"/>
        </w:rPr>
        <w:t>第</w:t>
      </w:r>
      <w:r>
        <w:rPr>
          <w:rFonts w:ascii="Times New Roman" w:hAnsi="Times New Roman" w:cs="Times New Roman" w:eastAsia="Times New Roman" w:hint="default"/>
          <w:spacing w:val="-5"/>
          <w:w w:val="100"/>
        </w:rPr>
        <w:t>37</w:t>
      </w:r>
      <w:r>
        <w:rPr>
          <w:spacing w:val="-5"/>
          <w:w w:val="100"/>
        </w:rPr>
        <w:t>号</w:t>
      </w:r>
      <w:r>
        <w:rPr>
          <w:rFonts w:ascii="Times New Roman" w:hAnsi="Times New Roman" w:cs="Times New Roman" w:eastAsia="Times New Roman" w:hint="default"/>
          <w:spacing w:val="-5"/>
          <w:w w:val="100"/>
        </w:rPr>
        <w:t>——</w:t>
      </w:r>
      <w:r>
        <w:rPr>
          <w:spacing w:val="-5"/>
          <w:w w:val="100"/>
        </w:rPr>
        <w:t>金融工具列报（</w:t>
      </w:r>
      <w:r>
        <w:rPr>
          <w:rFonts w:ascii="Times New Roman" w:hAnsi="Times New Roman" w:cs="Times New Roman" w:eastAsia="Times New Roman" w:hint="default"/>
          <w:spacing w:val="-5"/>
          <w:w w:val="100"/>
        </w:rPr>
        <w:t>2014</w:t>
      </w:r>
      <w:r>
        <w:rPr>
          <w:spacing w:val="-5"/>
          <w:w w:val="100"/>
        </w:rPr>
        <w:t>年修订）》（以下简称</w:t>
      </w:r>
      <w:r>
        <w:rPr>
          <w:rFonts w:ascii="Times New Roman" w:hAnsi="Times New Roman" w:cs="Times New Roman" w:eastAsia="Times New Roman" w:hint="default"/>
          <w:spacing w:val="-5"/>
          <w:w w:val="100"/>
        </w:rPr>
        <w:t>“</w:t>
      </w:r>
      <w:r>
        <w:rPr>
          <w:spacing w:val="-5"/>
          <w:w w:val="100"/>
        </w:rPr>
        <w:t>金融工具列报准则</w:t>
      </w:r>
      <w:r>
        <w:rPr>
          <w:rFonts w:ascii="Times New Roman" w:hAnsi="Times New Roman" w:cs="Times New Roman" w:eastAsia="Times New Roman" w:hint="default"/>
          <w:spacing w:val="-5"/>
          <w:w w:val="100"/>
        </w:rPr>
        <w:t>”</w:t>
      </w:r>
      <w:r>
        <w:rPr>
          <w:spacing w:val="-5"/>
          <w:w w:val="100"/>
        </w:rPr>
        <w:t>），要求在</w:t>
      </w:r>
      <w:r>
        <w:rPr>
          <w:rFonts w:ascii="Times New Roman" w:hAnsi="Times New Roman" w:cs="Times New Roman" w:eastAsia="Times New Roman" w:hint="default"/>
          <w:spacing w:val="-5"/>
          <w:w w:val="100"/>
        </w:rPr>
        <w:t>2014</w:t>
      </w:r>
      <w:r>
        <w:rPr>
          <w:spacing w:val="-5"/>
          <w:w w:val="100"/>
        </w:rPr>
        <w:t>年年度及以后期间的财务报告中按</w:t>
      </w:r>
      <w:r>
        <w:rPr>
          <w:spacing w:val="-62"/>
          <w:w w:val="100"/>
        </w:rPr>
        <w:t> </w:t>
      </w:r>
      <w:r>
        <w:rPr>
          <w:spacing w:val="-62"/>
          <w:w w:val="100"/>
        </w:rPr>
      </w:r>
      <w:r>
        <w:rPr/>
        <w:t>照该准则的要求对金融工具进行列报。</w:t>
      </w:r>
    </w:p>
    <w:p>
      <w:pPr>
        <w:pStyle w:val="BodyText"/>
        <w:spacing w:line="300" w:lineRule="auto" w:before="31"/>
        <w:ind w:left="152" w:right="198" w:firstLine="360"/>
        <w:jc w:val="both"/>
      </w:pPr>
      <w:r>
        <w:rPr/>
        <w:t>经本公司第二届董事会第八次临时会议于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日决议通过，本公司于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 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年年度财务报告时开始执行金融工具列报准则，对当期和列报 前期财务报表项目及金额无影响。</w:t>
      </w:r>
    </w:p>
    <w:p>
      <w:pPr>
        <w:pStyle w:val="BodyText"/>
        <w:spacing w:line="300" w:lineRule="auto" w:before="31"/>
        <w:ind w:left="152" w:right="190" w:firstLine="360"/>
        <w:jc w:val="both"/>
      </w:pPr>
      <w:r>
        <w:rPr>
          <w:spacing w:val="-4"/>
        </w:rPr>
        <w:t>本公司根据《财政部关于印发修订</w:t>
      </w:r>
      <w:r>
        <w:rPr>
          <w:rFonts w:ascii="Times New Roman" w:hAnsi="Times New Roman" w:cs="Times New Roman" w:eastAsia="Times New Roman" w:hint="default"/>
          <w:spacing w:val="-4"/>
        </w:rPr>
        <w:t>&lt;</w:t>
      </w:r>
      <w:r>
        <w:rPr>
          <w:spacing w:val="-4"/>
        </w:rPr>
        <w:t>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spacing w:val="-4"/>
        </w:rPr>
        <w:t>长期股权投资</w:t>
      </w:r>
      <w:r>
        <w:rPr>
          <w:rFonts w:ascii="Times New Roman" w:hAnsi="Times New Roman" w:cs="Times New Roman" w:eastAsia="Times New Roman" w:hint="default"/>
          <w:spacing w:val="-4"/>
        </w:rPr>
        <w:t>&gt;</w:t>
      </w:r>
      <w:r>
        <w:rPr>
          <w:spacing w:val="-4"/>
        </w:rPr>
        <w:t>的通知》（财会</w:t>
      </w:r>
      <w:r>
        <w:rPr>
          <w:rFonts w:ascii="Times New Roman" w:hAnsi="Times New Roman" w:cs="Times New Roman" w:eastAsia="Times New Roman" w:hint="default"/>
          <w:spacing w:val="-4"/>
        </w:rPr>
        <w:t>[2014]14</w:t>
      </w:r>
      <w:r>
        <w:rPr>
          <w:spacing w:val="-4"/>
        </w:rPr>
        <w:t>号），执行《企业会</w:t>
      </w:r>
      <w:r>
        <w:rPr/>
        <w:t> </w:t>
      </w:r>
      <w:r>
        <w:rPr>
          <w:spacing w:val="-4"/>
        </w:rPr>
        <w:t>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spacing w:val="-4"/>
        </w:rPr>
        <w:t>长期股权投资》，持有的对被投资单位不具有控制、共同控制或重大影响，并且在活跃市场中没有报价、公</w:t>
      </w:r>
      <w:r>
        <w:rPr>
          <w:spacing w:val="-44"/>
        </w:rPr>
        <w:t> </w:t>
      </w:r>
      <w:r>
        <w:rPr>
          <w:spacing w:val="-44"/>
        </w:rPr>
      </w:r>
      <w:r>
        <w:rPr>
          <w:spacing w:val="-2"/>
        </w:rPr>
        <w:t>允价值不能可靠计量的权益性投资要求按《企业会计准则第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金融工具确认和计量》进行处理。该变更对公司财务报</w:t>
      </w:r>
      <w:r>
        <w:rPr>
          <w:spacing w:val="-63"/>
        </w:rPr>
        <w:t> </w:t>
      </w:r>
      <w:r>
        <w:rPr>
          <w:spacing w:val="-63"/>
        </w:rPr>
      </w:r>
      <w:r>
        <w:rPr/>
        <w:t>表的影响如下：</w:t>
      </w:r>
    </w:p>
    <w:p>
      <w:pPr>
        <w:pStyle w:val="BodyText"/>
        <w:spacing w:line="240" w:lineRule="auto" w:before="31"/>
        <w:ind w:right="0"/>
        <w:jc w:val="left"/>
      </w:pPr>
      <w:r>
        <w:rPr/>
        <w:t>对当期和列报前期财务报表项目及金额的影响如下：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527"/>
        <w:gridCol w:w="4254"/>
        <w:gridCol w:w="1733"/>
        <w:gridCol w:w="1527"/>
      </w:tblGrid>
      <w:tr>
        <w:trPr>
          <w:trHeight w:val="660" w:hRule="exact"/>
        </w:trPr>
        <w:tc>
          <w:tcPr>
            <w:tcW w:w="15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2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会计政策变更的内容及其对本公司的影响说明</w:t>
            </w:r>
          </w:p>
        </w:tc>
        <w:tc>
          <w:tcPr>
            <w:tcW w:w="3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811" w:right="65" w:hanging="384"/>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年度相关财务 报表项目的影响金额</w:t>
            </w:r>
          </w:p>
        </w:tc>
      </w:tr>
      <w:tr>
        <w:trPr>
          <w:trHeight w:val="658" w:hRule="exact"/>
        </w:trPr>
        <w:tc>
          <w:tcPr>
            <w:tcW w:w="1527" w:type="dxa"/>
            <w:vMerge/>
            <w:tcBorders>
              <w:left w:val="single" w:sz="6" w:space="0" w:color="000000"/>
              <w:bottom w:val="single" w:sz="6" w:space="0" w:color="000000"/>
              <w:right w:val="single" w:sz="6" w:space="0" w:color="000000"/>
            </w:tcBorders>
          </w:tcPr>
          <w:p>
            <w:pPr/>
          </w:p>
        </w:tc>
        <w:tc>
          <w:tcPr>
            <w:tcW w:w="4254" w:type="dxa"/>
            <w:vMerge/>
            <w:tcBorders>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95" w:right="283" w:firstLine="69"/>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8" w:hRule="exact"/>
        </w:trPr>
        <w:tc>
          <w:tcPr>
            <w:tcW w:w="1527" w:type="dxa"/>
            <w:vMerge w:val="restart"/>
            <w:tcBorders>
              <w:top w:val="single" w:sz="6" w:space="0" w:color="000000"/>
              <w:left w:val="single" w:sz="6" w:space="0" w:color="000000"/>
              <w:right w:val="single" w:sz="6" w:space="0" w:color="000000"/>
            </w:tcBorders>
          </w:tcPr>
          <w:p>
            <w:pPr>
              <w:pStyle w:val="TableParagraph"/>
              <w:spacing w:line="309" w:lineRule="auto" w:before="20"/>
              <w:ind w:left="4" w:right="65" w:firstLine="360"/>
              <w:jc w:val="left"/>
              <w:rPr>
                <w:rFonts w:ascii="宋体" w:hAnsi="宋体" w:cs="宋体" w:eastAsia="宋体" w:hint="default"/>
                <w:sz w:val="18"/>
                <w:szCs w:val="18"/>
              </w:rPr>
            </w:pPr>
            <w:r>
              <w:rPr>
                <w:rFonts w:ascii="宋体" w:hAnsi="宋体" w:cs="宋体" w:eastAsia="宋体" w:hint="default"/>
                <w:sz w:val="18"/>
                <w:szCs w:val="18"/>
              </w:rPr>
              <w:t>《企业会计准 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 股权投资》</w:t>
            </w:r>
          </w:p>
        </w:tc>
        <w:tc>
          <w:tcPr>
            <w:tcW w:w="4254"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92" w:firstLine="360"/>
              <w:jc w:val="both"/>
              <w:rPr>
                <w:rFonts w:ascii="宋体" w:hAnsi="宋体" w:cs="宋体" w:eastAsia="宋体" w:hint="default"/>
                <w:sz w:val="18"/>
                <w:szCs w:val="18"/>
              </w:rPr>
            </w:pPr>
            <w:r>
              <w:rPr>
                <w:rFonts w:ascii="宋体" w:hAnsi="宋体" w:cs="宋体" w:eastAsia="宋体" w:hint="default"/>
                <w:sz w:val="18"/>
                <w:szCs w:val="18"/>
              </w:rPr>
              <w:t>执行会计准则的规定采用追溯调整法调整本公司 北京恒易传奇科技有限责任公司及上海无寻网络科技 有限公司的投资</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6"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624" w:hRule="exact"/>
        </w:trPr>
        <w:tc>
          <w:tcPr>
            <w:tcW w:w="1527" w:type="dxa"/>
            <w:vMerge/>
            <w:tcBorders>
              <w:left w:val="single" w:sz="6" w:space="0" w:color="000000"/>
              <w:bottom w:val="single" w:sz="6" w:space="0" w:color="000000"/>
              <w:right w:val="single" w:sz="6" w:space="0" w:color="000000"/>
            </w:tcBorders>
          </w:tcPr>
          <w:p>
            <w:pPr/>
          </w:p>
        </w:tc>
        <w:tc>
          <w:tcPr>
            <w:tcW w:w="4254" w:type="dxa"/>
            <w:vMerge/>
            <w:tcBorders>
              <w:left w:val="single" w:sz="6" w:space="0" w:color="000000"/>
              <w:bottom w:val="single" w:sz="6" w:space="0" w:color="000000"/>
              <w:right w:val="single" w:sz="6" w:space="0" w:color="000000"/>
            </w:tcBorders>
          </w:tcPr>
          <w:p>
            <w:pP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152" w:right="18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日第二届董事会第四次会议审议通过了《关于</w:t>
      </w:r>
      <w:r>
        <w:rPr>
          <w:rFonts w:ascii="Times New Roman" w:hAnsi="Times New Roman" w:cs="Times New Roman" w:eastAsia="Times New Roman" w:hint="default"/>
        </w:rPr>
        <w:t>2013</w:t>
      </w:r>
      <w:r>
        <w:rPr/>
        <w:t>年度利润分配方案的议案》，在符合利润分配原则、保 </w:t>
      </w:r>
      <w:r>
        <w:rPr>
          <w:spacing w:val="-10"/>
        </w:rPr>
        <w:t>证公司正常经营和长远发展的前提下，根据《公司法》及《公司章程》的相关规定，拟定如下分配方案：以公司总股本</w:t>
      </w:r>
      <w:r>
        <w:rPr>
          <w:rFonts w:ascii="Times New Roman" w:hAnsi="Times New Roman" w:cs="Times New Roman" w:eastAsia="Times New Roman" w:hint="default"/>
          <w:spacing w:val="-10"/>
        </w:rPr>
        <w:t>133,400,000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1</w:t>
      </w:r>
      <w:r>
        <w:rPr>
          <w:spacing w:val="-2"/>
        </w:rPr>
        <w:t>元人民币（含税）；</w:t>
      </w:r>
      <w:r>
        <w:rPr>
          <w:spacing w:val="-10"/>
        </w:rPr>
        <w:t> </w:t>
      </w:r>
      <w:r>
        <w:rPr>
          <w:spacing w:val="-1"/>
        </w:rPr>
        <w:t>同时进行资本公积金转增股本，以公司总股本</w:t>
      </w:r>
      <w:r>
        <w:rPr>
          <w:rFonts w:ascii="Times New Roman" w:hAnsi="Times New Roman" w:cs="Times New Roman" w:eastAsia="Times New Roman" w:hint="default"/>
          <w:spacing w:val="-1"/>
        </w:rPr>
        <w:t>133,400,000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133,400,000</w:t>
      </w:r>
      <w:r>
        <w:rPr>
          <w:spacing w:val="-2"/>
        </w:rPr>
        <w:t>股，转增后公司总股本将增加至</w:t>
      </w:r>
      <w:r>
        <w:rPr>
          <w:rFonts w:ascii="Times New Roman" w:hAnsi="Times New Roman" w:cs="Times New Roman" w:eastAsia="Times New Roman" w:hint="default"/>
          <w:spacing w:val="-2"/>
        </w:rPr>
        <w:t>266,800,000</w:t>
      </w:r>
      <w:r>
        <w:rPr>
          <w:spacing w:val="-2"/>
        </w:rPr>
        <w:t>股。并提请股东大会</w:t>
      </w:r>
      <w:r>
        <w:rPr>
          <w:spacing w:val="-46"/>
        </w:rPr>
        <w:t> </w:t>
      </w:r>
      <w:r>
        <w:rPr>
          <w:spacing w:val="-46"/>
        </w:rPr>
      </w:r>
      <w:r>
        <w:rPr>
          <w:spacing w:val="-2"/>
        </w:rPr>
        <w:t>授权公司董事会在股东会审议通过后对《公司章程》进行相应修改。</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2013</w:t>
      </w:r>
      <w:r>
        <w:rPr>
          <w:spacing w:val="-2"/>
        </w:rPr>
        <w:t>年度股东大会审议通过了上述</w:t>
      </w:r>
    </w:p>
    <w:p>
      <w:pPr>
        <w:pStyle w:val="BodyText"/>
        <w:spacing w:line="240" w:lineRule="auto" w:before="13"/>
        <w:ind w:left="152" w:right="0"/>
        <w:jc w:val="left"/>
      </w:pPr>
      <w:r>
        <w:rPr/>
        <w:t>《关于</w:t>
      </w:r>
      <w:r>
        <w:rPr>
          <w:rFonts w:ascii="Times New Roman" w:hAnsi="Times New Roman" w:cs="Times New Roman" w:eastAsia="Times New Roman" w:hint="default"/>
        </w:rPr>
        <w:t>2013</w:t>
      </w:r>
      <w:r>
        <w:rPr/>
        <w:t>年度利润分配方案的议案》；</w:t>
      </w:r>
      <w:r>
        <w:rPr>
          <w:rFonts w:ascii="Times New Roman" w:hAnsi="Times New Roman" w:cs="Times New Roman" w:eastAsia="Times New Roman" w:hint="default"/>
        </w:rPr>
        <w:t>2013</w:t>
      </w:r>
      <w:r>
        <w:rPr/>
        <w:t>年度权益分派股权登记日为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679"/>
        <w:gridCol w:w="4892"/>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8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77"/>
        <w:gridCol w:w="4892"/>
      </w:tblGrid>
      <w:tr>
        <w:trPr>
          <w:trHeight w:val="36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益是否得到了充分保护：</w:t>
            </w:r>
          </w:p>
        </w:tc>
        <w:tc>
          <w:tcPr>
            <w:tcW w:w="489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2" w:firstLine="36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 规、透明：</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48" w:lineRule="auto" w:before="117"/>
        <w:ind w:right="29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266,800,000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224,820,316.52</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公司拟以现有总股本</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股为基数</w:t>
            </w:r>
            <w:r>
              <w:rPr>
                <w:rFonts w:ascii="宋体" w:hAnsi="宋体" w:cs="宋体" w:eastAsia="宋体" w:hint="default"/>
                <w:spacing w:val="-92"/>
                <w:sz w:val="18"/>
                <w:szCs w:val="18"/>
              </w:rPr>
              <w:t>，</w:t>
            </w:r>
            <w:r>
              <w:rPr>
                <w:rFonts w:ascii="宋体" w:hAnsi="宋体" w:cs="宋体" w:eastAsia="宋体" w:hint="default"/>
                <w:sz w:val="18"/>
                <w:szCs w:val="18"/>
              </w:rPr>
              <w:t>每十股派发现</w:t>
            </w:r>
            <w:r>
              <w:rPr>
                <w:rFonts w:ascii="宋体" w:hAnsi="宋体" w:cs="宋体" w:eastAsia="宋体" w:hint="default"/>
                <w:spacing w:val="-3"/>
                <w:sz w:val="18"/>
                <w:szCs w:val="18"/>
              </w:rPr>
              <w:t>金</w:t>
            </w:r>
            <w:r>
              <w:rPr>
                <w:rFonts w:ascii="宋体" w:hAnsi="宋体" w:cs="宋体" w:eastAsia="宋体" w:hint="default"/>
                <w:sz w:val="18"/>
                <w:szCs w:val="18"/>
              </w:rPr>
              <w:t>股利</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元人民</w:t>
            </w:r>
            <w:r>
              <w:rPr>
                <w:rFonts w:ascii="宋体" w:hAnsi="宋体" w:cs="宋体" w:eastAsia="宋体" w:hint="default"/>
                <w:spacing w:val="-92"/>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共</w:t>
            </w:r>
            <w:r>
              <w:rPr>
                <w:rFonts w:ascii="宋体" w:hAnsi="宋体" w:cs="宋体" w:eastAsia="宋体" w:hint="default"/>
                <w:spacing w:val="2"/>
                <w:sz w:val="18"/>
                <w:szCs w:val="18"/>
              </w:rPr>
              <w:t>计</w:t>
            </w:r>
            <w:r>
              <w:rPr>
                <w:rFonts w:ascii="宋体" w:hAnsi="宋体" w:cs="宋体" w:eastAsia="宋体" w:hint="default"/>
                <w:sz w:val="18"/>
                <w:szCs w:val="18"/>
              </w:rPr>
              <w:t>派发现金股利</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元。不使用未分配利润进行送股。公司剩余未分配利润结转至以后年度。</w:t>
            </w:r>
          </w:p>
        </w:tc>
      </w:tr>
    </w:tbl>
    <w:p>
      <w:pPr>
        <w:pStyle w:val="BodyText"/>
        <w:spacing w:line="240" w:lineRule="auto" w:before="49"/>
        <w:ind w:right="0"/>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3"/>
        <w:ind w:left="152" w:right="150" w:firstLine="360"/>
        <w:jc w:val="both"/>
      </w:pPr>
      <w:r>
        <w:rPr/>
        <w:t>公司</w:t>
      </w:r>
      <w:r>
        <w:rPr>
          <w:rFonts w:ascii="Times New Roman" w:hAnsi="Times New Roman" w:cs="Times New Roman" w:eastAsia="Times New Roman" w:hint="default"/>
        </w:rPr>
        <w:t>2012</w:t>
      </w:r>
      <w:r>
        <w:rPr/>
        <w:t>年度股东大会审议通过</w:t>
      </w:r>
      <w:r>
        <w:rPr>
          <w:rFonts w:ascii="Times New Roman" w:hAnsi="Times New Roman" w:cs="Times New Roman" w:eastAsia="Times New Roman" w:hint="default"/>
        </w:rPr>
        <w:t>2012</w:t>
      </w:r>
      <w:r>
        <w:rPr/>
        <w:t>年度利润分配方案为以当时总股本 </w:t>
      </w:r>
      <w:r>
        <w:rPr>
          <w:rFonts w:ascii="Times New Roman" w:hAnsi="Times New Roman" w:cs="Times New Roman" w:eastAsia="Times New Roman" w:hint="default"/>
        </w:rPr>
        <w:t>66,700,000 </w:t>
      </w:r>
      <w:r>
        <w:rPr>
          <w:spacing w:val="-3"/>
        </w:rPr>
        <w:t>股为基数，每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股派发现金股利</w:t>
      </w:r>
      <w:r>
        <w:rPr>
          <w:rFonts w:ascii="Times New Roman" w:hAnsi="Times New Roman" w:cs="Times New Roman" w:eastAsia="Times New Roman" w:hint="default"/>
        </w:rPr>
        <w:t>2 </w:t>
      </w:r>
      <w:r>
        <w:rPr/>
        <w:t>元人民币（含税），共计派发现金股利</w:t>
      </w:r>
      <w:r>
        <w:rPr>
          <w:rFonts w:ascii="Times New Roman" w:hAnsi="Times New Roman" w:cs="Times New Roman" w:eastAsia="Times New Roman" w:hint="default"/>
        </w:rPr>
        <w:t>13,340,000.00</w:t>
      </w:r>
      <w:r>
        <w:rPr/>
        <w:t>元。同时使用资本公积金每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股，不使用未分配利润进行送 股。公司剩余未分配利润结转至以后年度。</w:t>
      </w:r>
    </w:p>
    <w:p>
      <w:pPr>
        <w:pStyle w:val="BodyText"/>
        <w:spacing w:line="300" w:lineRule="auto" w:before="31"/>
        <w:ind w:left="152" w:right="144" w:firstLine="360"/>
        <w:jc w:val="left"/>
      </w:pPr>
      <w:r>
        <w:rPr/>
        <w:t>公司</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年度利润分配方案为以总股本</w:t>
      </w:r>
      <w:r>
        <w:rPr>
          <w:rFonts w:ascii="Times New Roman" w:hAnsi="Times New Roman" w:cs="Times New Roman" w:eastAsia="Times New Roman" w:hint="default"/>
        </w:rPr>
        <w:t>133,400,000</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元人民 币（含税），共计派发现金股利</w:t>
      </w:r>
      <w:r>
        <w:rPr>
          <w:rFonts w:ascii="Times New Roman" w:hAnsi="Times New Roman" w:cs="Times New Roman" w:eastAsia="Times New Roman" w:hint="default"/>
        </w:rPr>
        <w:t>13,340,000.00</w:t>
      </w:r>
      <w:r>
        <w:rPr>
          <w:rFonts w:ascii="Times New Roman" w:hAnsi="Times New Roman" w:cs="Times New Roman" w:eastAsia="Times New Roman" w:hint="default"/>
          <w:spacing w:val="25"/>
        </w:rPr>
        <w:t> </w:t>
      </w:r>
      <w:r>
        <w:rPr/>
        <w:t>元。同时使用资本公积金每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股，不使用未分配利润进行送股。公 司剩余未分配利润结转至以后年度。</w:t>
      </w:r>
    </w:p>
    <w:p>
      <w:pPr>
        <w:pStyle w:val="BodyText"/>
        <w:spacing w:line="300" w:lineRule="auto" w:before="31"/>
        <w:ind w:left="152" w:right="167" w:firstLine="360"/>
        <w:jc w:val="left"/>
      </w:pPr>
      <w:r>
        <w:rPr/>
        <w:t>公司第二届董事会第十次会议审议通过</w:t>
      </w:r>
      <w:r>
        <w:rPr>
          <w:rFonts w:ascii="Times New Roman" w:hAnsi="Times New Roman" w:cs="Times New Roman" w:eastAsia="Times New Roman" w:hint="default"/>
        </w:rPr>
        <w:t>2014</w:t>
      </w:r>
      <w:r>
        <w:rPr/>
        <w:t>年度利润分配方案为以总股本</w:t>
      </w:r>
      <w:r>
        <w:rPr>
          <w:rFonts w:ascii="Times New Roman" w:hAnsi="Times New Roman" w:cs="Times New Roman" w:eastAsia="Times New Roman" w:hint="default"/>
        </w:rPr>
        <w:t>266,800,000</w:t>
      </w:r>
      <w:r>
        <w:rPr/>
        <w:t>股为基数，每十股派发现金股利 </w:t>
      </w:r>
      <w:r>
        <w:rPr>
          <w:rFonts w:ascii="Times New Roman" w:hAnsi="Times New Roman" w:cs="Times New Roman" w:eastAsia="Times New Roman" w:hint="default"/>
        </w:rPr>
        <w:t>0.5</w:t>
      </w:r>
      <w:r>
        <w:rPr/>
        <w:t>元人民币（含税），共计派发现金股利</w:t>
      </w:r>
      <w:r>
        <w:rPr>
          <w:rFonts w:ascii="Times New Roman" w:hAnsi="Times New Roman" w:cs="Times New Roman" w:eastAsia="Times New Roman" w:hint="default"/>
        </w:rPr>
        <w:t>13,340,000.00</w:t>
      </w:r>
      <w:r>
        <w:rPr>
          <w:rFonts w:ascii="Times New Roman" w:hAnsi="Times New Roman" w:cs="Times New Roman" w:eastAsia="Times New Roman" w:hint="default"/>
          <w:spacing w:val="22"/>
        </w:rPr>
        <w:t> </w:t>
      </w:r>
      <w:r>
        <w:rPr/>
        <w:t>元。不使用未分配利润进行送股。公司剩余未分配利润结转至以后 年度分配。</w:t>
      </w: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公司近三年现金分红情况表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02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0"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0" w:firstLine="360"/>
              <w:jc w:val="left"/>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属于上市公司普通股股东的</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11" w:firstLine="360"/>
              <w:jc w:val="left"/>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市公司普通股股东的净利润</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的比率</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13,340,000.00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2"/>
              <w:jc w:val="right"/>
              <w:rPr>
                <w:rFonts w:ascii="Times New Roman" w:hAnsi="Times New Roman" w:cs="Times New Roman" w:eastAsia="Times New Roman" w:hint="default"/>
                <w:sz w:val="18"/>
                <w:szCs w:val="18"/>
              </w:rPr>
            </w:pPr>
            <w:r>
              <w:rPr>
                <w:rFonts w:ascii="Times New Roman"/>
                <w:spacing w:val="-1"/>
                <w:sz w:val="18"/>
              </w:rPr>
              <w:t>67,993,885.54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9"/>
              <w:jc w:val="right"/>
              <w:rPr>
                <w:rFonts w:ascii="Times New Roman" w:hAnsi="Times New Roman" w:cs="Times New Roman" w:eastAsia="Times New Roman" w:hint="default"/>
                <w:sz w:val="18"/>
                <w:szCs w:val="18"/>
              </w:rPr>
            </w:pPr>
            <w:r>
              <w:rPr>
                <w:rFonts w:ascii="Times New Roman"/>
                <w:sz w:val="18"/>
              </w:rPr>
              <w:t>19.62%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center"/>
              <w:rPr>
                <w:rFonts w:ascii="Times New Roman" w:hAnsi="Times New Roman" w:cs="Times New Roman" w:eastAsia="Times New Roman" w:hint="default"/>
                <w:sz w:val="18"/>
                <w:szCs w:val="18"/>
              </w:rPr>
            </w:pPr>
            <w:r>
              <w:rPr>
                <w:rFonts w:ascii="Times New Roman"/>
                <w:sz w:val="18"/>
              </w:rPr>
              <w:t>13,340,000.00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2"/>
              <w:jc w:val="right"/>
              <w:rPr>
                <w:rFonts w:ascii="Times New Roman" w:hAnsi="Times New Roman" w:cs="Times New Roman" w:eastAsia="Times New Roman" w:hint="default"/>
                <w:sz w:val="18"/>
                <w:szCs w:val="18"/>
              </w:rPr>
            </w:pPr>
            <w:r>
              <w:rPr>
                <w:rFonts w:ascii="Times New Roman"/>
                <w:spacing w:val="-1"/>
                <w:sz w:val="18"/>
              </w:rPr>
              <w:t>67,791,239.78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9"/>
              <w:jc w:val="right"/>
              <w:rPr>
                <w:rFonts w:ascii="Times New Roman" w:hAnsi="Times New Roman" w:cs="Times New Roman" w:eastAsia="Times New Roman" w:hint="default"/>
                <w:sz w:val="18"/>
                <w:szCs w:val="18"/>
              </w:rPr>
            </w:pPr>
            <w:r>
              <w:rPr>
                <w:rFonts w:ascii="Times New Roman"/>
                <w:sz w:val="18"/>
              </w:rPr>
              <w:t>19.68%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13,340,000.00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2"/>
              <w:jc w:val="right"/>
              <w:rPr>
                <w:rFonts w:ascii="Times New Roman" w:hAnsi="Times New Roman" w:cs="Times New Roman" w:eastAsia="Times New Roman" w:hint="default"/>
                <w:sz w:val="18"/>
                <w:szCs w:val="18"/>
              </w:rPr>
            </w:pPr>
            <w:r>
              <w:rPr>
                <w:rFonts w:ascii="Times New Roman"/>
                <w:spacing w:val="-1"/>
                <w:sz w:val="18"/>
              </w:rPr>
              <w:t>60,107,528.99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29"/>
              <w:jc w:val="right"/>
              <w:rPr>
                <w:rFonts w:ascii="Times New Roman" w:hAnsi="Times New Roman" w:cs="Times New Roman" w:eastAsia="Times New Roman" w:hint="default"/>
                <w:sz w:val="18"/>
                <w:szCs w:val="18"/>
              </w:rPr>
            </w:pPr>
            <w:r>
              <w:rPr>
                <w:rFonts w:ascii="Times New Roman"/>
                <w:sz w:val="18"/>
              </w:rPr>
              <w:t>22.19%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t>（一）内幕知情人登记管理制度建立情况 </w:t>
      </w:r>
      <w:r>
        <w:rPr>
          <w:spacing w:val="-2"/>
        </w:rPr>
        <w:t>为规范公司内幕信息管理，加强保密工作维护披露的公开、公平、公正原则，保护广大投资者的合法权益，公司专门制</w:t>
      </w:r>
    </w:p>
    <w:p>
      <w:pPr>
        <w:pStyle w:val="BodyText"/>
        <w:spacing w:line="240" w:lineRule="auto" w:before="19"/>
        <w:ind w:left="152" w:right="0"/>
        <w:jc w:val="both"/>
      </w:pPr>
      <w:r>
        <w:rPr/>
        <w:t>订了《内幕信息知情人管理制度》并经</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日召开的公司第一届董事会第九次临时会议审议通过。</w:t>
      </w:r>
    </w:p>
    <w:p>
      <w:pPr>
        <w:pStyle w:val="BodyText"/>
        <w:spacing w:line="240" w:lineRule="auto" w:before="63"/>
        <w:ind w:right="0"/>
        <w:jc w:val="left"/>
      </w:pPr>
      <w:r>
        <w:rPr/>
        <w:t>（二）内幕知情人登记管理制度执行情况</w:t>
      </w:r>
    </w:p>
    <w:p>
      <w:pPr>
        <w:pStyle w:val="BodyText"/>
        <w:spacing w:line="300" w:lineRule="auto" w:before="76"/>
        <w:ind w:right="93"/>
        <w:jc w:val="left"/>
      </w:pPr>
      <w:r>
        <w:rPr>
          <w:rFonts w:ascii="Times New Roman" w:hAnsi="Times New Roman" w:cs="Times New Roman" w:eastAsia="Times New Roman" w:hint="default"/>
        </w:rPr>
        <w:t>1</w:t>
      </w:r>
      <w:r>
        <w:rPr/>
        <w:t>、公司重大事项的信息保密工作 报告期内，公司严格执行内幕信息登记管理制度，严格规范信息传递流程，在定期报告披露期间和临时公告披露期间，</w:t>
      </w:r>
    </w:p>
    <w:p>
      <w:pPr>
        <w:pStyle w:val="BodyText"/>
        <w:spacing w:line="316" w:lineRule="auto" w:before="32"/>
        <w:ind w:left="152" w:right="192"/>
        <w:jc w:val="both"/>
      </w:pPr>
      <w:r>
        <w:rPr>
          <w:spacing w:val="-2"/>
        </w:rPr>
        <w:t>对未公开信息，公司证券投资部都会严格控制知情人范围并组织相关内幕知情人填写《内幕信息知情人登记表》，如实、完</w:t>
      </w:r>
      <w:r>
        <w:rPr>
          <w:spacing w:val="-67"/>
        </w:rPr>
        <w:t> </w:t>
      </w:r>
      <w:r>
        <w:rPr>
          <w:spacing w:val="-67"/>
        </w:rPr>
      </w:r>
      <w:r>
        <w:rPr>
          <w:spacing w:val="-2"/>
        </w:rPr>
        <w:t>整记录上述信息在公开前的所有内幕信息知情人名单，以及知情人知悉内幕信息的时间等。按照相关法规规定向深圳证券交</w:t>
      </w:r>
      <w:r>
        <w:rPr>
          <w:spacing w:val="-63"/>
        </w:rPr>
        <w:t> </w:t>
      </w:r>
      <w:r>
        <w:rPr>
          <w:spacing w:val="-63"/>
        </w:rPr>
      </w:r>
      <w:r>
        <w:rPr/>
        <w:t>易所和证监会报送定期报告和临时报告相关资料的同时报备内幕信息知情人登记情况。</w:t>
      </w:r>
    </w:p>
    <w:p>
      <w:pPr>
        <w:pStyle w:val="BodyText"/>
        <w:spacing w:line="307" w:lineRule="auto" w:before="19"/>
        <w:ind w:right="0"/>
        <w:jc w:val="left"/>
      </w:pPr>
      <w:r>
        <w:rPr>
          <w:rFonts w:ascii="Times New Roman" w:hAnsi="Times New Roman" w:cs="Times New Roman" w:eastAsia="Times New Roman" w:hint="default"/>
        </w:rPr>
        <w:t>2</w:t>
      </w:r>
      <w:r>
        <w:rPr/>
        <w:t>、内幕知情人在敏感期买卖本公司股票情况 报告期内，公司董事、监事和高管及其配偶、父母、子女等直系亲属未有在敏感期买卖公司股票的行为发生。 </w:t>
      </w:r>
      <w:r>
        <w:rPr>
          <w:rFonts w:ascii="Times New Roman" w:hAnsi="Times New Roman" w:cs="Times New Roman" w:eastAsia="Times New Roman" w:hint="default"/>
        </w:rPr>
        <w:t>3</w:t>
      </w:r>
      <w:r>
        <w:rPr/>
        <w:t>、对董事、监事、高级管理人员进行内幕信息相关法律培训 </w:t>
      </w:r>
      <w:r>
        <w:rPr>
          <w:spacing w:val="-2"/>
        </w:rPr>
        <w:t>为了提高董事、监事、高级管理人员对内幕信息重要性的认识，公司证券投资部组织董监高及相关人员进行内部培训并</w:t>
      </w:r>
    </w:p>
    <w:p>
      <w:pPr>
        <w:pStyle w:val="BodyText"/>
        <w:spacing w:line="240" w:lineRule="auto" w:before="26"/>
        <w:ind w:left="152" w:right="0"/>
        <w:jc w:val="both"/>
      </w:pPr>
      <w:r>
        <w:rPr/>
        <w:t>参加了证监局组织的内幕交易警示录的参观学习。</w:t>
      </w:r>
    </w:p>
    <w:p>
      <w:pPr>
        <w:pStyle w:val="BodyText"/>
        <w:spacing w:line="307" w:lineRule="auto" w:before="76"/>
        <w:ind w:right="178"/>
        <w:jc w:val="left"/>
      </w:pPr>
      <w:r>
        <w:rPr>
          <w:rFonts w:ascii="Times New Roman" w:hAnsi="Times New Roman" w:cs="Times New Roman" w:eastAsia="Times New Roman" w:hint="default"/>
        </w:rPr>
        <w:t>4</w:t>
      </w:r>
      <w:r>
        <w:rPr/>
        <w:t>、公司对外部信息管理的落实情况 报告期内，公司未对控股股东、实际控制人、政府及其它外部单位提供未经披露的财务报表和其它内幕信息。 </w:t>
      </w:r>
      <w:r>
        <w:rPr>
          <w:rFonts w:ascii="Times New Roman" w:hAnsi="Times New Roman" w:cs="Times New Roman" w:eastAsia="Times New Roman" w:hint="default"/>
        </w:rPr>
        <w:t>5</w:t>
      </w:r>
      <w:r>
        <w:rPr/>
        <w:t>、公司对调研（采访）信息管理的落实情况 </w:t>
      </w:r>
      <w:r>
        <w:rPr>
          <w:spacing w:val="-5"/>
        </w:rPr>
        <w:t>公司根据《深交所创业板上市公司信息披露指引》的规定，对来公司调研（或采访）的机构和人员均事先要求其签署《承</w:t>
      </w:r>
    </w:p>
    <w:p>
      <w:pPr>
        <w:pStyle w:val="BodyText"/>
        <w:spacing w:line="316" w:lineRule="auto" w:before="26"/>
        <w:ind w:left="152" w:right="0"/>
        <w:jc w:val="left"/>
      </w:pPr>
      <w:r>
        <w:rPr>
          <w:spacing w:val="-2"/>
        </w:rPr>
        <w:t>诺书》，并要求调研（或采访）的机构和人员在调研会议纪要上签字确认，以保证机构调研（或采访）人员能遵守相关规定</w:t>
      </w:r>
      <w:r>
        <w:rPr>
          <w:spacing w:val="-73"/>
        </w:rPr>
        <w:t> </w:t>
      </w:r>
      <w:r>
        <w:rPr>
          <w:spacing w:val="-73"/>
        </w:rPr>
      </w:r>
      <w:r>
        <w:rPr/>
        <w:t>和公司相关信息按规定渠道披露。</w:t>
      </w:r>
    </w:p>
    <w:p>
      <w:pPr>
        <w:pStyle w:val="BodyText"/>
        <w:spacing w:line="300" w:lineRule="auto" w:before="19"/>
        <w:ind w:right="0"/>
        <w:jc w:val="left"/>
      </w:pPr>
      <w:r>
        <w:rPr>
          <w:rFonts w:ascii="Times New Roman" w:hAnsi="Times New Roman" w:cs="Times New Roman" w:eastAsia="Times New Roman" w:hint="default"/>
        </w:rPr>
        <w:t>6</w:t>
      </w:r>
      <w:r>
        <w:rPr/>
        <w:t>、对内幕信息资料的管理情况 </w:t>
      </w:r>
      <w:r>
        <w:rPr>
          <w:spacing w:val="-4"/>
        </w:rPr>
        <w:t>公司证券投资部门负责内幕信息管理，对内幕信息的使用进行登记、归档和备查，能够按照《内幕知情人登记管理制度》</w:t>
      </w:r>
    </w:p>
    <w:p>
      <w:pPr>
        <w:pStyle w:val="BodyText"/>
        <w:spacing w:line="240" w:lineRule="auto" w:before="31"/>
        <w:ind w:left="152" w:right="0"/>
        <w:jc w:val="both"/>
      </w:pPr>
      <w:r>
        <w:rPr/>
        <w:t>严格控制知情人范围。特别是定期报告中的内幕知情人都按要求向深交所和监管局报备。</w:t>
      </w:r>
    </w:p>
    <w:p>
      <w:pPr>
        <w:pStyle w:val="BodyText"/>
        <w:spacing w:line="240" w:lineRule="auto" w:before="76"/>
        <w:ind w:right="0"/>
        <w:jc w:val="left"/>
      </w:pPr>
      <w:r>
        <w:rPr>
          <w:rFonts w:ascii="Times New Roman" w:hAnsi="Times New Roman" w:cs="Times New Roman" w:eastAsia="Times New Roman" w:hint="default"/>
        </w:rPr>
        <w:t>7</w:t>
      </w:r>
      <w:r>
        <w:rPr/>
        <w:t>、报告期内，公司未发生受到监管部门查处和整改的情形。</w:t>
      </w:r>
    </w:p>
    <w:p>
      <w:pPr>
        <w:pStyle w:val="BodyText"/>
        <w:spacing w:line="240" w:lineRule="auto" w:before="63"/>
        <w:ind w:right="0"/>
        <w:jc w:val="left"/>
      </w:pPr>
      <w:r>
        <w:rPr>
          <w:rFonts w:ascii="Times New Roman" w:hAnsi="Times New Roman" w:cs="Times New Roman" w:eastAsia="Times New Roman" w:hint="default"/>
        </w:rPr>
        <w:t>8</w:t>
      </w:r>
      <w:r>
        <w:rPr/>
        <w:t>、报告期内，公司不存在向大股东、实际控股人提供未公开信息等公司治理非规范情况。</w:t>
      </w:r>
    </w:p>
    <w:p>
      <w:pPr>
        <w:pStyle w:val="BodyText"/>
        <w:spacing w:line="316" w:lineRule="auto" w:before="63"/>
        <w:ind w:right="0"/>
        <w:jc w:val="left"/>
      </w:pPr>
      <w:r>
        <w:rPr/>
        <w:t>（三）</w:t>
      </w:r>
      <w:r>
        <w:rPr>
          <w:spacing w:val="-19"/>
        </w:rPr>
        <w:t> </w:t>
      </w:r>
      <w:r>
        <w:rPr/>
        <w:t>报告期内，自查内幕信息知情人涉嫌内幕交易以及监管部门的查处和整改情况</w:t>
      </w:r>
      <w:r>
        <w:rPr/>
        <w:t> </w:t>
      </w:r>
      <w:r>
        <w:rPr>
          <w:spacing w:val="-2"/>
        </w:rPr>
        <w:t>报告期内，公司董事、监事、高级管理人员及其他相关人员严格遵守内幕信息知情人管理制度，未发现有内幕信息知情</w:t>
      </w:r>
    </w:p>
    <w:p>
      <w:pPr>
        <w:pStyle w:val="BodyText"/>
        <w:spacing w:line="240" w:lineRule="auto" w:before="19"/>
        <w:ind w:left="152" w:right="0"/>
        <w:jc w:val="both"/>
      </w:pPr>
      <w:r>
        <w:rPr/>
        <w:t>人利用内幕信息买卖公司股票的情况。报告期内，未发生因内幕信息知情人涉嫌内幕交易受到监管部门查处情况。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0"/>
        <w:jc w:val="both"/>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pict>
          <v:shape style="position:absolute;margin-left:388.993011pt;margin-top:53.347721pt;width:146.1pt;height:64.5pt;mso-position-horizontal-relative:page;mso-position-vertical-relative:paragraph;z-index:-7252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天安财险、</w:t>
                  </w:r>
                </w:p>
              </w:txbxContent>
            </v:textbox>
            <w10:wrap type="none"/>
          </v:shape>
        </w:pict>
      </w:r>
      <w:r>
        <w:rPr/>
        <w:pict>
          <v:group style="position:absolute;margin-left:431.109985pt;margin-top:53.347721pt;width:103.95pt;height:64.5pt;mso-position-horizontal-relative:page;mso-position-vertical-relative:paragraph;z-index:-725248" coordorigin="8622,1067" coordsize="2079,1290">
            <v:group style="position:absolute;left:8622;top:1067;width:2079;height:1290" coordorigin="8622,1067" coordsize="2079,1290">
              <v:shape style="position:absolute;left:8622;top:1067;width:2079;height:1290" coordorigin="8622,1067" coordsize="2079,1290" path="m8622,2356l10701,2356,10701,1067,8622,1067,8622,2356xe" filled="true" fillcolor="#ffffff" stroked="false">
                <v:path arrowok="t"/>
                <v:fill type="solid"/>
              </v:shape>
            </v:group>
            <v:group style="position:absolute;left:8646;top:1204;width:2031;height:351" coordorigin="8646,1204" coordsize="2031,351">
              <v:shape style="position:absolute;left:8646;top:1204;width:2031;height:351" coordorigin="8646,1204" coordsize="2031,351" path="m8646,1554l10677,1554,10677,1204,8646,1204,8646,1554xe" filled="true" fillcolor="#ffffff" stroked="false">
                <v:path arrowok="t"/>
                <v:fill type="solid"/>
              </v:shape>
            </v:group>
            <v:group style="position:absolute;left:8646;top:1554;width:2031;height:313" coordorigin="8646,1554" coordsize="2031,313">
              <v:shape style="position:absolute;left:8646;top:1554;width:2031;height:313" coordorigin="8646,1554" coordsize="2031,313" path="m8646,1867l10677,1867,10677,1554,8646,1554,8646,1867xe" filled="true" fillcolor="#ffffff" stroked="false">
                <v:path arrowok="t"/>
                <v:fill type="solid"/>
              </v:shape>
            </v:group>
            <v:group style="position:absolute;left:8646;top:1867;width:2031;height:353" coordorigin="8646,1867" coordsize="2031,353">
              <v:shape style="position:absolute;left:8646;top:1867;width:2031;height:353" coordorigin="8646,1867" coordsize="2031,353" path="m8646,2219l10677,2219,10677,1867,8646,1867,8646,2219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9" w:right="47" w:hanging="272"/>
              <w:jc w:val="left"/>
              <w:rPr>
                <w:rFonts w:ascii="宋体" w:hAnsi="宋体" w:cs="宋体" w:eastAsia="宋体" w:hint="default"/>
                <w:sz w:val="18"/>
                <w:szCs w:val="18"/>
              </w:rPr>
            </w:pPr>
            <w:r>
              <w:rPr>
                <w:rFonts w:ascii="宋体" w:hAnsi="宋体" w:cs="宋体" w:eastAsia="宋体" w:hint="default"/>
                <w:sz w:val="18"/>
                <w:szCs w:val="18"/>
              </w:rPr>
              <w:t>谈论的主要内容及提 供的资料</w:t>
            </w:r>
          </w:p>
        </w:tc>
      </w:tr>
      <w:tr>
        <w:trPr>
          <w:trHeight w:val="129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firstLine="360"/>
              <w:jc w:val="left"/>
              <w:rPr>
                <w:rFonts w:ascii="宋体" w:hAnsi="宋体" w:cs="宋体" w:eastAsia="宋体" w:hint="default"/>
                <w:sz w:val="18"/>
                <w:szCs w:val="18"/>
              </w:rPr>
            </w:pPr>
            <w:r>
              <w:rPr>
                <w:rFonts w:ascii="宋体" w:hAnsi="宋体" w:cs="宋体" w:eastAsia="宋体" w:hint="default"/>
                <w:sz w:val="18"/>
                <w:szCs w:val="18"/>
              </w:rPr>
              <w:t>上瑞控股、宏 源证券、 浙商资管、中信证 券、长江证券、东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07" w:lineRule="auto"/>
              <w:ind w:left="23" w:right="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金甲防线</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况、公司现阶段的发展现 状和行业壁垒情况</w:t>
            </w:r>
          </w:p>
        </w:tc>
      </w:tr>
    </w:tbl>
    <w:p>
      <w:pPr>
        <w:spacing w:after="0" w:line="307"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r>
        <w:rPr/>
        <w:pict>
          <v:shape style="position:absolute;margin-left:388.993011pt;margin-top:72.47998pt;width:146.1pt;height:158.1pt;mso-position-horizontal-relative:page;mso-position-vertical-relative:page;z-index:-725224" type="#_x0000_t202" filled="false" stroked="false">
            <v:textbox inset="0,0,0,0">
              <w:txbxContent>
                <w:p>
                  <w:pPr>
                    <w:pStyle w:val="BodyText"/>
                    <w:spacing w:line="240" w:lineRule="auto" w:before="8"/>
                    <w:ind w:left="0" w:right="0"/>
                    <w:jc w:val="left"/>
                  </w:pPr>
                  <w:r>
                    <w:rPr/>
                    <w:t>华夏基金、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从容投资、</w:t>
                  </w:r>
                </w:p>
              </w:txbxContent>
            </v:textbox>
            <w10:wrap type="none"/>
          </v:shape>
        </w:pict>
      </w:r>
      <w:r>
        <w:rPr/>
        <w:pict>
          <v:shape style="position:absolute;margin-left:388.993011pt;margin-top:231.025986pt;width:146.1pt;height:66.4pt;mso-position-horizontal-relative:page;mso-position-vertical-relative:page;z-index:-725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万家基金、</w:t>
                  </w:r>
                </w:p>
              </w:txbxContent>
            </v:textbox>
            <w10:wrap type="none"/>
          </v:shape>
        </w:pict>
      </w:r>
      <w:r>
        <w:rPr/>
        <w:pict>
          <v:shape style="position:absolute;margin-left:388.993011pt;margin-top:349.249969pt;width:146.1pt;height:331.65pt;mso-position-horizontal-relative:page;mso-position-vertical-relative:page;z-index:-725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中信证券、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新华基金、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国海证券、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银河基金、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宏源证券、</w:t>
                  </w:r>
                </w:p>
              </w:txbxContent>
            </v:textbox>
            <w10:wrap type="none"/>
          </v:shape>
        </w:pict>
      </w:r>
      <w:r>
        <w:rPr/>
        <w:pict>
          <v:group style="position:absolute;margin-left:431.109985pt;margin-top:72.47998pt;width:103.95pt;height:224.95pt;mso-position-horizontal-relative:page;mso-position-vertical-relative:page;z-index:-725152" coordorigin="8622,1450" coordsize="2079,4499">
            <v:group style="position:absolute;left:8622;top:1450;width:2079;height:3162" coordorigin="8622,1450" coordsize="2079,3162">
              <v:shape style="position:absolute;left:8622;top:1450;width:2079;height:3162" coordorigin="8622,1450" coordsize="2079,3162" path="m8622,4611l10701,4611,10701,1450,8622,1450,8622,4611xe" filled="true" fillcolor="#ffffff" stroked="false">
                <v:path arrowok="t"/>
                <v:fill type="solid"/>
              </v:shape>
            </v:group>
            <v:group style="position:absolute;left:8622;top:4621;width:2079;height:1328" coordorigin="8622,4621" coordsize="2079,1328">
              <v:shape style="position:absolute;left:8622;top:4621;width:2079;height:1328" coordorigin="8622,4621" coordsize="2079,1328" path="m8622,5948l10701,5948,10701,4621,8622,4621,8622,5948xe" filled="true" fillcolor="#ffffff" stroked="false">
                <v:path arrowok="t"/>
                <v:fill type="solid"/>
              </v:shape>
            </v:group>
            <v:group style="position:absolute;left:8646;top:4933;width:2031;height:353" coordorigin="8646,4933" coordsize="2031,353">
              <v:shape style="position:absolute;left:8646;top:4933;width:2031;height:353" coordorigin="8646,4933" coordsize="2031,353" path="m8646,5286l10677,5286,10677,4933,8646,4933,8646,5286xe" filled="true" fillcolor="#ffffff" stroked="false">
                <v:path arrowok="t"/>
                <v:fill type="solid"/>
              </v:shape>
            </v:group>
            <v:group style="position:absolute;left:8646;top:5286;width:2031;height:351" coordorigin="8646,5286" coordsize="2031,351">
              <v:shape style="position:absolute;left:8646;top:5286;width:2031;height:351" coordorigin="8646,5286" coordsize="2031,351" path="m8646,5636l10677,5636,10677,5286,8646,5286,8646,5636xe" filled="true" fillcolor="#ffffff" stroked="false">
                <v:path arrowok="t"/>
                <v:fill type="solid"/>
              </v:shape>
            </v:group>
            <w10:wrap type="none"/>
          </v:group>
        </w:pict>
      </w:r>
      <w:r>
        <w:rPr/>
        <w:pict>
          <v:group style="position:absolute;margin-left:431.109985pt;margin-top:349.249969pt;width:107.45pt;height:331.65pt;mso-position-horizontal-relative:page;mso-position-vertical-relative:page;z-index:-725104" coordorigin="8622,6985" coordsize="2149,6633">
            <v:group style="position:absolute;left:8622;top:6985;width:2079;height:6633" coordorigin="8622,6985" coordsize="2079,6633">
              <v:shape style="position:absolute;left:8622;top:6985;width:2079;height:6633" coordorigin="8622,6985" coordsize="2079,6633" path="m8622,13617l10701,13617,10701,6985,8622,6985,8622,13617xe" filled="true" fillcolor="#ffffff" stroked="false">
                <v:path arrowok="t"/>
                <v:fill type="solid"/>
              </v:shape>
            </v:group>
            <v:group style="position:absolute;left:8646;top:9481;width:2031;height:353" coordorigin="8646,9481" coordsize="2031,353">
              <v:shape style="position:absolute;left:8646;top:9481;width:2031;height:353" coordorigin="8646,9481" coordsize="2031,353" path="m8646,9834l10677,9834,10677,9481,8646,9481,8646,9834xe" filled="true" fillcolor="#ffffff" stroked="false">
                <v:path arrowok="t"/>
                <v:fill type="solid"/>
              </v:shape>
            </v:group>
            <v:group style="position:absolute;left:8646;top:9834;width:2031;height:312" coordorigin="8646,9834" coordsize="2031,312">
              <v:shape style="position:absolute;left:8646;top:9834;width:2031;height:312" coordorigin="8646,9834" coordsize="2031,312" path="m8646,10146l10677,10146,10677,9834,8646,9834,8646,10146xe" filled="true" fillcolor="#ffffff" stroked="false">
                <v:path arrowok="t"/>
                <v:fill type="solid"/>
              </v:shape>
            </v:group>
            <v:group style="position:absolute;left:8646;top:10146;width:2031;height:312" coordorigin="8646,10146" coordsize="2031,312">
              <v:shape style="position:absolute;left:8646;top:10146;width:2031;height:312" coordorigin="8646,10146" coordsize="2031,312" path="m8646,10458l10677,10458,10677,10146,8646,10146,8646,10458xe" filled="true" fillcolor="#ffffff" stroked="false">
                <v:path arrowok="t"/>
                <v:fill type="solid"/>
              </v:shape>
            </v:group>
            <v:group style="position:absolute;left:8646;top:10458;width:2031;height:312" coordorigin="8646,10458" coordsize="2031,312">
              <v:shape style="position:absolute;left:8646;top:10458;width:2031;height:312" coordorigin="8646,10458" coordsize="2031,312" path="m8646,10770l10677,10770,10677,10458,8646,10458,8646,10770xe" filled="true" fillcolor="#ffffff" stroked="false">
                <v:path arrowok="t"/>
                <v:fill type="solid"/>
              </v:shape>
            </v:group>
            <v:group style="position:absolute;left:8646;top:10770;width:2031;height:351" coordorigin="8646,10770" coordsize="2031,351">
              <v:shape style="position:absolute;left:8646;top:10770;width:2031;height:351" coordorigin="8646,10770" coordsize="2031,351" path="m8646,11121l10677,11121,10677,10770,8646,10770,8646,11121xe" filled="true" fillcolor="#ffffff" stroked="false">
                <v:path arrowok="t"/>
                <v:fill type="solid"/>
              </v:shape>
              <v:shape style="position:absolute;left:10591;top:989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171"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方基金、 泰康资产、中信建 投、广发基金、工 银瑞信、 浙商资管、华商基 金、建信基金、西 藏中汇投资、歌萨 尔金投资、民生加 银、国海证券、南 方基金</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8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firstLine="360"/>
              <w:jc w:val="left"/>
              <w:rPr>
                <w:rFonts w:ascii="宋体" w:hAnsi="宋体" w:cs="宋体" w:eastAsia="宋体" w:hint="default"/>
                <w:sz w:val="18"/>
                <w:szCs w:val="18"/>
              </w:rPr>
            </w:pPr>
            <w:r>
              <w:rPr>
                <w:rFonts w:ascii="宋体" w:hAnsi="宋体" w:cs="宋体" w:eastAsia="宋体" w:hint="default"/>
                <w:sz w:val="18"/>
                <w:szCs w:val="18"/>
              </w:rPr>
              <w:t>华夏基金、招 商证券、 上海睿信投资、赛 迪信息</w:t>
            </w:r>
            <w:r>
              <w:rPr>
                <w:rFonts w:ascii="宋体" w:hAnsi="宋体" w:cs="宋体" w:eastAsia="宋体" w:hint="default"/>
                <w:spacing w:val="2"/>
                <w:sz w:val="18"/>
                <w:szCs w:val="18"/>
              </w:rPr>
              <w:t> </w:t>
            </w:r>
            <w:r>
              <w:rPr>
                <w:rFonts w:ascii="宋体" w:hAnsi="宋体" w:cs="宋体" w:eastAsia="宋体" w:hint="default"/>
                <w:spacing w:val="-18"/>
                <w:sz w:val="18"/>
                <w:szCs w:val="18"/>
              </w:rPr>
              <w:t>、中信证券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firstLine="360"/>
              <w:jc w:val="left"/>
              <w:rPr>
                <w:rFonts w:ascii="宋体" w:hAnsi="宋体" w:cs="宋体" w:eastAsia="宋体" w:hint="default"/>
                <w:sz w:val="18"/>
                <w:szCs w:val="18"/>
              </w:rPr>
            </w:pPr>
            <w:r>
              <w:rPr>
                <w:rFonts w:ascii="宋体" w:hAnsi="宋体" w:cs="宋体" w:eastAsia="宋体" w:hint="default"/>
                <w:sz w:val="18"/>
                <w:szCs w:val="18"/>
              </w:rPr>
              <w:t>公司研发投入和人员 架构等发展策略</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firstLine="360"/>
              <w:jc w:val="left"/>
              <w:rPr>
                <w:rFonts w:ascii="宋体" w:hAnsi="宋体" w:cs="宋体" w:eastAsia="宋体" w:hint="default"/>
                <w:sz w:val="18"/>
                <w:szCs w:val="18"/>
              </w:rPr>
            </w:pPr>
            <w:r>
              <w:rPr>
                <w:rFonts w:ascii="宋体" w:hAnsi="宋体" w:cs="宋体" w:eastAsia="宋体" w:hint="default"/>
                <w:sz w:val="18"/>
                <w:szCs w:val="18"/>
              </w:rPr>
              <w:t>健顺投资、 </w:t>
            </w:r>
            <w:r>
              <w:rPr>
                <w:rFonts w:ascii="Times New Roman" w:hAnsi="Times New Roman" w:cs="Times New Roman" w:eastAsia="Times New Roman" w:hint="default"/>
                <w:spacing w:val="-4"/>
                <w:sz w:val="18"/>
                <w:szCs w:val="18"/>
              </w:rPr>
              <w:t>Tairencapital</w:t>
            </w:r>
            <w:r>
              <w:rPr>
                <w:rFonts w:ascii="宋体" w:hAnsi="宋体" w:cs="宋体" w:eastAsia="宋体" w:hint="default"/>
                <w:spacing w:val="-4"/>
                <w:sz w:val="18"/>
                <w:szCs w:val="18"/>
              </w:rPr>
              <w:t>、中信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firstLine="360"/>
              <w:jc w:val="both"/>
              <w:rPr>
                <w:rFonts w:ascii="宋体" w:hAnsi="宋体" w:cs="宋体" w:eastAsia="宋体" w:hint="default"/>
                <w:sz w:val="18"/>
                <w:szCs w:val="18"/>
              </w:rPr>
            </w:pPr>
            <w:r>
              <w:rPr>
                <w:rFonts w:ascii="宋体" w:hAnsi="宋体" w:cs="宋体" w:eastAsia="宋体" w:hint="default"/>
                <w:sz w:val="18"/>
                <w:szCs w:val="18"/>
              </w:rPr>
              <w:t>公司未来市场拓展策 略、在军工、电力等重要 行业的发展方式</w:t>
            </w:r>
          </w:p>
        </w:tc>
      </w:tr>
      <w:tr>
        <w:trPr>
          <w:trHeight w:val="664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神舟国际酒店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firstLine="360"/>
              <w:jc w:val="left"/>
              <w:rPr>
                <w:rFonts w:ascii="宋体" w:hAnsi="宋体" w:cs="宋体" w:eastAsia="宋体" w:hint="default"/>
                <w:sz w:val="18"/>
                <w:szCs w:val="18"/>
              </w:rPr>
            </w:pPr>
            <w:r>
              <w:rPr>
                <w:rFonts w:ascii="宋体" w:hAnsi="宋体" w:cs="宋体" w:eastAsia="宋体" w:hint="default"/>
                <w:sz w:val="18"/>
                <w:szCs w:val="18"/>
              </w:rPr>
              <w:t>星探投资、彬 元资本、 国信证券、天慧投 资、金百镕投资、 天弘基金、中信建 投、华创证券、光 大永明资产、万家 基金、银华基金、 长江证券、中国民 族证券、 宏源证券、浙商基 金、西部证券、承 川资本、 齐鲁证券、天势基 金、诺安基金、民 生证券、 新华基金、毕盛投 资、嘉实基金、山 西证券、 广发证券、百谷投 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9" w:lineRule="auto"/>
              <w:ind w:left="23" w:right="75"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年经营回 </w:t>
            </w:r>
            <w:r>
              <w:rPr>
                <w:rFonts w:ascii="宋体" w:hAnsi="宋体" w:cs="宋体" w:eastAsia="宋体" w:hint="default"/>
                <w:spacing w:val="-14"/>
                <w:sz w:val="18"/>
                <w:szCs w:val="18"/>
              </w:rPr>
              <w:t>顾、</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年经营发展计划 公司在大数据领域的发展 现状和进入国际市场的信 息</w:t>
            </w:r>
          </w:p>
        </w:tc>
      </w:tr>
      <w:tr>
        <w:trPr>
          <w:trHeight w:val="134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3" w:firstLine="360"/>
              <w:jc w:val="left"/>
              <w:rPr>
                <w:rFonts w:ascii="宋体" w:hAnsi="宋体" w:cs="宋体" w:eastAsia="宋体" w:hint="default"/>
                <w:sz w:val="18"/>
                <w:szCs w:val="18"/>
              </w:rPr>
            </w:pPr>
            <w:r>
              <w:rPr>
                <w:rFonts w:ascii="宋体" w:hAnsi="宋体" w:cs="宋体" w:eastAsia="宋体" w:hint="default"/>
                <w:sz w:val="18"/>
                <w:szCs w:val="18"/>
              </w:rPr>
              <w:t>民族证券、拾 贝投资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firstLine="360"/>
              <w:jc w:val="both"/>
              <w:rPr>
                <w:rFonts w:ascii="宋体" w:hAnsi="宋体" w:cs="宋体" w:eastAsia="宋体" w:hint="default"/>
                <w:sz w:val="18"/>
                <w:szCs w:val="18"/>
              </w:rPr>
            </w:pPr>
            <w:r>
              <w:rPr>
                <w:rFonts w:ascii="宋体" w:hAnsi="宋体" w:cs="宋体" w:eastAsia="宋体" w:hint="default"/>
                <w:sz w:val="18"/>
                <w:szCs w:val="18"/>
              </w:rPr>
              <w:t>公司产品市场拓展策 略以及企业级用户与个人 用户的差别，司在人力成 本上控制办法</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z w:val="18"/>
                <w:szCs w:val="18"/>
              </w:rPr>
              <w:t>平安资产、招</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z w:val="18"/>
                <w:szCs w:val="18"/>
              </w:rPr>
              <w:t>公司在能源行业及银</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388.993011pt;margin-top:72.475983pt;width:146.1pt;height:33.3pt;mso-position-horizontal-relative:page;mso-position-vertical-relative:page;z-index:-725080" type="#_x0000_t202" filled="false" stroked="false">
            <v:textbox inset="0,0,0,0">
              <w:txbxContent>
                <w:p>
                  <w:pPr>
                    <w:pStyle w:val="BodyText"/>
                    <w:spacing w:line="240" w:lineRule="auto" w:before="8"/>
                    <w:ind w:left="0" w:right="0"/>
                    <w:jc w:val="left"/>
                  </w:pPr>
                  <w:r>
                    <w:rPr/>
                    <w:t>安信证券、</w:t>
                  </w:r>
                </w:p>
              </w:txbxContent>
            </v:textbox>
            <w10:wrap type="none"/>
          </v:shape>
        </w:pict>
      </w:r>
      <w:r>
        <w:rPr/>
        <w:pict>
          <v:shape style="position:absolute;margin-left:388.993011pt;margin-top:106.219986pt;width:146.1pt;height:425.25pt;mso-position-horizontal-relative:page;mso-position-vertical-relative:page;z-index:-725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中金公司、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招银国金、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第一财经、</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国金证券、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磐通投资、</w:t>
                  </w:r>
                </w:p>
              </w:txbxContent>
            </v:textbox>
            <w10:wrap type="none"/>
          </v:shape>
        </w:pict>
      </w:r>
      <w:r>
        <w:rPr/>
        <w:pict>
          <v:group style="position:absolute;margin-left:431.109985pt;margin-top:72.475983pt;width:103.95pt;height:459pt;mso-position-horizontal-relative:page;mso-position-vertical-relative:page;z-index:-725032" coordorigin="8622,1450" coordsize="2079,9180">
            <v:group style="position:absolute;left:8622;top:1450;width:2079;height:666" coordorigin="8622,1450" coordsize="2079,666">
              <v:shape style="position:absolute;left:8622;top:1450;width:2079;height:666" coordorigin="8622,1450" coordsize="2079,666" path="m8622,2115l10701,2115,10701,1450,8622,1450,8622,2115xe" filled="true" fillcolor="#ffffff" stroked="false">
                <v:path arrowok="t"/>
                <v:fill type="solid"/>
              </v:shape>
            </v:group>
            <v:group style="position:absolute;left:8646;top:1450;width:2031;height:313" coordorigin="8646,1450" coordsize="2031,313">
              <v:shape style="position:absolute;left:8646;top:1450;width:2031;height:313" coordorigin="8646,1450" coordsize="2031,313" path="m8646,1762l10677,1762,10677,1450,8646,1450,8646,1762xe" filled="true" fillcolor="#ffffff" stroked="false">
                <v:path arrowok="t"/>
                <v:fill type="solid"/>
              </v:shape>
            </v:group>
            <v:group style="position:absolute;left:8646;top:1762;width:2031;height:353" coordorigin="8646,1762" coordsize="2031,353">
              <v:shape style="position:absolute;left:8646;top:1762;width:2031;height:353" coordorigin="8646,1762" coordsize="2031,353" path="m8646,2115l10677,2115,10677,1762,8646,1762,8646,2115xe" filled="true" fillcolor="#ffffff" stroked="false">
                <v:path arrowok="t"/>
                <v:fill type="solid"/>
              </v:shape>
            </v:group>
            <v:group style="position:absolute;left:8622;top:2124;width:2079;height:8505" coordorigin="8622,2124" coordsize="2079,8505">
              <v:shape style="position:absolute;left:8622;top:2124;width:2079;height:8505" coordorigin="8622,2124" coordsize="2079,8505" path="m8622,10629l10701,10629,10701,2124,8622,2124,8622,10629xe" filled="true" fillcolor="#ffffff" stroked="false">
                <v:path arrowok="t"/>
                <v:fill type="solid"/>
              </v:shape>
            </v:group>
            <v:group style="position:absolute;left:8646;top:5713;width:2031;height:353" coordorigin="8646,5713" coordsize="2031,353">
              <v:shape style="position:absolute;left:8646;top:5713;width:2031;height:353" coordorigin="8646,5713" coordsize="2031,353" path="m8646,6066l10677,6066,10677,5713,8646,5713,8646,6066xe" filled="true" fillcolor="#ffffff" stroked="false">
                <v:path arrowok="t"/>
                <v:fill type="solid"/>
              </v:shape>
            </v:group>
            <v:group style="position:absolute;left:8646;top:6066;width:2031;height:312" coordorigin="8646,6066" coordsize="2031,312">
              <v:shape style="position:absolute;left:8646;top:6066;width:2031;height:312" coordorigin="8646,6066" coordsize="2031,312" path="m8646,6378l10677,6378,10677,6066,8646,6066,8646,6378xe" filled="true" fillcolor="#ffffff" stroked="false">
                <v:path arrowok="t"/>
                <v:fill type="solid"/>
              </v:shape>
            </v:group>
            <v:group style="position:absolute;left:8646;top:6378;width:2031;height:312" coordorigin="8646,6378" coordsize="2031,312">
              <v:shape style="position:absolute;left:8646;top:6378;width:2031;height:312" coordorigin="8646,6378" coordsize="2031,312" path="m8646,6690l10677,6690,10677,6378,8646,6378,8646,6690xe" filled="true" fillcolor="#ffffff" stroked="false">
                <v:path arrowok="t"/>
                <v:fill type="solid"/>
              </v:shape>
            </v:group>
            <v:group style="position:absolute;left:8646;top:6690;width:2031;height:351" coordorigin="8646,6690" coordsize="2031,351">
              <v:shape style="position:absolute;left:8646;top:6690;width:2031;height:351" coordorigin="8646,6690" coordsize="2031,351" path="m8646,7040l10677,7040,10677,6690,8646,6690,8646,704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63"/>
              <w:jc w:val="left"/>
              <w:rPr>
                <w:rFonts w:ascii="宋体" w:hAnsi="宋体" w:cs="宋体" w:eastAsia="宋体" w:hint="default"/>
                <w:sz w:val="18"/>
                <w:szCs w:val="18"/>
              </w:rPr>
            </w:pPr>
            <w:r>
              <w:rPr>
                <w:rFonts w:ascii="宋体" w:hAnsi="宋体" w:cs="宋体" w:eastAsia="宋体" w:hint="default"/>
                <w:sz w:val="18"/>
                <w:szCs w:val="18"/>
              </w:rPr>
              <w:t>商证券、 海富通基金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70"/>
              <w:jc w:val="left"/>
              <w:rPr>
                <w:rFonts w:ascii="宋体" w:hAnsi="宋体" w:cs="宋体" w:eastAsia="宋体" w:hint="default"/>
                <w:sz w:val="18"/>
                <w:szCs w:val="18"/>
              </w:rPr>
            </w:pPr>
            <w:r>
              <w:rPr>
                <w:rFonts w:ascii="宋体" w:hAnsi="宋体" w:cs="宋体" w:eastAsia="宋体" w:hint="default"/>
                <w:sz w:val="18"/>
                <w:szCs w:val="18"/>
              </w:rPr>
              <w:t>行客户开拓情况，公司海 外布局情况</w:t>
            </w:r>
          </w:p>
        </w:tc>
      </w:tr>
      <w:tr>
        <w:trPr>
          <w:trHeight w:val="851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firstLine="360"/>
              <w:jc w:val="left"/>
              <w:rPr>
                <w:rFonts w:ascii="宋体" w:hAnsi="宋体" w:cs="宋体" w:eastAsia="宋体" w:hint="default"/>
                <w:sz w:val="18"/>
                <w:szCs w:val="18"/>
              </w:rPr>
            </w:pPr>
            <w:r>
              <w:rPr>
                <w:rFonts w:ascii="宋体" w:hAnsi="宋体" w:cs="宋体" w:eastAsia="宋体" w:hint="default"/>
                <w:sz w:val="18"/>
                <w:szCs w:val="18"/>
              </w:rPr>
              <w:t>信达证券、国 海证券、太平洋证 </w:t>
            </w:r>
            <w:r>
              <w:rPr>
                <w:rFonts w:ascii="宋体" w:hAnsi="宋体" w:cs="宋体" w:eastAsia="宋体" w:hint="default"/>
                <w:spacing w:val="-8"/>
                <w:sz w:val="18"/>
                <w:szCs w:val="18"/>
              </w:rPr>
              <w:t>券、平安证券</w:t>
            </w:r>
            <w:r>
              <w:rPr>
                <w:rFonts w:ascii="宋体" w:hAnsi="宋体" w:cs="宋体" w:eastAsia="宋体" w:hint="default"/>
                <w:spacing w:val="2"/>
                <w:sz w:val="18"/>
                <w:szCs w:val="18"/>
              </w:rPr>
              <w:t> </w:t>
            </w:r>
            <w:r>
              <w:rPr>
                <w:rFonts w:ascii="宋体" w:hAnsi="宋体" w:cs="宋体" w:eastAsia="宋体" w:hint="default"/>
                <w:spacing w:val="-46"/>
                <w:sz w:val="18"/>
                <w:szCs w:val="18"/>
              </w:rPr>
              <w:t>、中</w:t>
            </w:r>
            <w:r>
              <w:rPr>
                <w:rFonts w:ascii="宋体" w:hAnsi="宋体" w:cs="宋体" w:eastAsia="宋体" w:hint="default"/>
                <w:spacing w:val="-46"/>
                <w:sz w:val="18"/>
                <w:szCs w:val="18"/>
              </w:rPr>
              <w:t> </w:t>
            </w:r>
            <w:r>
              <w:rPr>
                <w:rFonts w:ascii="宋体" w:hAnsi="宋体" w:cs="宋体" w:eastAsia="宋体" w:hint="default"/>
                <w:sz w:val="18"/>
                <w:szCs w:val="18"/>
              </w:rPr>
              <w:t>信证券、</w:t>
            </w:r>
            <w:r>
              <w:rPr>
                <w:rFonts w:ascii="宋体" w:hAnsi="宋体" w:cs="宋体" w:eastAsia="宋体" w:hint="default"/>
                <w:sz w:val="18"/>
                <w:szCs w:val="18"/>
              </w:rPr>
              <w:t> 国金证券、宏源证 券、天弘基金、汇 添富基金、中邮基 金、北信瑞丰、美 好汇通、 磐通投资、国网英 大、工道投资、第 一创业、 平安资产、招商证 券、安信证券、海 富通基金、信达证 券、国海证券、太 平洋证券、平安证 券</w:t>
            </w:r>
            <w:r>
              <w:rPr>
                <w:rFonts w:ascii="宋体" w:hAnsi="宋体" w:cs="宋体" w:eastAsia="宋体" w:hint="default"/>
                <w:spacing w:val="6"/>
                <w:sz w:val="18"/>
                <w:szCs w:val="18"/>
              </w:rPr>
              <w:t> </w:t>
            </w:r>
            <w:r>
              <w:rPr>
                <w:rFonts w:ascii="宋体" w:hAnsi="宋体" w:cs="宋体" w:eastAsia="宋体" w:hint="default"/>
                <w:spacing w:val="-14"/>
                <w:sz w:val="18"/>
                <w:szCs w:val="18"/>
              </w:rPr>
              <w:t>、中信证券、中</w:t>
            </w:r>
            <w:r>
              <w:rPr>
                <w:rFonts w:ascii="宋体" w:hAnsi="宋体" w:cs="宋体" w:eastAsia="宋体" w:hint="default"/>
                <w:sz w:val="18"/>
                <w:szCs w:val="18"/>
              </w:rPr>
              <w:t> 金公司、 宏源证券、天弘基 金、汇添富基金、 中邮基金、北信瑞 丰、美好汇通、招 银国金、 国网英大、工道投 资、第一创业、第 一财经</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71" w:firstLine="360"/>
              <w:jc w:val="both"/>
              <w:rPr>
                <w:rFonts w:ascii="宋体" w:hAnsi="宋体" w:cs="宋体" w:eastAsia="宋体" w:hint="default"/>
                <w:sz w:val="18"/>
                <w:szCs w:val="18"/>
              </w:rPr>
            </w:pPr>
            <w:r>
              <w:rPr>
                <w:rFonts w:ascii="宋体" w:hAnsi="宋体" w:cs="宋体" w:eastAsia="宋体" w:hint="default"/>
                <w:sz w:val="18"/>
                <w:szCs w:val="18"/>
              </w:rPr>
              <w:t>公司近期产品研发和 推广情况，针对中软华泰 可信计算的基本情况和收 费模式</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890" w:right="2245"/>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公司报告期未收购资产。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5"/>
        <w:rPr>
          <w:rFonts w:ascii="宋体" w:hAnsi="宋体" w:cs="宋体" w:eastAsia="宋体" w:hint="default"/>
          <w:sz w:val="21"/>
          <w:szCs w:val="21"/>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公司报告期无股权激励计划及其实施情况。</w:t>
      </w:r>
    </w:p>
    <w:p>
      <w:pPr>
        <w:spacing w:after="0" w:line="338"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8" w:lineRule="auto" w:before="44"/>
        <w:ind w:right="5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t>否 公司报告期不存在非经营性关联债权债务往来。 公司报告期不存在关联债权债务往来。</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47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适用</w:t>
      </w:r>
      <w:r>
        <w:rPr>
          <w:rFonts w:ascii="Times New Roman" w:hAnsi="Times New Roman" w:cs="Times New Roman" w:eastAsia="Times New Roman" w:hint="default"/>
        </w:rPr>
        <w:t>√</w:t>
      </w:r>
      <w:r>
        <w:rPr/>
        <w:t>不适用</w:t>
      </w:r>
    </w:p>
    <w:p>
      <w:pPr>
        <w:pStyle w:val="BodyText"/>
        <w:spacing w:line="340" w:lineRule="auto" w:before="101"/>
        <w:ind w:right="2737"/>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以上的托管项目。 公司报告期不存在托管情况。</w:t>
      </w:r>
    </w:p>
    <w:p>
      <w:pPr>
        <w:spacing w:after="0" w:line="3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right="2777"/>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以上的承包项目。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3"/>
        <w:ind w:right="2777"/>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75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适用</w:t>
      </w:r>
      <w:r>
        <w:rPr>
          <w:rFonts w:ascii="Times New Roman" w:hAnsi="Times New Roman" w:cs="Times New Roman" w:eastAsia="Times New Roman" w:hint="default"/>
        </w:rPr>
        <w:t>√</w:t>
      </w:r>
      <w:r>
        <w:rPr/>
        <w:t>不适用 公司报告期无违规对外担保情况。</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北京北信源软件股份有限公司（卖方）与某计算技术研究所（买方）签订了《内网安全管理系统合作协议》，协议规定：</w:t>
      </w:r>
    </w:p>
    <w:p>
      <w:pPr>
        <w:pStyle w:val="BodyText"/>
        <w:spacing w:line="240" w:lineRule="auto" w:before="1"/>
        <w:ind w:left="152" w:right="0"/>
        <w:jc w:val="left"/>
      </w:pPr>
      <w:r>
        <w:rPr>
          <w:rFonts w:ascii="Times New Roman" w:hAnsi="Times New Roman" w:cs="Times New Roman" w:eastAsia="Times New Roman" w:hint="default"/>
        </w:rPr>
        <w:t>“</w:t>
      </w:r>
      <w:r>
        <w:rPr/>
        <w:t>卖方出售</w:t>
      </w:r>
      <w:r>
        <w:rPr>
          <w:rFonts w:ascii="Times New Roman" w:hAnsi="Times New Roman" w:cs="Times New Roman" w:eastAsia="Times New Roman" w:hint="default"/>
        </w:rPr>
        <w:t>1000</w:t>
      </w:r>
      <w:r>
        <w:rPr/>
        <w:t>台的北信源</w:t>
      </w:r>
      <w:r>
        <w:rPr>
          <w:rFonts w:ascii="Times New Roman" w:hAnsi="Times New Roman" w:cs="Times New Roman" w:eastAsia="Times New Roman" w:hint="default"/>
        </w:rPr>
        <w:t>VRV</w:t>
      </w:r>
      <w:r>
        <w:rPr/>
        <w:t>内网安全管理及补丁分发系统</w:t>
      </w:r>
      <w:r>
        <w:rPr>
          <w:rFonts w:ascii="Times New Roman" w:hAnsi="Times New Roman" w:cs="Times New Roman" w:eastAsia="Times New Roman" w:hint="default"/>
        </w:rPr>
        <w:t>V6.6</w:t>
      </w:r>
      <w:r>
        <w:rPr/>
        <w:t>给买方，单价</w:t>
      </w:r>
      <w:r>
        <w:rPr>
          <w:rFonts w:ascii="Times New Roman" w:hAnsi="Times New Roman" w:cs="Times New Roman" w:eastAsia="Times New Roman" w:hint="default"/>
        </w:rPr>
        <w:t>5.8</w:t>
      </w:r>
      <w:r>
        <w:rPr/>
        <w:t>万</w:t>
      </w:r>
      <w:r>
        <w:rPr>
          <w:rFonts w:ascii="Times New Roman" w:hAnsi="Times New Roman" w:cs="Times New Roman" w:eastAsia="Times New Roman" w:hint="default"/>
        </w:rPr>
        <w:t>/</w:t>
      </w:r>
      <w:r>
        <w:rPr/>
        <w:t>台，实际数量通过具体的合同</w:t>
      </w:r>
      <w:r>
        <w:rPr>
          <w:rFonts w:ascii="Times New Roman" w:hAnsi="Times New Roman" w:cs="Times New Roman" w:eastAsia="Times New Roman" w:hint="default"/>
        </w:rPr>
        <w:t>'</w:t>
      </w:r>
      <w:r>
        <w:rPr/>
        <w:t>一单一</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40" w:lineRule="auto" w:before="44"/>
        <w:ind w:right="102" w:hanging="361"/>
        <w:jc w:val="left"/>
      </w:pPr>
      <w:r>
        <w:rPr/>
        <w:t>定</w:t>
      </w:r>
      <w:r>
        <w:rPr>
          <w:rFonts w:ascii="Times New Roman" w:hAnsi="Times New Roman" w:cs="Times New Roman" w:eastAsia="Times New Roman" w:hint="default"/>
        </w:rPr>
        <w:t>'</w:t>
      </w:r>
      <w:r>
        <w:rPr/>
        <w:t>。合同自生效之日起在合同或订单购买总数量达到本协议约定的数量之后，本协议自动终止。</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本报告期内确认收入</w:t>
      </w:r>
      <w:r>
        <w:rPr>
          <w:rFonts w:ascii="Times New Roman" w:hAnsi="Times New Roman" w:cs="Times New Roman" w:eastAsia="Times New Roman" w:hint="default"/>
          <w:spacing w:val="-3"/>
        </w:rPr>
        <w:t>1322.4</w:t>
      </w:r>
      <w:r>
        <w:rPr>
          <w:spacing w:val="-3"/>
        </w:rPr>
        <w:t>万元，总计收入</w:t>
      </w:r>
      <w:r>
        <w:rPr>
          <w:rFonts w:ascii="Times New Roman" w:hAnsi="Times New Roman" w:cs="Times New Roman" w:eastAsia="Times New Roman" w:hint="default"/>
          <w:spacing w:val="-3"/>
        </w:rPr>
        <w:t>1902.4</w:t>
      </w:r>
      <w:r>
        <w:rPr>
          <w:spacing w:val="-3"/>
        </w:rPr>
        <w:t>万元。本协议的履行对本公司未来</w:t>
      </w:r>
      <w:r>
        <w:rPr>
          <w:rFonts w:ascii="Times New Roman" w:hAnsi="Times New Roman" w:cs="Times New Roman" w:eastAsia="Times New Roman" w:hint="default"/>
          <w:spacing w:val="-3"/>
        </w:rPr>
        <w:t>1-2</w:t>
      </w:r>
      <w:r>
        <w:rPr>
          <w:spacing w:val="-3"/>
        </w:rPr>
        <w:t>年的经营业绩将产生积极的影响；</w:t>
      </w:r>
    </w:p>
    <w:p>
      <w:pPr>
        <w:pStyle w:val="BodyText"/>
        <w:spacing w:line="215" w:lineRule="exact"/>
        <w:ind w:left="152" w:right="0"/>
        <w:jc w:val="left"/>
      </w:pPr>
      <w:r>
        <w:rPr/>
        <w:t>本协议的履行对公司业务的独立性无重大影响。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486"/>
        <w:gridCol w:w="1275"/>
        <w:gridCol w:w="1063"/>
      </w:tblGrid>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4"/>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86"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209"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firstLine="360"/>
              <w:jc w:val="left"/>
              <w:rPr>
                <w:rFonts w:ascii="宋体" w:hAnsi="宋体" w:cs="宋体" w:eastAsia="宋体" w:hint="default"/>
                <w:sz w:val="18"/>
                <w:szCs w:val="18"/>
              </w:rPr>
            </w:pPr>
            <w:r>
              <w:rPr>
                <w:rFonts w:ascii="宋体" w:hAnsi="宋体" w:cs="宋体" w:eastAsia="宋体" w:hint="default"/>
                <w:sz w:val="18"/>
                <w:szCs w:val="18"/>
              </w:rPr>
              <w:t>自公司股 票上市之日起 三十六个月内， 不转让或者委 托他人管理其 直接或间接持 有的公司股份， 也不由公司回 购其持有的公 司股份。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59" w:firstLine="360"/>
              <w:jc w:val="both"/>
              <w:rPr>
                <w:rFonts w:ascii="宋体" w:hAnsi="宋体" w:cs="宋体" w:eastAsia="宋体" w:hint="default"/>
                <w:sz w:val="18"/>
                <w:szCs w:val="18"/>
              </w:rPr>
            </w:pPr>
            <w:r>
              <w:rPr>
                <w:rFonts w:ascii="宋体" w:hAnsi="宋体" w:cs="宋体" w:eastAsia="宋体" w:hint="default"/>
                <w:sz w:val="18"/>
                <w:szCs w:val="18"/>
              </w:rPr>
              <w:t>自公司股 票上市之日起 三十六个月内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1500"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firstLine="360"/>
              <w:jc w:val="left"/>
              <w:rPr>
                <w:rFonts w:ascii="宋体" w:hAnsi="宋体" w:cs="宋体" w:eastAsia="宋体" w:hint="default"/>
                <w:sz w:val="18"/>
                <w:szCs w:val="18"/>
              </w:rPr>
            </w:pPr>
            <w:r>
              <w:rPr>
                <w:rFonts w:ascii="宋体" w:hAnsi="宋体" w:cs="宋体" w:eastAsia="宋体" w:hint="default"/>
                <w:sz w:val="18"/>
                <w:szCs w:val="18"/>
              </w:rPr>
              <w:t>在王晓娜 女士任职期间， 其每年转让的 股份公司股份 不超过其所持 有股份公司股 份总数的百分 </w:t>
            </w:r>
            <w:r>
              <w:rPr>
                <w:rFonts w:ascii="宋体" w:hAnsi="宋体" w:cs="宋体" w:eastAsia="宋体" w:hint="default"/>
                <w:spacing w:val="-6"/>
                <w:sz w:val="18"/>
                <w:szCs w:val="18"/>
              </w:rPr>
              <w:t>之二十五；在王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晓娜女士离职 </w:t>
            </w:r>
            <w:r>
              <w:rPr>
                <w:rFonts w:ascii="宋体" w:hAnsi="宋体" w:cs="宋体" w:eastAsia="宋体" w:hint="default"/>
                <w:spacing w:val="-6"/>
                <w:sz w:val="18"/>
                <w:szCs w:val="18"/>
              </w:rPr>
              <w:t>后半年内，其不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转让直接或者 间接持有的公 </w:t>
            </w:r>
            <w:r>
              <w:rPr>
                <w:rFonts w:ascii="宋体" w:hAnsi="宋体" w:cs="宋体" w:eastAsia="宋体" w:hint="default"/>
                <w:spacing w:val="-6"/>
                <w:sz w:val="18"/>
                <w:szCs w:val="18"/>
              </w:rPr>
              <w:t>司股份；如王晓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娜女士在首次 公开发行股票 上市之日起六 个月内申报离 </w:t>
            </w:r>
            <w:r>
              <w:rPr>
                <w:rFonts w:ascii="宋体" w:hAnsi="宋体" w:cs="宋体" w:eastAsia="宋体" w:hint="default"/>
                <w:spacing w:val="-6"/>
                <w:sz w:val="18"/>
                <w:szCs w:val="18"/>
              </w:rPr>
              <w:t>职的，自王晓娜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女士申报离职 之日起十八个 月内其不转让</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4" w:right="159" w:firstLine="360"/>
              <w:jc w:val="both"/>
              <w:rPr>
                <w:rFonts w:ascii="宋体" w:hAnsi="宋体" w:cs="宋体" w:eastAsia="宋体" w:hint="default"/>
                <w:sz w:val="18"/>
                <w:szCs w:val="18"/>
              </w:rPr>
            </w:pPr>
            <w:r>
              <w:rPr>
                <w:rFonts w:ascii="宋体" w:hAnsi="宋体" w:cs="宋体" w:eastAsia="宋体" w:hint="default"/>
                <w:sz w:val="18"/>
                <w:szCs w:val="18"/>
              </w:rPr>
              <w:t>自公司股 票上市之日起 十二个月内</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3" w:right="0"/>
              <w:jc w:val="center"/>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486"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4712"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486"/>
        <w:gridCol w:w="1275"/>
        <w:gridCol w:w="1066"/>
      </w:tblGrid>
      <w:tr>
        <w:trPr>
          <w:trHeight w:val="473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直接或者间接 持有的公司股 </w:t>
            </w:r>
            <w:r>
              <w:rPr>
                <w:rFonts w:ascii="宋体" w:hAnsi="宋体" w:cs="宋体" w:eastAsia="宋体" w:hint="default"/>
                <w:spacing w:val="-6"/>
                <w:sz w:val="18"/>
                <w:szCs w:val="18"/>
              </w:rPr>
              <w:t>份；如王晓娜女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士在首次公开 发行股票上市 之日起第七个 月至第十二个 月之间申报离 </w:t>
            </w:r>
            <w:r>
              <w:rPr>
                <w:rFonts w:ascii="宋体" w:hAnsi="宋体" w:cs="宋体" w:eastAsia="宋体" w:hint="default"/>
                <w:spacing w:val="-6"/>
                <w:sz w:val="18"/>
                <w:szCs w:val="18"/>
              </w:rPr>
              <w:t>职的，自王晓娜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女士申报离职 之日起十二个 月内其不转让 直接或者间接 持有的公司股 份。</w:t>
            </w:r>
          </w:p>
        </w:tc>
        <w:tc>
          <w:tcPr>
            <w:tcW w:w="14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3194" w:type="dxa"/>
            <w:vMerge/>
            <w:tcBorders>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firstLine="360"/>
              <w:jc w:val="left"/>
              <w:rPr>
                <w:rFonts w:ascii="宋体" w:hAnsi="宋体" w:cs="宋体" w:eastAsia="宋体" w:hint="default"/>
                <w:sz w:val="18"/>
                <w:szCs w:val="18"/>
              </w:rPr>
            </w:pPr>
            <w:r>
              <w:rPr>
                <w:rFonts w:ascii="宋体" w:hAnsi="宋体" w:cs="宋体" w:eastAsia="宋体" w:hint="default"/>
                <w:sz w:val="18"/>
                <w:szCs w:val="18"/>
              </w:rPr>
              <w:t>高曦</w:t>
            </w:r>
            <w:r>
              <w:rPr>
                <w:rFonts w:ascii="Times New Roman" w:hAnsi="Times New Roman" w:cs="Times New Roman" w:eastAsia="Times New Roman" w:hint="default"/>
                <w:sz w:val="18"/>
                <w:szCs w:val="18"/>
              </w:rPr>
              <w:t>;</w:t>
            </w:r>
            <w:r>
              <w:rPr>
                <w:rFonts w:ascii="宋体" w:hAnsi="宋体" w:cs="宋体" w:eastAsia="宋体" w:hint="default"/>
                <w:sz w:val="18"/>
                <w:szCs w:val="18"/>
              </w:rPr>
              <w:t>杨杰</w:t>
            </w:r>
            <w:r>
              <w:rPr>
                <w:rFonts w:ascii="Times New Roman" w:hAnsi="Times New Roman" w:cs="Times New Roman" w:eastAsia="Times New Roman" w:hint="default"/>
                <w:sz w:val="18"/>
                <w:szCs w:val="18"/>
              </w:rPr>
              <w:t>; </w:t>
            </w:r>
            <w:r>
              <w:rPr>
                <w:rFonts w:ascii="宋体" w:hAnsi="宋体" w:cs="宋体" w:eastAsia="宋体" w:hint="default"/>
                <w:sz w:val="18"/>
                <w:szCs w:val="18"/>
              </w:rPr>
              <w:t>尹子健</w:t>
            </w:r>
            <w:r>
              <w:rPr>
                <w:rFonts w:ascii="Times New Roman" w:hAnsi="Times New Roman" w:cs="Times New Roman" w:eastAsia="Times New Roman" w:hint="default"/>
                <w:sz w:val="18"/>
                <w:szCs w:val="18"/>
              </w:rPr>
              <w:t>;</w:t>
            </w:r>
            <w:r>
              <w:rPr>
                <w:rFonts w:ascii="宋体" w:hAnsi="宋体" w:cs="宋体" w:eastAsia="宋体" w:hint="default"/>
                <w:sz w:val="18"/>
                <w:szCs w:val="18"/>
              </w:rPr>
              <w:t>马承栋</w:t>
            </w:r>
            <w:r>
              <w:rPr>
                <w:rFonts w:ascii="Times New Roman" w:hAnsi="Times New Roman" w:cs="Times New Roman" w:eastAsia="Times New Roman" w:hint="default"/>
                <w:sz w:val="18"/>
                <w:szCs w:val="18"/>
              </w:rPr>
              <w:t>; </w:t>
            </w:r>
            <w:r>
              <w:rPr>
                <w:rFonts w:ascii="宋体" w:hAnsi="宋体" w:cs="宋体" w:eastAsia="宋体" w:hint="default"/>
                <w:sz w:val="18"/>
                <w:szCs w:val="18"/>
              </w:rPr>
              <w:t>哈连琴</w:t>
            </w:r>
            <w:r>
              <w:rPr>
                <w:rFonts w:ascii="Times New Roman" w:hAnsi="Times New Roman" w:cs="Times New Roman" w:eastAsia="Times New Roman" w:hint="default"/>
                <w:sz w:val="18"/>
                <w:szCs w:val="18"/>
              </w:rPr>
              <w:t>;</w:t>
            </w:r>
            <w:r>
              <w:rPr>
                <w:rFonts w:ascii="宋体" w:hAnsi="宋体" w:cs="宋体" w:eastAsia="宋体" w:hint="default"/>
                <w:sz w:val="18"/>
                <w:szCs w:val="18"/>
              </w:rPr>
              <w:t>杨维</w:t>
            </w:r>
            <w:r>
              <w:rPr>
                <w:rFonts w:ascii="Times New Roman" w:hAnsi="Times New Roman" w:cs="Times New Roman" w:eastAsia="Times New Roman" w:hint="default"/>
                <w:sz w:val="18"/>
                <w:szCs w:val="18"/>
              </w:rPr>
              <w:t>;</w:t>
            </w:r>
            <w:r>
              <w:rPr>
                <w:rFonts w:ascii="宋体" w:hAnsi="宋体" w:cs="宋体" w:eastAsia="宋体" w:hint="default"/>
                <w:sz w:val="18"/>
                <w:szCs w:val="18"/>
              </w:rPr>
              <w:t>王 晓峰</w:t>
            </w:r>
            <w:r>
              <w:rPr>
                <w:rFonts w:ascii="Times New Roman" w:hAnsi="Times New Roman" w:cs="Times New Roman" w:eastAsia="Times New Roman" w:hint="default"/>
                <w:sz w:val="18"/>
                <w:szCs w:val="18"/>
              </w:rPr>
              <w:t>;</w:t>
            </w:r>
            <w:r>
              <w:rPr>
                <w:rFonts w:ascii="宋体" w:hAnsi="宋体" w:cs="宋体" w:eastAsia="宋体" w:hint="default"/>
                <w:sz w:val="18"/>
                <w:szCs w:val="18"/>
              </w:rPr>
              <w:t>李涛</w:t>
            </w:r>
            <w:r>
              <w:rPr>
                <w:rFonts w:ascii="Times New Roman" w:hAnsi="Times New Roman" w:cs="Times New Roman" w:eastAsia="Times New Roman" w:hint="default"/>
                <w:sz w:val="18"/>
                <w:szCs w:val="18"/>
              </w:rPr>
              <w:t>;</w:t>
            </w:r>
            <w:r>
              <w:rPr>
                <w:rFonts w:ascii="宋体" w:hAnsi="宋体" w:cs="宋体" w:eastAsia="宋体" w:hint="default"/>
                <w:sz w:val="18"/>
                <w:szCs w:val="18"/>
              </w:rPr>
              <w:t>张伶 敏</w:t>
            </w:r>
            <w:r>
              <w:rPr>
                <w:rFonts w:ascii="Times New Roman" w:hAnsi="Times New Roman" w:cs="Times New Roman" w:eastAsia="Times New Roman" w:hint="default"/>
                <w:sz w:val="18"/>
                <w:szCs w:val="18"/>
              </w:rPr>
              <w:t>;</w:t>
            </w:r>
            <w:r>
              <w:rPr>
                <w:rFonts w:ascii="宋体" w:hAnsi="宋体" w:cs="宋体" w:eastAsia="宋体" w:hint="default"/>
                <w:sz w:val="18"/>
                <w:szCs w:val="18"/>
              </w:rPr>
              <w:t>程志远</w:t>
            </w:r>
            <w:r>
              <w:rPr>
                <w:rFonts w:ascii="Times New Roman" w:hAnsi="Times New Roman" w:cs="Times New Roman" w:eastAsia="Times New Roman" w:hint="default"/>
                <w:sz w:val="18"/>
                <w:szCs w:val="18"/>
              </w:rPr>
              <w:t>;</w:t>
            </w:r>
            <w:r>
              <w:rPr>
                <w:rFonts w:ascii="宋体" w:hAnsi="宋体" w:cs="宋体" w:eastAsia="宋体" w:hint="default"/>
                <w:sz w:val="18"/>
                <w:szCs w:val="18"/>
              </w:rPr>
              <w:t>毕永 东</w:t>
            </w:r>
            <w:r>
              <w:rPr>
                <w:rFonts w:ascii="Times New Roman" w:hAnsi="Times New Roman" w:cs="Times New Roman" w:eastAsia="Times New Roman" w:hint="default"/>
                <w:sz w:val="18"/>
                <w:szCs w:val="18"/>
              </w:rPr>
              <w:t>;</w:t>
            </w:r>
            <w:r>
              <w:rPr>
                <w:rFonts w:ascii="宋体" w:hAnsi="宋体" w:cs="宋体" w:eastAsia="宋体" w:hint="default"/>
                <w:sz w:val="18"/>
                <w:szCs w:val="18"/>
              </w:rPr>
              <w:t>姚翔</w:t>
            </w:r>
            <w:r>
              <w:rPr>
                <w:rFonts w:ascii="Times New Roman" w:hAnsi="Times New Roman" w:cs="Times New Roman" w:eastAsia="Times New Roman" w:hint="default"/>
                <w:sz w:val="18"/>
                <w:szCs w:val="18"/>
              </w:rPr>
              <w:t>;</w:t>
            </w:r>
            <w:r>
              <w:rPr>
                <w:rFonts w:ascii="宋体" w:hAnsi="宋体" w:cs="宋体" w:eastAsia="宋体" w:hint="default"/>
                <w:sz w:val="18"/>
                <w:szCs w:val="18"/>
              </w:rPr>
              <w:t>何悦</w:t>
            </w:r>
            <w:r>
              <w:rPr>
                <w:rFonts w:ascii="Times New Roman" w:hAnsi="Times New Roman" w:cs="Times New Roman" w:eastAsia="Times New Roman" w:hint="default"/>
                <w:sz w:val="18"/>
                <w:szCs w:val="18"/>
              </w:rPr>
              <w:t>; </w:t>
            </w:r>
            <w:r>
              <w:rPr>
                <w:rFonts w:ascii="宋体" w:hAnsi="宋体" w:cs="宋体" w:eastAsia="宋体" w:hint="default"/>
                <w:sz w:val="18"/>
                <w:szCs w:val="18"/>
              </w:rPr>
              <w:t>王夏娟</w:t>
            </w:r>
            <w:r>
              <w:rPr>
                <w:rFonts w:ascii="Times New Roman" w:hAnsi="Times New Roman" w:cs="Times New Roman" w:eastAsia="Times New Roman" w:hint="default"/>
                <w:sz w:val="18"/>
                <w:szCs w:val="18"/>
              </w:rPr>
              <w:t>;</w:t>
            </w:r>
            <w:r>
              <w:rPr>
                <w:rFonts w:ascii="宋体" w:hAnsi="宋体" w:cs="宋体" w:eastAsia="宋体" w:hint="default"/>
                <w:sz w:val="18"/>
                <w:szCs w:val="18"/>
              </w:rPr>
              <w:t>李敬勋</w:t>
            </w:r>
            <w:r>
              <w:rPr>
                <w:rFonts w:ascii="Times New Roman" w:hAnsi="Times New Roman" w:cs="Times New Roman" w:eastAsia="Times New Roman" w:hint="default"/>
                <w:sz w:val="18"/>
                <w:szCs w:val="18"/>
              </w:rPr>
              <w:t>; </w:t>
            </w:r>
            <w:r>
              <w:rPr>
                <w:rFonts w:ascii="宋体" w:hAnsi="宋体" w:cs="宋体" w:eastAsia="宋体" w:hint="default"/>
                <w:sz w:val="18"/>
                <w:szCs w:val="18"/>
              </w:rPr>
              <w:t>刘兴安</w:t>
            </w:r>
            <w:r>
              <w:rPr>
                <w:rFonts w:ascii="Times New Roman" w:hAnsi="Times New Roman" w:cs="Times New Roman" w:eastAsia="Times New Roman" w:hint="default"/>
                <w:sz w:val="18"/>
                <w:szCs w:val="18"/>
              </w:rPr>
              <w:t>;</w:t>
            </w:r>
            <w:r>
              <w:rPr>
                <w:rFonts w:ascii="宋体" w:hAnsi="宋体" w:cs="宋体" w:eastAsia="宋体" w:hint="default"/>
                <w:sz w:val="18"/>
                <w:szCs w:val="18"/>
              </w:rPr>
              <w:t>吴振芳</w:t>
            </w:r>
            <w:r>
              <w:rPr>
                <w:rFonts w:ascii="Times New Roman" w:hAnsi="Times New Roman" w:cs="Times New Roman" w:eastAsia="Times New Roman" w:hint="default"/>
                <w:sz w:val="18"/>
                <w:szCs w:val="18"/>
              </w:rPr>
              <w:t>; </w:t>
            </w:r>
            <w:r>
              <w:rPr>
                <w:rFonts w:ascii="宋体" w:hAnsi="宋体" w:cs="宋体" w:eastAsia="宋体" w:hint="default"/>
                <w:sz w:val="18"/>
                <w:szCs w:val="18"/>
              </w:rPr>
              <w:t>陈华治</w:t>
            </w:r>
            <w:r>
              <w:rPr>
                <w:rFonts w:ascii="Times New Roman" w:hAnsi="Times New Roman" w:cs="Times New Roman" w:eastAsia="Times New Roman" w:hint="default"/>
                <w:sz w:val="18"/>
                <w:szCs w:val="18"/>
              </w:rPr>
              <w:t>;</w:t>
            </w:r>
            <w:r>
              <w:rPr>
                <w:rFonts w:ascii="宋体" w:hAnsi="宋体" w:cs="宋体" w:eastAsia="宋体" w:hint="default"/>
                <w:sz w:val="18"/>
                <w:szCs w:val="18"/>
              </w:rPr>
              <w:t>姜涛</w:t>
            </w:r>
            <w:r>
              <w:rPr>
                <w:rFonts w:ascii="Times New Roman" w:hAnsi="Times New Roman" w:cs="Times New Roman" w:eastAsia="Times New Roman" w:hint="default"/>
                <w:sz w:val="18"/>
                <w:szCs w:val="18"/>
              </w:rPr>
              <w:t>;</w:t>
            </w:r>
            <w:r>
              <w:rPr>
                <w:rFonts w:ascii="宋体" w:hAnsi="宋体" w:cs="宋体" w:eastAsia="宋体" w:hint="default"/>
                <w:sz w:val="18"/>
                <w:szCs w:val="18"/>
              </w:rPr>
              <w:t>王 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firstLine="360"/>
              <w:jc w:val="left"/>
              <w:rPr>
                <w:rFonts w:ascii="宋体" w:hAnsi="宋体" w:cs="宋体" w:eastAsia="宋体" w:hint="default"/>
                <w:sz w:val="18"/>
                <w:szCs w:val="18"/>
              </w:rPr>
            </w:pPr>
            <w:r>
              <w:rPr>
                <w:rFonts w:ascii="宋体" w:hAnsi="宋体" w:cs="宋体" w:eastAsia="宋体" w:hint="default"/>
                <w:sz w:val="18"/>
                <w:szCs w:val="18"/>
              </w:rPr>
              <w:t>自公司股 票上市之日起 三十六个月内， 不转让或者委 托他人管理其 直接或间接持 有的公司股份， 也不由公司回 购其持有的公 司股份。</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59" w:firstLine="360"/>
              <w:jc w:val="both"/>
              <w:rPr>
                <w:rFonts w:ascii="宋体" w:hAnsi="宋体" w:cs="宋体" w:eastAsia="宋体" w:hint="default"/>
                <w:sz w:val="18"/>
                <w:szCs w:val="18"/>
              </w:rPr>
            </w:pPr>
            <w:r>
              <w:rPr>
                <w:rFonts w:ascii="宋体" w:hAnsi="宋体" w:cs="宋体" w:eastAsia="宋体" w:hint="default"/>
                <w:sz w:val="18"/>
                <w:szCs w:val="18"/>
              </w:rPr>
              <w:t>自公司股 票上市之日起 三十六个月内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履行承诺</w:t>
            </w:r>
          </w:p>
        </w:tc>
      </w:tr>
      <w:tr>
        <w:trPr>
          <w:trHeight w:val="597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00" w:lineRule="auto"/>
              <w:ind w:left="24" w:right="59" w:firstLine="360"/>
              <w:jc w:val="both"/>
              <w:rPr>
                <w:rFonts w:ascii="宋体" w:hAnsi="宋体" w:cs="宋体" w:eastAsia="宋体" w:hint="default"/>
                <w:sz w:val="18"/>
                <w:szCs w:val="18"/>
              </w:rPr>
            </w:pPr>
            <w:r>
              <w:rPr>
                <w:rFonts w:ascii="宋体" w:hAnsi="宋体" w:cs="宋体" w:eastAsia="宋体" w:hint="default"/>
                <w:sz w:val="18"/>
                <w:szCs w:val="18"/>
              </w:rPr>
              <w:t>林皓</w:t>
            </w:r>
            <w:r>
              <w:rPr>
                <w:rFonts w:ascii="Times New Roman" w:hAnsi="Times New Roman" w:cs="Times New Roman" w:eastAsia="Times New Roman" w:hint="default"/>
                <w:sz w:val="18"/>
                <w:szCs w:val="18"/>
              </w:rPr>
              <w:t>;</w:t>
            </w:r>
            <w:r>
              <w:rPr>
                <w:rFonts w:ascii="宋体" w:hAnsi="宋体" w:cs="宋体" w:eastAsia="宋体" w:hint="default"/>
                <w:sz w:val="18"/>
                <w:szCs w:val="18"/>
              </w:rPr>
              <w:t>杨杰</w:t>
            </w:r>
            <w:r>
              <w:rPr>
                <w:rFonts w:ascii="Times New Roman" w:hAnsi="Times New Roman" w:cs="Times New Roman" w:eastAsia="Times New Roman" w:hint="default"/>
                <w:sz w:val="18"/>
                <w:szCs w:val="18"/>
              </w:rPr>
              <w:t>; </w:t>
            </w:r>
            <w:r>
              <w:rPr>
                <w:rFonts w:ascii="宋体" w:hAnsi="宋体" w:cs="宋体" w:eastAsia="宋体" w:hint="default"/>
                <w:sz w:val="18"/>
                <w:szCs w:val="18"/>
              </w:rPr>
              <w:t>高曦</w:t>
            </w:r>
            <w:r>
              <w:rPr>
                <w:rFonts w:ascii="Times New Roman" w:hAnsi="Times New Roman" w:cs="Times New Roman" w:eastAsia="Times New Roman" w:hint="default"/>
                <w:sz w:val="18"/>
                <w:szCs w:val="18"/>
              </w:rPr>
              <w:t>;</w:t>
            </w:r>
            <w:r>
              <w:rPr>
                <w:rFonts w:ascii="宋体" w:hAnsi="宋体" w:cs="宋体" w:eastAsia="宋体" w:hint="default"/>
                <w:sz w:val="18"/>
                <w:szCs w:val="18"/>
              </w:rPr>
              <w:t>尹子健</w:t>
            </w:r>
            <w:r>
              <w:rPr>
                <w:rFonts w:ascii="Times New Roman" w:hAnsi="Times New Roman" w:cs="Times New Roman" w:eastAsia="Times New Roman" w:hint="default"/>
                <w:sz w:val="18"/>
                <w:szCs w:val="18"/>
              </w:rPr>
              <w:t>;</w:t>
            </w:r>
            <w:r>
              <w:rPr>
                <w:rFonts w:ascii="宋体" w:hAnsi="宋体" w:cs="宋体" w:eastAsia="宋体" w:hint="default"/>
                <w:sz w:val="18"/>
                <w:szCs w:val="18"/>
              </w:rPr>
              <w:t>杨 维</w:t>
            </w:r>
            <w:r>
              <w:rPr>
                <w:rFonts w:ascii="Times New Roman" w:hAnsi="Times New Roman" w:cs="Times New Roman" w:eastAsia="Times New Roman" w:hint="default"/>
                <w:sz w:val="18"/>
                <w:szCs w:val="18"/>
              </w:rPr>
              <w:t>;</w:t>
            </w:r>
            <w:r>
              <w:rPr>
                <w:rFonts w:ascii="宋体" w:hAnsi="宋体" w:cs="宋体" w:eastAsia="宋体" w:hint="default"/>
                <w:sz w:val="18"/>
                <w:szCs w:val="18"/>
              </w:rPr>
              <w:t>马承栋</w:t>
            </w:r>
            <w:r>
              <w:rPr>
                <w:rFonts w:ascii="Times New Roman" w:hAnsi="Times New Roman" w:cs="Times New Roman" w:eastAsia="Times New Roman" w:hint="default"/>
                <w:sz w:val="18"/>
                <w:szCs w:val="18"/>
              </w:rPr>
              <w:t>;</w:t>
            </w:r>
            <w:r>
              <w:rPr>
                <w:rFonts w:ascii="宋体" w:hAnsi="宋体" w:cs="宋体" w:eastAsia="宋体" w:hint="default"/>
                <w:sz w:val="18"/>
                <w:szCs w:val="18"/>
              </w:rPr>
              <w:t>吴荣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firstLine="360"/>
              <w:jc w:val="left"/>
              <w:rPr>
                <w:rFonts w:ascii="宋体" w:hAnsi="宋体" w:cs="宋体" w:eastAsia="宋体" w:hint="default"/>
                <w:sz w:val="18"/>
                <w:szCs w:val="18"/>
              </w:rPr>
            </w:pPr>
            <w:r>
              <w:rPr>
                <w:rFonts w:ascii="宋体" w:hAnsi="宋体" w:cs="宋体" w:eastAsia="宋体" w:hint="default"/>
                <w:sz w:val="18"/>
                <w:szCs w:val="18"/>
              </w:rPr>
              <w:t>其在任职 </w:t>
            </w:r>
            <w:r>
              <w:rPr>
                <w:rFonts w:ascii="宋体" w:hAnsi="宋体" w:cs="宋体" w:eastAsia="宋体" w:hint="default"/>
                <w:spacing w:val="-6"/>
                <w:sz w:val="18"/>
                <w:szCs w:val="18"/>
              </w:rPr>
              <w:t>期间，每年转让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的公司股份不 超过其持有公 司股份总数的 百分之二十五； 离职后半年内， 不转让其持有 </w:t>
            </w:r>
            <w:r>
              <w:rPr>
                <w:rFonts w:ascii="宋体" w:hAnsi="宋体" w:cs="宋体" w:eastAsia="宋体" w:hint="default"/>
                <w:spacing w:val="-6"/>
                <w:sz w:val="18"/>
                <w:szCs w:val="18"/>
              </w:rPr>
              <w:t>的公司股份；在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首次公开发行 股票上市之日 起六个月内申 </w:t>
            </w:r>
            <w:r>
              <w:rPr>
                <w:rFonts w:ascii="宋体" w:hAnsi="宋体" w:cs="宋体" w:eastAsia="宋体" w:hint="default"/>
                <w:spacing w:val="-6"/>
                <w:sz w:val="18"/>
                <w:szCs w:val="18"/>
              </w:rPr>
              <w:t>报离职的，自申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报离职之日起 十八个月内不 转让其直接或 者间接持有的 </w:t>
            </w:r>
            <w:r>
              <w:rPr>
                <w:rFonts w:ascii="宋体" w:hAnsi="宋体" w:cs="宋体" w:eastAsia="宋体" w:hint="default"/>
                <w:spacing w:val="-6"/>
                <w:sz w:val="18"/>
                <w:szCs w:val="18"/>
              </w:rPr>
              <w:t>公司股份；在首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次公开发行股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159" w:firstLine="360"/>
              <w:jc w:val="both"/>
              <w:rPr>
                <w:rFonts w:ascii="宋体" w:hAnsi="宋体" w:cs="宋体" w:eastAsia="宋体" w:hint="default"/>
                <w:sz w:val="18"/>
                <w:szCs w:val="18"/>
              </w:rPr>
            </w:pPr>
            <w:r>
              <w:rPr>
                <w:rFonts w:ascii="宋体" w:hAnsi="宋体" w:cs="宋体" w:eastAsia="宋体" w:hint="default"/>
                <w:sz w:val="18"/>
                <w:szCs w:val="18"/>
              </w:rPr>
              <w:t>自公司股 票上市之日起 十二个月内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15" w:right="0"/>
              <w:jc w:val="left"/>
              <w:rPr>
                <w:rFonts w:ascii="宋体" w:hAnsi="宋体" w:cs="宋体" w:eastAsia="宋体" w:hint="default"/>
                <w:sz w:val="18"/>
                <w:szCs w:val="18"/>
              </w:rPr>
            </w:pPr>
            <w:r>
              <w:rPr>
                <w:rFonts w:ascii="宋体" w:hAnsi="宋体" w:cs="宋体" w:eastAsia="宋体" w:hint="default"/>
                <w:sz w:val="18"/>
                <w:szCs w:val="18"/>
              </w:rPr>
              <w:t>履行承诺</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486"/>
        <w:gridCol w:w="1275"/>
        <w:gridCol w:w="1063"/>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票上市之日起 第七个月至第 十二个月之间 </w:t>
            </w:r>
            <w:r>
              <w:rPr>
                <w:rFonts w:ascii="宋体" w:hAnsi="宋体" w:cs="宋体" w:eastAsia="宋体" w:hint="default"/>
                <w:spacing w:val="-6"/>
                <w:sz w:val="18"/>
                <w:szCs w:val="18"/>
              </w:rPr>
              <w:t>申报离职的，自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申报离职之日 起十二个月内 不转让其直接 或者间接持有 的公司股份。</w:t>
            </w:r>
          </w:p>
        </w:tc>
        <w:tc>
          <w:tcPr>
            <w:tcW w:w="14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公司报告期不存在公司或持股</w:t>
      </w:r>
      <w:r>
        <w:rPr>
          <w:spacing w:val="-45"/>
        </w:rPr>
        <w:t> </w:t>
      </w:r>
      <w:r>
        <w:rPr>
          <w:rFonts w:ascii="Times New Roman" w:hAnsi="Times New Roman" w:cs="Times New Roman" w:eastAsia="Times New Roman" w:hint="default"/>
        </w:rPr>
        <w:t>5%</w:t>
      </w:r>
      <w:r>
        <w:rPr/>
        <w:t>以上股东在报告期内发生或以前期间发生但持续到报告期内的承诺事项。</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4"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孙彤、单大信</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是否改聘会计师事务所</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7"/>
        <w:rPr>
          <w:rFonts w:ascii="宋体" w:hAnsi="宋体" w:cs="宋体" w:eastAsia="宋体" w:hint="default"/>
          <w:sz w:val="26"/>
          <w:szCs w:val="26"/>
        </w:rPr>
      </w:pPr>
    </w:p>
    <w:p>
      <w:pPr>
        <w:pStyle w:val="Heading2"/>
        <w:spacing w:line="312" w:lineRule="exact"/>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4"/>
          <w:szCs w:val="24"/>
        </w:rPr>
      </w:pPr>
    </w:p>
    <w:p>
      <w:pPr>
        <w:pStyle w:val="BodyText"/>
        <w:spacing w:line="340" w:lineRule="auto"/>
        <w:ind w:right="4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上市公司及其子公司是否存在其他重大社会安全问题</w:t>
      </w:r>
    </w:p>
    <w:p>
      <w:pPr>
        <w:pStyle w:val="BodyText"/>
        <w:spacing w:line="338" w:lineRule="auto" w:before="42"/>
        <w:ind w:right="7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报告期内是否被行政处罚</w:t>
      </w:r>
    </w:p>
    <w:p>
      <w:pPr>
        <w:spacing w:after="0" w:line="338"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40" w:lineRule="auto" w:before="44"/>
        <w:ind w:right="7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处罚事项</w:t>
      </w:r>
    </w:p>
    <w:p>
      <w:pPr>
        <w:pStyle w:val="BodyText"/>
        <w:spacing w:line="360" w:lineRule="auto" w:before="39"/>
        <w:ind w:right="8693"/>
        <w:jc w:val="left"/>
      </w:pPr>
      <w:r>
        <w:rPr/>
        <w:t>处罚措施 整改情况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其他情况说明</w:t>
      </w:r>
    </w:p>
    <w:p>
      <w:pPr>
        <w:pStyle w:val="BodyText"/>
        <w:spacing w:line="240" w:lineRule="auto" w:before="43"/>
        <w:ind w:right="0"/>
        <w:jc w:val="left"/>
      </w:pPr>
      <w:r>
        <w:rPr/>
        <w:t>公司股东及其一致行动人在报告期内未提出或实施股份增持计划。</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十二、董事、监事、高级管理人员、持股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5"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33"/>
        <w:gridCol w:w="1088"/>
        <w:gridCol w:w="708"/>
        <w:gridCol w:w="850"/>
        <w:gridCol w:w="567"/>
        <w:gridCol w:w="994"/>
        <w:gridCol w:w="854"/>
        <w:gridCol w:w="989"/>
        <w:gridCol w:w="708"/>
        <w:gridCol w:w="775"/>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2D2D2"/>
          </w:tcPr>
          <w:p>
            <w:pPr/>
          </w:p>
        </w:tc>
        <w:tc>
          <w:tcPr>
            <w:tcW w:w="17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4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1" w:hRule="exact"/>
        </w:trPr>
        <w:tc>
          <w:tcPr>
            <w:tcW w:w="2033" w:type="dxa"/>
            <w:vMerge/>
            <w:tcBorders>
              <w:left w:val="single" w:sz="4" w:space="0" w:color="000000"/>
              <w:bottom w:val="single" w:sz="4" w:space="0" w:color="000000"/>
              <w:right w:val="single" w:sz="4" w:space="0" w:color="000000"/>
            </w:tcBorders>
            <w:shd w:val="clear" w:color="auto" w:fill="D2D2D2"/>
          </w:tcPr>
          <w:p>
            <w:pP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
              <w:jc w:val="center"/>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1"/>
                <w:sz w:val="18"/>
                <w:szCs w:val="18"/>
              </w:rPr>
              <w:t>一、有限售条件股份</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72,472,300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54.33%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70,527,900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-1,944,400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68,583,500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141,055,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52.87%</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72,472,300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54.33%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70,527,900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-1,944,400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68,583,500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141,055,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52.86%</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
                <w:sz w:val="18"/>
                <w:szCs w:val="18"/>
              </w:rPr>
              <w:t>其中：境内法人持股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72,472,300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54.33%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70,527,900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-1,944,400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68,583,500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141,055,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52.86%</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
                <w:sz w:val="18"/>
                <w:szCs w:val="18"/>
              </w:rPr>
              <w:t>其中：境外法人持股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1"/>
                <w:sz w:val="18"/>
                <w:szCs w:val="18"/>
              </w:rPr>
              <w:t>二、无限售条件股份</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60,927,700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45.67%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62,872,100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1,944,400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64,816,500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125,744,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47.13%</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60,927,700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45.67%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62,872,100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1,944,400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64,816,500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125,744,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47.13%</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133,400,000</w:t>
            </w:r>
          </w:p>
        </w:tc>
        <w:tc>
          <w:tcPr>
            <w:tcW w:w="85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133,400,000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266,800,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股份变动的原因</w:t>
      </w:r>
    </w:p>
    <w:p>
      <w:pPr>
        <w:pStyle w:val="BodyText"/>
        <w:spacing w:line="3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报告期内，公司实施资本公积转增股本使总股本扩大；因部分限售股份锁定期结束，使得限售股份数减少，无限售条件</w:t>
      </w:r>
    </w:p>
    <w:p>
      <w:pPr>
        <w:pStyle w:val="BodyText"/>
        <w:spacing w:line="240" w:lineRule="auto" w:before="1"/>
        <w:ind w:left="152" w:right="0"/>
        <w:jc w:val="left"/>
      </w:pPr>
      <w:r>
        <w:rPr/>
        <w:t>股份数增加。</w:t>
      </w:r>
    </w:p>
    <w:p>
      <w:pPr>
        <w:pStyle w:val="BodyText"/>
        <w:spacing w:line="240" w:lineRule="auto" w:before="117"/>
        <w:ind w:right="0"/>
        <w:jc w:val="left"/>
      </w:pPr>
      <w:r>
        <w:rPr/>
        <w:t>股份变动的批准情况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02" w:lineRule="auto" w:before="44"/>
        <w:ind w:left="152" w:right="0" w:firstLine="432"/>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13</w:t>
      </w:r>
      <w:r>
        <w:rPr>
          <w:spacing w:val="-3"/>
        </w:rPr>
        <w:t>日第二届董事会第四次会议审议通过了《关于公司</w:t>
      </w:r>
      <w:r>
        <w:rPr>
          <w:rFonts w:ascii="Times New Roman" w:hAnsi="Times New Roman" w:cs="Times New Roman" w:eastAsia="Times New Roman" w:hint="default"/>
          <w:spacing w:val="-3"/>
        </w:rPr>
        <w:t>2013</w:t>
      </w:r>
      <w:r>
        <w:rPr>
          <w:spacing w:val="-3"/>
        </w:rPr>
        <w:t>年度利润分配方案的议案》，在符合利润分配原则、</w:t>
      </w:r>
      <w:r>
        <w:rPr/>
        <w:t> 保证公司正常经营和长远发展的前提下，根据《公司法》及《公司章程》的相关规定，拟定如下分配方案：以公司总股本 </w:t>
      </w:r>
      <w:r>
        <w:rPr>
          <w:rFonts w:ascii="Times New Roman" w:hAnsi="Times New Roman" w:cs="Times New Roman" w:eastAsia="Times New Roman" w:hint="default"/>
        </w:rPr>
        <w:t>133,400,000</w:t>
      </w:r>
      <w:r>
        <w:rPr/>
        <w:t>股为基数，向全体股东每</w:t>
      </w:r>
      <w:r>
        <w:rPr>
          <w:rFonts w:ascii="Times New Roman" w:hAnsi="Times New Roman" w:cs="Times New Roman" w:eastAsia="Times New Roman" w:hint="default"/>
        </w:rPr>
        <w:t>10 </w:t>
      </w:r>
      <w:r>
        <w:rPr/>
        <w:t>股派发现金股利</w:t>
      </w:r>
      <w:r>
        <w:rPr>
          <w:rFonts w:ascii="Times New Roman" w:hAnsi="Times New Roman" w:cs="Times New Roman" w:eastAsia="Times New Roman" w:hint="default"/>
        </w:rPr>
        <w:t>1</w:t>
      </w:r>
      <w:r>
        <w:rPr/>
        <w:t>元人民币（含税）；</w:t>
      </w:r>
      <w:r>
        <w:rPr>
          <w:spacing w:val="-38"/>
        </w:rPr>
        <w:t> </w:t>
      </w:r>
      <w:r>
        <w:rPr/>
        <w:t>同时进行资本公积金转增股本，以公司总股</w:t>
      </w:r>
      <w:r>
        <w:rPr/>
        <w:t> 本</w:t>
      </w:r>
      <w:r>
        <w:rPr>
          <w:rFonts w:ascii="Times New Roman" w:hAnsi="Times New Roman" w:cs="Times New Roman" w:eastAsia="Times New Roman" w:hint="default"/>
        </w:rPr>
        <w:t>133,400,000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133,400,000</w:t>
      </w:r>
      <w:r>
        <w:rPr/>
        <w:t>股，转增后公司总股本将增加至</w:t>
      </w:r>
      <w:r>
        <w:rPr>
          <w:rFonts w:ascii="Times New Roman" w:hAnsi="Times New Roman" w:cs="Times New Roman" w:eastAsia="Times New Roman" w:hint="default"/>
        </w:rPr>
        <w:t>266,800,000</w:t>
      </w:r>
      <w:r>
        <w:rPr>
          <w:rFonts w:ascii="Times New Roman" w:hAnsi="Times New Roman" w:cs="Times New Roman" w:eastAsia="Times New Roman" w:hint="default"/>
          <w:spacing w:val="24"/>
        </w:rPr>
        <w:t> </w:t>
      </w:r>
      <w:r>
        <w:rPr>
          <w:spacing w:val="-3"/>
        </w:rPr>
        <w:t>股。 </w:t>
      </w:r>
      <w:r>
        <w:rPr>
          <w:spacing w:val="-2"/>
        </w:rPr>
        <w:t>并提请股东大会授权公司董事会在股东会审议通过后对《公司章程》进行相应修改。</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2013</w:t>
      </w:r>
      <w:r>
        <w:rPr>
          <w:spacing w:val="-2"/>
        </w:rPr>
        <w:t>年度股东大会审</w:t>
      </w:r>
      <w:r>
        <w:rPr>
          <w:spacing w:val="-58"/>
        </w:rPr>
        <w:t> </w:t>
      </w:r>
      <w:r>
        <w:rPr>
          <w:spacing w:val="-58"/>
        </w:rPr>
      </w:r>
      <w:r>
        <w:rPr/>
        <w:t>议通过了上述《关于公司</w:t>
      </w:r>
      <w:r>
        <w:rPr>
          <w:rFonts w:ascii="Times New Roman" w:hAnsi="Times New Roman" w:cs="Times New Roman" w:eastAsia="Times New Roman" w:hint="default"/>
        </w:rPr>
        <w:t>2013</w:t>
      </w:r>
      <w:r>
        <w:rPr/>
        <w:t>年度利润分配方案的议案》。</w:t>
      </w:r>
      <w:r>
        <w:rPr>
          <w:rFonts w:ascii="Times New Roman" w:hAnsi="Times New Roman" w:cs="Times New Roman" w:eastAsia="Times New Roman" w:hint="default"/>
        </w:rPr>
        <w:t>2013</w:t>
      </w:r>
      <w:r>
        <w:rPr/>
        <w:t>年度权益分派股权登记日为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日，除权除息日为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p>
    <w:p>
      <w:pPr>
        <w:pStyle w:val="BodyText"/>
        <w:spacing w:line="240" w:lineRule="auto" w:before="52"/>
        <w:ind w:right="0"/>
        <w:jc w:val="left"/>
      </w:pPr>
      <w:r>
        <w:rPr/>
        <w:t>股份变动的过户情况</w:t>
      </w:r>
    </w:p>
    <w:p>
      <w:pPr>
        <w:pStyle w:val="BodyText"/>
        <w:spacing w:line="3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股份变动对最近一年和最近一期基本每股收益和稀释每股收益、归属于公司普通股股东的每股净资产等财务指标的影响</w:t>
      </w:r>
    </w:p>
    <w:p>
      <w:pPr>
        <w:pStyle w:val="BodyText"/>
        <w:spacing w:line="338" w:lineRule="auto" w:before="42"/>
        <w:ind w:right="1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公司实施转股后，按最新股本</w:t>
      </w:r>
      <w:r>
        <w:rPr>
          <w:rFonts w:ascii="Times New Roman" w:hAnsi="Times New Roman" w:cs="Times New Roman" w:eastAsia="Times New Roman" w:hint="default"/>
        </w:rPr>
        <w:t>266,800,000</w:t>
      </w:r>
      <w:r>
        <w:rPr/>
        <w:t>股重新调整计算，</w:t>
      </w:r>
      <w:r>
        <w:rPr>
          <w:rFonts w:ascii="Times New Roman" w:hAnsi="Times New Roman" w:cs="Times New Roman" w:eastAsia="Times New Roman" w:hint="default"/>
        </w:rPr>
        <w:t>2013</w:t>
      </w:r>
      <w:r>
        <w:rPr/>
        <w:t>年度，基本每股收益和稀释每股收益均为</w:t>
      </w:r>
      <w:r>
        <w:rPr>
          <w:rFonts w:ascii="Times New Roman" w:hAnsi="Times New Roman" w:cs="Times New Roman" w:eastAsia="Times New Roman" w:hint="default"/>
        </w:rPr>
        <w:t>0.255</w:t>
      </w:r>
      <w:r>
        <w:rPr/>
        <w:t>元</w:t>
      </w:r>
      <w:r>
        <w:rPr>
          <w:rFonts w:ascii="Times New Roman" w:hAnsi="Times New Roman" w:cs="Times New Roman" w:eastAsia="Times New Roman" w:hint="default"/>
        </w:rPr>
        <w:t>/</w:t>
      </w:r>
      <w:r>
        <w:rPr/>
        <w:t>股，</w:t>
      </w:r>
    </w:p>
    <w:p>
      <w:pPr>
        <w:pStyle w:val="BodyText"/>
        <w:spacing w:line="230" w:lineRule="exact"/>
        <w:ind w:left="152" w:right="0"/>
        <w:jc w:val="left"/>
      </w:pPr>
      <w:r>
        <w:rPr/>
        <w:t>每股净资产收益调整为</w:t>
      </w:r>
      <w:r>
        <w:rPr>
          <w:rFonts w:ascii="Times New Roman" w:hAnsi="Times New Roman" w:cs="Times New Roman" w:eastAsia="Times New Roman" w:hint="default"/>
        </w:rPr>
        <w:t>2.4275</w:t>
      </w:r>
      <w:r>
        <w:rPr/>
        <w:t>元。</w:t>
      </w:r>
    </w:p>
    <w:p>
      <w:pPr>
        <w:pStyle w:val="BodyText"/>
        <w:spacing w:line="240" w:lineRule="auto" w:before="103"/>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234"/>
        <w:gridCol w:w="1275"/>
        <w:gridCol w:w="1418"/>
        <w:gridCol w:w="1419"/>
        <w:gridCol w:w="1490"/>
      </w:tblGrid>
      <w:tr>
        <w:trPr>
          <w:trHeight w:val="7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83" w:right="11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73" w:right="269"/>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130,500,000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1,944,400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255,600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2,111,100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4,222,200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王夏娟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何悦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李敬勋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张伶敏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吴振芳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刘兴安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234"/>
        <w:gridCol w:w="1275"/>
        <w:gridCol w:w="1418"/>
        <w:gridCol w:w="1419"/>
        <w:gridCol w:w="149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程志远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116,700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姚翔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毕永东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姜涛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333,400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陈华治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411,200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发行前限售</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72,472,300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1,944,400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70,527,900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141,055,800</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3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证券发行情况的说明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2" w:lineRule="auto" w:before="103"/>
        <w:ind w:left="152"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13</w:t>
      </w:r>
      <w:r>
        <w:rPr>
          <w:spacing w:val="-2"/>
        </w:rPr>
        <w:t>日第二届董事会第四次会议审议通过了《关于公司</w:t>
      </w:r>
      <w:r>
        <w:rPr>
          <w:rFonts w:ascii="Times New Roman" w:hAnsi="Times New Roman" w:cs="Times New Roman" w:eastAsia="Times New Roman" w:hint="default"/>
          <w:spacing w:val="-2"/>
        </w:rPr>
        <w:t>2013</w:t>
      </w:r>
      <w:r>
        <w:rPr>
          <w:spacing w:val="-2"/>
        </w:rPr>
        <w:t>年度利润分配方案的议案》，在符合利润分配原则、</w:t>
      </w:r>
      <w:r>
        <w:rPr/>
        <w:t> 保证公司正常经营和长远发展的前提下，根据《公司法》及《公司章程》的相关规定，拟定如下分配方案：以公司总股本 </w:t>
      </w:r>
      <w:r>
        <w:rPr>
          <w:rFonts w:ascii="Times New Roman" w:hAnsi="Times New Roman" w:cs="Times New Roman" w:eastAsia="Times New Roman" w:hint="default"/>
        </w:rPr>
        <w:t>133,400,000</w:t>
      </w:r>
      <w:r>
        <w:rPr/>
        <w:t>股为基数，向全体股东每</w:t>
      </w:r>
      <w:r>
        <w:rPr>
          <w:rFonts w:ascii="Times New Roman" w:hAnsi="Times New Roman" w:cs="Times New Roman" w:eastAsia="Times New Roman" w:hint="default"/>
        </w:rPr>
        <w:t>10 </w:t>
      </w:r>
      <w:r>
        <w:rPr/>
        <w:t>股派发现金股利</w:t>
      </w:r>
      <w:r>
        <w:rPr>
          <w:rFonts w:ascii="Times New Roman" w:hAnsi="Times New Roman" w:cs="Times New Roman" w:eastAsia="Times New Roman" w:hint="default"/>
        </w:rPr>
        <w:t>1</w:t>
      </w:r>
      <w:r>
        <w:rPr/>
        <w:t>元人民币（含税）；</w:t>
      </w:r>
      <w:r>
        <w:rPr>
          <w:spacing w:val="-38"/>
        </w:rPr>
        <w:t> </w:t>
      </w:r>
      <w:r>
        <w:rPr/>
        <w:t>同时进行资本公积金转增股本，以公司总股</w:t>
      </w:r>
      <w:r>
        <w:rPr/>
        <w:t> 本</w:t>
      </w:r>
      <w:r>
        <w:rPr>
          <w:rFonts w:ascii="Times New Roman" w:hAnsi="Times New Roman" w:cs="Times New Roman" w:eastAsia="Times New Roman" w:hint="default"/>
        </w:rPr>
        <w:t>133,400,000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133,400,000</w:t>
      </w:r>
      <w:r>
        <w:rPr/>
        <w:t>股，转增后公司总股本将增加至</w:t>
      </w:r>
      <w:r>
        <w:rPr>
          <w:rFonts w:ascii="Times New Roman" w:hAnsi="Times New Roman" w:cs="Times New Roman" w:eastAsia="Times New Roman" w:hint="default"/>
        </w:rPr>
        <w:t>266,800,000</w:t>
      </w:r>
      <w:r>
        <w:rPr>
          <w:rFonts w:ascii="Times New Roman" w:hAnsi="Times New Roman" w:cs="Times New Roman" w:eastAsia="Times New Roman" w:hint="default"/>
          <w:spacing w:val="24"/>
        </w:rPr>
        <w:t> </w:t>
      </w:r>
      <w:r>
        <w:rPr>
          <w:spacing w:val="-3"/>
        </w:rPr>
        <w:t>股。 </w:t>
      </w:r>
      <w:r>
        <w:rPr>
          <w:spacing w:val="-2"/>
        </w:rPr>
        <w:t>并提请股东大会授权公司董事会在股东会审议通过后对《公司章程》进行相应修改。</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2013</w:t>
      </w:r>
      <w:r>
        <w:rPr>
          <w:spacing w:val="-2"/>
        </w:rPr>
        <w:t>年度股东大会审</w:t>
      </w:r>
      <w:r>
        <w:rPr>
          <w:spacing w:val="-58"/>
        </w:rPr>
        <w:t> </w:t>
      </w:r>
      <w:r>
        <w:rPr>
          <w:spacing w:val="-58"/>
        </w:rPr>
      </w:r>
      <w:r>
        <w:rPr/>
        <w:t>议通过了上述《关于公司</w:t>
      </w:r>
      <w:r>
        <w:rPr>
          <w:rFonts w:ascii="Times New Roman" w:hAnsi="Times New Roman" w:cs="Times New Roman" w:eastAsia="Times New Roman" w:hint="default"/>
        </w:rPr>
        <w:t>2013</w:t>
      </w:r>
      <w:r>
        <w:rPr/>
        <w:t>年度利润分配方案的议案》。</w:t>
      </w:r>
      <w:r>
        <w:rPr>
          <w:rFonts w:ascii="Times New Roman" w:hAnsi="Times New Roman" w:cs="Times New Roman" w:eastAsia="Times New Roman" w:hint="default"/>
        </w:rPr>
        <w:t>2013</w:t>
      </w:r>
      <w:r>
        <w:rPr/>
        <w:t>年度权益分派股权登记日为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日，除权除息日为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9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385"/>
        <w:gridCol w:w="877"/>
        <w:gridCol w:w="809"/>
        <w:gridCol w:w="1071"/>
        <w:gridCol w:w="991"/>
        <w:gridCol w:w="1133"/>
        <w:gridCol w:w="521"/>
        <w:gridCol w:w="614"/>
        <w:gridCol w:w="1037"/>
      </w:tblGrid>
      <w:tr>
        <w:trPr>
          <w:trHeight w:val="408"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12,847</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13,413</w:t>
            </w:r>
          </w:p>
        </w:tc>
      </w:tr>
      <w:tr>
        <w:trPr>
          <w:trHeight w:val="397" w:hRule="exact"/>
        </w:trPr>
        <w:tc>
          <w:tcPr>
            <w:tcW w:w="968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6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4" w:right="71" w:firstLine="18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8" w:right="38" w:firstLine="360"/>
              <w:jc w:val="left"/>
              <w:rPr>
                <w:rFonts w:ascii="宋体" w:hAnsi="宋体" w:cs="宋体" w:eastAsia="宋体" w:hint="default"/>
                <w:sz w:val="18"/>
                <w:szCs w:val="18"/>
              </w:rPr>
            </w:pPr>
            <w:r>
              <w:rPr>
                <w:rFonts w:ascii="宋体" w:hAnsi="宋体" w:cs="宋体" w:eastAsia="宋体" w:hint="default"/>
                <w:sz w:val="18"/>
                <w:szCs w:val="18"/>
              </w:rPr>
              <w:t>报告 期末持股</w:t>
            </w:r>
          </w:p>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9" w:right="81" w:firstLine="360"/>
              <w:jc w:val="left"/>
              <w:rPr>
                <w:rFonts w:ascii="宋体" w:hAnsi="宋体" w:cs="宋体" w:eastAsia="宋体" w:hint="default"/>
                <w:sz w:val="18"/>
                <w:szCs w:val="18"/>
              </w:rPr>
            </w:pPr>
            <w:r>
              <w:rPr>
                <w:rFonts w:ascii="宋体" w:hAnsi="宋体" w:cs="宋体" w:eastAsia="宋体" w:hint="default"/>
                <w:sz w:val="18"/>
                <w:szCs w:val="18"/>
              </w:rPr>
              <w:t>报告期 内增减变动</w:t>
            </w:r>
          </w:p>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0" w:right="38" w:firstLine="360"/>
              <w:jc w:val="both"/>
              <w:rPr>
                <w:rFonts w:ascii="宋体" w:hAnsi="宋体" w:cs="宋体" w:eastAsia="宋体" w:hint="default"/>
                <w:sz w:val="18"/>
                <w:szCs w:val="18"/>
              </w:rPr>
            </w:pPr>
            <w:r>
              <w:rPr>
                <w:rFonts w:ascii="宋体" w:hAnsi="宋体" w:cs="宋体" w:eastAsia="宋体" w:hint="default"/>
                <w:sz w:val="18"/>
                <w:szCs w:val="18"/>
              </w:rPr>
              <w:t>持有有 限售条件的 股份数量</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2" w:right="108" w:firstLine="360"/>
              <w:jc w:val="both"/>
              <w:rPr>
                <w:rFonts w:ascii="宋体" w:hAnsi="宋体" w:cs="宋体" w:eastAsia="宋体" w:hint="default"/>
                <w:sz w:val="18"/>
                <w:szCs w:val="18"/>
              </w:rPr>
            </w:pPr>
            <w:r>
              <w:rPr>
                <w:rFonts w:ascii="宋体" w:hAnsi="宋体" w:cs="宋体" w:eastAsia="宋体" w:hint="default"/>
                <w:sz w:val="18"/>
                <w:szCs w:val="18"/>
              </w:rPr>
              <w:t>持有无 限售条件的 股份数量</w:t>
            </w:r>
          </w:p>
        </w:tc>
        <w:tc>
          <w:tcPr>
            <w:tcW w:w="21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877"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0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0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130,500,0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+65,250,000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55,420,000</w:t>
            </w:r>
          </w:p>
        </w:tc>
      </w:tr>
      <w:tr>
        <w:trPr>
          <w:trHeight w:val="102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firstLine="360"/>
              <w:jc w:val="both"/>
              <w:rPr>
                <w:rFonts w:ascii="宋体" w:hAnsi="宋体" w:cs="宋体" w:eastAsia="宋体" w:hint="default"/>
                <w:sz w:val="18"/>
                <w:szCs w:val="18"/>
              </w:rPr>
            </w:pPr>
            <w:r>
              <w:rPr>
                <w:rFonts w:ascii="宋体" w:hAnsi="宋体" w:cs="宋体" w:eastAsia="宋体" w:hint="default"/>
                <w:sz w:val="18"/>
                <w:szCs w:val="18"/>
              </w:rPr>
              <w:t>浙江天越 创业投资有限 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89" w:firstLine="36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8,503,329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+1,412,329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8,503,329</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48"/>
        <w:gridCol w:w="1385"/>
        <w:gridCol w:w="877"/>
        <w:gridCol w:w="809"/>
        <w:gridCol w:w="1071"/>
        <w:gridCol w:w="991"/>
        <w:gridCol w:w="418"/>
        <w:gridCol w:w="715"/>
        <w:gridCol w:w="747"/>
        <w:gridCol w:w="389"/>
        <w:gridCol w:w="1037"/>
      </w:tblGrid>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周玉花</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7,063,600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+7,063,600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7,063,600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1.58%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Times New Roman" w:hAnsi="Times New Roman" w:cs="Times New Roman" w:eastAsia="Times New Roman" w:hint="default"/>
                <w:sz w:val="18"/>
                <w:szCs w:val="18"/>
              </w:rPr>
            </w:pPr>
            <w:r>
              <w:rPr>
                <w:rFonts w:ascii="Times New Roman"/>
                <w:spacing w:val="-1"/>
                <w:sz w:val="18"/>
              </w:rPr>
              <w:t>4,222,200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+2,111,100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4,222,200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2" w:firstLine="360"/>
              <w:jc w:val="left"/>
              <w:rPr>
                <w:rFonts w:ascii="宋体" w:hAnsi="宋体" w:cs="宋体" w:eastAsia="宋体" w:hint="default"/>
                <w:sz w:val="18"/>
                <w:szCs w:val="18"/>
              </w:rPr>
            </w:pPr>
            <w:r>
              <w:rPr>
                <w:rFonts w:ascii="宋体" w:hAnsi="宋体" w:cs="宋体" w:eastAsia="宋体" w:hint="default"/>
                <w:sz w:val="18"/>
                <w:szCs w:val="18"/>
              </w:rPr>
              <w:t>中国工商 银行</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汇添富均 衡增长股票型 证券投资基金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 w:right="0"/>
              <w:jc w:val="center"/>
              <w:rPr>
                <w:rFonts w:ascii="Times New Roman" w:hAnsi="Times New Roman" w:cs="Times New Roman" w:eastAsia="Times New Roman" w:hint="default"/>
                <w:sz w:val="18"/>
                <w:szCs w:val="18"/>
              </w:rPr>
            </w:pPr>
            <w:r>
              <w:rPr>
                <w:rFonts w:ascii="Times New Roman"/>
                <w:sz w:val="18"/>
              </w:rPr>
              <w:t>1.31%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8"/>
              <w:jc w:val="right"/>
              <w:rPr>
                <w:rFonts w:ascii="Times New Roman" w:hAnsi="Times New Roman" w:cs="Times New Roman" w:eastAsia="Times New Roman" w:hint="default"/>
                <w:sz w:val="18"/>
                <w:szCs w:val="18"/>
              </w:rPr>
            </w:pPr>
            <w:r>
              <w:rPr>
                <w:rFonts w:ascii="Times New Roman"/>
                <w:spacing w:val="-1"/>
                <w:sz w:val="18"/>
              </w:rPr>
              <w:t>3,499,708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left"/>
              <w:rPr>
                <w:rFonts w:ascii="Times New Roman" w:hAnsi="Times New Roman" w:cs="Times New Roman" w:eastAsia="Times New Roman" w:hint="default"/>
                <w:sz w:val="18"/>
                <w:szCs w:val="18"/>
              </w:rPr>
            </w:pPr>
            <w:r>
              <w:rPr>
                <w:rFonts w:ascii="Times New Roman"/>
                <w:sz w:val="18"/>
              </w:rPr>
              <w:t>+3,499,708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1" w:right="0"/>
              <w:jc w:val="left"/>
              <w:rPr>
                <w:rFonts w:ascii="Times New Roman" w:hAnsi="Times New Roman" w:cs="Times New Roman" w:eastAsia="Times New Roman" w:hint="default"/>
                <w:sz w:val="18"/>
                <w:szCs w:val="18"/>
              </w:rPr>
            </w:pPr>
            <w:r>
              <w:rPr>
                <w:rFonts w:ascii="Times New Roman"/>
                <w:sz w:val="18"/>
              </w:rPr>
              <w:t>3,499,708</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firstLine="360"/>
              <w:jc w:val="both"/>
              <w:rPr>
                <w:rFonts w:ascii="宋体" w:hAnsi="宋体" w:cs="宋体" w:eastAsia="宋体" w:hint="default"/>
                <w:sz w:val="18"/>
                <w:szCs w:val="18"/>
              </w:rPr>
            </w:pPr>
            <w:r>
              <w:rPr>
                <w:rFonts w:ascii="宋体" w:hAnsi="宋体" w:cs="宋体" w:eastAsia="宋体" w:hint="default"/>
                <w:sz w:val="18"/>
                <w:szCs w:val="18"/>
              </w:rPr>
              <w:t>中国工商 银行股份有限 公司－汇添富 外延增长主题 股票型证券投 资基金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2,410,359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+2,410,359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2,410,359</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firstLine="360"/>
              <w:jc w:val="both"/>
              <w:rPr>
                <w:rFonts w:ascii="宋体" w:hAnsi="宋体" w:cs="宋体" w:eastAsia="宋体" w:hint="default"/>
                <w:sz w:val="18"/>
                <w:szCs w:val="18"/>
              </w:rPr>
            </w:pPr>
            <w:r>
              <w:rPr>
                <w:rFonts w:ascii="宋体" w:hAnsi="宋体" w:cs="宋体" w:eastAsia="宋体" w:hint="default"/>
                <w:sz w:val="18"/>
                <w:szCs w:val="18"/>
              </w:rPr>
              <w:t>中国平安 人寿保险股份 有限公司－分 红－个险分红</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 w:right="0"/>
              <w:jc w:val="center"/>
              <w:rPr>
                <w:rFonts w:ascii="Times New Roman" w:hAnsi="Times New Roman" w:cs="Times New Roman" w:eastAsia="Times New Roman" w:hint="default"/>
                <w:sz w:val="18"/>
                <w:szCs w:val="18"/>
              </w:rPr>
            </w:pPr>
            <w:r>
              <w:rPr>
                <w:rFonts w:ascii="Times New Roman"/>
                <w:sz w:val="18"/>
              </w:rPr>
              <w:t>0.85%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8"/>
              <w:jc w:val="right"/>
              <w:rPr>
                <w:rFonts w:ascii="Times New Roman" w:hAnsi="Times New Roman" w:cs="Times New Roman" w:eastAsia="Times New Roman" w:hint="default"/>
                <w:sz w:val="18"/>
                <w:szCs w:val="18"/>
              </w:rPr>
            </w:pPr>
            <w:r>
              <w:rPr>
                <w:rFonts w:ascii="Times New Roman"/>
                <w:spacing w:val="-1"/>
                <w:sz w:val="18"/>
              </w:rPr>
              <w:t>2,265,224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left"/>
              <w:rPr>
                <w:rFonts w:ascii="Times New Roman" w:hAnsi="Times New Roman" w:cs="Times New Roman" w:eastAsia="Times New Roman" w:hint="default"/>
                <w:sz w:val="18"/>
                <w:szCs w:val="18"/>
              </w:rPr>
            </w:pPr>
            <w:r>
              <w:rPr>
                <w:rFonts w:ascii="Times New Roman"/>
                <w:sz w:val="18"/>
              </w:rPr>
              <w:t>+2,265,224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1" w:right="0"/>
              <w:jc w:val="left"/>
              <w:rPr>
                <w:rFonts w:ascii="Times New Roman" w:hAnsi="Times New Roman" w:cs="Times New Roman" w:eastAsia="Times New Roman" w:hint="default"/>
                <w:sz w:val="18"/>
                <w:szCs w:val="18"/>
              </w:rPr>
            </w:pPr>
            <w:r>
              <w:rPr>
                <w:rFonts w:ascii="Times New Roman"/>
                <w:sz w:val="18"/>
              </w:rPr>
              <w:t>2,265,224</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0.84%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Times New Roman" w:hAnsi="Times New Roman" w:cs="Times New Roman" w:eastAsia="Times New Roman" w:hint="default"/>
                <w:sz w:val="18"/>
                <w:szCs w:val="18"/>
              </w:rPr>
            </w:pPr>
            <w:r>
              <w:rPr>
                <w:rFonts w:ascii="Times New Roman"/>
                <w:spacing w:val="-1"/>
                <w:sz w:val="18"/>
              </w:rPr>
              <w:t>2,229,800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left"/>
              <w:rPr>
                <w:rFonts w:ascii="Times New Roman" w:hAnsi="Times New Roman" w:cs="Times New Roman" w:eastAsia="Times New Roman" w:hint="default"/>
                <w:sz w:val="18"/>
                <w:szCs w:val="18"/>
              </w:rPr>
            </w:pPr>
            <w:r>
              <w:rPr>
                <w:rFonts w:ascii="Times New Roman"/>
                <w:sz w:val="18"/>
              </w:rPr>
              <w:t>+1,114,90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2,229,800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319" w:lineRule="auto" w:before="76"/>
              <w:ind w:left="24" w:right="132"/>
              <w:jc w:val="left"/>
              <w:rPr>
                <w:rFonts w:ascii="宋体" w:hAnsi="宋体" w:cs="宋体" w:eastAsia="宋体" w:hint="default"/>
                <w:sz w:val="18"/>
                <w:szCs w:val="18"/>
              </w:rPr>
            </w:pPr>
            <w:r>
              <w:rPr>
                <w:rFonts w:ascii="宋体" w:hAnsi="宋体" w:cs="宋体" w:eastAsia="宋体" w:hint="default"/>
                <w:sz w:val="18"/>
                <w:szCs w:val="18"/>
              </w:rPr>
              <w:t>－汉兴证券投 资基金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0.75%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8"/>
              <w:jc w:val="right"/>
              <w:rPr>
                <w:rFonts w:ascii="Times New Roman" w:hAnsi="Times New Roman" w:cs="Times New Roman" w:eastAsia="Times New Roman" w:hint="default"/>
                <w:sz w:val="18"/>
                <w:szCs w:val="18"/>
              </w:rPr>
            </w:pPr>
            <w:r>
              <w:rPr>
                <w:rFonts w:ascii="Times New Roman"/>
                <w:spacing w:val="-1"/>
                <w:sz w:val="18"/>
              </w:rPr>
              <w:t>2,000,000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2,000,000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8"/>
              <w:jc w:val="right"/>
              <w:rPr>
                <w:rFonts w:ascii="Times New Roman" w:hAnsi="Times New Roman" w:cs="Times New Roman" w:eastAsia="Times New Roman" w:hint="default"/>
                <w:sz w:val="18"/>
                <w:szCs w:val="18"/>
              </w:rPr>
            </w:pPr>
            <w:r>
              <w:rPr>
                <w:rFonts w:ascii="Times New Roman"/>
                <w:spacing w:val="-1"/>
                <w:sz w:val="18"/>
              </w:rPr>
              <w:t>1,944,400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1"/>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Times New Roman" w:hAnsi="Times New Roman" w:cs="Times New Roman" w:eastAsia="Times New Roman" w:hint="default"/>
                <w:sz w:val="18"/>
                <w:szCs w:val="18"/>
              </w:rPr>
            </w:pPr>
            <w:r>
              <w:rPr>
                <w:rFonts w:ascii="Times New Roman"/>
                <w:sz w:val="18"/>
              </w:rPr>
              <w:t>1,944,400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firstLine="360"/>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053" w:type="dxa"/>
            <w:gridSpan w:val="9"/>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7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3"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53" w:type="dxa"/>
            <w:gridSpan w:val="9"/>
            <w:vMerge w:val="restart"/>
            <w:tcBorders>
              <w:top w:val="single" w:sz="4" w:space="0" w:color="000000"/>
              <w:left w:val="single" w:sz="4" w:space="0" w:color="000000"/>
              <w:right w:val="single" w:sz="4" w:space="0" w:color="000000"/>
            </w:tcBorders>
          </w:tcPr>
          <w:p>
            <w:pPr>
              <w:pStyle w:val="TableParagraph"/>
              <w:spacing w:line="316" w:lineRule="auto" w:before="51"/>
              <w:ind w:left="23" w:right="18" w:firstLine="360"/>
              <w:jc w:val="both"/>
              <w:rPr>
                <w:rFonts w:ascii="宋体" w:hAnsi="宋体" w:cs="宋体" w:eastAsia="宋体" w:hint="default"/>
                <w:sz w:val="18"/>
                <w:szCs w:val="18"/>
              </w:rPr>
            </w:pPr>
            <w:r>
              <w:rPr>
                <w:rFonts w:ascii="宋体" w:hAnsi="宋体" w:cs="宋体" w:eastAsia="宋体" w:hint="default"/>
                <w:spacing w:val="-1"/>
                <w:sz w:val="18"/>
                <w:szCs w:val="18"/>
              </w:rPr>
              <w:t>本公司发起人股东之间不存在关联关系，也不属于《上市收购管理办法》规定的一致</w:t>
            </w:r>
            <w:r>
              <w:rPr>
                <w:rFonts w:ascii="宋体" w:hAnsi="宋体" w:cs="宋体" w:eastAsia="宋体" w:hint="default"/>
                <w:sz w:val="18"/>
                <w:szCs w:val="18"/>
              </w:rPr>
              <w:t> </w:t>
            </w:r>
            <w:r>
              <w:rPr>
                <w:rFonts w:ascii="宋体" w:hAnsi="宋体" w:cs="宋体" w:eastAsia="宋体" w:hint="default"/>
                <w:spacing w:val="-1"/>
                <w:sz w:val="18"/>
                <w:szCs w:val="18"/>
              </w:rPr>
              <w:t>行动人；未知其他股东之间是否存在关联关系，也未知是否属于《上市公司收购管理办法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规定》的一致行动人。</w:t>
            </w:r>
          </w:p>
        </w:tc>
      </w:tr>
      <w:tr>
        <w:trPr>
          <w:trHeight w:val="703"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77" w:firstLine="36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053" w:type="dxa"/>
            <w:gridSpan w:val="9"/>
            <w:vMerge/>
            <w:tcBorders>
              <w:left w:val="single" w:sz="4" w:space="0" w:color="000000"/>
              <w:right w:val="single" w:sz="4" w:space="0" w:color="000000"/>
            </w:tcBorders>
          </w:tcPr>
          <w:p>
            <w:pPr/>
          </w:p>
        </w:tc>
      </w:tr>
      <w:tr>
        <w:trPr>
          <w:trHeight w:val="161"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53" w:type="dxa"/>
            <w:gridSpan w:val="9"/>
            <w:vMerge/>
            <w:tcBorders>
              <w:left w:val="single" w:sz="4" w:space="0" w:color="000000"/>
              <w:bottom w:val="single" w:sz="4" w:space="0" w:color="000000"/>
              <w:right w:val="single" w:sz="4" w:space="0" w:color="000000"/>
            </w:tcBorders>
          </w:tcPr>
          <w:p>
            <w:pPr/>
          </w:p>
        </w:tc>
      </w:tr>
      <w:tr>
        <w:trPr>
          <w:trHeight w:val="402" w:hRule="exact"/>
        </w:trPr>
        <w:tc>
          <w:tcPr>
            <w:tcW w:w="968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6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88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6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3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416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888"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4165" w:type="dxa"/>
            <w:gridSpan w:val="5"/>
            <w:vMerge/>
            <w:tcBorders>
              <w:left w:val="single" w:sz="4" w:space="0" w:color="000000"/>
              <w:bottom w:val="nil" w:sz="6" w:space="0" w:color="auto"/>
              <w:right w:val="single" w:sz="4" w:space="0" w:color="000000"/>
            </w:tcBorders>
            <w:shd w:val="clear" w:color="auto" w:fill="D2D2D2"/>
          </w:tcPr>
          <w:p>
            <w:pPr/>
          </w:p>
        </w:tc>
        <w:tc>
          <w:tcPr>
            <w:tcW w:w="1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6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gridSpan w:val="2"/>
            <w:vMerge/>
            <w:tcBorders>
              <w:left w:val="single" w:sz="4" w:space="0" w:color="000000"/>
              <w:bottom w:val="single" w:sz="4" w:space="0" w:color="000000"/>
              <w:right w:val="single" w:sz="4" w:space="0" w:color="000000"/>
            </w:tcBorders>
            <w:shd w:val="clear" w:color="auto" w:fill="D2D2D2"/>
          </w:tcPr>
          <w:p>
            <w:pPr/>
          </w:p>
        </w:tc>
        <w:tc>
          <w:tcPr>
            <w:tcW w:w="1426"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浙江天越创业投资有限公司</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8,503,329</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2" w:right="0"/>
              <w:jc w:val="left"/>
              <w:rPr>
                <w:rFonts w:ascii="Times New Roman" w:hAnsi="Times New Roman" w:cs="Times New Roman" w:eastAsia="Times New Roman" w:hint="default"/>
                <w:sz w:val="18"/>
                <w:szCs w:val="18"/>
              </w:rPr>
            </w:pPr>
            <w:r>
              <w:rPr>
                <w:rFonts w:ascii="Times New Roman"/>
                <w:sz w:val="18"/>
              </w:rPr>
              <w:t>8,503,329</w:t>
            </w:r>
          </w:p>
        </w:tc>
      </w:tr>
      <w:tr>
        <w:trPr>
          <w:trHeight w:val="401"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周玉花</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7,063,600</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2" w:right="0"/>
              <w:jc w:val="left"/>
              <w:rPr>
                <w:rFonts w:ascii="Times New Roman" w:hAnsi="Times New Roman" w:cs="Times New Roman" w:eastAsia="Times New Roman" w:hint="default"/>
                <w:sz w:val="18"/>
                <w:szCs w:val="18"/>
              </w:rPr>
            </w:pPr>
            <w:r>
              <w:rPr>
                <w:rFonts w:ascii="Times New Roman"/>
                <w:sz w:val="18"/>
              </w:rPr>
              <w:t>7,063,600</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firstLine="360"/>
              <w:jc w:val="left"/>
              <w:rPr>
                <w:rFonts w:ascii="宋体" w:hAnsi="宋体" w:cs="宋体" w:eastAsia="宋体" w:hint="default"/>
                <w:sz w:val="18"/>
                <w:szCs w:val="18"/>
              </w:rPr>
            </w:pPr>
            <w:r>
              <w:rPr>
                <w:rFonts w:ascii="宋体" w:hAnsi="宋体" w:cs="宋体" w:eastAsia="宋体" w:hint="default"/>
                <w:sz w:val="18"/>
                <w:szCs w:val="18"/>
              </w:rPr>
              <w:t>中国工商银行－汇添富均衡 增长股票型证券投资基金</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3,499,708</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3,499,708</w:t>
            </w:r>
          </w:p>
        </w:tc>
      </w:tr>
      <w:tr>
        <w:trPr>
          <w:trHeight w:val="1025"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316" w:lineRule="auto" w:before="76"/>
              <w:ind w:left="24" w:right="77"/>
              <w:jc w:val="left"/>
              <w:rPr>
                <w:rFonts w:ascii="宋体" w:hAnsi="宋体" w:cs="宋体" w:eastAsia="宋体" w:hint="default"/>
                <w:sz w:val="18"/>
                <w:szCs w:val="18"/>
              </w:rPr>
            </w:pPr>
            <w:r>
              <w:rPr>
                <w:rFonts w:ascii="宋体" w:hAnsi="宋体" w:cs="宋体" w:eastAsia="宋体" w:hint="default"/>
                <w:sz w:val="18"/>
                <w:szCs w:val="18"/>
              </w:rPr>
              <w:t>－汇添富外延增长主题股票型证 券投资基金</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2,410,359</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2,410,359</w:t>
            </w:r>
          </w:p>
        </w:tc>
      </w:tr>
      <w:tr>
        <w:trPr>
          <w:trHeight w:val="716"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firstLine="360"/>
              <w:jc w:val="left"/>
              <w:rPr>
                <w:rFonts w:ascii="宋体" w:hAnsi="宋体" w:cs="宋体" w:eastAsia="宋体" w:hint="default"/>
                <w:sz w:val="18"/>
                <w:szCs w:val="18"/>
              </w:rPr>
            </w:pPr>
            <w:r>
              <w:rPr>
                <w:rFonts w:ascii="宋体" w:hAnsi="宋体" w:cs="宋体" w:eastAsia="宋体" w:hint="default"/>
                <w:sz w:val="18"/>
                <w:szCs w:val="18"/>
              </w:rPr>
              <w:t>中国平安人寿保险股份有限 公司－分红－个险分红</w:t>
            </w:r>
          </w:p>
        </w:tc>
        <w:tc>
          <w:tcPr>
            <w:tcW w:w="41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2,265,224</w:t>
            </w: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2,265,224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6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33"/>
        <w:gridCol w:w="4165"/>
        <w:gridCol w:w="1462"/>
        <w:gridCol w:w="1426"/>
      </w:tblGrid>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孙燕琪</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2,229,800</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交通银行－汉兴证券投资基金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吴荣</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1,944,400</w:t>
            </w:r>
          </w:p>
        </w:tc>
      </w:tr>
      <w:tr>
        <w:trPr>
          <w:trHeight w:val="40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王征</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tc>
      </w:tr>
      <w:tr>
        <w:trPr>
          <w:trHeight w:val="401"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1,465,000</w:t>
            </w:r>
          </w:p>
        </w:tc>
      </w:tr>
      <w:tr>
        <w:trPr>
          <w:trHeight w:val="1339"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pacing w:val="-7"/>
                <w:sz w:val="18"/>
                <w:szCs w:val="18"/>
              </w:rPr>
              <w:t>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 一致行动的说明</w:t>
            </w:r>
          </w:p>
        </w:tc>
        <w:tc>
          <w:tcPr>
            <w:tcW w:w="7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 w:firstLine="360"/>
              <w:jc w:val="both"/>
              <w:rPr>
                <w:rFonts w:ascii="宋体" w:hAnsi="宋体" w:cs="宋体" w:eastAsia="宋体" w:hint="default"/>
                <w:sz w:val="18"/>
                <w:szCs w:val="18"/>
              </w:rPr>
            </w:pPr>
            <w:r>
              <w:rPr>
                <w:rFonts w:ascii="宋体" w:hAnsi="宋体" w:cs="宋体" w:eastAsia="宋体" w:hint="default"/>
                <w:spacing w:val="-1"/>
                <w:sz w:val="18"/>
                <w:szCs w:val="18"/>
              </w:rPr>
              <w:t>本公司发起人股东之间不存在关联关系，也不属于《上市收购管理办法》规定的一致</w:t>
            </w:r>
            <w:r>
              <w:rPr>
                <w:rFonts w:ascii="宋体" w:hAnsi="宋体" w:cs="宋体" w:eastAsia="宋体" w:hint="default"/>
                <w:sz w:val="18"/>
                <w:szCs w:val="18"/>
              </w:rPr>
              <w:t> </w:t>
            </w:r>
            <w:r>
              <w:rPr>
                <w:rFonts w:ascii="宋体" w:hAnsi="宋体" w:cs="宋体" w:eastAsia="宋体" w:hint="default"/>
                <w:spacing w:val="-1"/>
                <w:sz w:val="18"/>
                <w:szCs w:val="18"/>
              </w:rPr>
              <w:t>行动人；未知其他股东之间是否存在关联关系，也未知是否属于《上市公司收购管理办法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规定》的一致行动人。</w:t>
            </w:r>
          </w:p>
        </w:tc>
      </w:tr>
      <w:tr>
        <w:trPr>
          <w:trHeight w:val="716"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firstLine="360"/>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10"/>
                <w:sz w:val="18"/>
                <w:szCs w:val="18"/>
              </w:rPr>
              <w:t>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公司股东在报告期内是否进行约定购回交易</w:t>
      </w:r>
    </w:p>
    <w:p>
      <w:pPr>
        <w:pStyle w:val="BodyText"/>
        <w:spacing w:line="340" w:lineRule="auto" w:before="115"/>
        <w:ind w:right="6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2"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firstLine="451"/>
              <w:jc w:val="left"/>
              <w:rPr>
                <w:rFonts w:ascii="宋体" w:hAnsi="宋体" w:cs="宋体" w:eastAsia="宋体" w:hint="default"/>
                <w:sz w:val="18"/>
                <w:szCs w:val="18"/>
              </w:rPr>
            </w:pPr>
            <w:r>
              <w:rPr>
                <w:rFonts w:ascii="宋体" w:hAnsi="宋体" w:cs="宋体" w:eastAsia="宋体" w:hint="default"/>
                <w:spacing w:val="-4"/>
                <w:sz w:val="18"/>
                <w:szCs w:val="18"/>
              </w:rPr>
              <w:t>林皓先生，中国国籍，无境外永久居留权，</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月分 别当选北京北信源软件股份有限公司第一届和第二届董事会董事长兼总经理； 作为资深信息安全技术专家，林皓先生长期担任国家安全部门和公安部门的信 </w:t>
            </w:r>
            <w:r>
              <w:rPr>
                <w:rFonts w:ascii="宋体" w:hAnsi="宋体" w:cs="宋体" w:eastAsia="宋体" w:hint="default"/>
                <w:spacing w:val="-4"/>
                <w:sz w:val="18"/>
                <w:szCs w:val="18"/>
              </w:rPr>
              <w:t>息安全技术顾问，在林皓先生牵头负责下，公司荣获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年度国家科学技术进 步二等奖。</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left="135" w:right="7578"/>
        <w:jc w:val="center"/>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firstLine="360"/>
              <w:jc w:val="both"/>
              <w:rPr>
                <w:rFonts w:ascii="宋体" w:hAnsi="宋体" w:cs="宋体" w:eastAsia="宋体" w:hint="default"/>
                <w:sz w:val="18"/>
                <w:szCs w:val="18"/>
              </w:rPr>
            </w:pPr>
            <w:r>
              <w:rPr>
                <w:rFonts w:ascii="宋体" w:hAnsi="宋体" w:cs="宋体" w:eastAsia="宋体" w:hint="default"/>
                <w:spacing w:val="-1"/>
                <w:sz w:val="18"/>
                <w:szCs w:val="18"/>
              </w:rPr>
              <w:t>林皓先生，中国国籍，无境外永久居留权，现任公司董事长、总经理；在</w:t>
            </w:r>
            <w:r>
              <w:rPr>
                <w:rFonts w:ascii="宋体" w:hAnsi="宋体" w:cs="宋体" w:eastAsia="宋体" w:hint="default"/>
                <w:sz w:val="18"/>
                <w:szCs w:val="18"/>
              </w:rPr>
              <w:t> </w:t>
            </w:r>
            <w:r>
              <w:rPr>
                <w:rFonts w:ascii="宋体" w:hAnsi="宋体" w:cs="宋体" w:eastAsia="宋体" w:hint="default"/>
                <w:spacing w:val="-5"/>
                <w:sz w:val="18"/>
                <w:szCs w:val="18"/>
              </w:rPr>
              <w:t>林皓先生牵头负责下，公司荣获 </w:t>
            </w:r>
            <w:r>
              <w:rPr>
                <w:rFonts w:ascii="Times New Roman" w:hAnsi="Times New Roman" w:cs="Times New Roman" w:eastAsia="Times New Roman" w:hint="default"/>
                <w:sz w:val="18"/>
                <w:szCs w:val="18"/>
              </w:rPr>
              <w:t>2010 </w:t>
            </w:r>
            <w:r>
              <w:rPr>
                <w:rFonts w:ascii="宋体" w:hAnsi="宋体" w:cs="宋体" w:eastAsia="宋体" w:hint="default"/>
                <w:spacing w:val="-4"/>
                <w:sz w:val="18"/>
                <w:szCs w:val="18"/>
              </w:rPr>
              <w:t>年度国家科学技术进步二等奖。</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月分别当选北京北信源软件股份有限公司第一届和第二届董 事会董事长兼总经理。</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60"/>
        </w:sectPr>
      </w:pPr>
    </w:p>
    <w:p>
      <w:pPr>
        <w:spacing w:line="240" w:lineRule="auto" w:before="11"/>
        <w:rPr>
          <w:rFonts w:ascii="宋体" w:hAnsi="宋体" w:cs="宋体" w:eastAsia="宋体" w:hint="default"/>
          <w:sz w:val="21"/>
          <w:szCs w:val="21"/>
        </w:rPr>
      </w:pPr>
    </w:p>
    <w:p>
      <w:pPr>
        <w:pStyle w:val="BodyText"/>
        <w:spacing w:line="360" w:lineRule="auto" w:before="44"/>
        <w:ind w:right="3369"/>
        <w:jc w:val="left"/>
      </w:pPr>
      <w:r>
        <w:rPr/>
        <w:t>公司不存在实际控制人情况的说明 无实际控制人的，公司最终控制层面是否存在持股比例在</w:t>
      </w:r>
      <w:r>
        <w:rPr>
          <w:spacing w:val="-46"/>
        </w:rPr>
        <w:t> </w:t>
      </w:r>
      <w:r>
        <w:rPr>
          <w:rFonts w:ascii="Times New Roman" w:hAnsi="Times New Roman" w:cs="Times New Roman" w:eastAsia="Times New Roman" w:hint="default"/>
        </w:rPr>
        <w:t>5%</w:t>
      </w:r>
      <w:r>
        <w:rPr/>
        <w:t>以上的股东情况</w:t>
      </w:r>
    </w:p>
    <w:p>
      <w:pPr>
        <w:pStyle w:val="BodyText"/>
        <w:spacing w:line="340" w:lineRule="auto" w:before="1"/>
        <w:ind w:right="7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t>否 实际控制人报告期内变更</w:t>
      </w:r>
    </w:p>
    <w:p>
      <w:pPr>
        <w:pStyle w:val="BodyText"/>
        <w:spacing w:line="338" w:lineRule="auto" w:before="41"/>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line="240" w:lineRule="auto" w:before="3"/>
        <w:rPr>
          <w:rFonts w:ascii="宋体" w:hAnsi="宋体" w:cs="宋体" w:eastAsia="宋体" w:hint="default"/>
          <w:sz w:val="23"/>
          <w:szCs w:val="23"/>
        </w:rPr>
      </w:pPr>
    </w:p>
    <w:p>
      <w:pPr>
        <w:spacing w:line="2280" w:lineRule="exact"/>
        <w:ind w:left="1595"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4593590" cy="14478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4593590" cy="1447800"/>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2"/>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jc w:val="left"/>
              <w:rPr>
                <w:rFonts w:ascii="宋体" w:hAnsi="宋体" w:cs="宋体" w:eastAsia="宋体" w:hint="default"/>
                <w:sz w:val="18"/>
                <w:szCs w:val="18"/>
              </w:rPr>
            </w:pPr>
            <w:r>
              <w:rPr>
                <w:rFonts w:ascii="宋体" w:hAnsi="宋体" w:cs="宋体" w:eastAsia="宋体" w:hint="default"/>
                <w:sz w:val="18"/>
                <w:szCs w:val="18"/>
              </w:rPr>
              <w:t>持有的限售条件股 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jc w:val="left"/>
              <w:rPr>
                <w:rFonts w:ascii="宋体" w:hAnsi="宋体" w:cs="宋体" w:eastAsia="宋体" w:hint="default"/>
                <w:sz w:val="18"/>
                <w:szCs w:val="18"/>
              </w:rPr>
            </w:pPr>
            <w:r>
              <w:rPr>
                <w:rFonts w:ascii="宋体" w:hAnsi="宋体" w:cs="宋体" w:eastAsia="宋体" w:hint="default"/>
                <w:sz w:val="18"/>
                <w:szCs w:val="18"/>
              </w:rPr>
              <w:t>新增可上市交易股 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4,222,200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411,200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王夏娟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姜涛</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何悦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吴振芳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首发限售</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001"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227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97" w:firstLine="9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07" w:firstLine="91"/>
              <w:jc w:val="left"/>
              <w:rPr>
                <w:rFonts w:ascii="宋体" w:hAnsi="宋体" w:cs="宋体" w:eastAsia="宋体" w:hint="default"/>
                <w:sz w:val="18"/>
                <w:szCs w:val="18"/>
              </w:rPr>
            </w:pPr>
            <w:r>
              <w:rPr>
                <w:rFonts w:ascii="宋体" w:hAnsi="宋体" w:cs="宋体" w:eastAsia="宋体" w:hint="default"/>
                <w:sz w:val="18"/>
                <w:szCs w:val="18"/>
              </w:rPr>
              <w:t>期初 持股数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7" w:firstLine="91"/>
              <w:jc w:val="left"/>
              <w:rPr>
                <w:rFonts w:ascii="宋体" w:hAnsi="宋体" w:cs="宋体" w:eastAsia="宋体" w:hint="default"/>
                <w:sz w:val="18"/>
                <w:szCs w:val="18"/>
              </w:rPr>
            </w:pPr>
            <w:r>
              <w:rPr>
                <w:rFonts w:ascii="宋体" w:hAnsi="宋体" w:cs="宋体" w:eastAsia="宋体" w:hint="default"/>
                <w:sz w:val="18"/>
                <w:szCs w:val="18"/>
              </w:rPr>
              <w:t>本期 增持股 份数量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06" w:firstLine="91"/>
              <w:jc w:val="left"/>
              <w:rPr>
                <w:rFonts w:ascii="宋体" w:hAnsi="宋体" w:cs="宋体" w:eastAsia="宋体" w:hint="default"/>
                <w:sz w:val="18"/>
                <w:szCs w:val="18"/>
              </w:rPr>
            </w:pPr>
            <w:r>
              <w:rPr>
                <w:rFonts w:ascii="宋体" w:hAnsi="宋体" w:cs="宋体" w:eastAsia="宋体" w:hint="default"/>
                <w:sz w:val="18"/>
                <w:szCs w:val="18"/>
              </w:rPr>
              <w:t>本期 减持股 份数量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08" w:firstLine="91"/>
              <w:jc w:val="left"/>
              <w:rPr>
                <w:rFonts w:ascii="宋体" w:hAnsi="宋体" w:cs="宋体" w:eastAsia="宋体" w:hint="default"/>
                <w:sz w:val="18"/>
                <w:szCs w:val="18"/>
              </w:rPr>
            </w:pPr>
            <w:r>
              <w:rPr>
                <w:rFonts w:ascii="宋体" w:hAnsi="宋体" w:cs="宋体" w:eastAsia="宋体" w:hint="default"/>
                <w:sz w:val="18"/>
                <w:szCs w:val="18"/>
              </w:rPr>
              <w:t>期末 持股数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08" w:firstLine="91"/>
              <w:jc w:val="left"/>
              <w:rPr>
                <w:rFonts w:ascii="宋体" w:hAnsi="宋体" w:cs="宋体" w:eastAsia="宋体" w:hint="default"/>
                <w:sz w:val="18"/>
                <w:szCs w:val="18"/>
              </w:rPr>
            </w:pPr>
            <w:r>
              <w:rPr>
                <w:rFonts w:ascii="宋体" w:hAnsi="宋体" w:cs="宋体" w:eastAsia="宋体" w:hint="default"/>
                <w:sz w:val="18"/>
                <w:szCs w:val="18"/>
              </w:rPr>
              <w:t>期初 持有的 股权激 励获授 予限制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08" w:firstLine="91"/>
              <w:jc w:val="left"/>
              <w:rPr>
                <w:rFonts w:ascii="宋体" w:hAnsi="宋体" w:cs="宋体" w:eastAsia="宋体" w:hint="default"/>
                <w:sz w:val="18"/>
                <w:szCs w:val="18"/>
              </w:rPr>
            </w:pPr>
            <w:r>
              <w:rPr>
                <w:rFonts w:ascii="宋体" w:hAnsi="宋体" w:cs="宋体" w:eastAsia="宋体" w:hint="default"/>
                <w:sz w:val="18"/>
                <w:szCs w:val="18"/>
              </w:rPr>
              <w:t>本期 获授予 的股权 激励限 制性股 票数量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10" w:firstLine="91"/>
              <w:jc w:val="left"/>
              <w:rPr>
                <w:rFonts w:ascii="宋体" w:hAnsi="宋体" w:cs="宋体" w:eastAsia="宋体" w:hint="default"/>
                <w:sz w:val="18"/>
                <w:szCs w:val="18"/>
              </w:rPr>
            </w:pPr>
            <w:r>
              <w:rPr>
                <w:rFonts w:ascii="宋体" w:hAnsi="宋体" w:cs="宋体" w:eastAsia="宋体" w:hint="default"/>
                <w:sz w:val="18"/>
                <w:szCs w:val="18"/>
              </w:rPr>
              <w:t>本期 被注销 的股权 激励限 制性股 票数量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08" w:firstLine="91"/>
              <w:jc w:val="left"/>
              <w:rPr>
                <w:rFonts w:ascii="宋体" w:hAnsi="宋体" w:cs="宋体" w:eastAsia="宋体" w:hint="default"/>
                <w:sz w:val="18"/>
                <w:szCs w:val="18"/>
              </w:rPr>
            </w:pPr>
            <w:r>
              <w:rPr>
                <w:rFonts w:ascii="宋体" w:hAnsi="宋体" w:cs="宋体" w:eastAsia="宋体" w:hint="default"/>
                <w:sz w:val="18"/>
                <w:szCs w:val="18"/>
              </w:rPr>
              <w:t>期末 持有的 股权激 励获授 予限制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8" w:firstLine="91"/>
              <w:jc w:val="left"/>
              <w:rPr>
                <w:rFonts w:ascii="宋体" w:hAnsi="宋体" w:cs="宋体" w:eastAsia="宋体" w:hint="default"/>
                <w:sz w:val="18"/>
                <w:szCs w:val="18"/>
              </w:rPr>
            </w:pPr>
            <w:r>
              <w:rPr>
                <w:rFonts w:ascii="宋体" w:hAnsi="宋体" w:cs="宋体" w:eastAsia="宋体" w:hint="default"/>
                <w:sz w:val="18"/>
                <w:szCs w:val="18"/>
              </w:rPr>
              <w:t>增减 变动原 因</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林皓</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长兼 总经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65,25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65,25</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130,5</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34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杨杰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兼副 总经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高曦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兼副 总经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266,70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266,70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533,40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34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董事 兼总 经理 助理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166,70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166,70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333,40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股东 代表 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8"/>
              <w:jc w:val="righ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205,60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205,60</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411,20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职工 代表 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483,30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483,30</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966,60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资本公 积转增 股本</w:t>
            </w:r>
          </w:p>
        </w:tc>
      </w:tr>
      <w:tr>
        <w:trPr>
          <w:trHeight w:val="165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副总 经理 兼董 事会 秘书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严惠甜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66,772</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66,772</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133,54</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left="135" w:right="7809"/>
        <w:jc w:val="center"/>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71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1"/>
        <w:rPr>
          <w:rFonts w:ascii="宋体" w:hAnsi="宋体" w:cs="宋体" w:eastAsia="宋体" w:hint="default"/>
          <w:sz w:val="12"/>
          <w:szCs w:val="12"/>
        </w:rPr>
      </w:pPr>
    </w:p>
    <w:p>
      <w:pPr>
        <w:pStyle w:val="BodyText"/>
        <w:spacing w:line="240" w:lineRule="auto"/>
        <w:ind w:left="626" w:right="0"/>
        <w:jc w:val="left"/>
      </w:pPr>
      <w:r>
        <w:rPr>
          <w:rFonts w:ascii="Times New Roman" w:hAnsi="Times New Roman" w:cs="Times New Roman" w:eastAsia="Times New Roman" w:hint="default"/>
        </w:rPr>
        <w:t>1.</w:t>
      </w:r>
      <w:r>
        <w:rPr/>
        <w:t>董事会成员</w:t>
      </w:r>
    </w:p>
    <w:p>
      <w:pPr>
        <w:spacing w:line="240" w:lineRule="auto" w:before="7"/>
        <w:rPr>
          <w:rFonts w:ascii="宋体" w:hAnsi="宋体" w:cs="宋体" w:eastAsia="宋体" w:hint="default"/>
          <w:sz w:val="12"/>
          <w:szCs w:val="12"/>
        </w:rPr>
      </w:pPr>
    </w:p>
    <w:p>
      <w:pPr>
        <w:pStyle w:val="BodyText"/>
        <w:spacing w:line="240" w:lineRule="auto"/>
        <w:ind w:left="626" w:right="0"/>
        <w:jc w:val="left"/>
      </w:pPr>
      <w:r>
        <w:rPr/>
        <w:t>公司目前共有董事</w:t>
      </w:r>
      <w:r>
        <w:rPr>
          <w:rFonts w:ascii="Times New Roman" w:hAnsi="Times New Roman" w:cs="Times New Roman" w:eastAsia="Times New Roman" w:hint="default"/>
        </w:rPr>
        <w:t>9  </w:t>
      </w:r>
      <w:r>
        <w:rPr/>
        <w:t>名，其中独立董事</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名。</w:t>
      </w:r>
    </w:p>
    <w:p>
      <w:pPr>
        <w:spacing w:line="240" w:lineRule="auto" w:before="9"/>
        <w:rPr>
          <w:rFonts w:ascii="宋体" w:hAnsi="宋体" w:cs="宋体" w:eastAsia="宋体" w:hint="default"/>
          <w:sz w:val="12"/>
          <w:szCs w:val="12"/>
        </w:rPr>
      </w:pPr>
    </w:p>
    <w:p>
      <w:pPr>
        <w:pStyle w:val="BodyText"/>
        <w:spacing w:line="297" w:lineRule="auto"/>
        <w:ind w:left="265" w:right="298" w:firstLine="360"/>
        <w:jc w:val="left"/>
      </w:pPr>
      <w:r>
        <w:rPr>
          <w:spacing w:val="-3"/>
        </w:rPr>
        <w:t>林皓，</w:t>
      </w:r>
      <w:r>
        <w:rPr>
          <w:rFonts w:ascii="Times New Roman" w:hAnsi="Times New Roman" w:cs="Times New Roman" w:eastAsia="Times New Roman" w:hint="default"/>
          <w:spacing w:val="-3"/>
        </w:rPr>
        <w:t>1996 </w:t>
      </w:r>
      <w:r>
        <w:rPr/>
        <w:t>年创建北信源有限以来，历任董事长兼总经理。</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月，分别当选北信源第一届及第 二届董事会董事长兼总经理，任期三年。</w:t>
      </w:r>
    </w:p>
    <w:p>
      <w:pPr>
        <w:pStyle w:val="BodyText"/>
        <w:spacing w:line="300" w:lineRule="auto" w:before="105"/>
        <w:ind w:left="265" w:right="0" w:firstLine="360"/>
        <w:jc w:val="left"/>
      </w:pPr>
      <w:r>
        <w:rPr>
          <w:spacing w:val="-2"/>
        </w:rPr>
        <w:t>杨杰，曾任南京中山工贸总公司驻俄罗斯莫斯科办事处负责人、恒生电子股份有限公司深圳分公司总经理，城商</w:t>
      </w:r>
      <w:r>
        <w:rPr>
          <w:rFonts w:ascii="Times New Roman" w:hAnsi="Times New Roman" w:cs="Times New Roman" w:eastAsia="Times New Roman" w:hint="default"/>
          <w:spacing w:val="-2"/>
        </w:rPr>
        <w:t>/</w:t>
      </w:r>
      <w:r>
        <w:rPr>
          <w:spacing w:val="-2"/>
        </w:rPr>
        <w:t>农信</w:t>
      </w:r>
      <w:r>
        <w:rPr/>
        <w:t> 部总经理，深圳奥尊金融信息技术有限公司副总经理，北信源有限董事、副总经理；现任本公司董事、副总经理。</w:t>
      </w:r>
    </w:p>
    <w:p>
      <w:pPr>
        <w:pStyle w:val="BodyText"/>
        <w:spacing w:line="300" w:lineRule="auto" w:before="103"/>
        <w:ind w:left="265" w:right="91" w:firstLine="360"/>
        <w:jc w:val="left"/>
      </w:pPr>
      <w:r>
        <w:rPr/>
        <w:t>高曦，中国国籍，无境外永久居留权，</w:t>
      </w:r>
      <w:r>
        <w:rPr>
          <w:rFonts w:ascii="Times New Roman" w:hAnsi="Times New Roman" w:cs="Times New Roman" w:eastAsia="Times New Roman" w:hint="default"/>
        </w:rPr>
        <w:t>1977</w:t>
      </w:r>
      <w:r>
        <w:rPr>
          <w:rFonts w:ascii="Times New Roman" w:hAnsi="Times New Roman" w:cs="Times New Roman" w:eastAsia="Times New Roman" w:hint="default"/>
          <w:spacing w:val="25"/>
        </w:rPr>
        <w:t> </w:t>
      </w:r>
      <w:r>
        <w:rPr/>
        <w:t>年生，大专。曾任唐山燕山电器有限公司软件开发员，北信源有限董事、 副总经理；现任本公司董事、副总经理、研发总监。</w:t>
      </w:r>
    </w:p>
    <w:p>
      <w:pPr>
        <w:pStyle w:val="BodyText"/>
        <w:spacing w:line="300" w:lineRule="auto" w:before="101"/>
        <w:ind w:left="265" w:right="180" w:firstLine="360"/>
        <w:jc w:val="left"/>
      </w:pPr>
      <w:r>
        <w:rPr>
          <w:spacing w:val="-2"/>
        </w:rPr>
        <w:t>尹子健，中国国籍，无境外永久居留权，</w:t>
      </w:r>
      <w:r>
        <w:rPr>
          <w:rFonts w:ascii="Times New Roman" w:hAnsi="Times New Roman" w:cs="Times New Roman" w:eastAsia="Times New Roman" w:hint="default"/>
          <w:spacing w:val="-2"/>
        </w:rPr>
        <w:t>1983</w:t>
      </w:r>
      <w:r>
        <w:rPr>
          <w:rFonts w:ascii="Times New Roman" w:hAnsi="Times New Roman" w:cs="Times New Roman" w:eastAsia="Times New Roman" w:hint="default"/>
          <w:spacing w:val="42"/>
        </w:rPr>
        <w:t> </w:t>
      </w:r>
      <w:r>
        <w:rPr>
          <w:spacing w:val="-2"/>
        </w:rPr>
        <w:t>年生，硕士。曾任北信源有限董事、总经理助理；现任本公司董事、总</w:t>
      </w:r>
      <w:r>
        <w:rPr/>
        <w:t> 经理助理。</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2" w:lineRule="auto" w:before="44"/>
        <w:ind w:left="265" w:right="178" w:firstLine="360"/>
        <w:jc w:val="both"/>
      </w:pPr>
      <w:r>
        <w:rPr>
          <w:spacing w:val="-1"/>
        </w:rPr>
        <w:t>康伟，中国国籍，无境外永久居留权，</w:t>
      </w:r>
      <w:r>
        <w:rPr>
          <w:rFonts w:ascii="Times New Roman" w:hAnsi="Times New Roman" w:cs="Times New Roman" w:eastAsia="Times New Roman" w:hint="default"/>
          <w:spacing w:val="-1"/>
        </w:rPr>
        <w:t>1976</w:t>
      </w:r>
      <w:r>
        <w:rPr>
          <w:spacing w:val="-1"/>
        </w:rPr>
        <w:t>年生，博士。曾任吉利控股（杭州）有限公司投资部经理，北信源有限董</w:t>
      </w:r>
      <w:r>
        <w:rPr/>
        <w:t> </w:t>
      </w:r>
      <w:r>
        <w:rPr>
          <w:spacing w:val="-1"/>
        </w:rPr>
        <w:t>事；现任本公司董事，浙江华睿投资管理有限公司董事，北京梅泰诺通信技术股份有限公司董事，深圳市万兴软件有限公</w:t>
      </w:r>
      <w:r>
        <w:rPr>
          <w:spacing w:val="-52"/>
        </w:rPr>
        <w:t> </w:t>
      </w:r>
      <w:r>
        <w:rPr>
          <w:spacing w:val="-52"/>
        </w:rPr>
      </w:r>
      <w:r>
        <w:rPr/>
        <w:t>司董事，深圳茂硕电源科技股份有限公司董事，武汉迪源光电科技有限公司董事，杭州远方光电信息股份有限公司董事， 浙江宇天科技股份有限公司董事，浙江双雕数控技术股份有限公司董事，深圳市雷赛智能控制股份有限公司董事。</w:t>
      </w:r>
    </w:p>
    <w:p>
      <w:pPr>
        <w:pStyle w:val="BodyText"/>
        <w:spacing w:line="300" w:lineRule="auto" w:before="82"/>
        <w:ind w:left="304" w:right="312" w:firstLine="360"/>
        <w:jc w:val="left"/>
      </w:pPr>
      <w:r>
        <w:rPr>
          <w:spacing w:val="-2"/>
        </w:rPr>
        <w:t>赵战生，中国国籍，无境外永久居留权，</w:t>
      </w:r>
      <w:r>
        <w:rPr>
          <w:rFonts w:ascii="Times New Roman" w:hAnsi="Times New Roman" w:cs="Times New Roman" w:eastAsia="Times New Roman" w:hint="default"/>
          <w:spacing w:val="-2"/>
        </w:rPr>
        <w:t>1939</w:t>
      </w:r>
      <w:r>
        <w:rPr>
          <w:rFonts w:ascii="Times New Roman" w:hAnsi="Times New Roman" w:cs="Times New Roman" w:eastAsia="Times New Roman" w:hint="default"/>
          <w:spacing w:val="4"/>
        </w:rPr>
        <w:t> </w:t>
      </w:r>
      <w:r>
        <w:rPr>
          <w:spacing w:val="-2"/>
        </w:rPr>
        <w:t>年生，教授。曾任中国科学院研究生院无线电教研室副主任，中国科</w:t>
      </w:r>
      <w:r>
        <w:rPr/>
        <w:t> 学院</w:t>
      </w:r>
      <w:r>
        <w:rPr>
          <w:rFonts w:ascii="Times New Roman" w:hAnsi="Times New Roman" w:cs="Times New Roman" w:eastAsia="Times New Roman" w:hint="default"/>
        </w:rPr>
        <w:t>DCS</w:t>
      </w:r>
      <w:r>
        <w:rPr/>
        <w:t>中心副主任，信息安全国家重点筹建组组长，信息安全国家重点实验室主任，第二届国家信息化咨询委员会委 员；现任本公司独立董事，全国信息安全技术标准化委员会委员、</w:t>
      </w:r>
      <w:r>
        <w:rPr>
          <w:rFonts w:ascii="Times New Roman" w:hAnsi="Times New Roman" w:cs="Times New Roman" w:eastAsia="Times New Roman" w:hint="default"/>
        </w:rPr>
        <w:t>WG7</w:t>
      </w:r>
      <w:r>
        <w:rPr>
          <w:rFonts w:ascii="Times New Roman" w:hAnsi="Times New Roman" w:cs="Times New Roman" w:eastAsia="Times New Roman" w:hint="default"/>
          <w:spacing w:val="27"/>
        </w:rPr>
        <w:t> </w:t>
      </w:r>
      <w:r>
        <w:rPr/>
        <w:t>副组长，中国密码学会理事，计算机安全专业 委员会委员，信息协会信息安全专业委员会委员。</w:t>
      </w:r>
    </w:p>
    <w:p>
      <w:pPr>
        <w:pStyle w:val="BodyText"/>
        <w:spacing w:line="312" w:lineRule="auto" w:before="101"/>
        <w:ind w:left="304" w:right="319" w:firstLine="360"/>
        <w:jc w:val="both"/>
      </w:pPr>
      <w:r>
        <w:rPr/>
        <w:t>沈剑飞，中国国籍，无境外永久居留权，</w:t>
      </w:r>
      <w:r>
        <w:rPr>
          <w:rFonts w:ascii="Times New Roman" w:hAnsi="Times New Roman" w:cs="Times New Roman" w:eastAsia="Times New Roman" w:hint="default"/>
        </w:rPr>
        <w:t>1965</w:t>
      </w:r>
      <w:r>
        <w:rPr/>
        <w:t>年生，经济学博士，教授。曾任北京市昌平区政协教科文卫副主任， </w:t>
      </w:r>
      <w:r>
        <w:rPr>
          <w:spacing w:val="-1"/>
        </w:rPr>
        <w:t>军队职工高级专业技术职务资格评审委员会委员，华北电力大学教授，广西桂冠电力股份有限公司独立董事；现任本公</w:t>
      </w:r>
      <w:r>
        <w:rPr>
          <w:spacing w:val="-62"/>
        </w:rPr>
        <w:t> </w:t>
      </w:r>
      <w:r>
        <w:rPr>
          <w:spacing w:val="-62"/>
        </w:rPr>
      </w:r>
      <w:r>
        <w:rPr>
          <w:spacing w:val="-1"/>
        </w:rPr>
        <w:t>司独立董事，华北电力大学培训学院院长，民建中央科教委员会委员，华北电力大学研究院院长，中国技术经济研究会</w:t>
      </w:r>
      <w:r>
        <w:rPr>
          <w:spacing w:val="-67"/>
        </w:rPr>
        <w:t> </w:t>
      </w:r>
      <w:r>
        <w:rPr>
          <w:spacing w:val="-67"/>
        </w:rPr>
      </w:r>
      <w:r>
        <w:rPr/>
        <w:t>理事。</w:t>
      </w:r>
    </w:p>
    <w:p>
      <w:pPr>
        <w:pStyle w:val="BodyText"/>
        <w:spacing w:line="297" w:lineRule="auto" w:before="89"/>
        <w:ind w:left="304" w:right="0" w:firstLine="360"/>
        <w:jc w:val="left"/>
      </w:pPr>
      <w:r>
        <w:rPr>
          <w:spacing w:val="-4"/>
        </w:rPr>
        <w:t>杨成铭，中国国籍，无境外永久居留权，</w:t>
      </w:r>
      <w:r>
        <w:rPr>
          <w:rFonts w:ascii="Times New Roman" w:hAnsi="Times New Roman" w:cs="Times New Roman" w:eastAsia="Times New Roman" w:hint="default"/>
          <w:spacing w:val="-4"/>
        </w:rPr>
        <w:t>1962</w:t>
      </w:r>
      <w:r>
        <w:rPr>
          <w:spacing w:val="-4"/>
        </w:rPr>
        <w:t>年生，法学博士、博士后，法学教授。曾任北京理工大学法律系书记、</w:t>
      </w:r>
      <w:r>
        <w:rPr/>
        <w:t> 副主任；现任本公司独立董事，北京理工大学法学院国际法研究所所长、人权法研究中心主任。</w:t>
      </w:r>
    </w:p>
    <w:p>
      <w:pPr>
        <w:pStyle w:val="BodyText"/>
        <w:spacing w:line="300" w:lineRule="auto" w:before="105"/>
        <w:ind w:left="304" w:right="0" w:firstLine="360"/>
        <w:jc w:val="left"/>
      </w:pPr>
      <w:r>
        <w:rPr>
          <w:spacing w:val="-2"/>
        </w:rPr>
        <w:t>姚颐，中国国籍，无境外永久居留权，</w:t>
      </w:r>
      <w:r>
        <w:rPr>
          <w:rFonts w:ascii="Times New Roman" w:hAnsi="Times New Roman" w:cs="Times New Roman" w:eastAsia="Times New Roman" w:hint="default"/>
          <w:spacing w:val="-2"/>
        </w:rPr>
        <w:t>1972</w:t>
      </w:r>
      <w:r>
        <w:rPr>
          <w:spacing w:val="-2"/>
        </w:rPr>
        <w:t>年生，博士，副教授。曾任天津财经大学会计系助教；南方证券天津管</w:t>
      </w:r>
      <w:r>
        <w:rPr/>
        <w:t> 理总部主管；现任本公司独立董事，南开大学商学院会计系副教授。</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367" w:lineRule="auto"/>
        <w:ind w:left="664" w:right="5882"/>
        <w:jc w:val="left"/>
      </w:pPr>
      <w:r>
        <w:rPr>
          <w:rFonts w:ascii="Times New Roman" w:hAnsi="Times New Roman" w:cs="Times New Roman" w:eastAsia="Times New Roman" w:hint="default"/>
        </w:rPr>
        <w:t>2.</w:t>
      </w:r>
      <w:r>
        <w:rPr/>
        <w:t>监事会成员 公司现有监事</w:t>
      </w:r>
      <w:r>
        <w:rPr>
          <w:rFonts w:ascii="Times New Roman" w:hAnsi="Times New Roman" w:cs="Times New Roman" w:eastAsia="Times New Roman" w:hint="default"/>
        </w:rPr>
        <w:t>3</w:t>
      </w:r>
      <w:r>
        <w:rPr/>
        <w:t>人，其中职工代表监事</w:t>
      </w:r>
      <w:r>
        <w:rPr>
          <w:rFonts w:ascii="Times New Roman" w:hAnsi="Times New Roman" w:cs="Times New Roman" w:eastAsia="Times New Roman" w:hint="default"/>
        </w:rPr>
        <w:t>1</w:t>
      </w:r>
      <w:r>
        <w:rPr/>
        <w:t>名。</w:t>
      </w:r>
    </w:p>
    <w:p>
      <w:pPr>
        <w:pStyle w:val="BodyText"/>
        <w:spacing w:line="300" w:lineRule="auto" w:before="60"/>
        <w:ind w:left="304" w:right="412" w:firstLine="360"/>
        <w:jc w:val="left"/>
      </w:pPr>
      <w:r>
        <w:rPr/>
        <w:t>马承栋，中国国籍，无境外永久居留权，</w:t>
      </w:r>
      <w:r>
        <w:rPr>
          <w:rFonts w:ascii="Times New Roman" w:hAnsi="Times New Roman" w:cs="Times New Roman" w:eastAsia="Times New Roman" w:hint="default"/>
        </w:rPr>
        <w:t>1978</w:t>
      </w:r>
      <w:r>
        <w:rPr>
          <w:rFonts w:ascii="Times New Roman" w:hAnsi="Times New Roman" w:cs="Times New Roman" w:eastAsia="Times New Roman" w:hint="default"/>
          <w:spacing w:val="25"/>
        </w:rPr>
        <w:t> </w:t>
      </w:r>
      <w:r>
        <w:rPr/>
        <w:t>年生，大专。曾任北京东方博腾广告公司设计师，北信源有限市场 部经理；现任本公司市场部总监、监事会主席。</w:t>
      </w:r>
    </w:p>
    <w:p>
      <w:pPr>
        <w:pStyle w:val="BodyText"/>
        <w:spacing w:line="300" w:lineRule="auto" w:before="101"/>
        <w:ind w:left="306" w:right="0" w:firstLine="360"/>
        <w:jc w:val="left"/>
      </w:pPr>
      <w:r>
        <w:rPr>
          <w:spacing w:val="-1"/>
        </w:rPr>
        <w:t>哈连琴，中国国籍，无境外永久居留权，</w:t>
      </w:r>
      <w:r>
        <w:rPr>
          <w:rFonts w:ascii="Times New Roman" w:hAnsi="Times New Roman" w:cs="Times New Roman" w:eastAsia="Times New Roman" w:hint="default"/>
          <w:spacing w:val="-1"/>
        </w:rPr>
        <w:t>1964</w:t>
      </w:r>
      <w:r>
        <w:rPr>
          <w:spacing w:val="-1"/>
        </w:rPr>
        <w:t>年生，硕士。曾任北方熊猫电子有限公司财务岗位，北信源有限财务</w:t>
      </w:r>
      <w:r>
        <w:rPr/>
        <w:t> 部经理；现任本公司监事、内审部经理、工会主席。</w:t>
      </w:r>
    </w:p>
    <w:p>
      <w:pPr>
        <w:pStyle w:val="BodyText"/>
        <w:spacing w:line="300" w:lineRule="auto" w:before="103"/>
        <w:ind w:left="306" w:right="0" w:firstLine="360"/>
        <w:jc w:val="left"/>
      </w:pPr>
      <w:r>
        <w:rPr>
          <w:spacing w:val="-2"/>
        </w:rPr>
        <w:t>李旭，中国国籍，无境外永久居留权，</w:t>
      </w:r>
      <w:r>
        <w:rPr>
          <w:rFonts w:ascii="Times New Roman" w:hAnsi="Times New Roman" w:cs="Times New Roman" w:eastAsia="Times New Roman" w:hint="default"/>
          <w:spacing w:val="-2"/>
        </w:rPr>
        <w:t>1984</w:t>
      </w:r>
      <w:r>
        <w:rPr>
          <w:spacing w:val="-2"/>
        </w:rPr>
        <w:t>年生，本科。曾任北信源有限副总裁助理、证券事务代表；现任本公司</w:t>
      </w:r>
      <w:r>
        <w:rPr/>
        <w:t> 职工代表监事、证券投资部经理、证券事务代表，北京恒易传奇科技有限责任公司董事。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304" w:lineRule="auto"/>
        <w:ind w:right="4053"/>
        <w:jc w:val="left"/>
      </w:pPr>
      <w:r>
        <w:rPr>
          <w:rFonts w:ascii="Times New Roman" w:hAnsi="Times New Roman" w:cs="Times New Roman" w:eastAsia="Times New Roman" w:hint="default"/>
        </w:rPr>
        <w:t>3.</w:t>
      </w:r>
      <w:r>
        <w:rPr/>
        <w:t>高级管理人员 公司高级管理人员包括总经理、副总经理、财务负责人及董事会秘书 林皓，总经理，参见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杨杰，副总经理，参见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高曦，副总经理，参见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pStyle w:val="BodyText"/>
        <w:spacing w:line="300" w:lineRule="auto" w:before="9"/>
        <w:ind w:left="152" w:right="0" w:firstLine="360"/>
        <w:jc w:val="left"/>
      </w:pPr>
      <w:r>
        <w:rPr>
          <w:spacing w:val="-2"/>
        </w:rPr>
        <w:t>王晓娜，中国国籍，无境外永久居留权，</w:t>
      </w:r>
      <w:r>
        <w:rPr>
          <w:rFonts w:ascii="Times New Roman" w:hAnsi="Times New Roman" w:cs="Times New Roman" w:eastAsia="Times New Roman" w:hint="default"/>
          <w:spacing w:val="-2"/>
        </w:rPr>
        <w:t>1975</w:t>
      </w:r>
      <w:r>
        <w:rPr>
          <w:spacing w:val="-2"/>
        </w:rPr>
        <w:t>年生，硕士，注册财务管理师、高级人力资源管理师。曾任北信源有限副</w:t>
      </w:r>
      <w:r>
        <w:rPr/>
        <w:t> 总经理、信源互联总经理，现任北信源副总经理。</w:t>
      </w:r>
    </w:p>
    <w:p>
      <w:pPr>
        <w:pStyle w:val="BodyText"/>
        <w:spacing w:line="300" w:lineRule="auto" w:before="31"/>
        <w:ind w:left="152" w:right="0" w:firstLine="360"/>
        <w:jc w:val="left"/>
      </w:pPr>
      <w:r>
        <w:rPr>
          <w:spacing w:val="-2"/>
        </w:rPr>
        <w:t>杨维，中国国籍，无境外永久居留权，</w:t>
      </w:r>
      <w:r>
        <w:rPr>
          <w:rFonts w:ascii="Times New Roman" w:hAnsi="Times New Roman" w:cs="Times New Roman" w:eastAsia="Times New Roman" w:hint="default"/>
          <w:spacing w:val="-2"/>
        </w:rPr>
        <w:t>1974</w:t>
      </w:r>
      <w:r>
        <w:rPr>
          <w:spacing w:val="-2"/>
        </w:rPr>
        <w:t>年生，硕士。曾任北京市人民政府电子工业办公室人事教育处科员，北京松</w:t>
      </w:r>
      <w:r>
        <w:rPr/>
        <w:t> 下电子部有限公司副课长，北信源有限副总经理；现任本公司副总经理。</w:t>
      </w:r>
    </w:p>
    <w:p>
      <w:pPr>
        <w:pStyle w:val="BodyText"/>
        <w:spacing w:line="300" w:lineRule="auto" w:before="31"/>
        <w:ind w:left="152" w:right="192" w:firstLine="360"/>
        <w:jc w:val="both"/>
      </w:pPr>
      <w:r>
        <w:rPr>
          <w:spacing w:val="-2"/>
        </w:rPr>
        <w:t>任佳伟，中国国籍，无境外永久居留权，</w:t>
      </w:r>
      <w:r>
        <w:rPr>
          <w:rFonts w:ascii="Times New Roman" w:hAnsi="Times New Roman" w:cs="Times New Roman" w:eastAsia="Times New Roman" w:hint="default"/>
          <w:spacing w:val="-2"/>
        </w:rPr>
        <w:t>1983</w:t>
      </w:r>
      <w:r>
        <w:rPr>
          <w:spacing w:val="-2"/>
        </w:rPr>
        <w:t>年生，大学本科学历。曾任普华永道中天会计师事务所高级审计师，瑞银</w:t>
      </w:r>
      <w:r>
        <w:rPr/>
        <w:t> 证券有限责任公司法律合规专员</w:t>
      </w:r>
      <w:r>
        <w:rPr>
          <w:rFonts w:ascii="Times New Roman" w:hAnsi="Times New Roman" w:cs="Times New Roman" w:eastAsia="Times New Roman" w:hint="default"/>
        </w:rPr>
        <w:t>,</w:t>
      </w:r>
      <w:r>
        <w:rPr/>
        <w:t>浙江华睿投资管理有限公司创投基金经理，北京海顿新科技术股份有限公司监事；现任本 公司副总经理，上海无寻网络科技有限公司董事，北京中文在线数字出版股份有限公司监事。</w:t>
      </w:r>
    </w:p>
    <w:p>
      <w:pPr>
        <w:pStyle w:val="BodyText"/>
        <w:spacing w:line="309" w:lineRule="auto" w:before="32"/>
        <w:ind w:left="152" w:right="0" w:firstLine="360"/>
        <w:jc w:val="left"/>
      </w:pPr>
      <w:r>
        <w:rPr>
          <w:spacing w:val="-4"/>
        </w:rPr>
        <w:t>严惠甜，中国国籍，无境外永久居留权，</w:t>
      </w:r>
      <w:r>
        <w:rPr>
          <w:rFonts w:ascii="Times New Roman" w:hAnsi="Times New Roman" w:cs="Times New Roman" w:eastAsia="Times New Roman" w:hint="default"/>
          <w:spacing w:val="-4"/>
        </w:rPr>
        <w:t>1971</w:t>
      </w:r>
      <w:r>
        <w:rPr>
          <w:spacing w:val="-4"/>
        </w:rPr>
        <w:t>年生，本科。曾任广西工学院教师，北京蓝色光标市场顾问有限公司会计，</w:t>
      </w:r>
      <w:r>
        <w:rPr/>
        <w:t> </w:t>
      </w:r>
      <w:r>
        <w:rPr>
          <w:spacing w:val="-2"/>
        </w:rPr>
        <w:t>北京建达蓝德科技有限公司财务经理，中科软件集团财务经理，首创资产管理公司项目财务总监，生亿行国际财务顾问公司</w:t>
      </w:r>
      <w:r>
        <w:rPr>
          <w:spacing w:val="-63"/>
        </w:rPr>
        <w:t> </w:t>
      </w:r>
      <w:r>
        <w:rPr>
          <w:spacing w:val="-63"/>
        </w:rPr>
      </w:r>
      <w:r>
        <w:rPr/>
        <w:t>咨询经理；</w:t>
      </w:r>
      <w:r>
        <w:rPr>
          <w:rFonts w:ascii="Times New Roman" w:hAnsi="Times New Roman" w:cs="Times New Roman" w:eastAsia="Times New Roman" w:hint="default"/>
        </w:rPr>
        <w:t>2014</w:t>
      </w:r>
      <w:r>
        <w:rPr/>
        <w:t>年任本公司财务总监，现已离职。</w:t>
      </w:r>
    </w:p>
    <w:p>
      <w:pPr>
        <w:spacing w:after="0" w:line="309"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在股东单位任职情况</w:t>
      </w:r>
    </w:p>
    <w:p>
      <w:pPr>
        <w:pStyle w:val="BodyText"/>
        <w:spacing w:line="340" w:lineRule="auto" w:before="115"/>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490"/>
        <w:gridCol w:w="1277"/>
        <w:gridCol w:w="1346"/>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3"/>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3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浙江华睿投资管理有限公司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北京梅泰诺通信技术股份有限公司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深圳茂硕电源科技股份有限公司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武汉迪源光电科技有限公司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全国信息安全技术标准化委员会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0"/>
              <w:jc w:val="left"/>
              <w:rPr>
                <w:rFonts w:ascii="宋体" w:hAnsi="宋体" w:cs="宋体" w:eastAsia="宋体" w:hint="default"/>
                <w:sz w:val="18"/>
                <w:szCs w:val="18"/>
              </w:rPr>
            </w:pPr>
            <w:r>
              <w:rPr>
                <w:rFonts w:ascii="宋体" w:hAnsi="宋体" w:cs="宋体" w:eastAsia="宋体" w:hint="default"/>
                <w:sz w:val="18"/>
                <w:szCs w:val="18"/>
              </w:rPr>
              <w:t>委员、</w:t>
            </w:r>
            <w:r>
              <w:rPr>
                <w:rFonts w:ascii="Times New Roman" w:hAnsi="Times New Roman" w:cs="Times New Roman" w:eastAsia="Times New Roman" w:hint="default"/>
                <w:sz w:val="18"/>
                <w:szCs w:val="18"/>
              </w:rPr>
              <w:t>WG7 </w:t>
            </w:r>
            <w:r>
              <w:rPr>
                <w:rFonts w:ascii="宋体" w:hAnsi="宋体" w:cs="宋体" w:eastAsia="宋体" w:hint="default"/>
                <w:sz w:val="18"/>
                <w:szCs w:val="18"/>
              </w:rPr>
              <w:t>副组长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中国密码学会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计算机安全专业委员会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信息协会信息安全专业委员会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华北电力大学培训学院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贵州黔源电力股份有限公司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民建中央科教委员会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中国技术经济研究会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北京理工大学法学院国际法研究所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北京理工大学法学院人权法研究中心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姚颐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南开大学商学院会计系</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北京中文在线数字出版股份有限公司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北京恒易传奇科技有限责任公司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1339"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4" w:firstLine="360"/>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 事会决定；在公司担任职务的董事、监事、高级管理人员报酬由公 司根据担任的其他职务支付，董事、监事不另外支付津贴。独立董 事津贴根据股东大会所通过的决议来进行支付。</w:t>
            </w:r>
          </w:p>
        </w:tc>
      </w:tr>
      <w:tr>
        <w:trPr>
          <w:trHeight w:val="71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4" w:firstLine="360"/>
              <w:jc w:val="left"/>
              <w:rPr>
                <w:rFonts w:ascii="宋体" w:hAnsi="宋体" w:cs="宋体" w:eastAsia="宋体" w:hint="default"/>
                <w:sz w:val="18"/>
                <w:szCs w:val="18"/>
              </w:rPr>
            </w:pPr>
            <w:r>
              <w:rPr>
                <w:rFonts w:ascii="宋体" w:hAnsi="宋体" w:cs="宋体" w:eastAsia="宋体" w:hint="default"/>
                <w:sz w:val="18"/>
                <w:szCs w:val="18"/>
              </w:rPr>
              <w:t>依据公司盈利水平及各董事、监事、高级管理人员的分工及履 行情况确定。</w:t>
            </w:r>
          </w:p>
        </w:tc>
      </w:tr>
      <w:tr>
        <w:trPr>
          <w:trHeight w:val="40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3" w:right="0"/>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3"/>
        <w:rPr>
          <w:rFonts w:ascii="宋体" w:hAnsi="宋体" w:cs="宋体" w:eastAsia="宋体" w:hint="default"/>
          <w:b/>
          <w:bCs/>
          <w:sz w:val="24"/>
          <w:szCs w:val="24"/>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249;height:354" coordorigin="12,14" coordsize="4249,354">
              <v:shape style="position:absolute;left:12;top:14;width:4249;height:354" coordorigin="12,14" coordsize="4249,354" path="m12,368l4261,368,4261,14,12,14,12,368xe" filled="true" fillcolor="#d2d2d2" stroked="false">
                <v:path arrowok="t"/>
                <v:fill type="solid"/>
              </v:shape>
            </v:group>
            <v:group style="position:absolute;left:10;top:10;width:4252;height:2" coordorigin="10,10" coordsize="4252,2">
              <v:shape style="position:absolute;left:10;top:10;width:4252;height:2" coordorigin="10,10" coordsize="4252,0" path="m10,10l4261,10e" filled="false" stroked="true" strokeweight=".48pt" strokecolor="#000000">
                <v:path arrowok="t"/>
              </v:shape>
            </v:group>
            <v:group style="position:absolute;left:4271;top:10;width:5301;height:2" coordorigin="4271,10" coordsize="5301,2">
              <v:shape style="position:absolute;left:4271;top:10;width:5301;height:2" coordorigin="4271,10" coordsize="5301,0" path="m427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252;height:2" coordorigin="10,372" coordsize="4252,2">
              <v:shape style="position:absolute;left:10;top:372;width:4252;height:2" coordorigin="10,372" coordsize="4252,0" path="m10,372l4261,372e" filled="false" stroked="true" strokeweight=".48pt" strokecolor="#000000">
                <v:path arrowok="t"/>
              </v:shape>
            </v:group>
            <v:group style="position:absolute;left:4266;top:5;width:2;height:373" coordorigin="4266,5" coordsize="2,373">
              <v:shape style="position:absolute;left:4266;top:5;width:2;height:373" coordorigin="4266,5" coordsize="0,373" path="m4266,5l4266,377e" filled="false" stroked="true" strokeweight=".48001pt" strokecolor="#000000">
                <v:path arrowok="t"/>
              </v:shape>
            </v:group>
            <v:group style="position:absolute;left:4271;top:372;width:5301;height:2" coordorigin="4271,372" coordsize="5301,2">
              <v:shape style="position:absolute;left:4271;top:372;width:5301;height:2" coordorigin="4271,372" coordsize="5301,0" path="m427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266;top:10;width:5310;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192.37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498"/>
        <w:gridCol w:w="893"/>
        <w:gridCol w:w="948"/>
        <w:gridCol w:w="1445"/>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性别</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年龄</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5"/>
              <w:jc w:val="right"/>
              <w:rPr>
                <w:rFonts w:ascii="Times New Roman" w:hAnsi="Times New Roman" w:cs="Times New Roman" w:eastAsia="Times New Roman" w:hint="default"/>
                <w:sz w:val="18"/>
                <w:szCs w:val="18"/>
              </w:rPr>
            </w:pPr>
            <w:r>
              <w:rPr>
                <w:rFonts w:ascii="Times New Roman"/>
                <w:sz w:val="18"/>
              </w:rPr>
              <w:t>24.25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8"/>
              <w:jc w:val="right"/>
              <w:rPr>
                <w:rFonts w:ascii="Times New Roman" w:hAnsi="Times New Roman" w:cs="Times New Roman" w:eastAsia="Times New Roman" w:hint="default"/>
                <w:sz w:val="18"/>
                <w:szCs w:val="18"/>
              </w:rPr>
            </w:pPr>
            <w:r>
              <w:rPr>
                <w:rFonts w:ascii="Times New Roman"/>
                <w:sz w:val="18"/>
              </w:rPr>
              <w:t>24.25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51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5"/>
              <w:jc w:val="right"/>
              <w:rPr>
                <w:rFonts w:ascii="Times New Roman" w:hAnsi="Times New Roman" w:cs="Times New Roman" w:eastAsia="Times New Roman" w:hint="default"/>
                <w:sz w:val="18"/>
                <w:szCs w:val="18"/>
              </w:rPr>
            </w:pPr>
            <w:r>
              <w:rPr>
                <w:rFonts w:ascii="Times New Roman"/>
                <w:sz w:val="18"/>
              </w:rPr>
              <w:t>29.49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8"/>
              <w:jc w:val="right"/>
              <w:rPr>
                <w:rFonts w:ascii="Times New Roman" w:hAnsi="Times New Roman" w:cs="Times New Roman" w:eastAsia="Times New Roman" w:hint="default"/>
                <w:sz w:val="18"/>
                <w:szCs w:val="18"/>
              </w:rPr>
            </w:pPr>
            <w:r>
              <w:rPr>
                <w:rFonts w:ascii="Times New Roman"/>
                <w:sz w:val="18"/>
              </w:rPr>
              <w:t>29.49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5"/>
              <w:jc w:val="right"/>
              <w:rPr>
                <w:rFonts w:ascii="Times New Roman" w:hAnsi="Times New Roman" w:cs="Times New Roman" w:eastAsia="Times New Roman" w:hint="default"/>
                <w:sz w:val="18"/>
                <w:szCs w:val="18"/>
              </w:rPr>
            </w:pPr>
            <w:r>
              <w:rPr>
                <w:rFonts w:ascii="Times New Roman"/>
                <w:sz w:val="18"/>
              </w:rPr>
              <w:t>27.44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8"/>
              <w:jc w:val="right"/>
              <w:rPr>
                <w:rFonts w:ascii="Times New Roman" w:hAnsi="Times New Roman" w:cs="Times New Roman" w:eastAsia="Times New Roman" w:hint="default"/>
                <w:sz w:val="18"/>
                <w:szCs w:val="18"/>
              </w:rPr>
            </w:pPr>
            <w:r>
              <w:rPr>
                <w:rFonts w:ascii="Times New Roman"/>
                <w:sz w:val="18"/>
              </w:rPr>
              <w:t>27.44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尹子健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董事兼总经理助理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7"/>
              <w:jc w:val="right"/>
              <w:rPr>
                <w:rFonts w:ascii="Times New Roman" w:hAnsi="Times New Roman" w:cs="Times New Roman" w:eastAsia="Times New Roman" w:hint="default"/>
                <w:sz w:val="18"/>
                <w:szCs w:val="18"/>
              </w:rPr>
            </w:pPr>
            <w:r>
              <w:rPr>
                <w:rFonts w:ascii="Times New Roman"/>
                <w:sz w:val="18"/>
              </w:rPr>
              <w:t>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0.9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康伟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39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赵战生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76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沈剑飞</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50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杨成铭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53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姚颐</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43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马承栋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37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1"/>
                <w:sz w:val="18"/>
              </w:rPr>
              <w:t>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pacing w:val="-1"/>
                <w:sz w:val="18"/>
              </w:rPr>
              <w:t>9.85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李旭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31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5"/>
              <w:jc w:val="right"/>
              <w:rPr>
                <w:rFonts w:ascii="Times New Roman" w:hAnsi="Times New Roman" w:cs="Times New Roman" w:eastAsia="Times New Roman" w:hint="default"/>
                <w:sz w:val="18"/>
                <w:szCs w:val="18"/>
              </w:rPr>
            </w:pPr>
            <w:r>
              <w:rPr>
                <w:rFonts w:ascii="Times New Roman"/>
                <w:sz w:val="18"/>
              </w:rPr>
              <w:t>14.33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8"/>
              <w:jc w:val="right"/>
              <w:rPr>
                <w:rFonts w:ascii="Times New Roman" w:hAnsi="Times New Roman" w:cs="Times New Roman" w:eastAsia="Times New Roman" w:hint="default"/>
                <w:sz w:val="18"/>
                <w:szCs w:val="18"/>
              </w:rPr>
            </w:pPr>
            <w:r>
              <w:rPr>
                <w:rFonts w:ascii="Times New Roman"/>
                <w:sz w:val="18"/>
              </w:rPr>
              <w:t>14.33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哈连琴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51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z w:val="18"/>
              </w:rPr>
              <w:t>19.3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3"/>
              <w:jc w:val="right"/>
              <w:rPr>
                <w:rFonts w:ascii="Times New Roman" w:hAnsi="Times New Roman" w:cs="Times New Roman" w:eastAsia="Times New Roman" w:hint="default"/>
                <w:sz w:val="18"/>
                <w:szCs w:val="18"/>
              </w:rPr>
            </w:pPr>
            <w:r>
              <w:rPr>
                <w:rFonts w:ascii="Times New Roman"/>
                <w:sz w:val="18"/>
              </w:rPr>
              <w:t>19.3</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4" w:right="0"/>
              <w:jc w:val="left"/>
              <w:rPr>
                <w:rFonts w:ascii="Times New Roman" w:hAnsi="Times New Roman" w:cs="Times New Roman" w:eastAsia="Times New Roman" w:hint="default"/>
                <w:sz w:val="18"/>
                <w:szCs w:val="18"/>
              </w:rPr>
            </w:pPr>
            <w:r>
              <w:rPr>
                <w:rFonts w:ascii="Times New Roman"/>
                <w:sz w:val="18"/>
              </w:rPr>
              <w:t>40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5"/>
              <w:jc w:val="right"/>
              <w:rPr>
                <w:rFonts w:ascii="Times New Roman" w:hAnsi="Times New Roman" w:cs="Times New Roman" w:eastAsia="Times New Roman" w:hint="default"/>
                <w:sz w:val="18"/>
                <w:szCs w:val="18"/>
              </w:rPr>
            </w:pPr>
            <w:r>
              <w:rPr>
                <w:rFonts w:ascii="Times New Roman"/>
                <w:sz w:val="18"/>
              </w:rPr>
              <w:t>12.25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8"/>
              <w:jc w:val="right"/>
              <w:rPr>
                <w:rFonts w:ascii="Times New Roman" w:hAnsi="Times New Roman" w:cs="Times New Roman" w:eastAsia="Times New Roman" w:hint="default"/>
                <w:sz w:val="18"/>
                <w:szCs w:val="18"/>
              </w:rPr>
            </w:pPr>
            <w:r>
              <w:rPr>
                <w:rFonts w:ascii="Times New Roman"/>
                <w:sz w:val="18"/>
              </w:rPr>
              <w:t>12.25</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董事会秘书兼副总 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14.31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z w:val="18"/>
              </w:rPr>
              <w:t>14.31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4" w:right="0"/>
              <w:jc w:val="left"/>
              <w:rPr>
                <w:rFonts w:ascii="Times New Roman" w:hAnsi="Times New Roman" w:cs="Times New Roman" w:eastAsia="Times New Roman" w:hint="default"/>
                <w:sz w:val="18"/>
                <w:szCs w:val="18"/>
              </w:rPr>
            </w:pPr>
            <w:r>
              <w:rPr>
                <w:rFonts w:ascii="Times New Roman"/>
                <w:sz w:val="18"/>
              </w:rPr>
              <w:t>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5"/>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5"/>
              <w:jc w:val="right"/>
              <w:rPr>
                <w:rFonts w:ascii="Times New Roman" w:hAnsi="Times New Roman" w:cs="Times New Roman" w:eastAsia="Times New Roman" w:hint="default"/>
                <w:sz w:val="18"/>
                <w:szCs w:val="18"/>
              </w:rPr>
            </w:pPr>
            <w:r>
              <w:rPr>
                <w:rFonts w:ascii="Times New Roman"/>
                <w:sz w:val="18"/>
              </w:rPr>
              <w:t>13.06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8"/>
              <w:jc w:val="right"/>
              <w:rPr>
                <w:rFonts w:ascii="Times New Roman" w:hAnsi="Times New Roman" w:cs="Times New Roman" w:eastAsia="Times New Roman" w:hint="default"/>
                <w:sz w:val="18"/>
                <w:szCs w:val="18"/>
              </w:rPr>
            </w:pPr>
            <w:r>
              <w:rPr>
                <w:rFonts w:ascii="Times New Roman"/>
                <w:sz w:val="18"/>
              </w:rPr>
              <w:t>13.06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严惠甜</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44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55"/>
              <w:jc w:val="righ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1"/>
                <w:sz w:val="18"/>
              </w:rPr>
              <w:t>7.19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pacing w:val="-1"/>
                <w:sz w:val="18"/>
              </w:rPr>
              <w:t>7.19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59" w:right="0"/>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99"/>
              <w:jc w:val="right"/>
              <w:rPr>
                <w:rFonts w:ascii="Times New Roman" w:hAnsi="Times New Roman" w:cs="Times New Roman" w:eastAsia="Times New Roman" w:hint="default"/>
                <w:sz w:val="18"/>
                <w:szCs w:val="18"/>
              </w:rPr>
            </w:pPr>
            <w:r>
              <w:rPr>
                <w:rFonts w:ascii="Times New Roman"/>
                <w:sz w:val="18"/>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z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75"/>
              <w:jc w:val="righ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4"/>
              <w:jc w:val="right"/>
              <w:rPr>
                <w:rFonts w:ascii="Times New Roman" w:hAnsi="Times New Roman" w:cs="Times New Roman" w:eastAsia="Times New Roman" w:hint="default"/>
                <w:sz w:val="18"/>
                <w:szCs w:val="18"/>
              </w:rPr>
            </w:pPr>
            <w:r>
              <w:rPr>
                <w:rFonts w:ascii="Times New Roman"/>
                <w:spacing w:val="-1"/>
                <w:sz w:val="18"/>
              </w:rPr>
              <w:t>192.37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6"/>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5"/>
              <w:jc w:val="right"/>
              <w:rPr>
                <w:rFonts w:ascii="Times New Roman" w:hAnsi="Times New Roman" w:cs="Times New Roman" w:eastAsia="Times New Roman" w:hint="default"/>
                <w:sz w:val="18"/>
                <w:szCs w:val="18"/>
              </w:rPr>
            </w:pPr>
            <w:r>
              <w:rPr>
                <w:rFonts w:ascii="Times New Roman"/>
                <w:spacing w:val="-1"/>
                <w:sz w:val="18"/>
              </w:rPr>
              <w:t>192.37</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8"/>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严惠甜</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1" w:right="0"/>
              <w:jc w:val="center"/>
              <w:rPr>
                <w:rFonts w:ascii="宋体" w:hAnsi="宋体" w:cs="宋体" w:eastAsia="宋体" w:hint="default"/>
                <w:sz w:val="18"/>
                <w:szCs w:val="18"/>
              </w:rPr>
            </w:pPr>
            <w:r>
              <w:rPr>
                <w:rFonts w:ascii="宋体" w:hAnsi="宋体" w:cs="宋体" w:eastAsia="宋体" w:hint="default"/>
                <w:sz w:val="18"/>
                <w:szCs w:val="18"/>
              </w:rPr>
              <w:t>严惠甜先生因个人原因，辞去公司财务总监职务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left="133" w:right="7845"/>
        <w:jc w:val="center"/>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日，公司在册员工人数为</w:t>
      </w:r>
      <w:r>
        <w:rPr>
          <w:rFonts w:ascii="Times New Roman" w:hAnsi="Times New Roman" w:cs="Times New Roman" w:eastAsia="Times New Roman" w:hint="default"/>
        </w:rPr>
        <w:t>920</w:t>
      </w:r>
      <w:r>
        <w:rPr/>
        <w:t>人，员工构成情况如下：</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rFonts w:ascii="Times New Roman" w:hAnsi="Times New Roman" w:cs="Times New Roman" w:eastAsia="Times New Roman" w:hint="default"/>
        </w:rPr>
        <w:t>1.</w:t>
      </w:r>
      <w:r>
        <w:rPr/>
        <w:t>员工专业结构</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985"/>
        <w:gridCol w:w="1561"/>
        <w:gridCol w:w="1844"/>
      </w:tblGrid>
      <w:tr>
        <w:trPr>
          <w:trHeight w:val="6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专业分工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74"/>
              <w:jc w:val="righ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18"/>
                <w:sz w:val="18"/>
                <w:szCs w:val="18"/>
              </w:rPr>
              <w:t> </w:t>
            </w:r>
            <w:r>
              <w:rPr>
                <w:rFonts w:ascii="宋体" w:hAnsi="宋体" w:cs="宋体" w:eastAsia="宋体" w:hint="default"/>
                <w:sz w:val="18"/>
                <w:szCs w:val="18"/>
              </w:rPr>
              <w:t>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占员工总数比例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284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30.87%</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345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37.50%</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157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17.06%</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2"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134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14.57%</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920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16"/>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2.</w:t>
      </w:r>
      <w:r>
        <w:rPr/>
        <w:t>员工受教育程度</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1985"/>
        <w:gridCol w:w="1558"/>
        <w:gridCol w:w="1844"/>
      </w:tblGrid>
      <w:tr>
        <w:trPr>
          <w:trHeight w:val="6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10"/>
              <w:jc w:val="right"/>
              <w:rPr>
                <w:rFonts w:ascii="宋体" w:hAnsi="宋体" w:cs="宋体" w:eastAsia="宋体" w:hint="default"/>
                <w:sz w:val="18"/>
                <w:szCs w:val="18"/>
              </w:rPr>
            </w:pPr>
            <w:r>
              <w:rPr>
                <w:rFonts w:ascii="宋体" w:hAnsi="宋体" w:cs="宋体" w:eastAsia="宋体" w:hint="default"/>
                <w:sz w:val="18"/>
                <w:szCs w:val="18"/>
              </w:rPr>
              <w:t>人数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65" w:right="0"/>
              <w:jc w:val="left"/>
              <w:rPr>
                <w:rFonts w:ascii="宋体" w:hAnsi="宋体" w:cs="宋体" w:eastAsia="宋体" w:hint="default"/>
                <w:sz w:val="18"/>
                <w:szCs w:val="18"/>
              </w:rPr>
            </w:pPr>
            <w:r>
              <w:rPr>
                <w:rFonts w:ascii="宋体" w:hAnsi="宋体" w:cs="宋体" w:eastAsia="宋体" w:hint="default"/>
                <w:sz w:val="18"/>
                <w:szCs w:val="18"/>
              </w:rPr>
              <w:t>占员工总数比例</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硕士及以上学历</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7"/>
              <w:jc w:val="right"/>
              <w:rPr>
                <w:rFonts w:ascii="Times New Roman" w:hAnsi="Times New Roman" w:cs="Times New Roman" w:eastAsia="Times New Roman" w:hint="default"/>
                <w:sz w:val="18"/>
                <w:szCs w:val="18"/>
              </w:rPr>
            </w:pPr>
            <w:r>
              <w:rPr>
                <w:rFonts w:ascii="Times New Roman"/>
                <w:sz w:val="18"/>
              </w:rPr>
              <w:t>54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98"/>
              <w:jc w:val="right"/>
              <w:rPr>
                <w:rFonts w:ascii="Times New Roman" w:hAnsi="Times New Roman" w:cs="Times New Roman" w:eastAsia="Times New Roman" w:hint="default"/>
                <w:sz w:val="18"/>
                <w:szCs w:val="18"/>
              </w:rPr>
            </w:pPr>
            <w:r>
              <w:rPr>
                <w:rFonts w:ascii="Times New Roman"/>
                <w:sz w:val="18"/>
              </w:rPr>
              <w:t>5.87%</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宋体" w:hAnsi="宋体" w:cs="宋体" w:eastAsia="宋体" w:hint="default"/>
                <w:sz w:val="18"/>
                <w:szCs w:val="18"/>
              </w:rPr>
            </w:pPr>
            <w:r>
              <w:rPr>
                <w:rFonts w:ascii="宋体" w:hAnsi="宋体" w:cs="宋体" w:eastAsia="宋体" w:hint="default"/>
                <w:sz w:val="18"/>
                <w:szCs w:val="18"/>
              </w:rPr>
              <w:t>本科学历</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591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51"/>
              <w:jc w:val="right"/>
              <w:rPr>
                <w:rFonts w:ascii="Times New Roman" w:hAnsi="Times New Roman" w:cs="Times New Roman" w:eastAsia="Times New Roman" w:hint="default"/>
                <w:sz w:val="18"/>
                <w:szCs w:val="18"/>
              </w:rPr>
            </w:pPr>
            <w:r>
              <w:rPr>
                <w:rFonts w:ascii="Times New Roman"/>
                <w:sz w:val="18"/>
              </w:rPr>
              <w:t>64.24%</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8" w:right="0"/>
              <w:jc w:val="center"/>
              <w:rPr>
                <w:rFonts w:ascii="宋体" w:hAnsi="宋体" w:cs="宋体" w:eastAsia="宋体" w:hint="default"/>
                <w:sz w:val="18"/>
                <w:szCs w:val="18"/>
              </w:rPr>
            </w:pPr>
            <w:r>
              <w:rPr>
                <w:rFonts w:ascii="宋体" w:hAnsi="宋体" w:cs="宋体" w:eastAsia="宋体" w:hint="default"/>
                <w:sz w:val="18"/>
                <w:szCs w:val="18"/>
              </w:rPr>
              <w:t>专科学历</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256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1"/>
              <w:jc w:val="right"/>
              <w:rPr>
                <w:rFonts w:ascii="Times New Roman" w:hAnsi="Times New Roman" w:cs="Times New Roman" w:eastAsia="Times New Roman" w:hint="default"/>
                <w:sz w:val="18"/>
                <w:szCs w:val="18"/>
              </w:rPr>
            </w:pPr>
            <w:r>
              <w:rPr>
                <w:rFonts w:ascii="Times New Roman"/>
                <w:sz w:val="18"/>
              </w:rPr>
              <w:t>27.83%</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8"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7"/>
              <w:jc w:val="right"/>
              <w:rPr>
                <w:rFonts w:ascii="Times New Roman" w:hAnsi="Times New Roman" w:cs="Times New Roman" w:eastAsia="Times New Roman" w:hint="default"/>
                <w:sz w:val="18"/>
                <w:szCs w:val="18"/>
              </w:rPr>
            </w:pPr>
            <w:r>
              <w:rPr>
                <w:rFonts w:ascii="Times New Roman"/>
                <w:sz w:val="18"/>
              </w:rPr>
              <w:t>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98"/>
              <w:jc w:val="right"/>
              <w:rPr>
                <w:rFonts w:ascii="Times New Roman" w:hAnsi="Times New Roman" w:cs="Times New Roman" w:eastAsia="Times New Roman" w:hint="default"/>
                <w:sz w:val="18"/>
                <w:szCs w:val="18"/>
              </w:rPr>
            </w:pPr>
            <w:r>
              <w:rPr>
                <w:rFonts w:ascii="Times New Roman"/>
                <w:sz w:val="18"/>
              </w:rPr>
              <w:t>2.06%</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96"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19"/>
              <w:jc w:val="right"/>
              <w:rPr>
                <w:rFonts w:ascii="Times New Roman" w:hAnsi="Times New Roman" w:cs="Times New Roman" w:eastAsia="Times New Roman" w:hint="default"/>
                <w:sz w:val="20"/>
                <w:szCs w:val="20"/>
              </w:rPr>
            </w:pPr>
            <w:r>
              <w:rPr>
                <w:rFonts w:ascii="Times New Roman"/>
                <w:sz w:val="20"/>
              </w:rPr>
              <w:t>920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474"/>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right="0"/>
        <w:jc w:val="left"/>
      </w:pPr>
      <w:r>
        <w:rPr>
          <w:rFonts w:ascii="Times New Roman" w:hAnsi="Times New Roman" w:cs="Times New Roman" w:eastAsia="Times New Roman" w:hint="default"/>
        </w:rPr>
        <w:t>3.</w:t>
      </w:r>
      <w:r>
        <w:rPr/>
        <w:t>员工年龄分布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1985"/>
        <w:gridCol w:w="1419"/>
        <w:gridCol w:w="1985"/>
      </w:tblGrid>
      <w:tr>
        <w:trPr>
          <w:trHeight w:val="65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年龄区间</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02"/>
              <w:jc w:val="righ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pacing w:val="-18"/>
                <w:sz w:val="18"/>
                <w:szCs w:val="18"/>
              </w:rPr>
              <w:t> </w:t>
            </w:r>
            <w:r>
              <w:rPr>
                <w:rFonts w:ascii="宋体" w:hAnsi="宋体" w:cs="宋体" w:eastAsia="宋体" w:hint="default"/>
                <w:sz w:val="18"/>
                <w:szCs w:val="18"/>
              </w:rPr>
              <w:t>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占员工总数的比例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83"/>
              <w:jc w:val="right"/>
              <w:rPr>
                <w:rFonts w:ascii="Times New Roman" w:hAnsi="Times New Roman" w:cs="Times New Roman" w:eastAsia="Times New Roman" w:hint="default"/>
                <w:sz w:val="18"/>
                <w:szCs w:val="18"/>
              </w:rPr>
            </w:pPr>
            <w:r>
              <w:rPr>
                <w:rFonts w:ascii="Times New Roman"/>
                <w:sz w:val="18"/>
              </w:rPr>
              <w:t>636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7" w:right="0"/>
              <w:jc w:val="left"/>
              <w:rPr>
                <w:rFonts w:ascii="Times New Roman" w:hAnsi="Times New Roman" w:cs="Times New Roman" w:eastAsia="Times New Roman" w:hint="default"/>
                <w:sz w:val="18"/>
                <w:szCs w:val="18"/>
              </w:rPr>
            </w:pPr>
            <w:r>
              <w:rPr>
                <w:rFonts w:ascii="Times New Roman"/>
                <w:sz w:val="18"/>
              </w:rPr>
              <w:t>69.13%</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83"/>
              <w:jc w:val="right"/>
              <w:rPr>
                <w:rFonts w:ascii="Times New Roman" w:hAnsi="Times New Roman" w:cs="Times New Roman" w:eastAsia="Times New Roman" w:hint="default"/>
                <w:sz w:val="18"/>
                <w:szCs w:val="18"/>
              </w:rPr>
            </w:pPr>
            <w:r>
              <w:rPr>
                <w:rFonts w:ascii="Times New Roman"/>
                <w:sz w:val="18"/>
              </w:rPr>
              <w:t>253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1" w:right="0"/>
              <w:jc w:val="left"/>
              <w:rPr>
                <w:rFonts w:ascii="Times New Roman" w:hAnsi="Times New Roman" w:cs="Times New Roman" w:eastAsia="Times New Roman" w:hint="default"/>
                <w:sz w:val="18"/>
                <w:szCs w:val="18"/>
              </w:rPr>
            </w:pPr>
            <w:r>
              <w:rPr>
                <w:rFonts w:ascii="Times New Roman"/>
                <w:sz w:val="18"/>
              </w:rPr>
              <w:t>27.5%</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27"/>
              <w:jc w:val="right"/>
              <w:rPr>
                <w:rFonts w:ascii="Times New Roman" w:hAnsi="Times New Roman" w:cs="Times New Roman" w:eastAsia="Times New Roman" w:hint="default"/>
                <w:sz w:val="18"/>
                <w:szCs w:val="18"/>
              </w:rPr>
            </w:pPr>
            <w:r>
              <w:rPr>
                <w:rFonts w:ascii="Times New Roman"/>
                <w:sz w:val="18"/>
              </w:rPr>
              <w:t>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31" w:right="0"/>
              <w:jc w:val="left"/>
              <w:rPr>
                <w:rFonts w:ascii="Times New Roman" w:hAnsi="Times New Roman" w:cs="Times New Roman" w:eastAsia="Times New Roman" w:hint="default"/>
                <w:sz w:val="18"/>
                <w:szCs w:val="18"/>
              </w:rPr>
            </w:pPr>
            <w:r>
              <w:rPr>
                <w:rFonts w:ascii="Times New Roman"/>
                <w:sz w:val="18"/>
              </w:rPr>
              <w:t>3.15%</w:t>
            </w:r>
          </w:p>
        </w:tc>
      </w:tr>
      <w:tr>
        <w:trPr>
          <w:trHeight w:val="34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74"/>
              <w:jc w:val="right"/>
              <w:rPr>
                <w:rFonts w:ascii="Times New Roman" w:hAnsi="Times New Roman" w:cs="Times New Roman" w:eastAsia="Times New Roman" w:hint="default"/>
                <w:sz w:val="18"/>
                <w:szCs w:val="18"/>
              </w:rPr>
            </w:pPr>
            <w:r>
              <w:rPr>
                <w:rFonts w:ascii="Times New Roman"/>
                <w:sz w:val="18"/>
              </w:rPr>
              <w:t>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31" w:right="0"/>
              <w:jc w:val="left"/>
              <w:rPr>
                <w:rFonts w:ascii="Times New Roman" w:hAnsi="Times New Roman" w:cs="Times New Roman" w:eastAsia="Times New Roman" w:hint="default"/>
                <w:sz w:val="18"/>
                <w:szCs w:val="18"/>
              </w:rPr>
            </w:pPr>
            <w:r>
              <w:rPr>
                <w:rFonts w:ascii="Times New Roman"/>
                <w:sz w:val="18"/>
              </w:rPr>
              <w:t>0.22%</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83"/>
              <w:jc w:val="right"/>
              <w:rPr>
                <w:rFonts w:ascii="Times New Roman" w:hAnsi="Times New Roman" w:cs="Times New Roman" w:eastAsia="Times New Roman" w:hint="default"/>
                <w:sz w:val="18"/>
                <w:szCs w:val="18"/>
              </w:rPr>
            </w:pPr>
            <w:r>
              <w:rPr>
                <w:rFonts w:ascii="Times New Roman"/>
                <w:sz w:val="18"/>
              </w:rPr>
              <w:t>920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55"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05"/>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432"/>
        <w:jc w:val="left"/>
      </w:pPr>
      <w:r>
        <w:rPr>
          <w:spacing w:val="-2"/>
        </w:rPr>
        <w:t>公司根据《公司法》、《上市公司治理准则》、《上市公司章程指引》、《上市公司股东大会规则》及其他相关法律、</w:t>
      </w:r>
      <w:r>
        <w:rPr/>
        <w:t> </w:t>
      </w:r>
      <w:r>
        <w:rPr>
          <w:spacing w:val="-2"/>
        </w:rPr>
        <w:t>法规的要求，确立了由股东大会、董事会、监事会和经营管理层组成的公司治理结构，建立健全了股东大会、董事会、监事</w:t>
      </w:r>
      <w:r>
        <w:rPr>
          <w:spacing w:val="-68"/>
        </w:rPr>
        <w:t> </w:t>
      </w:r>
      <w:r>
        <w:rPr>
          <w:spacing w:val="-68"/>
        </w:rPr>
      </w:r>
      <w:r>
        <w:rPr/>
        <w:t>会、独立董事、董事会秘书等相关制度，并在公司董事会下设立了战略、审计、提名、薪酬与考核等专门委员会。</w:t>
      </w:r>
      <w:r>
        <w:rPr>
          <w:spacing w:val="-17"/>
        </w:rPr>
        <w:t> </w:t>
      </w:r>
      <w:r>
        <w:rPr/>
        <w:t>报告期</w:t>
      </w:r>
      <w:r>
        <w:rPr/>
        <w:t> </w:t>
      </w:r>
      <w:r>
        <w:rPr>
          <w:spacing w:val="-2"/>
        </w:rPr>
        <w:t>内，公司建立了规范的公司治理结构，股东大会、董事会及专门委员会、监事会、独立董事、董事会秘书和管理层均严格按</w:t>
      </w:r>
      <w:r>
        <w:rPr>
          <w:spacing w:val="-68"/>
        </w:rPr>
        <w:t> </w:t>
      </w:r>
      <w:r>
        <w:rPr>
          <w:spacing w:val="-68"/>
        </w:rPr>
      </w:r>
      <w:r>
        <w:rPr>
          <w:spacing w:val="-2"/>
        </w:rPr>
        <w:t>照《公司法》、《证券法》、《上市公司治理准则》、《深圳证券交易所创业板股票上市规则》、《深圳证券交易所创业板</w:t>
      </w:r>
      <w:r>
        <w:rPr>
          <w:spacing w:val="-72"/>
        </w:rPr>
        <w:t> </w:t>
      </w:r>
      <w:r>
        <w:rPr>
          <w:spacing w:val="-72"/>
        </w:rPr>
      </w:r>
      <w:r>
        <w:rPr>
          <w:spacing w:val="-2"/>
        </w:rPr>
        <w:t>上市公司规范运作指引》等法律、法规和中国证监会有关法律法规等的要求，履行各自的权利和义务，公司重大生产经营决</w:t>
      </w:r>
      <w:r>
        <w:rPr>
          <w:spacing w:val="-65"/>
        </w:rPr>
        <w:t> </w:t>
      </w:r>
      <w:r>
        <w:rPr>
          <w:spacing w:val="-65"/>
        </w:rPr>
      </w:r>
      <w:r>
        <w:rPr>
          <w:spacing w:val="-2"/>
        </w:rPr>
        <w:t>策、投资决策及财务决策均按照《公司章程》及有关内控制度规定的程序和规则进行，截至报告期末，上述机构和人员依法</w:t>
      </w:r>
      <w:r>
        <w:rPr>
          <w:spacing w:val="-67"/>
        </w:rPr>
        <w:t> </w:t>
      </w:r>
      <w:r>
        <w:rPr>
          <w:spacing w:val="-67"/>
        </w:rPr>
      </w:r>
      <w:r>
        <w:rPr>
          <w:spacing w:val="-2"/>
        </w:rPr>
        <w:t>运作，未出现违法、违规现象，能够切实履行应尽的职责和义务，公司治理的实际状况符合《上市公司治理准则》和《深圳</w:t>
      </w:r>
      <w:r>
        <w:rPr>
          <w:spacing w:val="-73"/>
        </w:rPr>
        <w:t> </w:t>
      </w:r>
      <w:r>
        <w:rPr>
          <w:spacing w:val="-73"/>
        </w:rPr>
      </w:r>
      <w:r>
        <w:rPr/>
        <w:t>证券交易所创业板上市公司规范运作指引》的要求。</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公司治理与《公司法》和中国证监会相关规定的要求是否存在差异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50"/>
        <w:gridCol w:w="2233"/>
        <w:gridCol w:w="2393"/>
        <w:gridCol w:w="2393"/>
      </w:tblGrid>
      <w:tr>
        <w:trPr>
          <w:trHeight w:val="71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9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1" w:right="110" w:hanging="272"/>
              <w:jc w:val="left"/>
              <w:rPr>
                <w:rFonts w:ascii="宋体" w:hAnsi="宋体" w:cs="宋体" w:eastAsia="宋体" w:hint="default"/>
                <w:sz w:val="18"/>
                <w:szCs w:val="18"/>
              </w:rPr>
            </w:pPr>
            <w:r>
              <w:rPr>
                <w:rFonts w:ascii="宋体" w:hAnsi="宋体" w:cs="宋体" w:eastAsia="宋体" w:hint="default"/>
                <w:sz w:val="18"/>
                <w:szCs w:val="18"/>
              </w:rPr>
              <w:t>会议决议刊登的指定网 站查询索引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2" w:right="111" w:hanging="452"/>
              <w:jc w:val="left"/>
              <w:rPr>
                <w:rFonts w:ascii="宋体" w:hAnsi="宋体" w:cs="宋体" w:eastAsia="宋体" w:hint="default"/>
                <w:sz w:val="18"/>
                <w:szCs w:val="18"/>
              </w:rPr>
            </w:pPr>
            <w:r>
              <w:rPr>
                <w:rFonts w:ascii="宋体" w:hAnsi="宋体" w:cs="宋体" w:eastAsia="宋体" w:hint="default"/>
                <w:sz w:val="18"/>
                <w:szCs w:val="18"/>
              </w:rPr>
              <w:t>会议决议刊登的信息披 露日期</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9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41" w:right="110" w:hanging="272"/>
              <w:jc w:val="left"/>
              <w:rPr>
                <w:rFonts w:ascii="宋体" w:hAnsi="宋体" w:cs="宋体" w:eastAsia="宋体" w:hint="default"/>
                <w:sz w:val="18"/>
                <w:szCs w:val="18"/>
              </w:rPr>
            </w:pPr>
            <w:r>
              <w:rPr>
                <w:rFonts w:ascii="宋体" w:hAnsi="宋体" w:cs="宋体" w:eastAsia="宋体" w:hint="default"/>
                <w:sz w:val="18"/>
                <w:szCs w:val="18"/>
              </w:rPr>
              <w:t>会议决议刊登的指定网 站查询索引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22" w:right="111" w:hanging="452"/>
              <w:jc w:val="left"/>
              <w:rPr>
                <w:rFonts w:ascii="宋体" w:hAnsi="宋体" w:cs="宋体" w:eastAsia="宋体" w:hint="default"/>
                <w:sz w:val="18"/>
                <w:szCs w:val="18"/>
              </w:rPr>
            </w:pPr>
            <w:r>
              <w:rPr>
                <w:rFonts w:ascii="宋体" w:hAnsi="宋体" w:cs="宋体" w:eastAsia="宋体" w:hint="default"/>
                <w:sz w:val="18"/>
                <w:szCs w:val="18"/>
              </w:rPr>
              <w:t>会议决议刊登的信息披 露日期</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50"/>
        <w:gridCol w:w="2233"/>
        <w:gridCol w:w="2393"/>
        <w:gridCol w:w="2393"/>
      </w:tblGrid>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4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2" w:right="110" w:hanging="272"/>
              <w:jc w:val="left"/>
              <w:rPr>
                <w:rFonts w:ascii="宋体" w:hAnsi="宋体" w:cs="宋体" w:eastAsia="宋体" w:hint="default"/>
                <w:sz w:val="18"/>
                <w:szCs w:val="18"/>
              </w:rPr>
            </w:pPr>
            <w:r>
              <w:rPr>
                <w:rFonts w:ascii="宋体" w:hAnsi="宋体" w:cs="宋体" w:eastAsia="宋体" w:hint="default"/>
                <w:sz w:val="18"/>
                <w:szCs w:val="18"/>
              </w:rPr>
              <w:t>会议决议刊登的指定网 站查询索引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2" w:right="110" w:hanging="452"/>
              <w:jc w:val="left"/>
              <w:rPr>
                <w:rFonts w:ascii="宋体" w:hAnsi="宋体" w:cs="宋体" w:eastAsia="宋体" w:hint="default"/>
                <w:sz w:val="18"/>
                <w:szCs w:val="18"/>
              </w:rPr>
            </w:pPr>
            <w:r>
              <w:rPr>
                <w:rFonts w:ascii="宋体" w:hAnsi="宋体" w:cs="宋体" w:eastAsia="宋体" w:hint="default"/>
                <w:sz w:val="18"/>
                <w:szCs w:val="18"/>
              </w:rPr>
              <w:t>会议决议刊登的信息披 露日期</w:t>
            </w:r>
          </w:p>
        </w:tc>
      </w:tr>
      <w:tr>
        <w:trPr>
          <w:trHeight w:val="404"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第二届董事会第四次临时会议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4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50"/>
        <w:gridCol w:w="2233"/>
        <w:gridCol w:w="2393"/>
        <w:gridCol w:w="2393"/>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第二届董事会第五次临时会议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8"/>
              <w:jc w:val="right"/>
              <w:rPr>
                <w:rFonts w:ascii="Times New Roman" w:hAnsi="Times New Roman" w:cs="Times New Roman" w:eastAsia="Times New Roman" w:hint="default"/>
                <w:sz w:val="18"/>
                <w:szCs w:val="18"/>
              </w:rPr>
            </w:pPr>
            <w:hyperlink r:id="rId12">
              <w:r>
                <w:rPr>
                  <w:rFonts w:ascii="Times New Roman"/>
                  <w:spacing w:val="-1"/>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2" w:right="0" w:firstLine="360"/>
        <w:jc w:val="left"/>
      </w:pPr>
      <w:r>
        <w:rPr>
          <w:spacing w:val="-2"/>
        </w:rPr>
        <w:t>公司已制定《年报信息披露重大差错责任追究制度》。报告期内公司未发生重大会计差错更正、重大遗漏信息补充以及</w:t>
      </w:r>
      <w:r>
        <w:rPr/>
        <w:t> 业绩预告修正等情况。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40" w:lineRule="auto" w:before="117"/>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877"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305"/>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[2015]01670264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孙彤、单大信</w:t>
            </w:r>
          </w:p>
        </w:tc>
      </w:tr>
    </w:tbl>
    <w:p>
      <w:pPr>
        <w:pStyle w:val="BodyText"/>
        <w:spacing w:line="240" w:lineRule="auto" w:before="49"/>
        <w:ind w:left="3630" w:right="3311"/>
        <w:jc w:val="center"/>
      </w:pPr>
      <w:r>
        <w:rPr/>
        <w:t>审计报告正文</w:t>
      </w:r>
    </w:p>
    <w:p>
      <w:pPr>
        <w:spacing w:before="115"/>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北京北信源软件股份有限公司全体股东：</w:t>
      </w:r>
      <w:r>
        <w:rPr>
          <w:rFonts w:ascii="宋体" w:hAnsi="宋体" w:cs="宋体" w:eastAsia="宋体" w:hint="default"/>
          <w:sz w:val="18"/>
          <w:szCs w:val="18"/>
        </w:rPr>
      </w:r>
    </w:p>
    <w:p>
      <w:pPr>
        <w:spacing w:line="240" w:lineRule="auto" w:before="4"/>
        <w:rPr>
          <w:rFonts w:ascii="宋体" w:hAnsi="宋体" w:cs="宋体" w:eastAsia="宋体" w:hint="default"/>
          <w:b/>
          <w:bCs/>
          <w:sz w:val="26"/>
          <w:szCs w:val="26"/>
        </w:rPr>
      </w:pPr>
    </w:p>
    <w:p>
      <w:pPr>
        <w:pStyle w:val="BodyText"/>
        <w:spacing w:line="300" w:lineRule="auto" w:before="44"/>
        <w:ind w:left="152" w:right="0" w:firstLine="360"/>
        <w:jc w:val="left"/>
      </w:pPr>
      <w:r>
        <w:rPr>
          <w:spacing w:val="-2"/>
        </w:rPr>
        <w:t>我们审计了后附的北京北信源软件股份有限公司（以下简称</w:t>
      </w:r>
      <w:r>
        <w:rPr>
          <w:rFonts w:ascii="Times New Roman" w:hAnsi="Times New Roman" w:cs="Times New Roman" w:eastAsia="Times New Roman" w:hint="default"/>
          <w:spacing w:val="-2"/>
        </w:rPr>
        <w:t>“</w:t>
      </w:r>
      <w:r>
        <w:rPr>
          <w:spacing w:val="-2"/>
        </w:rPr>
        <w:t>北信源公司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w:t>
      </w:r>
      <w:r>
        <w:rPr/>
        <w:t> 司的资产负债表，</w:t>
      </w:r>
      <w:r>
        <w:rPr>
          <w:rFonts w:ascii="Times New Roman" w:hAnsi="Times New Roman" w:cs="Times New Roman" w:eastAsia="Times New Roman" w:hint="default"/>
        </w:rPr>
        <w:t>2014</w:t>
      </w:r>
      <w:r>
        <w:rPr/>
        <w:t>年度合并及公司的利润表、现金流量表和股东权益变动表以及合并及公司的财务报表附注。</w:t>
      </w:r>
    </w:p>
    <w:p>
      <w:pPr>
        <w:spacing w:line="240" w:lineRule="auto" w:before="11"/>
        <w:rPr>
          <w:rFonts w:ascii="宋体" w:hAnsi="宋体" w:cs="宋体" w:eastAsia="宋体" w:hint="default"/>
          <w:sz w:val="24"/>
          <w:szCs w:val="24"/>
        </w:rPr>
      </w:pPr>
    </w:p>
    <w:p>
      <w:pPr>
        <w:spacing w:line="316" w:lineRule="auto" w:before="0"/>
        <w:ind w:left="513" w:right="18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编制和公允列报财务报表是北信源公司管理层的责任。这种责任包括：（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249" w:lineRule="exact"/>
        <w:ind w:left="152"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left="152"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52"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19"/>
        <w:ind w:left="801"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right="0"/>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我们认为，上述财务报表在所有重大方面按照企业会计准则的规定编制，公允反映了北京北信源软件股份有限公司</w:t>
      </w:r>
      <w:r>
        <w:rPr>
          <w:rFonts w:ascii="Times New Roman" w:hAnsi="Times New Roman" w:cs="Times New Roman" w:eastAsia="Times New Roman" w:hint="default"/>
          <w:spacing w:val="-2"/>
        </w:rPr>
        <w:t>2014</w:t>
      </w:r>
    </w:p>
    <w:p>
      <w:pPr>
        <w:pStyle w:val="BodyText"/>
        <w:spacing w:line="248" w:lineRule="exact"/>
        <w:ind w:left="152" w:right="0"/>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961" w:type="dxa"/>
        <w:tblLayout w:type="fixed"/>
        <w:tblCellMar>
          <w:top w:w="0" w:type="dxa"/>
          <w:left w:w="0" w:type="dxa"/>
          <w:bottom w:w="0" w:type="dxa"/>
          <w:right w:w="0" w:type="dxa"/>
        </w:tblCellMar>
        <w:tblLook w:val="01E0"/>
      </w:tblPr>
      <w:tblGrid>
        <w:gridCol w:w="3661"/>
        <w:gridCol w:w="2833"/>
      </w:tblGrid>
      <w:tr>
        <w:trPr>
          <w:trHeight w:val="413"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180" w:lineRule="exact"/>
              <w:ind w:right="379"/>
              <w:jc w:val="center"/>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2833" w:type="dxa"/>
            <w:tcBorders>
              <w:top w:val="nil" w:sz="6" w:space="0" w:color="auto"/>
              <w:left w:val="nil" w:sz="6" w:space="0" w:color="auto"/>
              <w:bottom w:val="nil" w:sz="6" w:space="0" w:color="auto"/>
              <w:right w:val="nil" w:sz="6" w:space="0" w:color="auto"/>
            </w:tcBorders>
          </w:tcPr>
          <w:p>
            <w:pPr>
              <w:pStyle w:val="TableParagraph"/>
              <w:spacing w:line="180" w:lineRule="exact"/>
              <w:ind w:right="306"/>
              <w:jc w:val="righ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宋体" w:hAnsi="宋体" w:cs="宋体" w:eastAsia="宋体" w:hint="default"/>
                <w:sz w:val="18"/>
                <w:szCs w:val="18"/>
              </w:rPr>
              <w:t>孙彤</w:t>
            </w:r>
          </w:p>
        </w:tc>
      </w:tr>
      <w:tr>
        <w:trPr>
          <w:trHeight w:val="423"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76"/>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中国注册会计师：</w:t>
            </w:r>
            <w:r>
              <w:rPr>
                <w:rFonts w:ascii="宋体" w:hAnsi="宋体" w:cs="宋体" w:eastAsia="宋体" w:hint="default"/>
                <w:spacing w:val="-18"/>
                <w:sz w:val="18"/>
                <w:szCs w:val="18"/>
              </w:rPr>
              <w:t> </w:t>
            </w:r>
            <w:r>
              <w:rPr>
                <w:rFonts w:ascii="宋体" w:hAnsi="宋体" w:cs="宋体" w:eastAsia="宋体" w:hint="default"/>
                <w:sz w:val="18"/>
                <w:szCs w:val="18"/>
              </w:rPr>
              <w:t>单大信</w:t>
            </w:r>
          </w:p>
        </w:tc>
      </w:tr>
    </w:tbl>
    <w:p>
      <w:pPr>
        <w:spacing w:after="0" w:line="240" w:lineRule="auto"/>
        <w:jc w:val="right"/>
        <w:rPr>
          <w:rFonts w:ascii="宋体" w:hAnsi="宋体" w:cs="宋体" w:eastAsia="宋体" w:hint="default"/>
          <w:sz w:val="18"/>
          <w:szCs w:val="18"/>
        </w:rPr>
        <w:sectPr>
          <w:pgSz w:w="11910" w:h="16840"/>
          <w:pgMar w:header="877" w:footer="979" w:top="1100" w:bottom="1160" w:left="980" w:right="940"/>
        </w:sectPr>
      </w:pPr>
    </w:p>
    <w:p>
      <w:pPr>
        <w:spacing w:line="240" w:lineRule="auto" w:before="7"/>
        <w:rPr>
          <w:rFonts w:ascii="宋体" w:hAnsi="宋体" w:cs="宋体" w:eastAsia="宋体" w:hint="default"/>
          <w:sz w:val="22"/>
          <w:szCs w:val="22"/>
        </w:rPr>
      </w:pPr>
    </w:p>
    <w:p>
      <w:pPr>
        <w:pStyle w:val="BodyText"/>
        <w:spacing w:line="240" w:lineRule="auto" w:before="44"/>
        <w:ind w:left="6022" w:right="0"/>
        <w:jc w:val="left"/>
      </w:pPr>
      <w:r>
        <w:rPr/>
        <w:t>二〇一五年四月二十二日</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编制单位：北京北信源软件股份有限公司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304,505,016.49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386,489,984.84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2,694,850.60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359,960,646.14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246,081,382.46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9,952,397.69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10,224,970.31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10,100,188.98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5,947,771.60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10,248,073.02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5,240,399.17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91,716.29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4,390,282.55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3,511,229.96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701,943,171.76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658,086,418.34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45,696,096.80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16,319,042.11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967,927.88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9,416,533.82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2,180,057.33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1,270,771.58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6,464,838.10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4,101,521.40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13,911,106.00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19,819,423.00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89,744,070.10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47,478,685.97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791,687,241.86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705,565,104.31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18,105,411.20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10,578,062.83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1,658,492.26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2,234,472.13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9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68,272,983.51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43,559,779.50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2,255,615.15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1,546,000.87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90,292,502.12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57,918,315.33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90,292,502.12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57,918,315.33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180,601,212.81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314,001,212.81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-905,934.78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30,079,145.19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22,921,035.11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224,820,316.52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177,324,541.06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701,394,739.74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647,646,788.98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701,394,739.74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647,646,788.98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791,687,241.86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705,565,104.31</w:t>
            </w:r>
          </w:p>
        </w:tc>
      </w:tr>
    </w:tbl>
    <w:p>
      <w:pPr>
        <w:spacing w:line="240" w:lineRule="auto" w:before="11"/>
        <w:rPr>
          <w:rFonts w:ascii="Times New Roman" w:hAnsi="Times New Roman" w:cs="Times New Roman" w:eastAsia="Times New Roman" w:hint="default"/>
          <w:sz w:val="22"/>
          <w:szCs w:val="22"/>
        </w:rPr>
      </w:pPr>
    </w:p>
    <w:p>
      <w:pPr>
        <w:pStyle w:val="BodyText"/>
        <w:tabs>
          <w:tab w:pos="3998" w:val="left" w:leader="none"/>
          <w:tab w:pos="8201" w:val="left" w:leader="none"/>
        </w:tabs>
        <w:spacing w:line="240" w:lineRule="auto" w:before="44"/>
        <w:ind w:right="0"/>
        <w:jc w:val="left"/>
      </w:pPr>
      <w:r>
        <w:rPr>
          <w:spacing w:val="-4"/>
        </w:rPr>
        <w:t>法定代表人：林皓</w:t>
        <w:tab/>
      </w:r>
      <w:r>
        <w:rPr>
          <w:spacing w:val="-3"/>
        </w:rPr>
        <w:t>主管会计工作负责人：王灿</w:t>
        <w:tab/>
        <w:t>会计机构负责人：李</w:t>
      </w:r>
    </w:p>
    <w:p>
      <w:pPr>
        <w:pStyle w:val="BodyText"/>
        <w:spacing w:line="240" w:lineRule="auto" w:before="76"/>
        <w:ind w:left="152" w:right="0"/>
        <w:jc w:val="left"/>
      </w:pPr>
      <w:r>
        <w:rPr/>
        <w:t>丹</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225,671,068.91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324,487,456.57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2,694,850.60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590,680.00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364,524,896.66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246,605,726.95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3,020,031.49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1,984,777.50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7,535,588.30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3,828,397.58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6,358,406.28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5,029,386.81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91,716.29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4,185,037.55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3,254,341.61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614,081,596.08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585,780,767.02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34,040,671.14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14,647,781.94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967,927.88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8,320,674.39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983,907.28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1,270,771.58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4,495,536.85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2,337,628.91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13,911,106.00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19,819,423.00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163,827,333.71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109,043,533.31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777,908,929.79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694,824,300.33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6,010,109.51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4,679,197.70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1,273,386.35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1,877,427.51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62,261,536.16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38,789,953.93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1,851,233.14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1,206,157.35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71,396,265.16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46,552,736.49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71,396,265.16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46,552,736.49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180,601,212.81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314,001,212.81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30,079,145.19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22,921,035.11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229,032,306.63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177,949,315.92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706,512,664.63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648,271,563.84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777,908,929.79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694,824,300.33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3"/>
        <w:gridCol w:w="3212"/>
        <w:gridCol w:w="3277"/>
      </w:tblGrid>
      <w:tr>
        <w:trPr>
          <w:trHeight w:val="402"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6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262,733,639.30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228,204,554.56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262,733,639.30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228,204,554.56</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198,366,283.42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178,919,798.88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shape style="position:absolute;margin-left:195.848007pt;margin-top:492.309998pt;width:175.3pt;height:19.6pt;mso-position-horizontal-relative:page;mso-position-vertical-relative:page;z-index:-724960" type="#_x0000_t202" filled="false" stroked="false">
            <v:textbox inset="0,0,0,0">
              <w:txbxContent>
                <w:p>
                  <w:pPr>
                    <w:pStyle w:val="BodyText"/>
                    <w:spacing w:line="240" w:lineRule="auto" w:before="49"/>
                    <w:ind w:left="0" w:right="0"/>
                    <w:jc w:val="left"/>
                  </w:pPr>
                  <w:r>
                    <w:rPr/>
                    <w:t>列）</w:t>
                  </w:r>
                </w:p>
              </w:txbxContent>
            </v:textbox>
            <w10:wrap type="none"/>
          </v:shape>
        </w:pict>
      </w:r>
      <w:r>
        <w:rPr/>
        <w:pict>
          <v:shape style="position:absolute;margin-left:195.848007pt;margin-top:679.779968pt;width:175.3pt;height:19.6pt;mso-position-horizontal-relative:page;mso-position-vertical-relative:page;z-index:-724936" type="#_x0000_t202" filled="false" stroked="false">
            <v:textbox inset="0,0,0,0">
              <w:txbxContent>
                <w:p>
                  <w:pPr>
                    <w:pStyle w:val="BodyText"/>
                    <w:spacing w:line="240" w:lineRule="auto" w:before="49"/>
                    <w:ind w:left="0" w:right="0"/>
                    <w:jc w:val="left"/>
                  </w:pPr>
                  <w:r>
                    <w:rPr/>
                    <w:t>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081"/>
        <w:gridCol w:w="1105"/>
        <w:gridCol w:w="2107"/>
        <w:gridCol w:w="3277"/>
      </w:tblGrid>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31,705,183.05</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47,019,958.72</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 w:right="0"/>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3" w:right="0"/>
              <w:jc w:val="left"/>
              <w:rPr>
                <w:rFonts w:ascii="宋体" w:hAnsi="宋体" w:cs="宋体" w:eastAsia="宋体" w:hint="default"/>
                <w:sz w:val="18"/>
                <w:szCs w:val="18"/>
              </w:rPr>
            </w:pPr>
            <w:r>
              <w:rPr>
                <w:rFonts w:ascii="宋体" w:hAnsi="宋体" w:cs="宋体" w:eastAsia="宋体" w:hint="default"/>
                <w:sz w:val="18"/>
                <w:szCs w:val="18"/>
              </w:rPr>
              <w:t>提取保险合同准备金</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3,884,966.28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3,421,822.11</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66,353,355.81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56,975,534.62</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4"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82,034,542.38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66,041,097.15</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-9,111,460.07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-7,400,553.26</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23,499,695.97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12,861,939.54</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108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w:t>
            </w:r>
            <w:r>
              <w:rPr>
                <w:rFonts w:ascii="宋体" w:hAnsi="宋体" w:cs="宋体" w:eastAsia="宋体" w:hint="default"/>
                <w:sz w:val="18"/>
                <w:szCs w:val="18"/>
              </w:rPr>
              <w:t> 企业的投资收益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75"/>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281"/>
              <w:jc w:val="right"/>
              <w:rPr>
                <w:rFonts w:ascii="宋体" w:hAnsi="宋体" w:cs="宋体" w:eastAsia="宋体" w:hint="default"/>
                <w:sz w:val="18"/>
                <w:szCs w:val="18"/>
              </w:rPr>
            </w:pPr>
            <w:r>
              <w:rPr>
                <w:rFonts w:ascii="宋体" w:hAnsi="宋体" w:cs="宋体" w:eastAsia="宋体" w:hint="default"/>
                <w:spacing w:val="-8"/>
                <w:sz w:val="18"/>
                <w:szCs w:val="18"/>
              </w:rPr>
              <w:t>三、营业利润（亏损以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tc>
        <w:tc>
          <w:tcPr>
            <w:tcW w:w="1105" w:type="dxa"/>
            <w:tcBorders>
              <w:top w:val="single" w:sz="4" w:space="0" w:color="000000"/>
              <w:left w:val="single" w:sz="13" w:space="0" w:color="FFFFFF"/>
              <w:bottom w:val="single" w:sz="4" w:space="0" w:color="000000"/>
              <w:right w:val="nil" w:sz="6" w:space="0" w:color="auto"/>
            </w:tcBorders>
          </w:tcPr>
          <w:p>
            <w:pPr/>
          </w:p>
        </w:tc>
        <w:tc>
          <w:tcPr>
            <w:tcW w:w="2107"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64,367,355.88</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49,284,755.68</w:t>
            </w: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9,794,709.54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18,583,904.87</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pacing w:val="-4"/>
                <w:sz w:val="18"/>
                <w:szCs w:val="18"/>
              </w:rPr>
              <w:t>其中：非流动资产处置利</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0.86</w:t>
            </w:r>
          </w:p>
        </w:tc>
      </w:tr>
      <w:tr>
        <w:trPr>
          <w:trHeight w:val="715"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pacing w:val="-4"/>
                <w:sz w:val="18"/>
                <w:szCs w:val="18"/>
              </w:rPr>
              <w:t>其中：非流动资产处置损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8,940.31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74,153,125.11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67,868,659.69</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6,159,239.57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77,419.91</w:t>
            </w:r>
          </w:p>
        </w:tc>
      </w:tr>
      <w:tr>
        <w:trPr>
          <w:trHeight w:val="401" w:hRule="exact"/>
        </w:trPr>
        <w:tc>
          <w:tcPr>
            <w:tcW w:w="308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right="281"/>
              <w:jc w:val="right"/>
              <w:rPr>
                <w:rFonts w:ascii="宋体" w:hAnsi="宋体" w:cs="宋体" w:eastAsia="宋体" w:hint="default"/>
                <w:sz w:val="18"/>
                <w:szCs w:val="18"/>
              </w:rPr>
            </w:pPr>
            <w:r>
              <w:rPr>
                <w:rFonts w:ascii="宋体" w:hAnsi="宋体" w:cs="宋体" w:eastAsia="宋体" w:hint="default"/>
                <w:spacing w:val="-8"/>
                <w:sz w:val="18"/>
                <w:szCs w:val="18"/>
              </w:rPr>
              <w:t>五、净利润（净亏损以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tc>
        <w:tc>
          <w:tcPr>
            <w:tcW w:w="1105" w:type="dxa"/>
            <w:tcBorders>
              <w:top w:val="single" w:sz="4" w:space="0" w:color="000000"/>
              <w:left w:val="single" w:sz="13" w:space="0" w:color="FFFFFF"/>
              <w:bottom w:val="single" w:sz="4" w:space="0" w:color="000000"/>
              <w:right w:val="nil" w:sz="6" w:space="0" w:color="auto"/>
            </w:tcBorders>
          </w:tcPr>
          <w:p>
            <w:pPr/>
          </w:p>
        </w:tc>
        <w:tc>
          <w:tcPr>
            <w:tcW w:w="2107"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67,993,885.54</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71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67,993,885.54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083"/>
        <w:gridCol w:w="3212"/>
        <w:gridCol w:w="3277"/>
      </w:tblGrid>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-905,934.78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6" w:firstLine="540"/>
              <w:jc w:val="left"/>
              <w:rPr>
                <w:rFonts w:ascii="宋体" w:hAnsi="宋体" w:cs="宋体" w:eastAsia="宋体" w:hint="default"/>
                <w:sz w:val="18"/>
                <w:szCs w:val="18"/>
              </w:rPr>
            </w:pPr>
            <w:r>
              <w:rPr>
                <w:rFonts w:ascii="宋体" w:hAnsi="宋体" w:cs="宋体" w:eastAsia="宋体" w:hint="default"/>
                <w:sz w:val="18"/>
                <w:szCs w:val="18"/>
              </w:rPr>
              <w:t>归属母公司所有者的其他综合 收益的税后净额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-905,934.78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70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w:t>
            </w:r>
            <w:r>
              <w:rPr>
                <w:rFonts w:ascii="宋体" w:hAnsi="宋体" w:cs="宋体" w:eastAsia="宋体" w:hint="default"/>
                <w:sz w:val="18"/>
                <w:szCs w:val="18"/>
              </w:rPr>
              <w:t> 的其他综合收益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2"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32"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位不能重分类进损益的其他综合收益 中享有的份额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70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w:t>
            </w:r>
            <w:r>
              <w:rPr>
                <w:rFonts w:ascii="宋体" w:hAnsi="宋体" w:cs="宋体" w:eastAsia="宋体" w:hint="default"/>
                <w:sz w:val="18"/>
                <w:szCs w:val="18"/>
              </w:rPr>
              <w:t> 其他综合收益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-905,934.78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32"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位以后将重分类进损益的其他综合收 益中享有的份额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2"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-905,934.78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540"/>
              <w:jc w:val="left"/>
              <w:rPr>
                <w:rFonts w:ascii="宋体" w:hAnsi="宋体" w:cs="宋体" w:eastAsia="宋体" w:hint="default"/>
                <w:sz w:val="18"/>
                <w:szCs w:val="18"/>
              </w:rPr>
            </w:pPr>
            <w:r>
              <w:rPr>
                <w:rFonts w:ascii="宋体" w:hAnsi="宋体" w:cs="宋体" w:eastAsia="宋体" w:hint="default"/>
                <w:sz w:val="18"/>
                <w:szCs w:val="18"/>
              </w:rPr>
              <w:t>归属于少数股东的其他综合收 益的税后净额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67,087,950.76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67,087,950.76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0.51</w:t>
            </w:r>
          </w:p>
        </w:tc>
      </w:tr>
    </w:tbl>
    <w:p>
      <w:pPr>
        <w:pStyle w:val="BodyText"/>
        <w:spacing w:line="240" w:lineRule="auto" w:before="49"/>
        <w:ind w:right="0"/>
        <w:jc w:val="left"/>
      </w:pPr>
      <w:r>
        <w:rPr/>
        <w:t>本期发生同一控制下企业合并的，被合并方在合并前实现的净利润为：元，上期被合并方实现的净利润为：元。</w:t>
      </w:r>
    </w:p>
    <w:p>
      <w:pPr>
        <w:spacing w:line="240" w:lineRule="auto" w:before="5"/>
        <w:rPr>
          <w:rFonts w:ascii="宋体" w:hAnsi="宋体" w:cs="宋体" w:eastAsia="宋体" w:hint="default"/>
          <w:sz w:val="25"/>
          <w:szCs w:val="25"/>
        </w:rPr>
      </w:pPr>
    </w:p>
    <w:p>
      <w:pPr>
        <w:pStyle w:val="BodyText"/>
        <w:tabs>
          <w:tab w:pos="3998" w:val="left" w:leader="none"/>
          <w:tab w:pos="8201" w:val="left" w:leader="none"/>
        </w:tabs>
        <w:spacing w:line="240" w:lineRule="auto" w:before="44"/>
        <w:ind w:right="0"/>
        <w:jc w:val="left"/>
      </w:pPr>
      <w:r>
        <w:rPr>
          <w:spacing w:val="-4"/>
        </w:rPr>
        <w:t>法定代表人：林皓</w:t>
        <w:tab/>
      </w:r>
      <w:r>
        <w:rPr>
          <w:spacing w:val="-3"/>
        </w:rPr>
        <w:t>主管会计工作负责人：王灿</w:t>
        <w:tab/>
        <w:t>会计机构负责人：李</w:t>
      </w:r>
    </w:p>
    <w:p>
      <w:pPr>
        <w:pStyle w:val="BodyText"/>
        <w:spacing w:line="240" w:lineRule="auto" w:before="74"/>
        <w:ind w:left="152" w:right="0"/>
        <w:jc w:val="left"/>
      </w:pPr>
      <w:r>
        <w:rPr/>
        <w:t>丹</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231,661,836.06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198,715,579.84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15,673,102.40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29,469,897.95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3,654,505.64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3,127,266.05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58,846,688.36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52,484,825.82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71,719,016.54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59,062,846.44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-8,173,628.87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-7,278,468.56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21,432,575.35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11,882,538.71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加：公允价值变动收益（损 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其中：对联营企业和合 营企业的投资收益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68,509,576.64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49,966,673.43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9,541,752.16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18,497,728.02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其中：非流动资产处置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利得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8,940.31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其中：非流动资产处置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8,940.31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1" w:firstLine="3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78,042,388.49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68,464,400.59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6,461,287.70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846,248.14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71,581,100.79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67,618,152.45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（一）以后不能重分类进损 益的其他综合收益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 计划净负债或净资产的变动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 单位不能重分类进损益的其他综合收</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益中享有的份额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（二）以后将重分类进损益 的其他综合收益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12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 单位以后将重分类进损益的其他综合 收益中享有的份额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 公允价值变动损益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12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 分类为可供出售金融资产损益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的有效部分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71,581,100.79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67,618,152.45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8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7" w:right="0"/>
              <w:jc w:val="left"/>
              <w:rPr>
                <w:rFonts w:ascii="Times New Roman" w:hAnsi="Times New Roman" w:cs="Times New Roman" w:eastAsia="Times New Roman" w:hint="default"/>
                <w:sz w:val="18"/>
                <w:szCs w:val="18"/>
              </w:rPr>
            </w:pPr>
            <w:r>
              <w:rPr>
                <w:rFonts w:ascii="Times New Roman"/>
                <w:sz w:val="18"/>
              </w:rPr>
              <w:t>160,364,787.65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0" w:right="0"/>
              <w:jc w:val="left"/>
              <w:rPr>
                <w:rFonts w:ascii="Times New Roman" w:hAnsi="Times New Roman" w:cs="Times New Roman" w:eastAsia="Times New Roman" w:hint="default"/>
                <w:sz w:val="18"/>
                <w:szCs w:val="18"/>
              </w:rPr>
            </w:pPr>
            <w:r>
              <w:rPr>
                <w:rFonts w:ascii="Times New Roman"/>
                <w:sz w:val="18"/>
              </w:rPr>
              <w:t>165,854,117.05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处置以公允价值计量且其变 动计入当期损益的金融资产净增加额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6,763,489.44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15,053,251.49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11,837,083.66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18,481,424.61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178,965,360.75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199,388,793.15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5,125,785.59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39,832,972.07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88,988,976.30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72,661,009.64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33,116,574.74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33,733,988.63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71,061,053.31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63,461,580.65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198,292,389.94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209,689,550.99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-19,327,029.19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-10,300,757.84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 其他长期资产收回的现金净额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处置子公司及其他营业单位 收到的现金净额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43,395,754.35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19,341,474.35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取得子公司及其他营业单位 支付的现金净额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48,395,754.35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24,341,474.35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-48,388,704.35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-24,341,474.35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其中：子公司吸收少数股东 投资收到的现金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分配股利、利润或偿付利息 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其中：子公司支付给少数股 东的股利、利润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51" w:firstLine="360"/>
              <w:jc w:val="left"/>
              <w:rPr>
                <w:rFonts w:ascii="宋体" w:hAnsi="宋体" w:cs="宋体" w:eastAsia="宋体" w:hint="default"/>
                <w:sz w:val="18"/>
                <w:szCs w:val="18"/>
              </w:rPr>
            </w:pPr>
            <w:r>
              <w:rPr>
                <w:rFonts w:ascii="宋体" w:hAnsi="宋体" w:cs="宋体" w:eastAsia="宋体" w:hint="default"/>
                <w:sz w:val="18"/>
                <w:szCs w:val="18"/>
              </w:rPr>
              <w:t>四、汇率变动对现金及现金等价 物的影响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-905,934.81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-81,961,668.35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-46,982,232.19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385,853,684.84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432,835,917.03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303,892,016.49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385,853,684.84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124,655,339.44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123,748,906.98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6,553,204.16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14,973,283.54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9,355,016.08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17,235,339.17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140,563,559.68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155,957,529.69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8,151,468.28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24,684,901.68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72,962,227.16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60,779,063.89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27,841,383.19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32,247,899.99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56,684,401.80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52,350,217.87</w:t>
            </w:r>
            <w:r>
              <w:rPr>
                <w:rFonts w:ascii="Times New Roman"/>
                <w:sz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165,639,480.43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170,062,083.43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-25,075,920.75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-14,104,553.74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 其他长期资产收回的现金净额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处置子公司及其他营业单位 收到的现金净额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30,384,216.91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13,856,085.33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取得子公司及其他营业单位 支付的现金净额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60,384,216.91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73,856,085.33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-60,377,166.91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-73,856,085.33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分配股利、利润或偿付利息 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四、汇率变动对现金及现金等价 物的影响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-98,793,087.66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-100,300,639.07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323,851,156.57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424,151,795.64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225,058,068.91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323,851,156.57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7" w:right="55" w:firstLine="360"/>
              <w:jc w:val="both"/>
              <w:rPr>
                <w:rFonts w:ascii="宋体" w:hAnsi="宋体" w:cs="宋体" w:eastAsia="宋体" w:hint="default"/>
                <w:sz w:val="18"/>
                <w:szCs w:val="18"/>
              </w:rPr>
            </w:pPr>
            <w:r>
              <w:rPr>
                <w:rFonts w:ascii="宋体" w:hAnsi="宋体" w:cs="宋体" w:eastAsia="宋体" w:hint="default"/>
                <w:sz w:val="18"/>
                <w:szCs w:val="18"/>
              </w:rPr>
              <w:t>少 数股东 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firstLine="360"/>
              <w:jc w:val="both"/>
              <w:rPr>
                <w:rFonts w:ascii="宋体" w:hAnsi="宋体" w:cs="宋体" w:eastAsia="宋体" w:hint="default"/>
                <w:sz w:val="18"/>
                <w:szCs w:val="18"/>
              </w:rPr>
            </w:pPr>
            <w:r>
              <w:rPr>
                <w:rFonts w:ascii="宋体" w:hAnsi="宋体" w:cs="宋体" w:eastAsia="宋体" w:hint="default"/>
                <w:sz w:val="18"/>
                <w:szCs w:val="18"/>
              </w:rPr>
              <w:t>所 有者权 益合计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57" w:right="55" w:firstLine="360"/>
              <w:jc w:val="left"/>
              <w:rPr>
                <w:rFonts w:ascii="宋体" w:hAnsi="宋体" w:cs="宋体" w:eastAsia="宋体" w:hint="default"/>
                <w:sz w:val="18"/>
                <w:szCs w:val="18"/>
              </w:rPr>
            </w:pPr>
            <w:r>
              <w:rPr>
                <w:rFonts w:ascii="宋体" w:hAnsi="宋体" w:cs="宋体" w:eastAsia="宋体" w:hint="default"/>
                <w:sz w:val="18"/>
                <w:szCs w:val="18"/>
              </w:rPr>
              <w:t>资 本公积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2"/>
              <w:ind w:left="417"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9" w:lineRule="auto" w:before="76"/>
              <w:ind w:left="237" w:right="55" w:hanging="180"/>
              <w:jc w:val="left"/>
              <w:rPr>
                <w:rFonts w:ascii="宋体" w:hAnsi="宋体" w:cs="宋体" w:eastAsia="宋体" w:hint="default"/>
                <w:sz w:val="18"/>
                <w:szCs w:val="18"/>
              </w:rPr>
            </w:pPr>
            <w:r>
              <w:rPr>
                <w:rFonts w:ascii="宋体" w:hAnsi="宋体" w:cs="宋体" w:eastAsia="宋体" w:hint="default"/>
                <w:sz w:val="18"/>
                <w:szCs w:val="18"/>
              </w:rPr>
              <w:t>：库存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57" w:right="55" w:firstLine="360"/>
              <w:jc w:val="both"/>
              <w:rPr>
                <w:rFonts w:ascii="宋体" w:hAnsi="宋体" w:cs="宋体" w:eastAsia="宋体" w:hint="default"/>
                <w:sz w:val="18"/>
                <w:szCs w:val="18"/>
              </w:rPr>
            </w:pPr>
            <w:r>
              <w:rPr>
                <w:rFonts w:ascii="宋体" w:hAnsi="宋体" w:cs="宋体" w:eastAsia="宋体" w:hint="default"/>
                <w:sz w:val="18"/>
                <w:szCs w:val="18"/>
              </w:rPr>
              <w:t>其 他综合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57" w:right="55" w:firstLine="360"/>
              <w:jc w:val="left"/>
              <w:rPr>
                <w:rFonts w:ascii="宋体" w:hAnsi="宋体" w:cs="宋体" w:eastAsia="宋体" w:hint="default"/>
                <w:sz w:val="18"/>
                <w:szCs w:val="18"/>
              </w:rPr>
            </w:pPr>
            <w:r>
              <w:rPr>
                <w:rFonts w:ascii="宋体" w:hAnsi="宋体" w:cs="宋体" w:eastAsia="宋体" w:hint="default"/>
                <w:sz w:val="18"/>
                <w:szCs w:val="18"/>
              </w:rPr>
              <w:t>专 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57" w:right="55" w:firstLine="360"/>
              <w:jc w:val="left"/>
              <w:rPr>
                <w:rFonts w:ascii="宋体" w:hAnsi="宋体" w:cs="宋体" w:eastAsia="宋体" w:hint="default"/>
                <w:sz w:val="18"/>
                <w:szCs w:val="18"/>
              </w:rPr>
            </w:pPr>
            <w:r>
              <w:rPr>
                <w:rFonts w:ascii="宋体" w:hAnsi="宋体" w:cs="宋体" w:eastAsia="宋体" w:hint="default"/>
                <w:sz w:val="18"/>
                <w:szCs w:val="18"/>
              </w:rPr>
              <w:t>盈 余公积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2"/>
              <w:ind w:left="57" w:right="55" w:firstLine="360"/>
              <w:jc w:val="both"/>
              <w:rPr>
                <w:rFonts w:ascii="宋体" w:hAnsi="宋体" w:cs="宋体" w:eastAsia="宋体" w:hint="default"/>
                <w:sz w:val="18"/>
                <w:szCs w:val="18"/>
              </w:rPr>
            </w:pPr>
            <w:r>
              <w:rPr>
                <w:rFonts w:ascii="宋体" w:hAnsi="宋体" w:cs="宋体" w:eastAsia="宋体" w:hint="default"/>
                <w:sz w:val="18"/>
                <w:szCs w:val="18"/>
              </w:rPr>
              <w:t>一 般风险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7" w:right="55" w:firstLine="360"/>
              <w:jc w:val="left"/>
              <w:rPr>
                <w:rFonts w:ascii="宋体" w:hAnsi="宋体" w:cs="宋体" w:eastAsia="宋体" w:hint="default"/>
                <w:sz w:val="18"/>
                <w:szCs w:val="18"/>
              </w:rPr>
            </w:pPr>
            <w:r>
              <w:rPr>
                <w:rFonts w:ascii="宋体" w:hAnsi="宋体" w:cs="宋体" w:eastAsia="宋体" w:hint="default"/>
                <w:sz w:val="18"/>
                <w:szCs w:val="18"/>
              </w:rPr>
              <w:t>未 分配利</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7"/>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5"/>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pacing w:val="-10"/>
                <w:sz w:val="18"/>
                <w:szCs w:val="18"/>
              </w:rPr>
              <w:t>一、上年期末</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921,035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7,324,5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7,646,7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88.98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pacing w:val="-15"/>
                <w:sz w:val="18"/>
                <w:szCs w:val="18"/>
              </w:rPr>
              <w:t>加：会计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3" w:firstLine="1080"/>
              <w:jc w:val="left"/>
              <w:rPr>
                <w:rFonts w:ascii="宋体" w:hAnsi="宋体" w:cs="宋体" w:eastAsia="宋体" w:hint="default"/>
                <w:sz w:val="18"/>
                <w:szCs w:val="18"/>
              </w:rPr>
            </w:pPr>
            <w:r>
              <w:rPr>
                <w:rFonts w:ascii="宋体" w:hAnsi="宋体" w:cs="宋体" w:eastAsia="宋体" w:hint="default"/>
                <w:sz w:val="18"/>
                <w:szCs w:val="18"/>
              </w:rPr>
              <w:t>同 一控制下企业合</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pacing w:val="-10"/>
                <w:sz w:val="18"/>
                <w:szCs w:val="18"/>
              </w:rPr>
              <w:t>二、本年期初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921,035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7,324,5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7,646,7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88.98</w:t>
            </w:r>
          </w:p>
        </w:tc>
      </w:tr>
      <w:tr>
        <w:trPr>
          <w:trHeight w:val="133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firstLine="360"/>
              <w:jc w:val="both"/>
              <w:rPr>
                <w:rFonts w:ascii="宋体" w:hAnsi="宋体" w:cs="宋体" w:eastAsia="宋体" w:hint="default"/>
                <w:sz w:val="18"/>
                <w:szCs w:val="18"/>
              </w:rPr>
            </w:pPr>
            <w:r>
              <w:rPr>
                <w:rFonts w:ascii="宋体" w:hAnsi="宋体" w:cs="宋体" w:eastAsia="宋体" w:hint="default"/>
                <w:spacing w:val="-10"/>
                <w:sz w:val="18"/>
                <w:szCs w:val="18"/>
              </w:rPr>
              <w:t>三、本期增减</w:t>
            </w:r>
            <w:r>
              <w:rPr>
                <w:rFonts w:ascii="宋体" w:hAnsi="宋体" w:cs="宋体" w:eastAsia="宋体" w:hint="default"/>
                <w:sz w:val="18"/>
                <w:szCs w:val="18"/>
              </w:rPr>
              <w:t> </w:t>
            </w:r>
            <w:r>
              <w:rPr>
                <w:rFonts w:ascii="宋体" w:hAnsi="宋体" w:cs="宋体" w:eastAsia="宋体" w:hint="default"/>
                <w:spacing w:val="-8"/>
                <w:sz w:val="18"/>
                <w:szCs w:val="18"/>
              </w:rPr>
              <w:t>变动金额（减少以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58,110.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495,775</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747,950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（一）综合收</w:t>
            </w:r>
            <w:r>
              <w:rPr>
                <w:rFonts w:ascii="宋体" w:hAnsi="宋体" w:cs="宋体" w:eastAsia="宋体" w:hint="default"/>
                <w:sz w:val="18"/>
                <w:szCs w:val="18"/>
              </w:rPr>
              <w:t> 益总额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8"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993,885</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087,950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（二）所有者</w:t>
            </w:r>
            <w:r>
              <w:rPr>
                <w:rFonts w:ascii="宋体" w:hAnsi="宋体" w:cs="宋体" w:eastAsia="宋体" w:hint="default"/>
                <w:sz w:val="18"/>
                <w:szCs w:val="18"/>
              </w:rPr>
              <w:t> 投入和减少资本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（三）利润分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58,110.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,498,11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58,110.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158,110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（或股东）的分配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（四）所有者</w:t>
            </w:r>
            <w:r>
              <w:rPr>
                <w:rFonts w:ascii="宋体" w:hAnsi="宋体" w:cs="宋体" w:eastAsia="宋体" w:hint="default"/>
                <w:sz w:val="18"/>
                <w:szCs w:val="18"/>
              </w:rPr>
              <w:t> 权益内部结转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67" w:right="0"/>
              <w:jc w:val="center"/>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（五）专项储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pacing w:val="-10"/>
                <w:sz w:val="18"/>
                <w:szCs w:val="18"/>
              </w:rPr>
              <w:t>四、本期期末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66,800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0,601,2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5,934.7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079,145</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4,820,3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1,394,7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39.74</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0" w:right="50" w:firstLine="360"/>
              <w:jc w:val="both"/>
              <w:rPr>
                <w:rFonts w:ascii="宋体" w:hAnsi="宋体" w:cs="宋体" w:eastAsia="宋体" w:hint="default"/>
                <w:sz w:val="18"/>
                <w:szCs w:val="18"/>
              </w:rPr>
            </w:pPr>
            <w:r>
              <w:rPr>
                <w:rFonts w:ascii="宋体" w:hAnsi="宋体" w:cs="宋体" w:eastAsia="宋体" w:hint="default"/>
                <w:sz w:val="18"/>
                <w:szCs w:val="18"/>
              </w:rPr>
              <w:t>少 数股东 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firstLine="360"/>
              <w:jc w:val="both"/>
              <w:rPr>
                <w:rFonts w:ascii="宋体" w:hAnsi="宋体" w:cs="宋体" w:eastAsia="宋体" w:hint="default"/>
                <w:sz w:val="18"/>
                <w:szCs w:val="18"/>
              </w:rPr>
            </w:pPr>
            <w:r>
              <w:rPr>
                <w:rFonts w:ascii="宋体" w:hAnsi="宋体" w:cs="宋体" w:eastAsia="宋体" w:hint="default"/>
                <w:sz w:val="18"/>
                <w:szCs w:val="18"/>
              </w:rPr>
              <w:t>所 有者权 益合计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3" w:firstLine="360"/>
              <w:jc w:val="left"/>
              <w:rPr>
                <w:rFonts w:ascii="宋体" w:hAnsi="宋体" w:cs="宋体" w:eastAsia="宋体" w:hint="default"/>
                <w:sz w:val="18"/>
                <w:szCs w:val="18"/>
              </w:rPr>
            </w:pPr>
            <w:r>
              <w:rPr>
                <w:rFonts w:ascii="宋体" w:hAnsi="宋体" w:cs="宋体" w:eastAsia="宋体" w:hint="default"/>
                <w:sz w:val="18"/>
                <w:szCs w:val="18"/>
              </w:rPr>
              <w:t>资 本公积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3"/>
              <w:ind w:left="417"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16" w:lineRule="auto" w:before="76"/>
              <w:ind w:left="237" w:right="55" w:hanging="180"/>
              <w:jc w:val="left"/>
              <w:rPr>
                <w:rFonts w:ascii="宋体" w:hAnsi="宋体" w:cs="宋体" w:eastAsia="宋体" w:hint="default"/>
                <w:sz w:val="18"/>
                <w:szCs w:val="18"/>
              </w:rPr>
            </w:pPr>
            <w:r>
              <w:rPr>
                <w:rFonts w:ascii="宋体" w:hAnsi="宋体" w:cs="宋体" w:eastAsia="宋体" w:hint="default"/>
                <w:sz w:val="18"/>
                <w:szCs w:val="18"/>
              </w:rPr>
              <w:t>：库存 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59" w:right="55" w:firstLine="360"/>
              <w:jc w:val="both"/>
              <w:rPr>
                <w:rFonts w:ascii="宋体" w:hAnsi="宋体" w:cs="宋体" w:eastAsia="宋体" w:hint="default"/>
                <w:sz w:val="18"/>
                <w:szCs w:val="18"/>
              </w:rPr>
            </w:pPr>
            <w:r>
              <w:rPr>
                <w:rFonts w:ascii="宋体" w:hAnsi="宋体" w:cs="宋体" w:eastAsia="宋体" w:hint="default"/>
                <w:sz w:val="18"/>
                <w:szCs w:val="18"/>
              </w:rPr>
              <w:t>其 他综合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5" w:firstLine="360"/>
              <w:jc w:val="left"/>
              <w:rPr>
                <w:rFonts w:ascii="宋体" w:hAnsi="宋体" w:cs="宋体" w:eastAsia="宋体" w:hint="default"/>
                <w:sz w:val="18"/>
                <w:szCs w:val="18"/>
              </w:rPr>
            </w:pPr>
            <w:r>
              <w:rPr>
                <w:rFonts w:ascii="宋体" w:hAnsi="宋体" w:cs="宋体" w:eastAsia="宋体" w:hint="default"/>
                <w:sz w:val="18"/>
                <w:szCs w:val="18"/>
              </w:rPr>
              <w:t>专 项储备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3" w:firstLine="360"/>
              <w:jc w:val="left"/>
              <w:rPr>
                <w:rFonts w:ascii="宋体" w:hAnsi="宋体" w:cs="宋体" w:eastAsia="宋体" w:hint="default"/>
                <w:sz w:val="18"/>
                <w:szCs w:val="18"/>
              </w:rPr>
            </w:pPr>
            <w:r>
              <w:rPr>
                <w:rFonts w:ascii="宋体" w:hAnsi="宋体" w:cs="宋体" w:eastAsia="宋体" w:hint="default"/>
                <w:sz w:val="18"/>
                <w:szCs w:val="18"/>
              </w:rPr>
              <w:t>盈 余公积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57" w:right="55" w:firstLine="360"/>
              <w:jc w:val="both"/>
              <w:rPr>
                <w:rFonts w:ascii="宋体" w:hAnsi="宋体" w:cs="宋体" w:eastAsia="宋体" w:hint="default"/>
                <w:sz w:val="18"/>
                <w:szCs w:val="18"/>
              </w:rPr>
            </w:pPr>
            <w:r>
              <w:rPr>
                <w:rFonts w:ascii="宋体" w:hAnsi="宋体" w:cs="宋体" w:eastAsia="宋体" w:hint="default"/>
                <w:sz w:val="18"/>
                <w:szCs w:val="18"/>
              </w:rPr>
              <w:t>一 般风险 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64" w:right="62" w:firstLine="360"/>
              <w:jc w:val="left"/>
              <w:rPr>
                <w:rFonts w:ascii="宋体" w:hAnsi="宋体" w:cs="宋体" w:eastAsia="宋体" w:hint="default"/>
                <w:sz w:val="18"/>
                <w:szCs w:val="18"/>
              </w:rPr>
            </w:pPr>
            <w:r>
              <w:rPr>
                <w:rFonts w:ascii="宋体" w:hAnsi="宋体" w:cs="宋体" w:eastAsia="宋体" w:hint="default"/>
                <w:sz w:val="18"/>
                <w:szCs w:val="18"/>
              </w:rPr>
              <w:t>未 分配利</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44" w:firstLine="302"/>
              <w:jc w:val="left"/>
              <w:rPr>
                <w:rFonts w:ascii="宋体" w:hAnsi="宋体" w:cs="宋体" w:eastAsia="宋体" w:hint="default"/>
                <w:sz w:val="18"/>
                <w:szCs w:val="18"/>
              </w:rPr>
            </w:pPr>
            <w:r>
              <w:rPr>
                <w:rFonts w:ascii="宋体" w:hAnsi="宋体" w:cs="宋体" w:eastAsia="宋体" w:hint="default"/>
                <w:sz w:val="18"/>
                <w:szCs w:val="18"/>
              </w:rPr>
              <w:t>优 先股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44" w:firstLine="303"/>
              <w:jc w:val="left"/>
              <w:rPr>
                <w:rFonts w:ascii="宋体" w:hAnsi="宋体" w:cs="宋体" w:eastAsia="宋体" w:hint="default"/>
                <w:sz w:val="18"/>
                <w:szCs w:val="18"/>
              </w:rPr>
            </w:pPr>
            <w:r>
              <w:rPr>
                <w:rFonts w:ascii="宋体" w:hAnsi="宋体" w:cs="宋体" w:eastAsia="宋体" w:hint="default"/>
                <w:sz w:val="18"/>
                <w:szCs w:val="18"/>
              </w:rPr>
              <w:t>永 续债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pacing w:val="-10"/>
                <w:sz w:val="18"/>
                <w:szCs w:val="18"/>
              </w:rPr>
              <w:t>一、上年期末</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9,701,2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159,219</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pacing w:val="-1"/>
                <w:sz w:val="18"/>
              </w:rPr>
              <w:t>9,635,1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2,195,5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49.20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pacing w:val="-15"/>
                <w:sz w:val="18"/>
                <w:szCs w:val="18"/>
              </w:rPr>
              <w:t>加：会计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3" w:firstLine="1080"/>
              <w:jc w:val="both"/>
              <w:rPr>
                <w:rFonts w:ascii="宋体" w:hAnsi="宋体" w:cs="宋体" w:eastAsia="宋体" w:hint="default"/>
                <w:sz w:val="18"/>
                <w:szCs w:val="18"/>
              </w:rPr>
            </w:pPr>
            <w:r>
              <w:rPr>
                <w:rFonts w:ascii="宋体" w:hAnsi="宋体" w:cs="宋体" w:eastAsia="宋体" w:hint="default"/>
                <w:sz w:val="18"/>
                <w:szCs w:val="18"/>
              </w:rPr>
              <w:t>同 一控制下企业合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43"/>
              <w:jc w:val="right"/>
              <w:rPr>
                <w:rFonts w:ascii="宋体" w:hAnsi="宋体" w:cs="宋体" w:eastAsia="宋体" w:hint="default"/>
                <w:sz w:val="18"/>
                <w:szCs w:val="18"/>
              </w:rPr>
            </w:pPr>
            <w:r>
              <w:rPr>
                <w:rFonts w:ascii="宋体" w:hAnsi="宋体" w:cs="宋体" w:eastAsia="宋体" w:hint="default"/>
                <w:sz w:val="18"/>
                <w:szCs w:val="18"/>
              </w:rPr>
              <w:t>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1"/>
                <w:sz w:val="18"/>
                <w:szCs w:val="18"/>
              </w:rPr>
              <w:t>二、本年期初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9,701,2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159,219</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1"/>
                <w:sz w:val="18"/>
              </w:rPr>
              <w:t>9,635,1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2,195,5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49.20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firstLine="360"/>
              <w:jc w:val="both"/>
              <w:rPr>
                <w:rFonts w:ascii="宋体" w:hAnsi="宋体" w:cs="宋体" w:eastAsia="宋体" w:hint="default"/>
                <w:sz w:val="18"/>
                <w:szCs w:val="18"/>
              </w:rPr>
            </w:pPr>
            <w:r>
              <w:rPr>
                <w:rFonts w:ascii="宋体" w:hAnsi="宋体" w:cs="宋体" w:eastAsia="宋体" w:hint="default"/>
                <w:spacing w:val="-10"/>
                <w:sz w:val="18"/>
                <w:szCs w:val="18"/>
              </w:rPr>
              <w:t>三、本期增减</w:t>
            </w:r>
            <w:r>
              <w:rPr>
                <w:rFonts w:ascii="宋体" w:hAnsi="宋体" w:cs="宋体" w:eastAsia="宋体" w:hint="default"/>
                <w:sz w:val="18"/>
                <w:szCs w:val="18"/>
              </w:rPr>
              <w:t> </w:t>
            </w:r>
            <w:r>
              <w:rPr>
                <w:rFonts w:ascii="宋体" w:hAnsi="宋体" w:cs="宋体" w:eastAsia="宋体" w:hint="default"/>
                <w:spacing w:val="-8"/>
                <w:sz w:val="18"/>
                <w:szCs w:val="18"/>
              </w:rPr>
              <w:t>变动金额（减少以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689,424</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.53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55,</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451,239</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.78</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（一）综合收</w:t>
            </w:r>
            <w:r>
              <w:rPr>
                <w:rFonts w:ascii="宋体" w:hAnsi="宋体" w:cs="宋体" w:eastAsia="宋体" w:hint="default"/>
                <w:sz w:val="18"/>
                <w:szCs w:val="18"/>
              </w:rPr>
              <w:t> 益总额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791,239</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.78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791,239</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（二）所有者</w:t>
            </w:r>
            <w:r>
              <w:rPr>
                <w:rFonts w:ascii="宋体" w:hAnsi="宋体" w:cs="宋体" w:eastAsia="宋体" w:hint="default"/>
                <w:sz w:val="18"/>
                <w:szCs w:val="18"/>
              </w:rPr>
              <w:t> 投入和减少资本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（三）利润分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,101,81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5.25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61,815.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761,815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8"/>
                <w:sz w:val="18"/>
                <w:szCs w:val="18"/>
              </w:rPr>
              <w:t>（或股东）的分配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（四）所有者</w:t>
            </w:r>
            <w:r>
              <w:rPr>
                <w:rFonts w:ascii="宋体" w:hAnsi="宋体" w:cs="宋体" w:eastAsia="宋体" w:hint="default"/>
                <w:sz w:val="18"/>
                <w:szCs w:val="18"/>
              </w:rPr>
              <w:t> 权益内部结转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（五）专项储</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3" w:right="0"/>
              <w:jc w:val="left"/>
              <w:rPr>
                <w:rFonts w:ascii="宋体" w:hAnsi="宋体" w:cs="宋体" w:eastAsia="宋体" w:hint="default"/>
                <w:sz w:val="18"/>
                <w:szCs w:val="18"/>
              </w:rPr>
            </w:pPr>
            <w:r>
              <w:rPr>
                <w:rFonts w:ascii="宋体" w:hAnsi="宋体" w:cs="宋体" w:eastAsia="宋体" w:hint="default"/>
                <w:spacing w:val="-10"/>
                <w:sz w:val="18"/>
                <w:szCs w:val="18"/>
              </w:rPr>
              <w:t>四、本期期末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33,400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4,001,2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921,035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7,324,5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7,646,7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88.98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54" w:right="65" w:firstLine="180"/>
              <w:jc w:val="left"/>
              <w:rPr>
                <w:rFonts w:ascii="宋体" w:hAnsi="宋体" w:cs="宋体" w:eastAsia="宋体" w:hint="default"/>
                <w:sz w:val="18"/>
                <w:szCs w:val="18"/>
              </w:rPr>
            </w:pPr>
            <w:r>
              <w:rPr>
                <w:rFonts w:ascii="宋体" w:hAnsi="宋体" w:cs="宋体" w:eastAsia="宋体" w:hint="default"/>
                <w:sz w:val="18"/>
                <w:szCs w:val="18"/>
              </w:rPr>
              <w:t>股 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13" w:right="31" w:firstLine="180"/>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24" w:right="31" w:firstLine="269"/>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33" w:right="31" w:firstLine="360"/>
              <w:jc w:val="left"/>
              <w:rPr>
                <w:rFonts w:ascii="宋体" w:hAnsi="宋体" w:cs="宋体" w:eastAsia="宋体" w:hint="default"/>
                <w:sz w:val="18"/>
                <w:szCs w:val="18"/>
              </w:rPr>
            </w:pPr>
            <w:r>
              <w:rPr>
                <w:rFonts w:ascii="宋体" w:hAnsi="宋体" w:cs="宋体" w:eastAsia="宋体" w:hint="default"/>
                <w:sz w:val="18"/>
                <w:szCs w:val="18"/>
              </w:rPr>
              <w:t>其他 综合收益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13" w:right="35" w:firstLine="18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13" w:right="32" w:firstLine="18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2" w:right="62" w:firstLine="360"/>
              <w:jc w:val="left"/>
              <w:rPr>
                <w:rFonts w:ascii="宋体" w:hAnsi="宋体" w:cs="宋体" w:eastAsia="宋体" w:hint="default"/>
                <w:sz w:val="18"/>
                <w:szCs w:val="18"/>
              </w:rPr>
            </w:pPr>
            <w:r>
              <w:rPr>
                <w:rFonts w:ascii="宋体" w:hAnsi="宋体" w:cs="宋体" w:eastAsia="宋体" w:hint="default"/>
                <w:sz w:val="18"/>
                <w:szCs w:val="18"/>
              </w:rPr>
              <w:t>未 分配利</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 w:right="23" w:firstLine="360"/>
              <w:jc w:val="left"/>
              <w:rPr>
                <w:rFonts w:ascii="宋体" w:hAnsi="宋体" w:cs="宋体" w:eastAsia="宋体" w:hint="default"/>
                <w:sz w:val="18"/>
                <w:szCs w:val="18"/>
              </w:rPr>
            </w:pPr>
            <w:r>
              <w:rPr>
                <w:rFonts w:ascii="宋体" w:hAnsi="宋体" w:cs="宋体" w:eastAsia="宋体" w:hint="default"/>
                <w:sz w:val="18"/>
                <w:szCs w:val="18"/>
              </w:rPr>
              <w:t>所有 者权益合</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715"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56" w:firstLine="268"/>
              <w:jc w:val="left"/>
              <w:rPr>
                <w:rFonts w:ascii="宋体" w:hAnsi="宋体" w:cs="宋体" w:eastAsia="宋体" w:hint="default"/>
                <w:sz w:val="18"/>
                <w:szCs w:val="18"/>
              </w:rPr>
            </w:pPr>
            <w:r>
              <w:rPr>
                <w:rFonts w:ascii="宋体" w:hAnsi="宋体" w:cs="宋体" w:eastAsia="宋体" w:hint="default"/>
                <w:sz w:val="18"/>
                <w:szCs w:val="18"/>
              </w:rPr>
              <w:t>优 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5" w:firstLine="268"/>
              <w:jc w:val="left"/>
              <w:rPr>
                <w:rFonts w:ascii="宋体" w:hAnsi="宋体" w:cs="宋体" w:eastAsia="宋体" w:hint="default"/>
                <w:sz w:val="18"/>
                <w:szCs w:val="18"/>
              </w:rPr>
            </w:pPr>
            <w:r>
              <w:rPr>
                <w:rFonts w:ascii="宋体" w:hAnsi="宋体" w:cs="宋体" w:eastAsia="宋体" w:hint="default"/>
                <w:sz w:val="18"/>
                <w:szCs w:val="18"/>
              </w:rPr>
              <w:t>永 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5" w:firstLine="180"/>
              <w:jc w:val="left"/>
              <w:rPr>
                <w:rFonts w:ascii="宋体" w:hAnsi="宋体" w:cs="宋体" w:eastAsia="宋体" w:hint="default"/>
                <w:sz w:val="18"/>
                <w:szCs w:val="18"/>
              </w:rPr>
            </w:pPr>
            <w:r>
              <w:rPr>
                <w:rFonts w:ascii="宋体" w:hAnsi="宋体" w:cs="宋体" w:eastAsia="宋体" w:hint="default"/>
                <w:sz w:val="18"/>
                <w:szCs w:val="18"/>
              </w:rPr>
              <w:t>其 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pacing w:val="-10"/>
                <w:sz w:val="18"/>
                <w:szCs w:val="18"/>
              </w:rPr>
              <w:t>一、上年期末</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21,035.11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7,949,3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271,563.8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pacing w:val="-14"/>
                <w:sz w:val="18"/>
                <w:szCs w:val="18"/>
              </w:rPr>
              <w:t>加：会计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pacing w:val="-10"/>
                <w:sz w:val="18"/>
                <w:szCs w:val="18"/>
              </w:rPr>
              <w:t>二、本年期初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21,035.11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7,949,3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271,563.8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pacing w:val="-10"/>
                <w:sz w:val="18"/>
                <w:szCs w:val="18"/>
              </w:rPr>
              <w:t>三、本期增减</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1" w:right="0"/>
              <w:jc w:val="left"/>
              <w:rPr>
                <w:rFonts w:ascii="Times New Roman" w:hAnsi="Times New Roman" w:cs="Times New Roman" w:eastAsia="Times New Roman" w:hint="default"/>
                <w:sz w:val="18"/>
                <w:szCs w:val="18"/>
              </w:rPr>
            </w:pPr>
            <w:r>
              <w:rPr>
                <w:rFonts w:ascii="Times New Roman"/>
                <w:sz w:val="18"/>
              </w:rPr>
              <w:t>133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1" w:right="0"/>
              <w:jc w:val="left"/>
              <w:rPr>
                <w:rFonts w:ascii="Times New Roman" w:hAnsi="Times New Roman" w:cs="Times New Roman" w:eastAsia="Times New Roman" w:hint="default"/>
                <w:sz w:val="18"/>
                <w:szCs w:val="18"/>
              </w:rPr>
            </w:pPr>
            <w:r>
              <w:rPr>
                <w:rFonts w:ascii="Times New Roman"/>
                <w:sz w:val="18"/>
              </w:rPr>
              <w:t>-133,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4" w:right="0"/>
              <w:jc w:val="left"/>
              <w:rPr>
                <w:rFonts w:ascii="Times New Roman" w:hAnsi="Times New Roman" w:cs="Times New Roman" w:eastAsia="Times New Roman" w:hint="default"/>
                <w:sz w:val="18"/>
                <w:szCs w:val="18"/>
              </w:rPr>
            </w:pPr>
            <w:r>
              <w:rPr>
                <w:rFonts w:ascii="Times New Roman"/>
                <w:sz w:val="18"/>
              </w:rPr>
              <w:t>58,2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pacing w:val="-7"/>
                <w:sz w:val="18"/>
                <w:szCs w:val="18"/>
              </w:rPr>
              <w:t>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8,110.08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 w:right="0"/>
              <w:jc w:val="left"/>
              <w:rPr>
                <w:rFonts w:ascii="Times New Roman" w:hAnsi="Times New Roman" w:cs="Times New Roman" w:eastAsia="Times New Roman" w:hint="default"/>
                <w:sz w:val="18"/>
                <w:szCs w:val="18"/>
              </w:rPr>
            </w:pPr>
            <w:r>
              <w:rPr>
                <w:rFonts w:ascii="Times New Roman"/>
                <w:sz w:val="18"/>
              </w:rPr>
              <w:t>082,990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41,100.79</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（一）综合收</w:t>
            </w:r>
            <w:r>
              <w:rPr>
                <w:rFonts w:ascii="宋体" w:hAnsi="宋体" w:cs="宋体" w:eastAsia="宋体" w:hint="default"/>
                <w:sz w:val="18"/>
                <w:szCs w:val="18"/>
              </w:rPr>
              <w:t> 益总额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581,100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81,100.79</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（二）所有者</w:t>
            </w:r>
            <w:r>
              <w:rPr>
                <w:rFonts w:ascii="宋体" w:hAnsi="宋体" w:cs="宋体" w:eastAsia="宋体" w:hint="default"/>
                <w:sz w:val="18"/>
                <w:szCs w:val="18"/>
              </w:rPr>
              <w:t> 投入和减少资本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（三）利润分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8,110.08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,498,11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8,110.08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158,110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7"/>
                <w:sz w:val="18"/>
                <w:szCs w:val="18"/>
              </w:rPr>
              <w:t>（或股东）的分配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（四）所有者</w:t>
            </w:r>
            <w:r>
              <w:rPr>
                <w:rFonts w:ascii="宋体" w:hAnsi="宋体" w:cs="宋体" w:eastAsia="宋体" w:hint="default"/>
                <w:sz w:val="18"/>
                <w:szCs w:val="18"/>
              </w:rPr>
              <w:t> 权益内部结转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pacing w:val="-10"/>
                <w:sz w:val="18"/>
                <w:szCs w:val="18"/>
              </w:rPr>
              <w:t>（五）专项储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四、本期期末</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79,145.19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512,664.6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54" w:right="65" w:firstLine="180"/>
              <w:jc w:val="left"/>
              <w:rPr>
                <w:rFonts w:ascii="宋体" w:hAnsi="宋体" w:cs="宋体" w:eastAsia="宋体" w:hint="default"/>
                <w:sz w:val="18"/>
                <w:szCs w:val="18"/>
              </w:rPr>
            </w:pPr>
            <w:r>
              <w:rPr>
                <w:rFonts w:ascii="宋体" w:hAnsi="宋体" w:cs="宋体" w:eastAsia="宋体" w:hint="default"/>
                <w:sz w:val="18"/>
                <w:szCs w:val="18"/>
              </w:rPr>
              <w:t>股 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13" w:right="31" w:firstLine="180"/>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24" w:right="31" w:firstLine="269"/>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3" w:right="31" w:firstLine="360"/>
              <w:jc w:val="left"/>
              <w:rPr>
                <w:rFonts w:ascii="宋体" w:hAnsi="宋体" w:cs="宋体" w:eastAsia="宋体" w:hint="default"/>
                <w:sz w:val="18"/>
                <w:szCs w:val="18"/>
              </w:rPr>
            </w:pPr>
            <w:r>
              <w:rPr>
                <w:rFonts w:ascii="宋体" w:hAnsi="宋体" w:cs="宋体" w:eastAsia="宋体" w:hint="default"/>
                <w:sz w:val="18"/>
                <w:szCs w:val="18"/>
              </w:rPr>
              <w:t>其他 综合收益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13" w:right="35" w:firstLine="18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13" w:right="32" w:firstLine="180"/>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62" w:right="62" w:firstLine="360"/>
              <w:jc w:val="left"/>
              <w:rPr>
                <w:rFonts w:ascii="宋体" w:hAnsi="宋体" w:cs="宋体" w:eastAsia="宋体" w:hint="default"/>
                <w:sz w:val="18"/>
                <w:szCs w:val="18"/>
              </w:rPr>
            </w:pPr>
            <w:r>
              <w:rPr>
                <w:rFonts w:ascii="宋体" w:hAnsi="宋体" w:cs="宋体" w:eastAsia="宋体" w:hint="default"/>
                <w:sz w:val="18"/>
                <w:szCs w:val="18"/>
              </w:rPr>
              <w:t>未 分配利</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6" w:right="23" w:firstLine="360"/>
              <w:jc w:val="left"/>
              <w:rPr>
                <w:rFonts w:ascii="宋体" w:hAnsi="宋体" w:cs="宋体" w:eastAsia="宋体" w:hint="default"/>
                <w:sz w:val="18"/>
                <w:szCs w:val="18"/>
              </w:rPr>
            </w:pPr>
            <w:r>
              <w:rPr>
                <w:rFonts w:ascii="宋体" w:hAnsi="宋体" w:cs="宋体" w:eastAsia="宋体" w:hint="default"/>
                <w:sz w:val="18"/>
                <w:szCs w:val="18"/>
              </w:rPr>
              <w:t>所有 者权益合</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71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56" w:firstLine="268"/>
              <w:jc w:val="left"/>
              <w:rPr>
                <w:rFonts w:ascii="宋体" w:hAnsi="宋体" w:cs="宋体" w:eastAsia="宋体" w:hint="default"/>
                <w:sz w:val="18"/>
                <w:szCs w:val="18"/>
              </w:rPr>
            </w:pPr>
            <w:r>
              <w:rPr>
                <w:rFonts w:ascii="宋体" w:hAnsi="宋体" w:cs="宋体" w:eastAsia="宋体" w:hint="default"/>
                <w:sz w:val="18"/>
                <w:szCs w:val="18"/>
              </w:rPr>
              <w:t>优 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55" w:firstLine="268"/>
              <w:jc w:val="left"/>
              <w:rPr>
                <w:rFonts w:ascii="宋体" w:hAnsi="宋体" w:cs="宋体" w:eastAsia="宋体" w:hint="default"/>
                <w:sz w:val="18"/>
                <w:szCs w:val="18"/>
              </w:rPr>
            </w:pPr>
            <w:r>
              <w:rPr>
                <w:rFonts w:ascii="宋体" w:hAnsi="宋体" w:cs="宋体" w:eastAsia="宋体" w:hint="default"/>
                <w:sz w:val="18"/>
                <w:szCs w:val="18"/>
              </w:rPr>
              <w:t>永 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5" w:firstLine="180"/>
              <w:jc w:val="left"/>
              <w:rPr>
                <w:rFonts w:ascii="宋体" w:hAnsi="宋体" w:cs="宋体" w:eastAsia="宋体" w:hint="default"/>
                <w:sz w:val="18"/>
                <w:szCs w:val="18"/>
              </w:rPr>
            </w:pPr>
            <w:r>
              <w:rPr>
                <w:rFonts w:ascii="宋体" w:hAnsi="宋体" w:cs="宋体" w:eastAsia="宋体" w:hint="default"/>
                <w:sz w:val="18"/>
                <w:szCs w:val="18"/>
              </w:rPr>
              <w:t>其 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pacing w:val="-10"/>
                <w:sz w:val="18"/>
                <w:szCs w:val="18"/>
              </w:rPr>
              <w:t>一、上年期末</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59,219.86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0,432,9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w w:val="95"/>
                <w:sz w:val="18"/>
              </w:rPr>
              <w:t>993,411.3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720"/>
              <w:jc w:val="left"/>
              <w:rPr>
                <w:rFonts w:ascii="宋体" w:hAnsi="宋体" w:cs="宋体" w:eastAsia="宋体" w:hint="default"/>
                <w:sz w:val="18"/>
                <w:szCs w:val="18"/>
              </w:rPr>
            </w:pPr>
            <w:r>
              <w:rPr>
                <w:rFonts w:ascii="宋体" w:hAnsi="宋体" w:cs="宋体" w:eastAsia="宋体" w:hint="default"/>
                <w:spacing w:val="-14"/>
                <w:sz w:val="18"/>
                <w:szCs w:val="18"/>
              </w:rPr>
              <w:t>加：会计</w:t>
            </w:r>
            <w:r>
              <w:rPr>
                <w:rFonts w:ascii="宋体" w:hAnsi="宋体" w:cs="宋体" w:eastAsia="宋体" w:hint="default"/>
                <w:sz w:val="18"/>
                <w:szCs w:val="18"/>
              </w:rPr>
              <w:t> 政策变更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4"/>
              <w:jc w:val="righ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4"/>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pacing w:val="-10"/>
                <w:sz w:val="18"/>
                <w:szCs w:val="18"/>
              </w:rPr>
              <w:t>二、本年期初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59,219.86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0,432,9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w w:val="95"/>
                <w:sz w:val="18"/>
              </w:rPr>
              <w:t>993,411.3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firstLine="360"/>
              <w:jc w:val="both"/>
              <w:rPr>
                <w:rFonts w:ascii="宋体" w:hAnsi="宋体" w:cs="宋体" w:eastAsia="宋体" w:hint="default"/>
                <w:sz w:val="18"/>
                <w:szCs w:val="18"/>
              </w:rPr>
            </w:pPr>
            <w:r>
              <w:rPr>
                <w:rFonts w:ascii="宋体" w:hAnsi="宋体" w:cs="宋体" w:eastAsia="宋体" w:hint="default"/>
                <w:spacing w:val="-10"/>
                <w:sz w:val="18"/>
                <w:szCs w:val="18"/>
              </w:rPr>
              <w:t>三、本期增减</w:t>
            </w:r>
            <w:r>
              <w:rPr>
                <w:rFonts w:ascii="宋体" w:hAnsi="宋体" w:cs="宋体" w:eastAsia="宋体" w:hint="default"/>
                <w:sz w:val="18"/>
                <w:szCs w:val="18"/>
              </w:rPr>
              <w:t> </w:t>
            </w:r>
            <w:r>
              <w:rPr>
                <w:rFonts w:ascii="宋体" w:hAnsi="宋体" w:cs="宋体" w:eastAsia="宋体" w:hint="default"/>
                <w:spacing w:val="-7"/>
                <w:sz w:val="18"/>
                <w:szCs w:val="18"/>
              </w:rPr>
              <w:t>变动金额（减少以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-65,7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1,815.25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47,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516,337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55,2</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78,152.45</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（一）综合收</w:t>
            </w:r>
            <w:r>
              <w:rPr>
                <w:rFonts w:ascii="宋体" w:hAnsi="宋体" w:cs="宋体" w:eastAsia="宋体" w:hint="default"/>
                <w:sz w:val="18"/>
                <w:szCs w:val="18"/>
              </w:rPr>
              <w:t> 益总额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618,152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18,152.45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（二）所有者</w:t>
            </w:r>
            <w:r>
              <w:rPr>
                <w:rFonts w:ascii="宋体" w:hAnsi="宋体" w:cs="宋体" w:eastAsia="宋体" w:hint="default"/>
                <w:sz w:val="18"/>
                <w:szCs w:val="18"/>
              </w:rPr>
              <w:t> 投入和减少资本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（三）利润分</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1,815.25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,101,81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1,815.25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761,815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7"/>
                <w:sz w:val="18"/>
                <w:szCs w:val="18"/>
              </w:rPr>
              <w:t>（或股东）的分配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,340,00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（四）所有者</w:t>
            </w:r>
            <w:r>
              <w:rPr>
                <w:rFonts w:ascii="宋体" w:hAnsi="宋体" w:cs="宋体" w:eastAsia="宋体" w:hint="default"/>
                <w:sz w:val="18"/>
                <w:szCs w:val="18"/>
              </w:rPr>
              <w:t> 权益内部结转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转增资本（或股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转增资本（或股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（五）专项储</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0"/>
                <w:sz w:val="18"/>
                <w:szCs w:val="18"/>
              </w:rPr>
              <w:t>四、本期期末</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001,212.8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21,035.11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7,949,3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271,563.8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2" w:right="142" w:firstLine="965"/>
        <w:jc w:val="left"/>
      </w:pPr>
      <w:r>
        <w:rPr/>
        <w:t>北京北信源软件股份有限公司（以下简称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），前身为北京北信源自动化技术有限公司，成立 于</w:t>
      </w:r>
      <w:r>
        <w:rPr>
          <w:rFonts w:ascii="Times New Roman" w:hAnsi="Times New Roman" w:cs="Times New Roman" w:eastAsia="Times New Roman" w:hint="default"/>
        </w:rPr>
        <w:t>1996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28 </w:t>
      </w:r>
      <w:r>
        <w:rPr>
          <w:rFonts w:ascii="Times New Roman" w:hAnsi="Times New Roman" w:cs="Times New Roman" w:eastAsia="Times New Roman" w:hint="default"/>
          <w:spacing w:val="2"/>
        </w:rPr>
        <w:t> </w:t>
      </w:r>
      <w:r>
        <w:rPr/>
        <w:t>日，是经北京市工商行政管理局批准，由林皓、李纪敏共同出资设立的有限责任公司。公司注册资本为人</w:t>
      </w:r>
    </w:p>
    <w:p>
      <w:pPr>
        <w:spacing w:after="0" w:line="30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00" w:lineRule="auto" w:before="44"/>
        <w:ind w:left="152" w:right="196"/>
        <w:jc w:val="left"/>
      </w:pPr>
      <w:r>
        <w:rPr/>
        <w:t>民币</w:t>
      </w:r>
      <w:r>
        <w:rPr>
          <w:rFonts w:ascii="Times New Roman" w:hAnsi="Times New Roman" w:cs="Times New Roman" w:eastAsia="Times New Roman" w:hint="default"/>
        </w:rPr>
        <w:t>50</w:t>
      </w:r>
      <w:r>
        <w:rPr>
          <w:rFonts w:ascii="Times New Roman" w:hAnsi="Times New Roman" w:cs="Times New Roman" w:eastAsia="Times New Roman" w:hint="default"/>
          <w:spacing w:val="-7"/>
        </w:rPr>
        <w:t> </w:t>
      </w:r>
      <w:r>
        <w:rPr/>
        <w:t>万元，其中林皓以货币资金出资</w:t>
      </w:r>
      <w:r>
        <w:rPr>
          <w:rFonts w:ascii="Times New Roman" w:hAnsi="Times New Roman" w:cs="Times New Roman" w:eastAsia="Times New Roman" w:hint="default"/>
        </w:rPr>
        <w:t>5</w:t>
      </w:r>
      <w:r>
        <w:rPr/>
        <w:t>万元，以实物出资</w:t>
      </w:r>
      <w:r>
        <w:rPr>
          <w:rFonts w:ascii="Times New Roman" w:hAnsi="Times New Roman" w:cs="Times New Roman" w:eastAsia="Times New Roman" w:hint="default"/>
        </w:rPr>
        <w:t>26</w:t>
      </w:r>
      <w:r>
        <w:rPr/>
        <w:t>万元，合计出资</w:t>
      </w:r>
      <w:r>
        <w:rPr>
          <w:rFonts w:ascii="Times New Roman" w:hAnsi="Times New Roman" w:cs="Times New Roman" w:eastAsia="Times New Roman" w:hint="default"/>
        </w:rPr>
        <w:t>31</w:t>
      </w:r>
      <w:r>
        <w:rPr/>
        <w:t>万元，占注册资本的</w:t>
      </w:r>
      <w:r>
        <w:rPr>
          <w:rFonts w:ascii="Times New Roman" w:hAnsi="Times New Roman" w:cs="Times New Roman" w:eastAsia="Times New Roman" w:hint="default"/>
        </w:rPr>
        <w:t>62%</w:t>
      </w:r>
      <w:r>
        <w:rPr/>
        <w:t>；李纪敏以实物出 资</w:t>
      </w:r>
      <w:r>
        <w:rPr>
          <w:rFonts w:ascii="Times New Roman" w:hAnsi="Times New Roman" w:cs="Times New Roman" w:eastAsia="Times New Roman" w:hint="default"/>
        </w:rPr>
        <w:t>19</w:t>
      </w:r>
      <w:r>
        <w:rPr/>
        <w:t>万元，占注册资本的</w:t>
      </w:r>
      <w:r>
        <w:rPr>
          <w:rFonts w:ascii="Times New Roman" w:hAnsi="Times New Roman" w:cs="Times New Roman" w:eastAsia="Times New Roman" w:hint="default"/>
        </w:rPr>
        <w:t>38%</w:t>
      </w:r>
      <w:r>
        <w:rPr/>
        <w:t>。上述出资业经北京同仁会计师事务所审验，并出具了开业验资报告予以验证。</w:t>
      </w:r>
    </w:p>
    <w:p>
      <w:pPr>
        <w:pStyle w:val="BodyText"/>
        <w:spacing w:line="300" w:lineRule="auto" w:before="13"/>
        <w:ind w:left="152" w:right="214" w:firstLine="792"/>
        <w:jc w:val="both"/>
      </w:pP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26 </w:t>
      </w:r>
      <w:r>
        <w:rPr>
          <w:spacing w:val="-3"/>
        </w:rPr>
        <w:t>日，李纪敏与林皓、卢振栋签署《出资转让协议》，李纪敏将所持有的</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29"/>
        </w:rPr>
        <w:t> </w:t>
      </w:r>
      <w:r>
        <w:rPr/>
        <w:t>万元出资转让给林皓，将 所持有的</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万元出资转让给卢振栋。转让后卢振栋出资额占公司注册资本的</w:t>
      </w:r>
      <w:r>
        <w:rPr>
          <w:rFonts w:ascii="Times New Roman" w:hAnsi="Times New Roman" w:cs="Times New Roman" w:eastAsia="Times New Roman" w:hint="default"/>
        </w:rPr>
        <w:t>20%</w:t>
      </w:r>
      <w:r>
        <w:rPr/>
        <w:t>；林皓出资额占公司注册资本的比例增加 至</w:t>
      </w:r>
      <w:r>
        <w:rPr>
          <w:rFonts w:ascii="Times New Roman" w:hAnsi="Times New Roman" w:cs="Times New Roman" w:eastAsia="Times New Roman" w:hint="default"/>
        </w:rPr>
        <w:t>80%</w:t>
      </w:r>
      <w:r>
        <w:rPr/>
        <w:t>。上述股权转让事宜已经公司</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日召开的股东会审议通过并已办理相关工商变更登记手续。</w:t>
      </w:r>
    </w:p>
    <w:p>
      <w:pPr>
        <w:pStyle w:val="BodyText"/>
        <w:spacing w:line="300" w:lineRule="auto" w:before="13"/>
        <w:ind w:left="152" w:right="219" w:firstLine="792"/>
        <w:jc w:val="both"/>
      </w:pPr>
      <w:r>
        <w:rPr>
          <w:rFonts w:ascii="Times New Roman" w:hAnsi="Times New Roman" w:cs="Times New Roman" w:eastAsia="Times New Roman" w:hint="default"/>
        </w:rPr>
        <w:t>2000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27 </w:t>
      </w:r>
      <w:r>
        <w:rPr/>
        <w:t>日，卢振栋与林金侠签署《出资转让协议书》，卢振栋将所持有的</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万元出资转让给林金侠。转 让后林金侠出资额占公司注册资本的</w:t>
      </w:r>
      <w:r>
        <w:rPr>
          <w:rFonts w:ascii="Times New Roman" w:hAnsi="Times New Roman" w:cs="Times New Roman" w:eastAsia="Times New Roman" w:hint="default"/>
        </w:rPr>
        <w:t>20%</w:t>
      </w:r>
      <w:r>
        <w:rPr/>
        <w:t>。上述股权转让事宜已经公司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日召开的股东会审议通过并已办理相关 工商变更登记手续。</w:t>
      </w:r>
    </w:p>
    <w:p>
      <w:pPr>
        <w:pStyle w:val="BodyText"/>
        <w:spacing w:line="300" w:lineRule="auto" w:before="31"/>
        <w:ind w:left="152" w:right="115" w:firstLine="792"/>
        <w:jc w:val="left"/>
      </w:pP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日，根据公司股东会决议，林皓将所持有的</w:t>
      </w:r>
      <w:r>
        <w:rPr>
          <w:rFonts w:ascii="Times New Roman" w:hAnsi="Times New Roman" w:cs="Times New Roman" w:eastAsia="Times New Roman" w:hint="default"/>
        </w:rPr>
        <w:t>15</w:t>
      </w:r>
      <w:r>
        <w:rPr/>
        <w:t>万元出资转让给林金侠，同时公司注册资本从人民 </w:t>
      </w:r>
      <w:r>
        <w:rPr>
          <w:spacing w:val="-2"/>
        </w:rPr>
        <w:t>币</w:t>
      </w:r>
      <w:r>
        <w:rPr>
          <w:rFonts w:ascii="Times New Roman" w:hAnsi="Times New Roman" w:cs="Times New Roman" w:eastAsia="Times New Roman" w:hint="default"/>
          <w:spacing w:val="-2"/>
        </w:rPr>
        <w:t>50</w:t>
      </w:r>
      <w:r>
        <w:rPr>
          <w:spacing w:val="-2"/>
        </w:rPr>
        <w:t>万元增加到人民币</w:t>
      </w:r>
      <w:r>
        <w:rPr>
          <w:rFonts w:ascii="Times New Roman" w:hAnsi="Times New Roman" w:cs="Times New Roman" w:eastAsia="Times New Roman" w:hint="default"/>
          <w:spacing w:val="-2"/>
        </w:rPr>
        <w:t>500</w:t>
      </w:r>
      <w:r>
        <w:rPr>
          <w:spacing w:val="-2"/>
        </w:rPr>
        <w:t>万元，新增的</w:t>
      </w:r>
      <w:r>
        <w:rPr>
          <w:rFonts w:ascii="Times New Roman" w:hAnsi="Times New Roman" w:cs="Times New Roman" w:eastAsia="Times New Roman" w:hint="default"/>
          <w:spacing w:val="-2"/>
        </w:rPr>
        <w:t>450</w:t>
      </w:r>
      <w:r>
        <w:rPr>
          <w:spacing w:val="-2"/>
        </w:rPr>
        <w:t>万元由林皓以无形资产出资。变更后林皓出资</w:t>
      </w:r>
      <w:r>
        <w:rPr>
          <w:rFonts w:ascii="Times New Roman" w:hAnsi="Times New Roman" w:cs="Times New Roman" w:eastAsia="Times New Roman" w:hint="default"/>
          <w:spacing w:val="-2"/>
        </w:rPr>
        <w:t>475</w:t>
      </w:r>
      <w:r>
        <w:rPr>
          <w:rFonts w:ascii="Times New Roman" w:hAnsi="Times New Roman" w:cs="Times New Roman" w:eastAsia="Times New Roman" w:hint="default"/>
          <w:spacing w:val="31"/>
        </w:rPr>
        <w:t> </w:t>
      </w:r>
      <w:r>
        <w:rPr>
          <w:spacing w:val="-3"/>
        </w:rPr>
        <w:t>万元，占公司注册资本的</w:t>
      </w:r>
      <w:r>
        <w:rPr>
          <w:rFonts w:ascii="Times New Roman" w:hAnsi="Times New Roman" w:cs="Times New Roman" w:eastAsia="Times New Roman" w:hint="default"/>
          <w:spacing w:val="-3"/>
        </w:rPr>
        <w:t>95%</w:t>
      </w:r>
      <w:r>
        <w:rPr>
          <w:spacing w:val="-3"/>
        </w:rPr>
        <w:t>；</w:t>
      </w:r>
      <w:r>
        <w:rPr/>
        <w:t> 林金侠出资</w:t>
      </w:r>
      <w:r>
        <w:rPr>
          <w:rFonts w:ascii="Times New Roman" w:hAnsi="Times New Roman" w:cs="Times New Roman" w:eastAsia="Times New Roman" w:hint="default"/>
        </w:rPr>
        <w:t>25</w:t>
      </w:r>
      <w:r>
        <w:rPr/>
        <w:t>万元，占公司注册资本的</w:t>
      </w:r>
      <w:r>
        <w:rPr>
          <w:rFonts w:ascii="Times New Roman" w:hAnsi="Times New Roman" w:cs="Times New Roman" w:eastAsia="Times New Roman" w:hint="default"/>
        </w:rPr>
        <w:t>5%</w:t>
      </w:r>
      <w:r>
        <w:rPr/>
        <w:t>。上述增资业经北京公正会计师事务所有限公司京公正内验字（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038</w:t>
      </w:r>
      <w:r>
        <w:rPr>
          <w:rFonts w:ascii="Times New Roman" w:hAnsi="Times New Roman" w:cs="Times New Roman" w:eastAsia="Times New Roman" w:hint="default"/>
          <w:spacing w:val="24"/>
        </w:rPr>
        <w:t> </w:t>
      </w:r>
      <w:r>
        <w:rPr/>
        <w:t>号 验资报告验证确认，并已完成工商变更登记手续。</w:t>
      </w:r>
    </w:p>
    <w:p>
      <w:pPr>
        <w:pStyle w:val="BodyText"/>
        <w:spacing w:line="300" w:lineRule="auto" w:before="31"/>
        <w:ind w:left="152" w:right="115" w:firstLine="792"/>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日，经公司股东会决议通过林皓将所持有的</w:t>
      </w:r>
      <w:r>
        <w:rPr>
          <w:rFonts w:ascii="Times New Roman" w:hAnsi="Times New Roman" w:cs="Times New Roman" w:eastAsia="Times New Roman" w:hint="default"/>
        </w:rPr>
        <w:t>27.50</w:t>
      </w:r>
      <w:r>
        <w:rPr/>
        <w:t>万元出资转让给林金侠，同时公司注册资本从人 </w:t>
      </w:r>
      <w:r>
        <w:rPr>
          <w:spacing w:val="-2"/>
        </w:rPr>
        <w:t>民币</w:t>
      </w:r>
      <w:r>
        <w:rPr>
          <w:rFonts w:ascii="Times New Roman" w:hAnsi="Times New Roman" w:cs="Times New Roman" w:eastAsia="Times New Roman" w:hint="default"/>
          <w:spacing w:val="-2"/>
        </w:rPr>
        <w:t>500</w:t>
      </w:r>
      <w:r>
        <w:rPr>
          <w:spacing w:val="-2"/>
        </w:rPr>
        <w:t>万元增加到人民币</w:t>
      </w:r>
      <w:r>
        <w:rPr>
          <w:rFonts w:ascii="Times New Roman" w:hAnsi="Times New Roman" w:cs="Times New Roman" w:eastAsia="Times New Roman" w:hint="default"/>
          <w:spacing w:val="-2"/>
        </w:rPr>
        <w:t>1,050</w:t>
      </w:r>
      <w:r>
        <w:rPr>
          <w:spacing w:val="-2"/>
        </w:rPr>
        <w:t>万元，新增的</w:t>
      </w:r>
      <w:r>
        <w:rPr>
          <w:rFonts w:ascii="Times New Roman" w:hAnsi="Times New Roman" w:cs="Times New Roman" w:eastAsia="Times New Roman" w:hint="default"/>
          <w:spacing w:val="-2"/>
        </w:rPr>
        <w:t>550</w:t>
      </w:r>
      <w:r>
        <w:rPr>
          <w:spacing w:val="-2"/>
        </w:rPr>
        <w:t>万元由林皓以无形资产出资。变更后林皓出资</w:t>
      </w:r>
      <w:r>
        <w:rPr>
          <w:rFonts w:ascii="Times New Roman" w:hAnsi="Times New Roman" w:cs="Times New Roman" w:eastAsia="Times New Roman" w:hint="default"/>
          <w:spacing w:val="-2"/>
        </w:rPr>
        <w:t>997.50</w:t>
      </w:r>
      <w:r>
        <w:rPr>
          <w:spacing w:val="-2"/>
        </w:rPr>
        <w:t>万元，占公司注册资本</w:t>
      </w:r>
      <w:r>
        <w:rPr>
          <w:spacing w:val="-52"/>
        </w:rPr>
        <w:t> </w:t>
      </w:r>
      <w:r>
        <w:rPr>
          <w:spacing w:val="-52"/>
        </w:rPr>
      </w:r>
      <w:r>
        <w:rPr>
          <w:spacing w:val="-2"/>
        </w:rPr>
        <w:t>的</w:t>
      </w:r>
      <w:r>
        <w:rPr>
          <w:rFonts w:ascii="Times New Roman" w:hAnsi="Times New Roman" w:cs="Times New Roman" w:eastAsia="Times New Roman" w:hint="default"/>
          <w:spacing w:val="-2"/>
        </w:rPr>
        <w:t>95%</w:t>
      </w:r>
      <w:r>
        <w:rPr>
          <w:spacing w:val="-2"/>
        </w:rPr>
        <w:t>；林金侠出资</w:t>
      </w:r>
      <w:r>
        <w:rPr>
          <w:rFonts w:ascii="Times New Roman" w:hAnsi="Times New Roman" w:cs="Times New Roman" w:eastAsia="Times New Roman" w:hint="default"/>
          <w:spacing w:val="-2"/>
        </w:rPr>
        <w:t>52.50</w:t>
      </w:r>
      <w:r>
        <w:rPr>
          <w:spacing w:val="-2"/>
        </w:rPr>
        <w:t>万元，占公司注册资本的</w:t>
      </w:r>
      <w:r>
        <w:rPr>
          <w:rFonts w:ascii="Times New Roman" w:hAnsi="Times New Roman" w:cs="Times New Roman" w:eastAsia="Times New Roman" w:hint="default"/>
          <w:spacing w:val="-2"/>
        </w:rPr>
        <w:t>5%</w:t>
      </w:r>
      <w:r>
        <w:rPr>
          <w:spacing w:val="-2"/>
        </w:rPr>
        <w:t>。上述增资业经北京公正会计师事务所有限公司京公正内验字（</w:t>
      </w:r>
      <w:r>
        <w:rPr>
          <w:rFonts w:ascii="Times New Roman" w:hAnsi="Times New Roman" w:cs="Times New Roman" w:eastAsia="Times New Roman" w:hint="default"/>
          <w:spacing w:val="-2"/>
        </w:rPr>
        <w:t>2003</w:t>
      </w:r>
      <w:r>
        <w:rPr>
          <w:spacing w:val="-2"/>
        </w:rPr>
        <w:t>）</w:t>
      </w:r>
      <w:r>
        <w:rPr>
          <w:spacing w:val="-42"/>
        </w:rPr>
        <w:t> </w:t>
      </w:r>
      <w:r>
        <w:rPr/>
        <w:t>第</w:t>
      </w:r>
      <w:r>
        <w:rPr>
          <w:rFonts w:ascii="Times New Roman" w:hAnsi="Times New Roman" w:cs="Times New Roman" w:eastAsia="Times New Roman" w:hint="default"/>
        </w:rPr>
        <w:t>044</w:t>
      </w:r>
      <w:r>
        <w:rPr>
          <w:rFonts w:ascii="Times New Roman" w:hAnsi="Times New Roman" w:cs="Times New Roman" w:eastAsia="Times New Roman" w:hint="default"/>
          <w:spacing w:val="27"/>
        </w:rPr>
        <w:t> </w:t>
      </w:r>
      <w:r>
        <w:rPr/>
        <w:t>号验资报告验证，并已完成工商变更登记手续。</w:t>
      </w:r>
    </w:p>
    <w:p>
      <w:pPr>
        <w:pStyle w:val="BodyText"/>
        <w:spacing w:line="300" w:lineRule="auto" w:before="13"/>
        <w:ind w:left="152" w:right="209" w:firstLine="792"/>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日，根据公司股东会决议，公司注册资本从人民币</w:t>
      </w:r>
      <w:r>
        <w:rPr>
          <w:rFonts w:ascii="Times New Roman" w:hAnsi="Times New Roman" w:cs="Times New Roman" w:eastAsia="Times New Roman" w:hint="default"/>
        </w:rPr>
        <w:t>1,050</w:t>
      </w:r>
      <w:r>
        <w:rPr/>
        <w:t>万元增加到人民币</w:t>
      </w:r>
      <w:r>
        <w:rPr>
          <w:rFonts w:ascii="Times New Roman" w:hAnsi="Times New Roman" w:cs="Times New Roman" w:eastAsia="Times New Roman" w:hint="default"/>
        </w:rPr>
        <w:t>1,500</w:t>
      </w:r>
      <w:r>
        <w:rPr/>
        <w:t>万元，新增出资</w:t>
      </w:r>
      <w:r>
        <w:rPr>
          <w:rFonts w:ascii="Times New Roman" w:hAnsi="Times New Roman" w:cs="Times New Roman" w:eastAsia="Times New Roman" w:hint="default"/>
        </w:rPr>
        <w:t>450 </w:t>
      </w:r>
      <w:r>
        <w:rPr/>
        <w:t>万元由各股东按出资比例以货币资金增资。变更后林皓出资</w:t>
      </w:r>
      <w:r>
        <w:rPr>
          <w:rFonts w:ascii="Times New Roman" w:hAnsi="Times New Roman" w:cs="Times New Roman" w:eastAsia="Times New Roman" w:hint="default"/>
        </w:rPr>
        <w:t>1425</w:t>
      </w:r>
      <w:r>
        <w:rPr/>
        <w:t>万元，占注册资本的</w:t>
      </w:r>
      <w:r>
        <w:rPr>
          <w:rFonts w:ascii="Times New Roman" w:hAnsi="Times New Roman" w:cs="Times New Roman" w:eastAsia="Times New Roman" w:hint="default"/>
        </w:rPr>
        <w:t>95%</w:t>
      </w:r>
      <w:r>
        <w:rPr/>
        <w:t>；林金侠出资</w:t>
      </w:r>
      <w:r>
        <w:rPr>
          <w:rFonts w:ascii="Times New Roman" w:hAnsi="Times New Roman" w:cs="Times New Roman" w:eastAsia="Times New Roman" w:hint="default"/>
        </w:rPr>
        <w:t>75</w:t>
      </w:r>
      <w:r>
        <w:rPr>
          <w:rFonts w:ascii="Times New Roman" w:hAnsi="Times New Roman" w:cs="Times New Roman" w:eastAsia="Times New Roman" w:hint="default"/>
          <w:spacing w:val="28"/>
        </w:rPr>
        <w:t> </w:t>
      </w:r>
      <w:r>
        <w:rPr/>
        <w:t>万元，占注册资 </w:t>
      </w:r>
      <w:r>
        <w:rPr>
          <w:spacing w:val="-1"/>
        </w:rPr>
        <w:t>本的</w:t>
      </w:r>
      <w:r>
        <w:rPr>
          <w:rFonts w:ascii="Times New Roman" w:hAnsi="Times New Roman" w:cs="Times New Roman" w:eastAsia="Times New Roman" w:hint="default"/>
          <w:spacing w:val="-1"/>
        </w:rPr>
        <w:t>5%</w:t>
      </w:r>
      <w:r>
        <w:rPr>
          <w:spacing w:val="-1"/>
        </w:rPr>
        <w:t>。上述增资业经东审（北京）会计师事务所有限责任公司东审字</w:t>
      </w:r>
      <w:r>
        <w:rPr>
          <w:rFonts w:ascii="Times New Roman" w:hAnsi="Times New Roman" w:cs="Times New Roman" w:eastAsia="Times New Roman" w:hint="default"/>
          <w:spacing w:val="-1"/>
        </w:rPr>
        <w:t>[2009]</w:t>
      </w:r>
      <w:r>
        <w:rPr>
          <w:spacing w:val="-1"/>
        </w:rPr>
        <w:t>第</w:t>
      </w:r>
      <w:r>
        <w:rPr>
          <w:rFonts w:ascii="Times New Roman" w:hAnsi="Times New Roman" w:cs="Times New Roman" w:eastAsia="Times New Roman" w:hint="default"/>
          <w:spacing w:val="-1"/>
        </w:rPr>
        <w:t>06-068</w:t>
      </w:r>
      <w:r>
        <w:rPr>
          <w:spacing w:val="-1"/>
        </w:rPr>
        <w:t>号验资报告验证，并已完成工商变更</w:t>
      </w:r>
      <w:r>
        <w:rPr/>
        <w:t> 登记手续。</w:t>
      </w:r>
    </w:p>
    <w:p>
      <w:pPr>
        <w:pStyle w:val="BodyText"/>
        <w:spacing w:line="302" w:lineRule="auto" w:before="31"/>
        <w:ind w:left="152" w:right="114" w:firstLine="792"/>
        <w:jc w:val="left"/>
      </w:pP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12</w:t>
      </w:r>
      <w:r>
        <w:rPr>
          <w:spacing w:val="-3"/>
        </w:rPr>
        <w:t>日，根据公司股东会决议，公司注册资本从人民币</w:t>
      </w:r>
      <w:r>
        <w:rPr>
          <w:rFonts w:ascii="Times New Roman" w:hAnsi="Times New Roman" w:cs="Times New Roman" w:eastAsia="Times New Roman" w:hint="default"/>
          <w:spacing w:val="-3"/>
        </w:rPr>
        <w:t>1,500</w:t>
      </w:r>
      <w:r>
        <w:rPr>
          <w:spacing w:val="-3"/>
        </w:rPr>
        <w:t>万元增加到人民币</w:t>
      </w:r>
      <w:r>
        <w:rPr>
          <w:rFonts w:ascii="Times New Roman" w:hAnsi="Times New Roman" w:cs="Times New Roman" w:eastAsia="Times New Roman" w:hint="default"/>
          <w:spacing w:val="-3"/>
        </w:rPr>
        <w:t>1,800</w:t>
      </w:r>
      <w:r>
        <w:rPr>
          <w:spacing w:val="-3"/>
        </w:rPr>
        <w:t>万元，新增出资</w:t>
      </w:r>
      <w:r>
        <w:rPr>
          <w:rFonts w:ascii="Times New Roman" w:hAnsi="Times New Roman" w:cs="Times New Roman" w:eastAsia="Times New Roman" w:hint="default"/>
          <w:spacing w:val="-3"/>
        </w:rPr>
        <w:t>300</w:t>
      </w:r>
      <w:r>
        <w:rPr>
          <w:rFonts w:ascii="Times New Roman" w:hAnsi="Times New Roman" w:cs="Times New Roman" w:eastAsia="Times New Roman" w:hint="default"/>
          <w:spacing w:val="-1"/>
        </w:rPr>
        <w:t> </w:t>
      </w:r>
      <w:r>
        <w:rPr/>
        <w:t>万 元由浙江天越创业投资有限公司（以下简称</w:t>
      </w:r>
      <w:r>
        <w:rPr>
          <w:rFonts w:ascii="Times New Roman" w:hAnsi="Times New Roman" w:cs="Times New Roman" w:eastAsia="Times New Roman" w:hint="default"/>
        </w:rPr>
        <w:t>“</w:t>
      </w:r>
      <w:r>
        <w:rPr/>
        <w:t>天越创投</w:t>
      </w:r>
      <w:r>
        <w:rPr>
          <w:rFonts w:ascii="Times New Roman" w:hAnsi="Times New Roman" w:cs="Times New Roman" w:eastAsia="Times New Roman" w:hint="default"/>
        </w:rPr>
        <w:t>”</w:t>
      </w:r>
      <w:r>
        <w:rPr/>
        <w:t>）和浙江华睿盛银创业投资有限公司（以下简称</w:t>
      </w:r>
      <w:r>
        <w:rPr>
          <w:rFonts w:ascii="Times New Roman" w:hAnsi="Times New Roman" w:cs="Times New Roman" w:eastAsia="Times New Roman" w:hint="default"/>
        </w:rPr>
        <w:t>“</w:t>
      </w:r>
      <w:r>
        <w:rPr/>
        <w:t>华睿盛银</w:t>
      </w:r>
      <w:r>
        <w:rPr>
          <w:rFonts w:ascii="Times New Roman" w:hAnsi="Times New Roman" w:cs="Times New Roman" w:eastAsia="Times New Roman" w:hint="default"/>
        </w:rPr>
        <w:t>”</w:t>
      </w:r>
      <w:r>
        <w:rPr/>
        <w:t>）以货币 资金</w:t>
      </w:r>
      <w:r>
        <w:rPr>
          <w:rFonts w:ascii="Times New Roman" w:hAnsi="Times New Roman" w:cs="Times New Roman" w:eastAsia="Times New Roman" w:hint="default"/>
        </w:rPr>
        <w:t>3,000</w:t>
      </w:r>
      <w:r>
        <w:rPr/>
        <w:t>万元认购，其中</w:t>
      </w:r>
      <w:r>
        <w:rPr>
          <w:rFonts w:ascii="Times New Roman" w:hAnsi="Times New Roman" w:cs="Times New Roman" w:eastAsia="Times New Roman" w:hint="default"/>
        </w:rPr>
        <w:t>300</w:t>
      </w:r>
      <w:r>
        <w:rPr/>
        <w:t>万元作为注册资本出资，</w:t>
      </w:r>
      <w:r>
        <w:rPr>
          <w:rFonts w:ascii="Times New Roman" w:hAnsi="Times New Roman" w:cs="Times New Roman" w:eastAsia="Times New Roman" w:hint="default"/>
        </w:rPr>
        <w:t>2,700</w:t>
      </w:r>
      <w:r>
        <w:rPr/>
        <w:t>万元作为资本溢价；林皓将其所持有的</w:t>
      </w:r>
      <w:r>
        <w:rPr>
          <w:rFonts w:ascii="Times New Roman" w:hAnsi="Times New Roman" w:cs="Times New Roman" w:eastAsia="Times New Roman" w:hint="default"/>
        </w:rPr>
        <w:t>255</w:t>
      </w:r>
      <w:r>
        <w:rPr>
          <w:rFonts w:ascii="Times New Roman" w:hAnsi="Times New Roman" w:cs="Times New Roman" w:eastAsia="Times New Roman" w:hint="default"/>
          <w:spacing w:val="-4"/>
        </w:rPr>
        <w:t> </w:t>
      </w:r>
      <w:r>
        <w:rPr/>
        <w:t>万元出资分别转让给 檀霞、宗佩民、王晓峰、孙燕琪、冯巍浩、杨维、苑惠、陈卫华、杨杰、高曦、胡安政、哈连琴、王夏娟、姜涛、尹子键、 吴振芳、马潇潇、何悦、李涛、马承栋、张伶敏、王峰、程志远、姚翔、刘兴安、彭江波、李敬勋、毕永东、陈华治等</w:t>
      </w:r>
      <w:r>
        <w:rPr>
          <w:rFonts w:ascii="Times New Roman" w:hAnsi="Times New Roman" w:cs="Times New Roman" w:eastAsia="Times New Roman" w:hint="default"/>
        </w:rPr>
        <w:t>29</w:t>
      </w:r>
      <w:r>
        <w:rPr>
          <w:rFonts w:ascii="Times New Roman" w:hAnsi="Times New Roman" w:cs="Times New Roman" w:eastAsia="Times New Roman" w:hint="default"/>
          <w:spacing w:val="-41"/>
        </w:rPr>
        <w:t> </w:t>
      </w:r>
      <w:r>
        <w:rPr/>
        <w:t>位自然人；林金侠将其所持有的</w:t>
      </w:r>
      <w:r>
        <w:rPr>
          <w:rFonts w:ascii="Times New Roman" w:hAnsi="Times New Roman" w:cs="Times New Roman" w:eastAsia="Times New Roman" w:hint="default"/>
        </w:rPr>
        <w:t>75</w:t>
      </w:r>
      <w:r>
        <w:rPr/>
        <w:t>万元出资分别转让给韩永毅、吴荣、冯惠芬、侯元彬和王晓峰等</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位自然人。上述事项业 经东审（北京）会计师事务所有限责任公司东审字</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第</w:t>
      </w:r>
      <w:r>
        <w:rPr>
          <w:rFonts w:ascii="Times New Roman" w:hAnsi="Times New Roman" w:cs="Times New Roman" w:eastAsia="Times New Roman" w:hint="default"/>
        </w:rPr>
        <w:t>06-083</w:t>
      </w:r>
      <w:r>
        <w:rPr/>
        <w:t>号验资报告验证，并于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日完成工商变更登记 手续。</w:t>
      </w:r>
    </w:p>
    <w:p>
      <w:pPr>
        <w:pStyle w:val="BodyText"/>
        <w:spacing w:line="240" w:lineRule="auto" w:before="29"/>
        <w:ind w:left="945" w:right="196"/>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日，公司采用有限责任公司整体改制变更的方式，以经审计的截至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日的净资产</w:t>
      </w:r>
    </w:p>
    <w:p>
      <w:pPr>
        <w:pStyle w:val="BodyText"/>
        <w:spacing w:line="300" w:lineRule="auto" w:before="63"/>
        <w:ind w:left="152" w:right="115"/>
        <w:jc w:val="left"/>
      </w:pPr>
      <w:r>
        <w:rPr>
          <w:rFonts w:ascii="Times New Roman" w:hAnsi="Times New Roman" w:cs="Times New Roman" w:eastAsia="Times New Roman" w:hint="default"/>
        </w:rPr>
        <w:t>6,453.87791 </w:t>
      </w:r>
      <w:r>
        <w:rPr/>
        <w:t>万元（包括实收资本</w:t>
      </w:r>
      <w:r>
        <w:rPr>
          <w:rFonts w:ascii="Times New Roman" w:hAnsi="Times New Roman" w:cs="Times New Roman" w:eastAsia="Times New Roman" w:hint="default"/>
        </w:rPr>
        <w:t>18,000,000.00 </w:t>
      </w:r>
      <w:r>
        <w:rPr/>
        <w:t>元，资本公积</w:t>
      </w:r>
      <w:r>
        <w:rPr>
          <w:rFonts w:ascii="Times New Roman" w:hAnsi="Times New Roman" w:cs="Times New Roman" w:eastAsia="Times New Roman" w:hint="default"/>
        </w:rPr>
        <w:t>30,086,800.00 </w:t>
      </w:r>
      <w:r>
        <w:rPr/>
        <w:t>元，留存收益</w:t>
      </w:r>
      <w:r>
        <w:rPr>
          <w:rFonts w:ascii="Times New Roman" w:hAnsi="Times New Roman" w:cs="Times New Roman" w:eastAsia="Times New Roman" w:hint="default"/>
        </w:rPr>
        <w:t>16,451,979.10</w:t>
      </w:r>
      <w:r>
        <w:rPr>
          <w:rFonts w:ascii="Times New Roman" w:hAnsi="Times New Roman" w:cs="Times New Roman" w:eastAsia="Times New Roman" w:hint="default"/>
          <w:spacing w:val="33"/>
        </w:rPr>
        <w:t> </w:t>
      </w:r>
      <w:r>
        <w:rPr>
          <w:spacing w:val="-3"/>
        </w:rPr>
        <w:t>元）为折股基数，按</w:t>
      </w:r>
      <w:r>
        <w:rPr/>
        <w:t> 照</w:t>
      </w:r>
      <w:r>
        <w:rPr>
          <w:rFonts w:ascii="Times New Roman" w:hAnsi="Times New Roman" w:cs="Times New Roman" w:eastAsia="Times New Roman" w:hint="default"/>
        </w:rPr>
        <w:t>1</w:t>
      </w:r>
      <w:r>
        <w:rPr/>
        <w:t>：</w:t>
      </w:r>
      <w:r>
        <w:rPr>
          <w:rFonts w:ascii="Times New Roman" w:hAnsi="Times New Roman" w:cs="Times New Roman" w:eastAsia="Times New Roman" w:hint="default"/>
        </w:rPr>
        <w:t>0.774728</w:t>
      </w:r>
      <w:r>
        <w:rPr>
          <w:rFonts w:ascii="Times New Roman" w:hAnsi="Times New Roman" w:cs="Times New Roman" w:eastAsia="Times New Roman" w:hint="default"/>
          <w:spacing w:val="-2"/>
        </w:rPr>
        <w:t> </w:t>
      </w:r>
      <w:r>
        <w:rPr/>
        <w:t>的折股比例折为公司股本，并更名为北京北信源软件股份有限公司。变更后注册资本为人民币</w:t>
      </w:r>
      <w:r>
        <w:rPr>
          <w:rFonts w:ascii="Times New Roman" w:hAnsi="Times New Roman" w:cs="Times New Roman" w:eastAsia="Times New Roman" w:hint="default"/>
        </w:rPr>
        <w:t>5,000</w:t>
      </w:r>
      <w:r>
        <w:rPr/>
        <w:t>万元，其 中林皓出资</w:t>
      </w:r>
      <w:r>
        <w:rPr>
          <w:rFonts w:ascii="Times New Roman" w:hAnsi="Times New Roman" w:cs="Times New Roman" w:eastAsia="Times New Roman" w:hint="default"/>
        </w:rPr>
        <w:t>3,250</w:t>
      </w:r>
      <w:r>
        <w:rPr/>
        <w:t>万元，占注册资本的</w:t>
      </w:r>
      <w:r>
        <w:rPr>
          <w:rFonts w:ascii="Times New Roman" w:hAnsi="Times New Roman" w:cs="Times New Roman" w:eastAsia="Times New Roman" w:hint="default"/>
        </w:rPr>
        <w:t>65.0000%</w:t>
      </w:r>
      <w:r>
        <w:rPr/>
        <w:t>；浙江天越创业投资有限公司出资</w:t>
      </w:r>
      <w:r>
        <w:rPr>
          <w:rFonts w:ascii="Times New Roman" w:hAnsi="Times New Roman" w:cs="Times New Roman" w:eastAsia="Times New Roman" w:hint="default"/>
        </w:rPr>
        <w:t>416.665</w:t>
      </w:r>
      <w:r>
        <w:rPr/>
        <w:t>万元，占注册资本的</w:t>
      </w:r>
      <w:r>
        <w:rPr>
          <w:rFonts w:ascii="Times New Roman" w:hAnsi="Times New Roman" w:cs="Times New Roman" w:eastAsia="Times New Roman" w:hint="default"/>
        </w:rPr>
        <w:t>8.3333%</w:t>
      </w:r>
      <w:r>
        <w:rPr/>
        <w:t>；浙 江华睿盛银创业投资有限公司出资</w:t>
      </w:r>
      <w:r>
        <w:rPr>
          <w:rFonts w:ascii="Times New Roman" w:hAnsi="Times New Roman" w:cs="Times New Roman" w:eastAsia="Times New Roman" w:hint="default"/>
        </w:rPr>
        <w:t>416.665</w:t>
      </w:r>
      <w:r>
        <w:rPr/>
        <w:t>万元，占注册资本的</w:t>
      </w:r>
      <w:r>
        <w:rPr>
          <w:rFonts w:ascii="Times New Roman" w:hAnsi="Times New Roman" w:cs="Times New Roman" w:eastAsia="Times New Roman" w:hint="default"/>
        </w:rPr>
        <w:t>8.3333%</w:t>
      </w:r>
      <w:r>
        <w:rPr/>
        <w:t>；檀霞出资</w:t>
      </w:r>
      <w:r>
        <w:rPr>
          <w:rFonts w:ascii="Times New Roman" w:hAnsi="Times New Roman" w:cs="Times New Roman" w:eastAsia="Times New Roman" w:hint="default"/>
        </w:rPr>
        <w:t>166.665</w:t>
      </w:r>
      <w:r>
        <w:rPr/>
        <w:t>万元，占注册资本的</w:t>
      </w:r>
      <w:r>
        <w:rPr>
          <w:rFonts w:ascii="Times New Roman" w:hAnsi="Times New Roman" w:cs="Times New Roman" w:eastAsia="Times New Roman" w:hint="default"/>
        </w:rPr>
        <w:t>3.3333%</w:t>
      </w:r>
      <w:r>
        <w:rPr/>
        <w:t>；宗</w:t>
      </w:r>
      <w:r>
        <w:rPr>
          <w:spacing w:val="-8"/>
        </w:rPr>
        <w:t> </w:t>
      </w:r>
      <w:r>
        <w:rPr/>
        <w:t>佩民出资</w:t>
      </w:r>
      <w:r>
        <w:rPr>
          <w:rFonts w:ascii="Times New Roman" w:hAnsi="Times New Roman" w:cs="Times New Roman" w:eastAsia="Times New Roman" w:hint="default"/>
        </w:rPr>
        <w:t>138.89</w:t>
      </w:r>
      <w:r>
        <w:rPr/>
        <w:t>万元，占注册资本的</w:t>
      </w:r>
      <w:r>
        <w:rPr>
          <w:rFonts w:ascii="Times New Roman" w:hAnsi="Times New Roman" w:cs="Times New Roman" w:eastAsia="Times New Roman" w:hint="default"/>
        </w:rPr>
        <w:t>2.7778%</w:t>
      </w:r>
      <w:r>
        <w:rPr/>
        <w:t>；王晓峰出资</w:t>
      </w:r>
      <w:r>
        <w:rPr>
          <w:rFonts w:ascii="Times New Roman" w:hAnsi="Times New Roman" w:cs="Times New Roman" w:eastAsia="Times New Roman" w:hint="default"/>
        </w:rPr>
        <w:t>105.555</w:t>
      </w:r>
      <w:r>
        <w:rPr/>
        <w:t>万元，占注册资本的</w:t>
      </w:r>
      <w:r>
        <w:rPr>
          <w:rFonts w:ascii="Times New Roman" w:hAnsi="Times New Roman" w:cs="Times New Roman" w:eastAsia="Times New Roman" w:hint="default"/>
        </w:rPr>
        <w:t>2.1111%</w:t>
      </w:r>
      <w:r>
        <w:rPr/>
        <w:t>；吴荣出资</w:t>
      </w:r>
      <w:r>
        <w:rPr>
          <w:rFonts w:ascii="Times New Roman" w:hAnsi="Times New Roman" w:cs="Times New Roman" w:eastAsia="Times New Roman" w:hint="default"/>
        </w:rPr>
        <w:t>97.22</w:t>
      </w:r>
      <w:r>
        <w:rPr/>
        <w:t>万元，占注 册资本的</w:t>
      </w:r>
      <w:r>
        <w:rPr>
          <w:rFonts w:ascii="Times New Roman" w:hAnsi="Times New Roman" w:cs="Times New Roman" w:eastAsia="Times New Roman" w:hint="default"/>
        </w:rPr>
        <w:t>1.9444%</w:t>
      </w:r>
      <w:r>
        <w:rPr/>
        <w:t>；冯惠芬出资</w:t>
      </w:r>
      <w:r>
        <w:rPr>
          <w:rFonts w:ascii="Times New Roman" w:hAnsi="Times New Roman" w:cs="Times New Roman" w:eastAsia="Times New Roman" w:hint="default"/>
        </w:rPr>
        <w:t>83.335</w:t>
      </w:r>
      <w:r>
        <w:rPr/>
        <w:t>万元，占注册资本的</w:t>
      </w:r>
      <w:r>
        <w:rPr>
          <w:rFonts w:ascii="Times New Roman" w:hAnsi="Times New Roman" w:cs="Times New Roman" w:eastAsia="Times New Roman" w:hint="default"/>
        </w:rPr>
        <w:t>1.6667%</w:t>
      </w:r>
      <w:r>
        <w:rPr/>
        <w:t>；孙燕琪出资</w:t>
      </w:r>
      <w:r>
        <w:rPr>
          <w:rFonts w:ascii="Times New Roman" w:hAnsi="Times New Roman" w:cs="Times New Roman" w:eastAsia="Times New Roman" w:hint="default"/>
        </w:rPr>
        <w:t>55.555</w:t>
      </w:r>
      <w:r>
        <w:rPr/>
        <w:t>万元，占注册资本的</w:t>
      </w:r>
      <w:r>
        <w:rPr>
          <w:rFonts w:ascii="Times New Roman" w:hAnsi="Times New Roman" w:cs="Times New Roman" w:eastAsia="Times New Roman" w:hint="default"/>
        </w:rPr>
        <w:t>1.1111%</w:t>
      </w:r>
      <w:r>
        <w:rPr/>
        <w:t>；冯巍 浩出资</w:t>
      </w:r>
      <w:r>
        <w:rPr>
          <w:rFonts w:ascii="Times New Roman" w:hAnsi="Times New Roman" w:cs="Times New Roman" w:eastAsia="Times New Roman" w:hint="default"/>
        </w:rPr>
        <w:t>25</w:t>
      </w:r>
      <w:r>
        <w:rPr/>
        <w:t>万元，占注册资本的</w:t>
      </w:r>
      <w:r>
        <w:rPr>
          <w:rFonts w:ascii="Times New Roman" w:hAnsi="Times New Roman" w:cs="Times New Roman" w:eastAsia="Times New Roman" w:hint="default"/>
        </w:rPr>
        <w:t>0.5000%</w:t>
      </w:r>
      <w:r>
        <w:rPr/>
        <w:t>；杨维出资</w:t>
      </w:r>
      <w:r>
        <w:rPr>
          <w:rFonts w:ascii="Times New Roman" w:hAnsi="Times New Roman" w:cs="Times New Roman" w:eastAsia="Times New Roman" w:hint="default"/>
        </w:rPr>
        <w:t>24.165</w:t>
      </w:r>
      <w:r>
        <w:rPr/>
        <w:t>万元，占注册资本的</w:t>
      </w:r>
      <w:r>
        <w:rPr>
          <w:rFonts w:ascii="Times New Roman" w:hAnsi="Times New Roman" w:cs="Times New Roman" w:eastAsia="Times New Roman" w:hint="default"/>
        </w:rPr>
        <w:t>0.4833%</w:t>
      </w:r>
      <w:r>
        <w:rPr/>
        <w:t>；苑惠出资</w:t>
      </w:r>
      <w:r>
        <w:rPr>
          <w:rFonts w:ascii="Times New Roman" w:hAnsi="Times New Roman" w:cs="Times New Roman" w:eastAsia="Times New Roman" w:hint="default"/>
        </w:rPr>
        <w:t>22.22</w:t>
      </w:r>
      <w:r>
        <w:rPr/>
        <w:t>万元，占注册资本的 </w:t>
      </w:r>
      <w:r>
        <w:rPr>
          <w:rFonts w:ascii="Times New Roman" w:hAnsi="Times New Roman" w:cs="Times New Roman" w:eastAsia="Times New Roman" w:hint="default"/>
          <w:spacing w:val="-2"/>
        </w:rPr>
        <w:t>0.4444%</w:t>
      </w:r>
      <w:r>
        <w:rPr>
          <w:spacing w:val="-2"/>
        </w:rPr>
        <w:t>；陈卫华出资</w:t>
      </w:r>
      <w:r>
        <w:rPr>
          <w:rFonts w:ascii="Times New Roman" w:hAnsi="Times New Roman" w:cs="Times New Roman" w:eastAsia="Times New Roman" w:hint="default"/>
          <w:spacing w:val="-2"/>
        </w:rPr>
        <w:t>16.665</w:t>
      </w:r>
      <w:r>
        <w:rPr>
          <w:spacing w:val="-2"/>
        </w:rPr>
        <w:t>万元，占注册资本的</w:t>
      </w:r>
      <w:r>
        <w:rPr>
          <w:rFonts w:ascii="Times New Roman" w:hAnsi="Times New Roman" w:cs="Times New Roman" w:eastAsia="Times New Roman" w:hint="default"/>
          <w:spacing w:val="-2"/>
        </w:rPr>
        <w:t>0.3333%</w:t>
      </w:r>
      <w:r>
        <w:rPr>
          <w:spacing w:val="-2"/>
        </w:rPr>
        <w:t>；杨杰出资</w:t>
      </w:r>
      <w:r>
        <w:rPr>
          <w:rFonts w:ascii="Times New Roman" w:hAnsi="Times New Roman" w:cs="Times New Roman" w:eastAsia="Times New Roman" w:hint="default"/>
          <w:spacing w:val="-2"/>
        </w:rPr>
        <w:t>15</w:t>
      </w:r>
      <w:r>
        <w:rPr>
          <w:spacing w:val="-2"/>
        </w:rPr>
        <w:t>万元，占注册资本的</w:t>
      </w:r>
      <w:r>
        <w:rPr>
          <w:rFonts w:ascii="Times New Roman" w:hAnsi="Times New Roman" w:cs="Times New Roman" w:eastAsia="Times New Roman" w:hint="default"/>
          <w:spacing w:val="-2"/>
        </w:rPr>
        <w:t>0.3000%</w:t>
      </w:r>
      <w:r>
        <w:rPr>
          <w:spacing w:val="-2"/>
        </w:rPr>
        <w:t>；韩永毅出资</w:t>
      </w:r>
      <w:r>
        <w:rPr>
          <w:rFonts w:ascii="Times New Roman" w:hAnsi="Times New Roman" w:cs="Times New Roman" w:eastAsia="Times New Roman" w:hint="default"/>
          <w:spacing w:val="-2"/>
        </w:rPr>
        <w:t>13.89</w:t>
      </w:r>
      <w:r>
        <w:rPr>
          <w:spacing w:val="-2"/>
        </w:rPr>
        <w:t>万元，</w:t>
      </w:r>
      <w:r>
        <w:rPr>
          <w:spacing w:val="-82"/>
        </w:rPr>
        <w:t> </w:t>
      </w:r>
      <w:r>
        <w:rPr/>
        <w:t>占注册资本的</w:t>
      </w:r>
      <w:r>
        <w:rPr>
          <w:rFonts w:ascii="Times New Roman" w:hAnsi="Times New Roman" w:cs="Times New Roman" w:eastAsia="Times New Roman" w:hint="default"/>
        </w:rPr>
        <w:t>0.2778%</w:t>
      </w:r>
      <w:r>
        <w:rPr/>
        <w:t>；高曦出资</w:t>
      </w:r>
      <w:r>
        <w:rPr>
          <w:rFonts w:ascii="Times New Roman" w:hAnsi="Times New Roman" w:cs="Times New Roman" w:eastAsia="Times New Roman" w:hint="default"/>
        </w:rPr>
        <w:t>13.335</w:t>
      </w:r>
      <w:r>
        <w:rPr/>
        <w:t>万元，占注册资本的</w:t>
      </w:r>
      <w:r>
        <w:rPr>
          <w:rFonts w:ascii="Times New Roman" w:hAnsi="Times New Roman" w:cs="Times New Roman" w:eastAsia="Times New Roman" w:hint="default"/>
        </w:rPr>
        <w:t>0.2667%</w:t>
      </w:r>
      <w:r>
        <w:rPr/>
        <w:t>；胡安政出资</w:t>
      </w:r>
      <w:r>
        <w:rPr>
          <w:rFonts w:ascii="Times New Roman" w:hAnsi="Times New Roman" w:cs="Times New Roman" w:eastAsia="Times New Roman" w:hint="default"/>
        </w:rPr>
        <w:t>12.5</w:t>
      </w:r>
      <w:r>
        <w:rPr/>
        <w:t>万元，占注册资本的</w:t>
      </w:r>
      <w:r>
        <w:rPr>
          <w:rFonts w:ascii="Times New Roman" w:hAnsi="Times New Roman" w:cs="Times New Roman" w:eastAsia="Times New Roman" w:hint="default"/>
        </w:rPr>
        <w:t>0.2500%</w:t>
      </w:r>
      <w:r>
        <w:rPr/>
        <w:t>；哈连 </w:t>
      </w:r>
      <w:r>
        <w:rPr>
          <w:spacing w:val="-2"/>
        </w:rPr>
        <w:t>琴出资</w:t>
      </w:r>
      <w:r>
        <w:rPr>
          <w:rFonts w:ascii="Times New Roman" w:hAnsi="Times New Roman" w:cs="Times New Roman" w:eastAsia="Times New Roman" w:hint="default"/>
          <w:spacing w:val="-2"/>
        </w:rPr>
        <w:t>10.28</w:t>
      </w:r>
      <w:r>
        <w:rPr>
          <w:spacing w:val="-2"/>
        </w:rPr>
        <w:t>万元，占注册资本的</w:t>
      </w:r>
      <w:r>
        <w:rPr>
          <w:rFonts w:ascii="Times New Roman" w:hAnsi="Times New Roman" w:cs="Times New Roman" w:eastAsia="Times New Roman" w:hint="default"/>
          <w:spacing w:val="-2"/>
        </w:rPr>
        <w:t>0.2056%</w:t>
      </w:r>
      <w:r>
        <w:rPr>
          <w:spacing w:val="-2"/>
        </w:rPr>
        <w:t>；侯元彬出资</w:t>
      </w:r>
      <w:r>
        <w:rPr>
          <w:rFonts w:ascii="Times New Roman" w:hAnsi="Times New Roman" w:cs="Times New Roman" w:eastAsia="Times New Roman" w:hint="default"/>
          <w:spacing w:val="-2"/>
        </w:rPr>
        <w:t>8.335</w:t>
      </w:r>
      <w:r>
        <w:rPr>
          <w:spacing w:val="-2"/>
        </w:rPr>
        <w:t>万元，占注册资本的</w:t>
      </w:r>
      <w:r>
        <w:rPr>
          <w:rFonts w:ascii="Times New Roman" w:hAnsi="Times New Roman" w:cs="Times New Roman" w:eastAsia="Times New Roman" w:hint="default"/>
          <w:spacing w:val="-2"/>
        </w:rPr>
        <w:t>0.1667%</w:t>
      </w:r>
      <w:r>
        <w:rPr>
          <w:spacing w:val="-2"/>
        </w:rPr>
        <w:t>；王夏娟出资</w:t>
      </w:r>
      <w:r>
        <w:rPr>
          <w:rFonts w:ascii="Times New Roman" w:hAnsi="Times New Roman" w:cs="Times New Roman" w:eastAsia="Times New Roman" w:hint="default"/>
          <w:spacing w:val="-2"/>
        </w:rPr>
        <w:t>8.335</w:t>
      </w:r>
      <w:r>
        <w:rPr>
          <w:spacing w:val="-2"/>
        </w:rPr>
        <w:t>万元，占注册资</w:t>
      </w:r>
      <w:r>
        <w:rPr>
          <w:spacing w:val="-32"/>
        </w:rPr>
        <w:t> </w:t>
      </w:r>
      <w:r>
        <w:rPr>
          <w:spacing w:val="-32"/>
        </w:rPr>
      </w:r>
      <w:r>
        <w:rPr/>
        <w:t>本的</w:t>
      </w:r>
      <w:r>
        <w:rPr>
          <w:rFonts w:ascii="Times New Roman" w:hAnsi="Times New Roman" w:cs="Times New Roman" w:eastAsia="Times New Roman" w:hint="default"/>
        </w:rPr>
        <w:t>0.1667%</w:t>
      </w:r>
      <w:r>
        <w:rPr/>
        <w:t>；姜涛出资</w:t>
      </w:r>
      <w:r>
        <w:rPr>
          <w:rFonts w:ascii="Times New Roman" w:hAnsi="Times New Roman" w:cs="Times New Roman" w:eastAsia="Times New Roman" w:hint="default"/>
        </w:rPr>
        <w:t>8.335</w:t>
      </w:r>
      <w:r>
        <w:rPr/>
        <w:t>万元，占注册资本的</w:t>
      </w:r>
      <w:r>
        <w:rPr>
          <w:rFonts w:ascii="Times New Roman" w:hAnsi="Times New Roman" w:cs="Times New Roman" w:eastAsia="Times New Roman" w:hint="default"/>
        </w:rPr>
        <w:t>0.1667%</w:t>
      </w:r>
      <w:r>
        <w:rPr/>
        <w:t>；尹子健出资</w:t>
      </w:r>
      <w:r>
        <w:rPr>
          <w:rFonts w:ascii="Times New Roman" w:hAnsi="Times New Roman" w:cs="Times New Roman" w:eastAsia="Times New Roman" w:hint="default"/>
        </w:rPr>
        <w:t>8.335</w:t>
      </w:r>
      <w:r>
        <w:rPr/>
        <w:t>万元，占注册资本的</w:t>
      </w:r>
      <w:r>
        <w:rPr>
          <w:rFonts w:ascii="Times New Roman" w:hAnsi="Times New Roman" w:cs="Times New Roman" w:eastAsia="Times New Roman" w:hint="default"/>
        </w:rPr>
        <w:t>0.1667%</w:t>
      </w:r>
      <w:r>
        <w:rPr/>
        <w:t>；吴振芳出资</w:t>
      </w:r>
      <w:r>
        <w:rPr>
          <w:rFonts w:ascii="Times New Roman" w:hAnsi="Times New Roman" w:cs="Times New Roman" w:eastAsia="Times New Roman" w:hint="default"/>
        </w:rPr>
        <w:t>7.5 </w:t>
      </w:r>
      <w:r>
        <w:rPr/>
        <w:t>万元，占注册资本的</w:t>
      </w:r>
      <w:r>
        <w:rPr>
          <w:rFonts w:ascii="Times New Roman" w:hAnsi="Times New Roman" w:cs="Times New Roman" w:eastAsia="Times New Roman" w:hint="default"/>
        </w:rPr>
        <w:t>0.1500%</w:t>
      </w:r>
      <w:r>
        <w:rPr/>
        <w:t>；马潇潇出资</w:t>
      </w:r>
      <w:r>
        <w:rPr>
          <w:rFonts w:ascii="Times New Roman" w:hAnsi="Times New Roman" w:cs="Times New Roman" w:eastAsia="Times New Roman" w:hint="default"/>
        </w:rPr>
        <w:t>7.5</w:t>
      </w:r>
      <w:r>
        <w:rPr/>
        <w:t>万元，占注册资本的</w:t>
      </w:r>
      <w:r>
        <w:rPr>
          <w:rFonts w:ascii="Times New Roman" w:hAnsi="Times New Roman" w:cs="Times New Roman" w:eastAsia="Times New Roman" w:hint="default"/>
        </w:rPr>
        <w:t>0.1500%</w:t>
      </w:r>
      <w:r>
        <w:rPr/>
        <w:t>；何悦出资</w:t>
      </w:r>
      <w:r>
        <w:rPr>
          <w:rFonts w:ascii="Times New Roman" w:hAnsi="Times New Roman" w:cs="Times New Roman" w:eastAsia="Times New Roman" w:hint="default"/>
        </w:rPr>
        <w:t>7.5</w:t>
      </w:r>
      <w:r>
        <w:rPr/>
        <w:t>万元，占注册资本的</w:t>
      </w:r>
      <w:r>
        <w:rPr>
          <w:rFonts w:ascii="Times New Roman" w:hAnsi="Times New Roman" w:cs="Times New Roman" w:eastAsia="Times New Roman" w:hint="default"/>
        </w:rPr>
        <w:t>0.1500%</w:t>
      </w:r>
      <w:r>
        <w:rPr/>
        <w:t>；李 </w:t>
      </w:r>
      <w:r>
        <w:rPr>
          <w:spacing w:val="-2"/>
        </w:rPr>
        <w:t>涛出资</w:t>
      </w:r>
      <w:r>
        <w:rPr>
          <w:rFonts w:ascii="Times New Roman" w:hAnsi="Times New Roman" w:cs="Times New Roman" w:eastAsia="Times New Roman" w:hint="default"/>
          <w:spacing w:val="-2"/>
        </w:rPr>
        <w:t>6.665</w:t>
      </w:r>
      <w:r>
        <w:rPr>
          <w:spacing w:val="-2"/>
        </w:rPr>
        <w:t>万元，占注册资本的</w:t>
      </w:r>
      <w:r>
        <w:rPr>
          <w:rFonts w:ascii="Times New Roman" w:hAnsi="Times New Roman" w:cs="Times New Roman" w:eastAsia="Times New Roman" w:hint="default"/>
          <w:spacing w:val="-2"/>
        </w:rPr>
        <w:t>0.1333%</w:t>
      </w:r>
      <w:r>
        <w:rPr>
          <w:spacing w:val="-2"/>
        </w:rPr>
        <w:t>；张伶敏出资</w:t>
      </w:r>
      <w:r>
        <w:rPr>
          <w:rFonts w:ascii="Times New Roman" w:hAnsi="Times New Roman" w:cs="Times New Roman" w:eastAsia="Times New Roman" w:hint="default"/>
          <w:spacing w:val="-2"/>
        </w:rPr>
        <w:t>6.6650</w:t>
      </w:r>
      <w:r>
        <w:rPr>
          <w:spacing w:val="-2"/>
        </w:rPr>
        <w:t>万元，占注册资本的</w:t>
      </w:r>
      <w:r>
        <w:rPr>
          <w:rFonts w:ascii="Times New Roman" w:hAnsi="Times New Roman" w:cs="Times New Roman" w:eastAsia="Times New Roman" w:hint="default"/>
          <w:spacing w:val="-2"/>
        </w:rPr>
        <w:t>0.1333%</w:t>
      </w:r>
      <w:r>
        <w:rPr>
          <w:spacing w:val="-2"/>
        </w:rPr>
        <w:t>；王峰出资</w:t>
      </w:r>
      <w:r>
        <w:rPr>
          <w:rFonts w:ascii="Times New Roman" w:hAnsi="Times New Roman" w:cs="Times New Roman" w:eastAsia="Times New Roman" w:hint="default"/>
          <w:spacing w:val="-2"/>
        </w:rPr>
        <w:t>6.39</w:t>
      </w:r>
      <w:r>
        <w:rPr>
          <w:spacing w:val="-2"/>
        </w:rPr>
        <w:t>万元，占注册资本</w:t>
      </w:r>
      <w:r>
        <w:rPr>
          <w:spacing w:val="-33"/>
        </w:rPr>
        <w:t> </w:t>
      </w:r>
      <w:r>
        <w:rPr>
          <w:spacing w:val="-33"/>
        </w:rPr>
      </w:r>
      <w:r>
        <w:rPr>
          <w:spacing w:val="-2"/>
        </w:rPr>
        <w:t>的</w:t>
      </w:r>
      <w:r>
        <w:rPr>
          <w:rFonts w:ascii="Times New Roman" w:hAnsi="Times New Roman" w:cs="Times New Roman" w:eastAsia="Times New Roman" w:hint="default"/>
          <w:spacing w:val="-2"/>
        </w:rPr>
        <w:t>0.1278%</w:t>
      </w:r>
      <w:r>
        <w:rPr>
          <w:spacing w:val="-2"/>
        </w:rPr>
        <w:t>；程志远出资</w:t>
      </w:r>
      <w:r>
        <w:rPr>
          <w:rFonts w:ascii="Times New Roman" w:hAnsi="Times New Roman" w:cs="Times New Roman" w:eastAsia="Times New Roman" w:hint="default"/>
          <w:spacing w:val="-2"/>
        </w:rPr>
        <w:t>5.835</w:t>
      </w:r>
      <w:r>
        <w:rPr>
          <w:spacing w:val="-2"/>
        </w:rPr>
        <w:t>万元，占注册资本</w:t>
      </w:r>
      <w:r>
        <w:rPr>
          <w:rFonts w:ascii="Times New Roman" w:hAnsi="Times New Roman" w:cs="Times New Roman" w:eastAsia="Times New Roman" w:hint="default"/>
          <w:spacing w:val="-2"/>
        </w:rPr>
        <w:t>0.1167%</w:t>
      </w:r>
      <w:r>
        <w:rPr>
          <w:spacing w:val="-2"/>
        </w:rPr>
        <w:t>；马承栋出资</w:t>
      </w:r>
      <w:r>
        <w:rPr>
          <w:rFonts w:ascii="Times New Roman" w:hAnsi="Times New Roman" w:cs="Times New Roman" w:eastAsia="Times New Roman" w:hint="default"/>
          <w:spacing w:val="-2"/>
        </w:rPr>
        <w:t>5</w:t>
      </w:r>
      <w:r>
        <w:rPr>
          <w:spacing w:val="-2"/>
        </w:rPr>
        <w:t>万元，占注册资本的</w:t>
      </w:r>
      <w:r>
        <w:rPr>
          <w:rFonts w:ascii="Times New Roman" w:hAnsi="Times New Roman" w:cs="Times New Roman" w:eastAsia="Times New Roman" w:hint="default"/>
          <w:spacing w:val="-2"/>
        </w:rPr>
        <w:t>0.1000%</w:t>
      </w:r>
      <w:r>
        <w:rPr>
          <w:spacing w:val="-2"/>
        </w:rPr>
        <w:t>；姚翔出资</w:t>
      </w:r>
      <w:r>
        <w:rPr>
          <w:rFonts w:ascii="Times New Roman" w:hAnsi="Times New Roman" w:cs="Times New Roman" w:eastAsia="Times New Roman" w:hint="default"/>
          <w:spacing w:val="-2"/>
        </w:rPr>
        <w:t>5</w:t>
      </w:r>
      <w:r>
        <w:rPr>
          <w:spacing w:val="-2"/>
        </w:rPr>
        <w:t>万元，占注</w:t>
      </w:r>
      <w:r>
        <w:rPr>
          <w:spacing w:val="-49"/>
        </w:rPr>
        <w:t> </w:t>
      </w:r>
      <w:r>
        <w:rPr>
          <w:spacing w:val="-49"/>
        </w:rPr>
      </w:r>
      <w:r>
        <w:rPr/>
        <w:t>册资本的</w:t>
      </w:r>
      <w:r>
        <w:rPr>
          <w:rFonts w:ascii="Times New Roman" w:hAnsi="Times New Roman" w:cs="Times New Roman" w:eastAsia="Times New Roman" w:hint="default"/>
        </w:rPr>
        <w:t>0.1000%</w:t>
      </w:r>
      <w:r>
        <w:rPr/>
        <w:t>；刘兴安出资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；彭江波出资</w:t>
      </w:r>
      <w:r>
        <w:rPr>
          <w:rFonts w:ascii="Times New Roman" w:hAnsi="Times New Roman" w:cs="Times New Roman" w:eastAsia="Times New Roman" w:hint="default"/>
        </w:rPr>
        <w:t>5</w:t>
      </w:r>
      <w:r>
        <w:rPr/>
        <w:t>万元，占注册资本的</w:t>
      </w:r>
      <w:r>
        <w:rPr>
          <w:rFonts w:ascii="Times New Roman" w:hAnsi="Times New Roman" w:cs="Times New Roman" w:eastAsia="Times New Roman" w:hint="default"/>
        </w:rPr>
        <w:t>0.1000%</w:t>
      </w:r>
      <w:r>
        <w:rPr/>
        <w:t>；李敬勋出资</w:t>
      </w:r>
      <w:r>
        <w:rPr>
          <w:rFonts w:ascii="Times New Roman" w:hAnsi="Times New Roman" w:cs="Times New Roman" w:eastAsia="Times New Roman" w:hint="default"/>
        </w:rPr>
        <w:t>5</w:t>
      </w:r>
      <w:r>
        <w:rPr/>
        <w:t>万</w:t>
      </w:r>
    </w:p>
    <w:p>
      <w:pPr>
        <w:spacing w:after="0" w:line="300" w:lineRule="auto"/>
        <w:jc w:val="left"/>
        <w:sectPr>
          <w:pgSz w:w="11910" w:h="16840"/>
          <w:pgMar w:header="877" w:footer="979" w:top="1100" w:bottom="1160" w:left="980" w:right="920"/>
        </w:sectPr>
      </w:pPr>
    </w:p>
    <w:p>
      <w:pPr>
        <w:spacing w:line="240" w:lineRule="auto" w:before="11"/>
        <w:rPr>
          <w:rFonts w:ascii="宋体" w:hAnsi="宋体" w:cs="宋体" w:eastAsia="宋体" w:hint="default"/>
          <w:sz w:val="21"/>
          <w:szCs w:val="21"/>
        </w:rPr>
      </w:pPr>
    </w:p>
    <w:p>
      <w:pPr>
        <w:pStyle w:val="BodyText"/>
        <w:spacing w:line="300" w:lineRule="auto" w:before="44"/>
        <w:ind w:left="152" w:right="191"/>
        <w:jc w:val="both"/>
      </w:pPr>
      <w:r>
        <w:rPr>
          <w:spacing w:val="-1"/>
        </w:rPr>
        <w:t>元，占注册资本的</w:t>
      </w:r>
      <w:r>
        <w:rPr>
          <w:rFonts w:ascii="Times New Roman" w:hAnsi="Times New Roman" w:cs="Times New Roman" w:eastAsia="Times New Roman" w:hint="default"/>
          <w:spacing w:val="-1"/>
        </w:rPr>
        <w:t>0.1000%</w:t>
      </w:r>
      <w:r>
        <w:rPr>
          <w:spacing w:val="-1"/>
        </w:rPr>
        <w:t>；毕永东出资</w:t>
      </w:r>
      <w:r>
        <w:rPr>
          <w:rFonts w:ascii="Times New Roman" w:hAnsi="Times New Roman" w:cs="Times New Roman" w:eastAsia="Times New Roman" w:hint="default"/>
          <w:spacing w:val="-1"/>
        </w:rPr>
        <w:t>5</w:t>
      </w:r>
      <w:r>
        <w:rPr>
          <w:spacing w:val="-1"/>
        </w:rPr>
        <w:t>万元，占注册资本的</w:t>
      </w:r>
      <w:r>
        <w:rPr>
          <w:rFonts w:ascii="Times New Roman" w:hAnsi="Times New Roman" w:cs="Times New Roman" w:eastAsia="Times New Roman" w:hint="default"/>
          <w:spacing w:val="-1"/>
        </w:rPr>
        <w:t>0.1000%</w:t>
      </w:r>
      <w:r>
        <w:rPr>
          <w:spacing w:val="-1"/>
        </w:rPr>
        <w:t>；陈华治出资</w:t>
      </w:r>
      <w:r>
        <w:rPr>
          <w:rFonts w:ascii="Times New Roman" w:hAnsi="Times New Roman" w:cs="Times New Roman" w:eastAsia="Times New Roman" w:hint="default"/>
          <w:spacing w:val="-1"/>
        </w:rPr>
        <w:t>5</w:t>
      </w:r>
      <w:r>
        <w:rPr>
          <w:spacing w:val="-1"/>
        </w:rPr>
        <w:t>万元，占注册资本的</w:t>
      </w:r>
      <w:r>
        <w:rPr>
          <w:rFonts w:ascii="Times New Roman" w:hAnsi="Times New Roman" w:cs="Times New Roman" w:eastAsia="Times New Roman" w:hint="default"/>
          <w:spacing w:val="-1"/>
        </w:rPr>
        <w:t>0.1000%</w:t>
      </w:r>
      <w:r>
        <w:rPr>
          <w:spacing w:val="-1"/>
        </w:rPr>
        <w:t>。上述事</w:t>
      </w:r>
      <w:r>
        <w:rPr>
          <w:spacing w:val="-74"/>
        </w:rPr>
        <w:t> </w:t>
      </w:r>
      <w:r>
        <w:rPr>
          <w:spacing w:val="-74"/>
        </w:rPr>
      </w:r>
      <w:r>
        <w:rPr/>
        <w:t>项业经中瑞岳华会计师事务所中瑞岳华验字</w:t>
      </w:r>
      <w:r>
        <w:rPr>
          <w:rFonts w:ascii="Times New Roman" w:hAnsi="Times New Roman" w:cs="Times New Roman" w:eastAsia="Times New Roman" w:hint="default"/>
        </w:rPr>
        <w:t>[2009]  </w:t>
      </w:r>
      <w:r>
        <w:rPr/>
        <w:t>第</w:t>
      </w:r>
      <w:r>
        <w:rPr>
          <w:rFonts w:ascii="Times New Roman" w:hAnsi="Times New Roman" w:cs="Times New Roman" w:eastAsia="Times New Roman" w:hint="default"/>
        </w:rPr>
        <w:t>244</w:t>
      </w:r>
      <w:r>
        <w:rPr>
          <w:rFonts w:ascii="Times New Roman" w:hAnsi="Times New Roman" w:cs="Times New Roman" w:eastAsia="Times New Roman" w:hint="default"/>
          <w:spacing w:val="6"/>
        </w:rPr>
        <w:t> </w:t>
      </w:r>
      <w:r>
        <w:rPr/>
        <w:t>号验资报告验证。</w:t>
      </w:r>
    </w:p>
    <w:p>
      <w:pPr>
        <w:pStyle w:val="BodyText"/>
        <w:spacing w:line="240" w:lineRule="auto" w:before="13"/>
        <w:ind w:right="0"/>
        <w:jc w:val="left"/>
      </w:pPr>
      <w:r>
        <w:rPr/>
        <w:t>份转让给公司股东林皓。上述事项已于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日完成工商变更登记。</w:t>
      </w:r>
    </w:p>
    <w:p>
      <w:pPr>
        <w:pStyle w:val="BodyText"/>
        <w:spacing w:line="300" w:lineRule="auto" w:before="63"/>
        <w:ind w:left="152" w:right="184" w:firstLine="792"/>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日，根据公司</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t>年第一届董事会第五次临时会议审议通过了《关于马潇潇转让所持北京北信源软 件股份有限公司七万五千股股份的议案》，股东马潇潇将其持有的公司</w:t>
      </w:r>
      <w:r>
        <w:rPr>
          <w:rFonts w:ascii="Times New Roman" w:hAnsi="Times New Roman" w:cs="Times New Roman" w:eastAsia="Times New Roman" w:hint="default"/>
        </w:rPr>
        <w:t>7.5</w:t>
      </w:r>
      <w:r>
        <w:rPr/>
        <w:t>万股股份转让给公司第一大股东林皓。上述事项 </w:t>
      </w:r>
      <w:r>
        <w:rPr>
          <w:spacing w:val="-2"/>
        </w:rPr>
        <w:t>已于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日完成工商变更登记。根据本公司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2011</w:t>
      </w:r>
      <w:r>
        <w:rPr>
          <w:spacing w:val="-2"/>
        </w:rPr>
        <w:t>年第一次临时股东大会决议及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日召</w:t>
      </w:r>
      <w:r>
        <w:rPr>
          <w:spacing w:val="-47"/>
        </w:rPr>
        <w:t> </w:t>
      </w:r>
      <w:r>
        <w:rPr>
          <w:spacing w:val="-2"/>
        </w:rPr>
        <w:t>开的</w:t>
      </w:r>
      <w:r>
        <w:rPr>
          <w:rFonts w:ascii="Times New Roman" w:hAnsi="Times New Roman" w:cs="Times New Roman" w:eastAsia="Times New Roman" w:hint="default"/>
          <w:spacing w:val="-2"/>
        </w:rPr>
        <w:t>2012</w:t>
      </w:r>
      <w:r>
        <w:rPr>
          <w:spacing w:val="-2"/>
        </w:rPr>
        <w:t>年第一次临时股东大会决议，经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日中国证券监督管理委员会（</w:t>
      </w:r>
      <w:r>
        <w:rPr>
          <w:rFonts w:ascii="Times New Roman" w:hAnsi="Times New Roman" w:cs="Times New Roman" w:eastAsia="Times New Roman" w:hint="default"/>
          <w:spacing w:val="-2"/>
        </w:rPr>
        <w:t>“</w:t>
      </w:r>
      <w:r>
        <w:rPr>
          <w:spacing w:val="-2"/>
        </w:rPr>
        <w:t>证监会</w:t>
      </w:r>
      <w:r>
        <w:rPr>
          <w:rFonts w:ascii="Times New Roman" w:hAnsi="Times New Roman" w:cs="Times New Roman" w:eastAsia="Times New Roman" w:hint="default"/>
          <w:spacing w:val="-2"/>
        </w:rPr>
        <w:t>”</w:t>
      </w:r>
      <w:r>
        <w:rPr>
          <w:spacing w:val="-2"/>
        </w:rPr>
        <w:t>）《关于核准北京北信源软件股</w:t>
      </w:r>
      <w:r>
        <w:rPr>
          <w:spacing w:val="-39"/>
        </w:rPr>
        <w:t> </w:t>
      </w:r>
      <w:r>
        <w:rPr>
          <w:spacing w:val="-39"/>
        </w:rPr>
      </w:r>
      <w:r>
        <w:rPr/>
        <w:t>份有限公司首次公开发行股票并在创业板上市的批复》（证监许可【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1054</w:t>
      </w:r>
      <w:r>
        <w:rPr>
          <w:rFonts w:ascii="Times New Roman" w:hAnsi="Times New Roman" w:cs="Times New Roman" w:eastAsia="Times New Roman" w:hint="default"/>
          <w:spacing w:val="25"/>
        </w:rPr>
        <w:t> </w:t>
      </w:r>
      <w:r>
        <w:rPr/>
        <w:t>号），本公司向社会公开发行人民币普通 股（</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股）</w:t>
      </w:r>
      <w:r>
        <w:rPr>
          <w:rFonts w:ascii="Times New Roman" w:hAnsi="Times New Roman" w:cs="Times New Roman" w:eastAsia="Times New Roman" w:hint="default"/>
        </w:rPr>
        <w:t>1670</w:t>
      </w:r>
      <w:r>
        <w:rPr/>
        <w:t>万股，每股面值为人民币壹元。经深圳证券交易所《关于北京北信源软件股份有限公司人民币普通股股票 在创业板上市的通知》（深证上</w:t>
      </w:r>
      <w:r>
        <w:rPr>
          <w:rFonts w:ascii="Times New Roman" w:hAnsi="Times New Roman" w:cs="Times New Roman" w:eastAsia="Times New Roman" w:hint="default"/>
        </w:rPr>
        <w:t>[2012]301</w:t>
      </w:r>
      <w:r>
        <w:rPr>
          <w:rFonts w:ascii="Times New Roman" w:hAnsi="Times New Roman" w:cs="Times New Roman" w:eastAsia="Times New Roman" w:hint="default"/>
          <w:spacing w:val="28"/>
        </w:rPr>
        <w:t> </w:t>
      </w:r>
      <w:r>
        <w:rPr/>
        <w:t>号）同意，公司公开发行的人民币普通股股票于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日在深圳证券交易 所创业板上市交易，证券代码为</w:t>
      </w:r>
      <w:r>
        <w:rPr>
          <w:rFonts w:ascii="Times New Roman" w:hAnsi="Times New Roman" w:cs="Times New Roman" w:eastAsia="Times New Roman" w:hint="default"/>
        </w:rPr>
        <w:t>300352</w:t>
      </w:r>
      <w:r>
        <w:rPr/>
        <w:t>。发行后，本公司注册资本增至人民币</w:t>
      </w:r>
      <w:r>
        <w:rPr>
          <w:rFonts w:ascii="Times New Roman" w:hAnsi="Times New Roman" w:cs="Times New Roman" w:eastAsia="Times New Roman" w:hint="default"/>
        </w:rPr>
        <w:t>6670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日，经公司</w:t>
      </w:r>
      <w:r>
        <w:rPr>
          <w:rFonts w:ascii="Times New Roman" w:hAnsi="Times New Roman" w:cs="Times New Roman" w:eastAsia="Times New Roman" w:hint="default"/>
        </w:rPr>
        <w:t>2012 </w:t>
      </w:r>
      <w:r>
        <w:rPr>
          <w:spacing w:val="-2"/>
        </w:rPr>
        <w:t>年度股东大会审议通过以公司总股本</w:t>
      </w:r>
      <w:r>
        <w:rPr>
          <w:rFonts w:ascii="Times New Roman" w:hAnsi="Times New Roman" w:cs="Times New Roman" w:eastAsia="Times New Roman" w:hint="default"/>
          <w:spacing w:val="-2"/>
        </w:rPr>
        <w:t>66,700,000</w:t>
      </w:r>
      <w:r>
        <w:rPr>
          <w:spacing w:val="-2"/>
        </w:rPr>
        <w:t>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66,700,000</w:t>
      </w:r>
      <w:r>
        <w:rPr>
          <w:spacing w:val="-2"/>
        </w:rPr>
        <w:t>股，转增后公司总</w:t>
      </w:r>
      <w:r>
        <w:rPr>
          <w:spacing w:val="-46"/>
        </w:rPr>
        <w:t> </w:t>
      </w:r>
      <w:r>
        <w:rPr>
          <w:spacing w:val="-46"/>
        </w:rPr>
      </w:r>
      <w:r>
        <w:rPr>
          <w:spacing w:val="-2"/>
        </w:rPr>
        <w:t>股本增加至</w:t>
      </w:r>
      <w:r>
        <w:rPr>
          <w:rFonts w:ascii="Times New Roman" w:hAnsi="Times New Roman" w:cs="Times New Roman" w:eastAsia="Times New Roman" w:hint="default"/>
          <w:spacing w:val="-2"/>
        </w:rPr>
        <w:t>133,400,000</w:t>
      </w:r>
      <w:r>
        <w:rPr>
          <w:spacing w:val="-2"/>
        </w:rPr>
        <w:t>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w:t>
      </w:r>
      <w:r>
        <w:rPr>
          <w:rFonts w:ascii="Times New Roman" w:hAnsi="Times New Roman" w:cs="Times New Roman" w:eastAsia="Times New Roman" w:hint="default"/>
          <w:spacing w:val="-2"/>
        </w:rPr>
        <w:t>2013</w:t>
      </w:r>
      <w:r>
        <w:rPr>
          <w:spacing w:val="-2"/>
        </w:rPr>
        <w:t>年度股东大会审议通过了以公司总股本</w:t>
      </w:r>
      <w:r>
        <w:rPr>
          <w:rFonts w:ascii="Times New Roman" w:hAnsi="Times New Roman" w:cs="Times New Roman" w:eastAsia="Times New Roman" w:hint="default"/>
          <w:spacing w:val="-2"/>
        </w:rPr>
        <w:t>133,400,000</w:t>
      </w:r>
      <w:r>
        <w:rPr>
          <w:spacing w:val="-2"/>
        </w:rPr>
        <w:t>股为基数向全体股东每</w:t>
      </w:r>
      <w:r>
        <w:rPr>
          <w:spacing w:val="-35"/>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133,400,000</w:t>
      </w:r>
      <w:r>
        <w:rPr/>
        <w:t>股，转增后公司总股本将增加至</w:t>
      </w:r>
      <w:r>
        <w:rPr>
          <w:rFonts w:ascii="Times New Roman" w:hAnsi="Times New Roman" w:cs="Times New Roman" w:eastAsia="Times New Roman" w:hint="default"/>
        </w:rPr>
        <w:t>266,800,000</w:t>
      </w:r>
      <w:r>
        <w:rPr>
          <w:rFonts w:ascii="Times New Roman" w:hAnsi="Times New Roman" w:cs="Times New Roman" w:eastAsia="Times New Roman" w:hint="default"/>
          <w:spacing w:val="20"/>
        </w:rPr>
        <w:t> </w:t>
      </w:r>
      <w:r>
        <w:rPr/>
        <w:t>股。</w:t>
      </w:r>
    </w:p>
    <w:p>
      <w:pPr>
        <w:pStyle w:val="BodyText"/>
        <w:spacing w:line="300" w:lineRule="auto" w:before="13"/>
        <w:ind w:left="152" w:right="235" w:firstLine="864"/>
        <w:jc w:val="left"/>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日，公司取得北京市工商行政管理局换发的《企业法人营业执照》，完成了工商变更登记手续。 本公司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日被北京市软件企业认定和软件产品登记机关认定为软件企业（证书编号：京</w:t>
      </w:r>
      <w:r>
        <w:rPr>
          <w:rFonts w:ascii="Times New Roman" w:hAnsi="Times New Roman" w:cs="Times New Roman" w:eastAsia="Times New Roman" w:hint="default"/>
        </w:rPr>
        <w:t>R-2000-0026</w:t>
      </w:r>
      <w:r>
        <w:rPr/>
        <w:t>）</w:t>
      </w:r>
    </w:p>
    <w:p>
      <w:pPr>
        <w:pStyle w:val="BodyText"/>
        <w:spacing w:line="300" w:lineRule="auto" w:before="13"/>
        <w:ind w:left="152" w:right="202" w:firstLine="792"/>
        <w:jc w:val="left"/>
      </w:pPr>
      <w:r>
        <w:rPr/>
        <w:t>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日取得了北京市科学技术委员会、北京市财政局、北京市国家税务局和北京市地方税务局 联合颁发的《高新技术企业证书》（证书编号：</w:t>
      </w:r>
      <w:r>
        <w:rPr>
          <w:rFonts w:ascii="Times New Roman" w:hAnsi="Times New Roman" w:cs="Times New Roman" w:eastAsia="Times New Roman" w:hint="default"/>
        </w:rPr>
        <w:t>GR201111001810</w:t>
      </w:r>
      <w:r>
        <w:rPr/>
        <w:t>）。</w:t>
      </w:r>
    </w:p>
    <w:p>
      <w:pPr>
        <w:pStyle w:val="BodyText"/>
        <w:spacing w:line="316" w:lineRule="auto" w:before="13"/>
        <w:ind w:left="945" w:right="5871"/>
        <w:jc w:val="left"/>
        <w:rPr>
          <w:rFonts w:ascii="Times New Roman" w:hAnsi="Times New Roman" w:cs="Times New Roman" w:eastAsia="Times New Roman" w:hint="default"/>
        </w:rPr>
      </w:pPr>
      <w:r>
        <w:rPr/>
        <w:t>法定代表人：林皓。 企业法人营业执照号：</w:t>
      </w:r>
      <w:r>
        <w:rPr>
          <w:rFonts w:ascii="Times New Roman" w:hAnsi="Times New Roman" w:cs="Times New Roman" w:eastAsia="Times New Roman" w:hint="default"/>
        </w:rPr>
        <w:t>110108004645099</w:t>
      </w:r>
    </w:p>
    <w:p>
      <w:pPr>
        <w:pStyle w:val="BodyText"/>
        <w:spacing w:line="300" w:lineRule="auto"/>
        <w:ind w:left="945" w:right="221"/>
        <w:jc w:val="left"/>
      </w:pPr>
      <w:r>
        <w:rPr/>
        <w:t>注册地址：北京市海淀区中关村南大街</w:t>
      </w:r>
      <w:r>
        <w:rPr>
          <w:rFonts w:ascii="Times New Roman" w:hAnsi="Times New Roman" w:cs="Times New Roman" w:eastAsia="Times New Roman" w:hint="default"/>
        </w:rPr>
        <w:t>34</w:t>
      </w:r>
      <w:r>
        <w:rPr/>
        <w:t>号中关村科技发展大厦</w:t>
      </w:r>
      <w:r>
        <w:rPr>
          <w:rFonts w:ascii="Times New Roman" w:hAnsi="Times New Roman" w:cs="Times New Roman" w:eastAsia="Times New Roman" w:hint="default"/>
        </w:rPr>
        <w:t>C </w:t>
      </w:r>
      <w:r>
        <w:rPr/>
        <w:t>座</w:t>
      </w:r>
      <w:r>
        <w:rPr>
          <w:rFonts w:ascii="Times New Roman" w:hAnsi="Times New Roman" w:cs="Times New Roman" w:eastAsia="Times New Roman" w:hint="default"/>
        </w:rPr>
        <w:t>1602</w:t>
      </w:r>
      <w:r>
        <w:rPr>
          <w:rFonts w:ascii="Times New Roman" w:hAnsi="Times New Roman" w:cs="Times New Roman" w:eastAsia="Times New Roman" w:hint="default"/>
          <w:spacing w:val="8"/>
        </w:rPr>
        <w:t> </w:t>
      </w:r>
      <w:r>
        <w:rPr/>
        <w:t>室。 本公司及子公司（统称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）主要经营范围：销售计算机信息系统安全专用产品、经国家密码管理局审批并</w:t>
      </w:r>
    </w:p>
    <w:p>
      <w:pPr>
        <w:pStyle w:val="BodyText"/>
        <w:spacing w:line="316" w:lineRule="auto" w:before="13"/>
        <w:ind w:left="152" w:right="193"/>
        <w:jc w:val="both"/>
      </w:pPr>
      <w:r>
        <w:rPr>
          <w:spacing w:val="-2"/>
        </w:rPr>
        <w:t>通过指定检测机构产品质量检测的商用密码产品；经国家密码管理机构批准的商用密码产品的开发。计算机系统服务；数据</w:t>
      </w:r>
      <w:r>
        <w:rPr>
          <w:spacing w:val="-65"/>
        </w:rPr>
        <w:t> </w:t>
      </w:r>
      <w:r>
        <w:rPr>
          <w:spacing w:val="-65"/>
        </w:rPr>
      </w:r>
      <w:r>
        <w:rPr>
          <w:spacing w:val="-2"/>
        </w:rPr>
        <w:t>处理；基础软件服务；应用软件服务；计算机软硬件及通信设备的研发、技术推广、技术转让、技术培训、维修、咨询、服</w:t>
      </w:r>
      <w:r>
        <w:rPr>
          <w:spacing w:val="-70"/>
        </w:rPr>
        <w:t> </w:t>
      </w:r>
      <w:r>
        <w:rPr>
          <w:spacing w:val="-70"/>
        </w:rPr>
      </w:r>
      <w:r>
        <w:rPr/>
        <w:t>务、销售；计算机软硬件的生产、组装；复制记录媒介（不含出版物）；技术进出口、货物进出口、代理进出口。</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left="152" w:right="189"/>
        <w:jc w:val="both"/>
      </w:pPr>
      <w:r>
        <w:rPr/>
        <w:t>（财政部令第</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号发布</w:t>
      </w:r>
      <w:r>
        <w:rPr>
          <w:spacing w:val="-10"/>
        </w:rPr>
        <w:t>、</w:t>
      </w:r>
      <w:r>
        <w:rPr/>
        <w:t>财</w:t>
      </w:r>
      <w:r>
        <w:rPr>
          <w:spacing w:val="-3"/>
        </w:rPr>
        <w:t>政</w:t>
      </w:r>
      <w:r>
        <w:rPr/>
        <w:t>部令第</w:t>
      </w:r>
      <w:r>
        <w:rPr>
          <w:spacing w:val="-4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号修订</w:t>
      </w:r>
      <w:r>
        <w:rPr>
          <w:spacing w:val="-92"/>
        </w:rPr>
        <w:t>）</w:t>
      </w:r>
      <w:r>
        <w:rPr>
          <w:spacing w:val="-10"/>
        </w:rPr>
        <w:t>、</w:t>
      </w:r>
      <w:r>
        <w:rPr/>
        <w:t>于</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日及其后颁布和修订的</w:t>
      </w:r>
      <w:r>
        <w:rPr>
          <w:spacing w:val="-47"/>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项具体会计准则</w:t>
      </w:r>
      <w:r>
        <w:rPr>
          <w:spacing w:val="-10"/>
        </w:rPr>
        <w:t>、</w:t>
      </w:r>
      <w:r>
        <w:rPr/>
        <w:t>企业会计</w:t>
      </w:r>
      <w:r>
        <w:rPr/>
        <w:t> 准则应用指南、企业会计准则解释及其他相关规定（以下合</w:t>
      </w:r>
      <w:r>
        <w:rPr>
          <w:spacing w:val="1"/>
        </w:rPr>
        <w:t>称</w:t>
      </w:r>
      <w:r>
        <w:rPr>
          <w:rFonts w:ascii="Times New Roman" w:hAnsi="Times New Roman" w:cs="Times New Roman" w:eastAsia="Times New Roman" w:hint="default"/>
          <w:spacing w:val="-1"/>
          <w:w w:val="100"/>
        </w:rPr>
        <w:t>“</w:t>
      </w:r>
      <w:r>
        <w:rPr/>
        <w:t>企业会计准则</w:t>
      </w:r>
      <w:r>
        <w:rPr>
          <w:rFonts w:ascii="Times New Roman" w:hAnsi="Times New Roman" w:cs="Times New Roman" w:eastAsia="Times New Roman" w:hint="default"/>
          <w:spacing w:val="-1"/>
          <w:w w:val="100"/>
        </w:rPr>
        <w:t>”</w:t>
      </w:r>
      <w:r>
        <w:rPr>
          <w:spacing w:val="-92"/>
        </w:rPr>
        <w:t>）</w:t>
      </w:r>
      <w:r>
        <w:rPr/>
        <w:t>，以及中</w:t>
      </w:r>
      <w:r>
        <w:rPr>
          <w:spacing w:val="2"/>
        </w:rPr>
        <w:t>国</w:t>
      </w:r>
      <w:r>
        <w:rPr/>
        <w:t>证券监督管理委员会《公开发行</w:t>
      </w:r>
      <w:r>
        <w:rPr/>
        <w:t> 证券的公司信息披露编报规则第</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财务报告的一般</w:t>
      </w:r>
      <w:r>
        <w:rPr>
          <w:spacing w:val="-3"/>
        </w:rPr>
        <w:t>规</w:t>
      </w:r>
      <w:r>
        <w:rPr/>
        <w:t>定</w:t>
      </w:r>
      <w:r>
        <w:rPr>
          <w:spacing w:val="-92"/>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年修订）的披露</w:t>
      </w:r>
      <w:r>
        <w:rPr>
          <w:spacing w:val="-3"/>
        </w:rPr>
        <w:t>规</w:t>
      </w:r>
      <w:r>
        <w:rPr/>
        <w:t>定编制。</w:t>
      </w:r>
    </w:p>
    <w:p>
      <w:pPr>
        <w:pStyle w:val="BodyText"/>
        <w:spacing w:line="316" w:lineRule="auto" w:before="53"/>
        <w:ind w:left="152" w:right="190" w:firstLine="360"/>
        <w:jc w:val="both"/>
      </w:pPr>
      <w:r>
        <w:rPr>
          <w:spacing w:val="-2"/>
        </w:rPr>
        <w:t>根据企业会计准则的相关规定，本公司会计核算以权责发生制为基础。除某些金融工具和投资性房地产外，本财务报表</w:t>
      </w:r>
      <w:r>
        <w:rPr/>
        <w:t> </w:t>
      </w:r>
      <w:r>
        <w:rPr>
          <w:spacing w:val="-2"/>
        </w:rPr>
        <w:t>均以历史成本为计量基础。持有待售的非流动资产，按公允价值减去预计费用后的金额，以及符合持有待售条件时的原账面</w:t>
      </w:r>
      <w:r>
        <w:rPr>
          <w:spacing w:val="-63"/>
        </w:rPr>
        <w:t> </w:t>
      </w:r>
      <w:r>
        <w:rPr>
          <w:spacing w:val="-63"/>
        </w:rPr>
      </w:r>
      <w:r>
        <w:rPr/>
        <w:t>价值，取两者孰低计价。资产如果发生减值，则按照相关规定计提相应的减值准备。</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after="0" w:line="240" w:lineRule="auto"/>
        <w:jc w:val="left"/>
        <w:sectPr>
          <w:pgSz w:w="11910" w:h="16840"/>
          <w:pgMar w:header="877"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53"/>
        <w:jc w:val="left"/>
      </w:pPr>
      <w:r>
        <w:rPr/>
        <w:t>具体会计政策和会计估计提示： 本公司重要会计政策及会计估计，是依据财政部发布的企业会计准则的有关规定，结合本公司生产经营特点制定。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本公司编制的财务报表符合企业会计准则的要求，真实、完整地反映了本公司</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日的财务状况及</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p>
    <w:p>
      <w:pPr>
        <w:pStyle w:val="BodyText"/>
        <w:spacing w:line="240" w:lineRule="auto" w:before="63"/>
        <w:ind w:left="152" w:right="0"/>
        <w:jc w:val="left"/>
      </w:pPr>
      <w:r>
        <w:rPr/>
        <w:t>度的经营成果和现金流量等有关信息。此外，本公司的财务报表在所有重大方面符合中国证券监督管理委员会</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年修订</w:t>
      </w:r>
    </w:p>
    <w:p>
      <w:pPr>
        <w:pStyle w:val="BodyText"/>
        <w:spacing w:line="240" w:lineRule="auto" w:before="63"/>
        <w:ind w:left="152" w:right="0"/>
        <w:jc w:val="left"/>
      </w:pPr>
      <w:r>
        <w:rPr/>
        <w:t>的《公开发行证券的公司信息披露编报规则第</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号－财务报告的一般规定》有关财务报表及其附注的披露要求。</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94" w:firstLine="360"/>
        <w:jc w:val="left"/>
      </w:pPr>
      <w:r>
        <w:rPr/>
        <w:t>本公司的会计期间分为年度和中期，会计中期指短于一个完整的会计年度的报告期间。本公司会计年度采用公历年度， 即每年自</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日起至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0"/>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152" w:right="190" w:firstLine="360"/>
        <w:jc w:val="left"/>
      </w:pPr>
      <w:r>
        <w:rPr/>
        <w:t>正常营业周期是指本公司从购买用于加工的资产起至实现现金或现金等价物的期间。本公司以</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个月作为一个营业周 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152" w:right="0" w:firstLine="360"/>
        <w:jc w:val="left"/>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52"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40" w:lineRule="auto" w:before="57"/>
        <w:ind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1"/>
        <w:ind w:left="152"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59"/>
        <w:ind w:left="152" w:right="176" w:firstLine="360"/>
        <w:jc w:val="left"/>
      </w:pPr>
      <w:r>
        <w:rPr/>
        <w:t>合并方取得的资产和负债均按合并日在被合并方的账面价值计量</w:t>
      </w:r>
      <w:r>
        <w:rPr>
          <w:spacing w:val="-82"/>
        </w:rPr>
        <w:t>。</w:t>
      </w:r>
      <w:r>
        <w:rPr/>
        <w:t>合并方取得的净资产账面价值与支付的合并对价账面</w:t>
      </w:r>
      <w:r>
        <w:rPr/>
        <w:t> 价值（或发行股份面值总额）的差额，调整资本公积（股本溢价</w:t>
      </w:r>
      <w:r>
        <w:rPr>
          <w:spacing w:val="-92"/>
        </w:rPr>
        <w:t>）</w:t>
      </w:r>
      <w:r>
        <w:rPr/>
        <w:t>；资本公积（股本溢价</w:t>
      </w:r>
      <w:r>
        <w:rPr>
          <w:spacing w:val="2"/>
        </w:rPr>
        <w:t>）</w:t>
      </w:r>
      <w:r>
        <w:rPr/>
        <w:t>不足以冲减的，调整留存收益。</w:t>
      </w:r>
    </w:p>
    <w:p>
      <w:pPr>
        <w:pStyle w:val="BodyText"/>
        <w:spacing w:line="240" w:lineRule="auto" w:before="57"/>
        <w:ind w:right="0"/>
        <w:jc w:val="left"/>
      </w:pPr>
      <w:r>
        <w:rPr/>
        <w:t>合并方为进行企业合并发生的各项直接费用，于发生时计入当期损益。</w:t>
      </w:r>
    </w:p>
    <w:p>
      <w:pPr>
        <w:pStyle w:val="BodyText"/>
        <w:spacing w:line="340" w:lineRule="auto" w:before="117"/>
        <w:ind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spacing w:after="0" w:line="3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0"/>
        <w:jc w:val="left"/>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59"/>
        <w:ind w:left="152"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t>金额。所涉及的或有对价按其在购买日的公允价值计入合并成本，购买日后</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个月内出现对购买日已存在情况的新的或进 </w:t>
      </w:r>
      <w:r>
        <w:rPr>
          <w:spacing w:val="-2"/>
        </w:rPr>
        <w:t>一步证据而需要调整或有对价的，相应调整合并商誉。购买方发生的合并成本及在合并中取得的可辨认净资产按购买日的公</w:t>
      </w:r>
      <w:r>
        <w:rPr>
          <w:spacing w:val="-62"/>
        </w:rPr>
        <w:t> </w:t>
      </w:r>
      <w:r>
        <w:rPr>
          <w:spacing w:val="-62"/>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58"/>
        <w:ind w:left="152" w:right="191" w:firstLine="360"/>
        <w:jc w:val="both"/>
      </w:pPr>
      <w:r>
        <w:rPr/>
        <w:t>购买方取得被购买方的可抵扣暂时性差异，在购买日因不符合递延所得税资产确认条件而未予确认的，在购买日后</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2"/>
        </w:rPr>
        <w:t>个月内，如取得新的或进一步的信息表明购买日的相关情况已经存在，预期被购买方在购买日可抵扣暂时性差异带来的经济</w:t>
      </w:r>
      <w:r>
        <w:rPr>
          <w:spacing w:val="-63"/>
        </w:rPr>
        <w:t> </w:t>
      </w:r>
      <w:r>
        <w:rPr>
          <w:spacing w:val="-63"/>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pStyle w:val="BodyText"/>
        <w:spacing w:line="240" w:lineRule="auto" w:before="63"/>
        <w:ind w:right="0"/>
        <w:jc w:val="left"/>
      </w:pPr>
      <w:r>
        <w:rPr/>
        <w:t>通过多次交易分步实现的非同一控制下企业合并</w:t>
      </w:r>
      <w:r>
        <w:rPr>
          <w:spacing w:val="-63"/>
        </w:rPr>
        <w:t>，</w:t>
      </w:r>
      <w:r>
        <w:rPr/>
        <w:t>根</w:t>
      </w:r>
      <w:r>
        <w:rPr>
          <w:spacing w:val="-63"/>
        </w:rPr>
        <w:t>据</w:t>
      </w:r>
      <w:r>
        <w:rPr/>
        <w:t>《财</w:t>
      </w:r>
      <w:r>
        <w:rPr>
          <w:spacing w:val="-3"/>
        </w:rPr>
        <w:t>政</w:t>
      </w:r>
      <w:r>
        <w:rPr/>
        <w:t>部关于印发企业会计准则解释第</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号的通知</w:t>
      </w:r>
      <w:r>
        <w:rPr>
          <w:spacing w:val="-154"/>
        </w:rPr>
        <w:t>》</w:t>
      </w:r>
      <w:r>
        <w:rPr/>
        <w:t>（财</w:t>
      </w:r>
      <w:r>
        <w:rPr>
          <w:spacing w:val="-63"/>
        </w:rPr>
        <w:t>会</w:t>
      </w:r>
      <w:r>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w:t>
      </w:r>
    </w:p>
    <w:p>
      <w:pPr>
        <w:pStyle w:val="BodyText"/>
        <w:spacing w:line="300" w:lineRule="auto" w:before="63"/>
        <w:ind w:left="152" w:right="188"/>
        <w:jc w:val="both"/>
      </w:pPr>
      <w:r>
        <w:rPr>
          <w:rFonts w:ascii="Times New Roman" w:hAnsi="Times New Roman" w:cs="Times New Roman" w:eastAsia="Times New Roman" w:hint="default"/>
        </w:rPr>
        <w:t>19</w:t>
      </w:r>
      <w:r>
        <w:rPr>
          <w:rFonts w:ascii="Times New Roman" w:hAnsi="Times New Roman" w:cs="Times New Roman" w:eastAsia="Times New Roman" w:hint="default"/>
          <w:spacing w:val="-22"/>
        </w:rPr>
        <w:t> </w:t>
      </w:r>
      <w:r>
        <w:rPr>
          <w:spacing w:val="-3"/>
        </w:rPr>
        <w:t>号）和《企业会计准则第</w:t>
      </w:r>
      <w:r>
        <w:rPr>
          <w:spacing w:val="-62"/>
        </w:rPr>
        <w:t> </w:t>
      </w:r>
      <w:r>
        <w:rPr>
          <w:rFonts w:ascii="Times New Roman" w:hAnsi="Times New Roman" w:cs="Times New Roman" w:eastAsia="Times New Roman" w:hint="default"/>
        </w:rPr>
        <w:t>33</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 </w:t>
      </w:r>
      <w:r>
        <w:rPr>
          <w:spacing w:val="-3"/>
          <w:w w:val="100"/>
        </w:rPr>
        <w:t>并财务报表编制的方法</w:t>
      </w:r>
      <w:r>
        <w:rPr>
          <w:rFonts w:ascii="Times New Roman" w:hAnsi="Times New Roman" w:cs="Times New Roman" w:eastAsia="Times New Roman" w:hint="default"/>
          <w:spacing w:val="-3"/>
          <w:w w:val="100"/>
        </w:rPr>
        <w:t>”</w:t>
      </w:r>
      <w:r>
        <w:rPr>
          <w:spacing w:val="-3"/>
          <w:w w:val="100"/>
        </w:rPr>
        <w:t>），判断该多次交易是否属于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的，参考本部分前面各段描述及本附</w:t>
      </w:r>
      <w:r>
        <w:rPr>
          <w:spacing w:val="-47"/>
          <w:w w:val="100"/>
        </w:rPr>
        <w:t> </w:t>
      </w:r>
      <w:r>
        <w:rPr>
          <w:spacing w:val="-47"/>
          <w:w w:val="100"/>
        </w:rPr>
      </w:r>
      <w:r>
        <w:rPr/>
        <w:t>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53"/>
        <w:ind w:left="152" w:right="19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spacing w:val="-3"/>
        </w:rPr>
        <w:t>净负债或净资产导致的变动中的相应份额以外，其余转入当期投资收益）。</w:t>
      </w:r>
    </w:p>
    <w:p>
      <w:pPr>
        <w:pStyle w:val="BodyText"/>
        <w:spacing w:line="316" w:lineRule="auto" w:before="55"/>
        <w:ind w:left="152"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spacing w:val="-3"/>
        </w:rPr>
        <w:t>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2"/>
        <w:ind w:left="152" w:right="0"/>
        <w:jc w:val="left"/>
      </w:pPr>
      <w:r>
        <w:rPr>
          <w:spacing w:val="-2"/>
        </w:rPr>
        <w:t>动而享有可变回报，并且有能力运用对被投资方的权力影响该回报金额。合并范围包括本公司及全部子公司。子公司，是指</w:t>
      </w:r>
      <w:r>
        <w:rPr>
          <w:spacing w:val="-64"/>
        </w:rPr>
        <w:t> </w:t>
      </w:r>
      <w:r>
        <w:rPr>
          <w:spacing w:val="-64"/>
        </w:rPr>
      </w:r>
      <w:r>
        <w:rPr/>
        <w:t>被本公司控制的主体。</w:t>
      </w:r>
    </w:p>
    <w:p>
      <w:pPr>
        <w:pStyle w:val="BodyText"/>
        <w:spacing w:line="240" w:lineRule="auto" w:before="59"/>
        <w:ind w:right="0"/>
        <w:jc w:val="left"/>
      </w:pPr>
      <w:r>
        <w:rPr/>
        <w:t>一旦相关事实和情况的变化导致上述控制定义涉及的相关要素发生了变化，本公司将进行重新评估。</w:t>
      </w:r>
    </w:p>
    <w:p>
      <w:pPr>
        <w:pStyle w:val="BodyText"/>
        <w:spacing w:line="340" w:lineRule="auto" w:before="115"/>
        <w:ind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1"/>
        <w:ind w:left="152" w:right="0"/>
        <w:jc w:val="left"/>
      </w:pPr>
      <w:r>
        <w:rPr>
          <w:spacing w:val="-4"/>
        </w:rPr>
        <w:t>停止纳入合并范围。对于处置的子公司，处置日前的经营成果和现金流量已经适当地包括在合并利润表和合并现金流量表中；</w:t>
      </w:r>
      <w:r>
        <w:rPr>
          <w:spacing w:val="-43"/>
        </w:rPr>
        <w:t> </w:t>
      </w:r>
      <w:r>
        <w:rPr>
          <w:spacing w:val="-43"/>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spacing w:after="0" w:line="319"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57" w:lineRule="auto" w:before="59"/>
        <w:ind w:right="27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237" w:lineRule="exact"/>
        <w:ind w:left="152" w:right="0"/>
        <w:jc w:val="left"/>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p>
    <w:p>
      <w:pPr>
        <w:pStyle w:val="BodyText"/>
        <w:spacing w:line="300" w:lineRule="auto" w:before="63"/>
        <w:ind w:left="152" w:right="194"/>
        <w:jc w:val="left"/>
      </w:pP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19" w:lineRule="auto" w:before="72"/>
        <w:ind w:left="152" w:right="190" w:firstLine="360"/>
        <w:jc w:val="both"/>
        <w:rPr>
          <w:rFonts w:ascii="Times New Roman" w:hAnsi="Times New Roman" w:cs="Times New Roman" w:eastAsia="Times New Roman" w:hint="default"/>
        </w:rPr>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spacing w:val="-2"/>
        </w:rPr>
        <w:t>净负债或净资产导致的变动以外，其余一并转为当期投资收益）。其后，对该部分剩余股权按照《企业会计准则第</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rPr>
      </w:r>
    </w:p>
    <w:p>
      <w:pPr>
        <w:pStyle w:val="BodyText"/>
        <w:spacing w:line="300" w:lineRule="auto"/>
        <w:ind w:left="152" w:right="185"/>
        <w:jc w:val="left"/>
      </w:pPr>
      <w:r>
        <w:rPr>
          <w:spacing w:val="-2"/>
        </w:rPr>
        <w:t>长期股权投资》或《企业会计准则第</w:t>
      </w:r>
      <w:r>
        <w:rPr>
          <w:spacing w:val="-25"/>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金融工具确认和计量》等相关规定进行后续计量，详见本附注四、</w:t>
      </w:r>
      <w:r>
        <w:rPr>
          <w:rFonts w:ascii="Times New Roman" w:hAnsi="Times New Roman" w:cs="Times New Roman" w:eastAsia="Times New Roman" w:hint="default"/>
          <w:spacing w:val="-2"/>
        </w:rPr>
        <w:t>13“</w:t>
      </w:r>
      <w:r>
        <w:rPr>
          <w:spacing w:val="-2"/>
        </w:rPr>
        <w:t>长期股</w:t>
      </w:r>
      <w:r>
        <w:rPr>
          <w:spacing w:val="-85"/>
        </w:rPr>
        <w:t> </w:t>
      </w:r>
      <w:r>
        <w:rPr>
          <w:spacing w:val="-85"/>
        </w:rPr>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53"/>
        <w:ind w:left="152" w:right="94"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3"/>
        </w:rPr>
        <w:t> </w:t>
      </w:r>
      <w:r>
        <w:rPr>
          <w:spacing w:val="-63"/>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 </w:t>
      </w:r>
      <w:r>
        <w:rPr>
          <w:spacing w:val="-3"/>
          <w:w w:val="100"/>
        </w:rPr>
        <w:t>部分处置对子公司的长期股权投资</w:t>
      </w:r>
      <w:r>
        <w:rPr>
          <w:rFonts w:ascii="Times New Roman" w:hAnsi="Times New Roman" w:cs="Times New Roman" w:eastAsia="Times New Roman" w:hint="default"/>
          <w:spacing w:val="-3"/>
          <w:w w:val="100"/>
        </w:rPr>
        <w:t>”</w:t>
      </w:r>
      <w:r>
        <w:rPr>
          <w:spacing w:val="-3"/>
          <w:w w:val="100"/>
        </w:rPr>
        <w:t>（详见本附注四、</w:t>
      </w:r>
      <w:r>
        <w:rPr>
          <w:rFonts w:ascii="Times New Roman" w:hAnsi="Times New Roman" w:cs="Times New Roman" w:eastAsia="Times New Roman" w:hint="default"/>
          <w:spacing w:val="-3"/>
          <w:w w:val="100"/>
        </w:rPr>
        <w:t>13</w:t>
      </w:r>
      <w:r>
        <w:rPr>
          <w:spacing w:val="-3"/>
          <w:w w:val="100"/>
        </w:rPr>
        <w:t>、（</w:t>
      </w:r>
      <w:r>
        <w:rPr>
          <w:rFonts w:ascii="Times New Roman" w:hAnsi="Times New Roman" w:cs="Times New Roman" w:eastAsia="Times New Roman" w:hint="default"/>
          <w:spacing w:val="-3"/>
          <w:w w:val="100"/>
        </w:rPr>
        <w:t>2</w:t>
      </w:r>
      <w:r>
        <w:rPr>
          <w:spacing w:val="-3"/>
          <w:w w:val="100"/>
        </w:rPr>
        <w:t>）④</w:t>
      </w:r>
      <w:r>
        <w:rPr>
          <w:rFonts w:ascii="Times New Roman" w:hAnsi="Times New Roman" w:cs="Times New Roman" w:eastAsia="Times New Roman" w:hint="default"/>
          <w:spacing w:val="-3"/>
          <w:w w:val="100"/>
        </w:rPr>
        <w:t>“</w:t>
      </w:r>
      <w:r>
        <w:rPr>
          <w:spacing w:val="-3"/>
          <w:w w:val="100"/>
        </w:rPr>
        <w:t>处置长期股权投资</w:t>
      </w:r>
      <w:r>
        <w:rPr>
          <w:rFonts w:ascii="Times New Roman" w:hAnsi="Times New Roman" w:cs="Times New Roman" w:eastAsia="Times New Roman" w:hint="default"/>
          <w:spacing w:val="-3"/>
          <w:w w:val="100"/>
        </w:rPr>
        <w:t>”</w:t>
      </w:r>
      <w:r>
        <w:rPr>
          <w:spacing w:val="-3"/>
          <w:w w:val="100"/>
        </w:rPr>
        <w:t>）和</w:t>
      </w:r>
      <w:r>
        <w:rPr>
          <w:rFonts w:ascii="Times New Roman" w:hAnsi="Times New Roman" w:cs="Times New Roman" w:eastAsia="Times New Roman" w:hint="default"/>
          <w:spacing w:val="-3"/>
          <w:w w:val="100"/>
        </w:rPr>
        <w:t>“</w:t>
      </w:r>
      <w:r>
        <w:rPr>
          <w:spacing w:val="-3"/>
          <w:w w:val="100"/>
        </w:rPr>
        <w:t>因处置部分股权投资或其他原因</w:t>
      </w:r>
      <w:r>
        <w:rPr>
          <w:spacing w:val="-53"/>
          <w:w w:val="100"/>
        </w:rPr>
        <w:t> </w:t>
      </w:r>
      <w:r>
        <w:rPr/>
        <w:t>丧失了对原有子公司的控制权</w:t>
      </w:r>
      <w:r>
        <w:rPr>
          <w:rFonts w:ascii="Times New Roman" w:hAnsi="Times New Roman" w:cs="Times New Roman" w:eastAsia="Times New Roman" w:hint="default"/>
        </w:rPr>
        <w:t>”</w:t>
      </w:r>
      <w:r>
        <w:rPr/>
        <w:t>（详见前段）适用的原则进行会计处理。处置对子公司股权投资直至丧失控制权的各项交易 </w:t>
      </w:r>
      <w:r>
        <w:rPr>
          <w:spacing w:val="-2"/>
        </w:rPr>
        <w:t>属于一揽子交易的，将各项交易作为一项处置子公司并丧失控制权的交易进行会计处理；但是，在丧失控制权之前每一次处</w:t>
      </w:r>
      <w:r>
        <w:rPr>
          <w:spacing w:val="-61"/>
        </w:rPr>
        <w:t> </w:t>
      </w:r>
      <w:r>
        <w:rPr>
          <w:spacing w:val="-61"/>
        </w:rPr>
      </w:r>
      <w:r>
        <w:rPr>
          <w:spacing w:val="-2"/>
        </w:rPr>
        <w:t>置价款与处置投资对应的享有该子公司净资产份额的差额，在合并财务报表中确认为其他综合收益，在丧失控制权时一并转</w:t>
      </w:r>
      <w:r>
        <w:rPr>
          <w:spacing w:val="-64"/>
        </w:rPr>
        <w:t> </w:t>
      </w:r>
      <w:r>
        <w:rPr>
          <w:spacing w:val="-64"/>
        </w:rPr>
      </w:r>
      <w:r>
        <w:rPr/>
        <w:t>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152"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58"/>
        <w:ind w:left="152" w:right="193"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60"/>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70"/>
        <w:ind w:left="152" w:right="19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59"/>
        <w:ind w:left="152" w:right="192"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w:t>
      </w:r>
      <w:r>
        <w:rPr>
          <w:spacing w:val="-3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2"/>
        </w:rPr>
        <w:t>号</w:t>
      </w:r>
      <w:r>
        <w:rPr>
          <w:rFonts w:ascii="Times New Roman" w:hAnsi="Times New Roman" w:cs="Times New Roman" w:eastAsia="Times New Roman" w:hint="default"/>
          <w:spacing w:val="-2"/>
        </w:rPr>
        <w:t>——</w:t>
      </w:r>
      <w:r>
        <w:rPr>
          <w:spacing w:val="-2"/>
        </w:rPr>
        <w:t>资产减值》等规定的资产减值损失的，对于由本公司向共同经营投出或出售资产的情况，本公司全额确认</w:t>
      </w:r>
      <w:r>
        <w:rPr>
          <w:spacing w:val="-88"/>
        </w:rPr>
        <w:t> </w:t>
      </w:r>
      <w:r>
        <w:rPr>
          <w:spacing w:val="-88"/>
        </w:rPr>
      </w:r>
      <w:r>
        <w:rPr/>
        <w:t>该损失；对于本公司自共同经营购买资产的情况，本公司按承担的份额确认该损失。</w:t>
      </w:r>
    </w:p>
    <w:p>
      <w:pPr>
        <w:spacing w:after="0" w:line="312"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360"/>
        <w:jc w:val="left"/>
      </w:pPr>
      <w:r>
        <w:rPr>
          <w:spacing w:val="-2"/>
        </w:rPr>
        <w:t>本公司现金及现金等价物包括库存现金、可以随时用于支付的存款以及本公司持有的期限短（一般为从购买日起，三个</w:t>
      </w:r>
      <w:r>
        <w:rPr/>
        <w:t> </w:t>
      </w:r>
      <w:r>
        <w:rPr>
          <w:spacing w:val="-3"/>
        </w:rPr>
        <w:t>月内到期）、流动性强、易于转换为已知金额的现金、价值变动风险很小的投资。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9" w:lineRule="auto" w:before="2"/>
        <w:ind w:left="152" w:right="0"/>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40" w:lineRule="auto" w:before="58"/>
        <w:ind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1"/>
        <w:ind w:left="152" w:right="193"/>
        <w:jc w:val="both"/>
      </w:pPr>
      <w:r>
        <w:rPr>
          <w:spacing w:val="-2"/>
        </w:rPr>
        <w:t>本化条件的资产相关的外币专门借款产生的汇兑差额按照借款费用资本化的原则处理；以及②可供出售的外币货币性项目除</w:t>
      </w:r>
      <w:r>
        <w:rPr>
          <w:spacing w:val="-64"/>
        </w:rPr>
        <w:t> </w:t>
      </w:r>
      <w:r>
        <w:rPr>
          <w:spacing w:val="-64"/>
        </w:rPr>
      </w:r>
      <w:r>
        <w:rPr/>
        <w:t>摊余成本之外的其他账面余额变动产生的汇兑差额计入其他综合收益之外，均计入当期损益。</w:t>
      </w:r>
    </w:p>
    <w:p>
      <w:pPr>
        <w:pStyle w:val="BodyText"/>
        <w:spacing w:line="316" w:lineRule="auto" w:before="57"/>
        <w:ind w:left="152" w:right="0" w:firstLine="360"/>
        <w:jc w:val="left"/>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59"/>
        <w:ind w:left="152"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3"/>
        </w:rPr>
        <w:t> </w:t>
      </w:r>
      <w:r>
        <w:rPr>
          <w:spacing w:val="-63"/>
        </w:rPr>
      </w:r>
      <w:r>
        <w:rPr/>
        <w:t>值变动（含汇率变动）处理，计入当期损益或确认为其他综合收益。</w:t>
      </w:r>
    </w:p>
    <w:p>
      <w:pPr>
        <w:pStyle w:val="BodyText"/>
        <w:spacing w:line="338" w:lineRule="auto" w:before="60"/>
        <w:ind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40" w:lineRule="auto" w:before="2"/>
        <w:ind w:right="0" w:hanging="361"/>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1"/>
        <w:ind w:left="152" w:right="189"/>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2"/>
        </w:rPr>
        <w:t> </w:t>
      </w:r>
      <w:r>
        <w:rPr>
          <w:spacing w:val="-42"/>
        </w:rPr>
      </w:r>
      <w:r>
        <w:rPr>
          <w:spacing w:val="-2"/>
        </w:rPr>
        <w:t>交易发生日的即期汇率折算。年初未分配利润为上一年折算后的年末未分配利润；年末未分配利润按折算后的利润分配各项</w:t>
      </w:r>
      <w:r>
        <w:rPr>
          <w:spacing w:val="-62"/>
        </w:rPr>
        <w:t> </w:t>
      </w:r>
      <w:r>
        <w:rPr>
          <w:spacing w:val="-62"/>
        </w:rPr>
      </w:r>
      <w:r>
        <w:rPr>
          <w:spacing w:val="-2"/>
        </w:rPr>
        <w:t>目计算列示；折算后资产类项目与负债类项目和股东权益类项目合计数的差额，作为外币报表折算差额，确认为其他综合收</w:t>
      </w:r>
      <w:r>
        <w:rPr>
          <w:spacing w:val="-63"/>
        </w:rPr>
        <w:t> </w:t>
      </w:r>
      <w:r>
        <w:rPr>
          <w:spacing w:val="-63"/>
        </w:rPr>
      </w:r>
      <w:r>
        <w:rPr>
          <w:spacing w:val="-2"/>
        </w:rPr>
        <w:t>益。处置境外经营并丧失控制权时，将资产负债表中股东权益项目下列示的、与该境外经营相关的外币报表折算差额，全部</w:t>
      </w:r>
      <w:r>
        <w:rPr>
          <w:spacing w:val="-65"/>
        </w:rPr>
        <w:t> </w:t>
      </w:r>
      <w:r>
        <w:rPr>
          <w:spacing w:val="-65"/>
        </w:rPr>
      </w:r>
      <w:r>
        <w:rPr/>
        <w:t>或按处置该境外经营的比例转入处置当期损益。</w:t>
      </w:r>
    </w:p>
    <w:p>
      <w:pPr>
        <w:pStyle w:val="BodyText"/>
        <w:spacing w:line="319" w:lineRule="auto" w:before="61"/>
        <w:ind w:left="152" w:right="0" w:firstLine="360"/>
        <w:jc w:val="left"/>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60" w:lineRule="auto" w:before="55"/>
        <w:ind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222" w:lineRule="exact"/>
        <w:ind w:left="152" w:right="0"/>
        <w:jc w:val="both"/>
      </w:pPr>
      <w:r>
        <w:rPr/>
        <w:t>表中股东权益项目下列示的、与该境外经营相关的归属于母公司所有者权益的外币报表折算差额，全部转入处置当期损益。</w:t>
      </w:r>
    </w:p>
    <w:p>
      <w:pPr>
        <w:pStyle w:val="BodyText"/>
        <w:spacing w:line="316" w:lineRule="auto" w:before="117"/>
        <w:ind w:left="152" w:right="94"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在本公司成为金融工具合同的一方时确认一项金融资产或金融负债。金融资产和金融负债在初始确认时以公允价值计</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0"/>
        <w:jc w:val="left"/>
      </w:pPr>
      <w:r>
        <w:rPr>
          <w:spacing w:val="-2"/>
        </w:rPr>
        <w:t>量。对于以公允价值计量且其变动计入当期损益的金融资产和金融负债，相关的交易费用直接计入损益，对于其他类别的金</w:t>
      </w:r>
      <w:r>
        <w:rPr>
          <w:spacing w:val="-63"/>
        </w:rPr>
        <w:t> </w:t>
      </w:r>
      <w:r>
        <w:rPr>
          <w:spacing w:val="-63"/>
        </w:rPr>
      </w:r>
      <w:r>
        <w:rPr/>
        <w:t>融资产和金融负债，相关交易费用计入初始确认金额。</w:t>
      </w:r>
    </w:p>
    <w:p>
      <w:pPr>
        <w:pStyle w:val="BodyText"/>
        <w:spacing w:line="338" w:lineRule="auto" w:before="59"/>
        <w:ind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2"/>
        <w:ind w:left="152" w:right="94"/>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w:t>
      </w:r>
      <w:r>
        <w:rPr/>
        <w:t>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40" w:lineRule="auto" w:before="59"/>
        <w:ind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1"/>
        <w:ind w:left="152" w:right="0"/>
        <w:jc w:val="left"/>
      </w:pPr>
      <w:r>
        <w:rPr/>
        <w:t>计入当期损益的金融资产、持有至到期投资、贷款和应收款项以及可供出售金融资产。</w:t>
      </w:r>
    </w:p>
    <w:p>
      <w:pPr>
        <w:pStyle w:val="BodyText"/>
        <w:spacing w:line="360" w:lineRule="auto" w:before="115"/>
        <w:ind w:right="0"/>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212" w:lineRule="exact"/>
        <w:ind w:left="152" w:right="0"/>
        <w:jc w:val="left"/>
      </w:pPr>
      <w:r>
        <w:rPr/>
        <w:t>中管理的可辨认金融工具组合的一部分，且有客观证据表明本公司近期采用短期获利方式对该组合进行管理；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w:t>
      </w:r>
    </w:p>
    <w:p>
      <w:pPr>
        <w:pStyle w:val="BodyText"/>
        <w:spacing w:line="316" w:lineRule="auto" w:before="63"/>
        <w:ind w:left="152" w:right="0"/>
        <w:jc w:val="left"/>
      </w:pP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7" w:lineRule="auto" w:before="57"/>
        <w:ind w:left="152" w:right="191"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67"/>
        <w:ind w:left="152" w:right="192"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57" w:lineRule="auto" w:before="59"/>
        <w:ind w:right="0"/>
        <w:jc w:val="left"/>
      </w:pPr>
      <w:r>
        <w:rPr/>
        <w:t>②</w:t>
      </w:r>
      <w:r>
        <w:rPr>
          <w:spacing w:val="-18"/>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24" w:lineRule="exact"/>
        <w:ind w:left="152" w:right="0"/>
        <w:jc w:val="left"/>
      </w:pPr>
      <w:r>
        <w:rPr/>
        <w:t>当期损益。</w:t>
      </w:r>
    </w:p>
    <w:p>
      <w:pPr>
        <w:pStyle w:val="BodyText"/>
        <w:spacing w:line="316" w:lineRule="auto" w:before="117"/>
        <w:ind w:left="152" w:right="19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58"/>
        <w:ind w:left="152" w:right="19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72"/>
        </w:rPr>
        <w:t> </w:t>
      </w:r>
      <w:r>
        <w:rPr>
          <w:spacing w:val="-72"/>
        </w:rPr>
      </w:r>
      <w:r>
        <w:rPr/>
        <w:t>价或溢价等。</w:t>
      </w:r>
    </w:p>
    <w:p>
      <w:pPr>
        <w:pStyle w:val="BodyText"/>
        <w:spacing w:line="360" w:lineRule="auto" w:before="59"/>
        <w:ind w:right="0"/>
        <w:jc w:val="left"/>
      </w:pPr>
      <w:r>
        <w:rPr/>
        <w:t>③</w:t>
      </w:r>
      <w:r>
        <w:rPr>
          <w:spacing w:val="-18"/>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222" w:lineRule="exact"/>
        <w:ind w:left="152" w:right="0"/>
        <w:jc w:val="left"/>
      </w:pPr>
      <w:r>
        <w:rPr/>
        <w:t>收票据、应收账款、应收利息、应收股利及其他应收款等。</w:t>
      </w:r>
    </w:p>
    <w:p>
      <w:pPr>
        <w:pStyle w:val="BodyText"/>
        <w:spacing w:line="316" w:lineRule="auto" w:before="115"/>
        <w:ind w:left="152" w:right="193" w:firstLine="360"/>
        <w:jc w:val="both"/>
      </w:pPr>
      <w:r>
        <w:rPr>
          <w:spacing w:val="-2"/>
        </w:rPr>
        <w:t>贷款和应收款项采用实际利率法，按摊余成本进行后续计量，在终止确认、发生减值或摊销时产生的利得或损失，计入</w:t>
      </w:r>
      <w:r>
        <w:rPr/>
        <w:t> 当期损益。</w:t>
      </w:r>
    </w:p>
    <w:p>
      <w:pPr>
        <w:pStyle w:val="BodyText"/>
        <w:spacing w:line="360" w:lineRule="auto" w:before="59"/>
        <w:ind w:right="93"/>
        <w:jc w:val="left"/>
      </w:pPr>
      <w:r>
        <w:rPr/>
        <w:t>④</w:t>
      </w:r>
      <w:r>
        <w:rPr>
          <w:spacing w:val="-18"/>
        </w:rPr>
        <w:t> </w:t>
      </w:r>
      <w:r>
        <w:rPr/>
        <w:t>可供出售金融资产</w:t>
      </w:r>
      <w:r>
        <w:rPr/>
        <w:t> 包括初始确认时即被指定为可供出售的非衍生金融资产，以及除了以公允价值计量且其变动计入当期损益的金融资产、</w:t>
      </w:r>
    </w:p>
    <w:p>
      <w:pPr>
        <w:pStyle w:val="BodyText"/>
        <w:spacing w:line="222" w:lineRule="exact"/>
        <w:ind w:left="152" w:right="0"/>
        <w:jc w:val="left"/>
      </w:pPr>
      <w:r>
        <w:rPr/>
        <w:t>贷款和应收款项、持有至到期投资以外的金融资产。</w:t>
      </w:r>
    </w:p>
    <w:p>
      <w:pPr>
        <w:pStyle w:val="BodyText"/>
        <w:spacing w:line="240" w:lineRule="auto" w:before="115"/>
        <w:ind w:right="0"/>
        <w:jc w:val="left"/>
      </w:pPr>
      <w:r>
        <w:rPr/>
        <w:t>可供出售债务工具投资的期末成本按照其摊余成本法确定，即初始确认金额扣除已偿还的本金，加上或减去采用实际利</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0"/>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59"/>
        <w:ind w:left="152" w:right="192"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6"/>
        </w:rPr>
        <w:t> </w:t>
      </w:r>
      <w:r>
        <w:rPr>
          <w:spacing w:val="-66"/>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57"/>
        <w:ind w:right="0"/>
        <w:jc w:val="left"/>
      </w:pPr>
      <w:r>
        <w:rPr/>
        <w:t>可供出售金融资产持有期间取得的利息及被投资单位宣告发放的现金股利，计入投资收益。</w:t>
      </w:r>
    </w:p>
    <w:p>
      <w:pPr>
        <w:pStyle w:val="BodyText"/>
        <w:spacing w:line="340" w:lineRule="auto" w:before="117"/>
        <w:ind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57" w:lineRule="auto" w:before="1"/>
        <w:ind w:right="0" w:hanging="361"/>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224" w:lineRule="exact"/>
        <w:ind w:left="152" w:right="0"/>
        <w:jc w:val="left"/>
      </w:pPr>
      <w:r>
        <w:rPr/>
        <w:t>类似信用风险特征的金融资产组合中进行减值测试。单独测试未发生减值的金融资产（包括单项金额重大和不重大的金融资</w:t>
      </w:r>
    </w:p>
    <w:p>
      <w:pPr>
        <w:pStyle w:val="BodyText"/>
        <w:spacing w:line="316" w:lineRule="auto" w:before="76"/>
        <w:ind w:left="152" w:right="0"/>
        <w:jc w:val="left"/>
      </w:pPr>
      <w:r>
        <w:rPr>
          <w:spacing w:val="-2"/>
        </w:rPr>
        <w:t>产），包括在具有类似信用风险特征的金融资产组合中再进行减值测试。已单项确认减值损失的金融资产，不包括在具有类</w:t>
      </w:r>
      <w:r>
        <w:rPr>
          <w:spacing w:val="-72"/>
        </w:rPr>
        <w:t> </w:t>
      </w:r>
      <w:r>
        <w:rPr>
          <w:spacing w:val="-72"/>
        </w:rPr>
      </w:r>
      <w:r>
        <w:rPr/>
        <w:t>似信用风险特征的金融资产组合中进行减值测试。</w:t>
      </w:r>
    </w:p>
    <w:p>
      <w:pPr>
        <w:pStyle w:val="BodyText"/>
        <w:spacing w:line="360" w:lineRule="auto" w:before="59"/>
        <w:ind w:right="0"/>
        <w:jc w:val="left"/>
      </w:pPr>
      <w:r>
        <w:rPr/>
        <w:t>①</w:t>
      </w:r>
      <w:r>
        <w:rPr>
          <w:spacing w:val="-18"/>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222" w:lineRule="exact"/>
        <w:ind w:left="152" w:right="0"/>
        <w:jc w:val="left"/>
      </w:pPr>
      <w:r>
        <w:rPr/>
        <w:t>益。金融资产在确认减值损失后，如有客观证据表明该金融资产价值已恢复，且客观上与确认该损失后发生的事项有关，原</w:t>
      </w:r>
    </w:p>
    <w:p>
      <w:pPr>
        <w:pStyle w:val="BodyText"/>
        <w:spacing w:line="316" w:lineRule="auto" w:before="76"/>
        <w:ind w:left="152" w:right="0"/>
        <w:jc w:val="left"/>
      </w:pP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60" w:lineRule="auto" w:before="57"/>
        <w:ind w:right="0"/>
        <w:jc w:val="left"/>
      </w:pPr>
      <w:r>
        <w:rPr/>
        <w:t>②</w:t>
      </w:r>
      <w:r>
        <w:rPr>
          <w:spacing w:val="-18"/>
        </w:rPr>
        <w:t> </w:t>
      </w:r>
      <w:r>
        <w:rPr/>
        <w:t>可供出售金融资产减值</w:t>
      </w:r>
      <w:r>
        <w:rPr/>
        <w:t> </w:t>
      </w:r>
      <w:r>
        <w:rPr>
          <w:spacing w:val="-2"/>
        </w:rPr>
        <w:t>可供出售金融资产发生减值时，将原计入其他综合收益的因公允价值下降形成的累计损失予以转出并计入当期损益，该</w:t>
      </w:r>
    </w:p>
    <w:p>
      <w:pPr>
        <w:pStyle w:val="BodyText"/>
        <w:spacing w:line="222" w:lineRule="exact"/>
        <w:ind w:left="152" w:right="0"/>
        <w:jc w:val="left"/>
      </w:pPr>
      <w:r>
        <w:rPr/>
        <w:t>转出的累计损失为该资产初始取得成本扣除已收回本金和已摊销金额、当前公允价值和原已计入损益的减值损失后的余额。</w:t>
      </w:r>
    </w:p>
    <w:p>
      <w:pPr>
        <w:pStyle w:val="BodyText"/>
        <w:spacing w:line="316" w:lineRule="auto" w:before="117"/>
        <w:ind w:left="152" w:right="189"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57"/>
        <w:ind w:left="152" w:right="192"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59"/>
        <w:ind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319" w:lineRule="auto" w:before="103"/>
        <w:ind w:left="152" w:right="145" w:firstLine="360"/>
        <w:jc w:val="both"/>
      </w:pPr>
      <w:r>
        <w:rPr/>
        <w:t>满足下列条件之一的金融资产，予以终止确认：① 收取该金融资产现金流量的合同权利终止；②</w:t>
      </w:r>
      <w:r>
        <w:rPr>
          <w:spacing w:val="-3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3"/>
        </w:rPr>
        <w:t> </w:t>
      </w:r>
      <w:r>
        <w:rPr>
          <w:spacing w:val="-63"/>
        </w:rPr>
      </w:r>
      <w:r>
        <w:rPr/>
        <w:t>产所有权上几乎所有的风险和报酬，但是放弃了对该金融资产控制。</w:t>
      </w:r>
    </w:p>
    <w:p>
      <w:pPr>
        <w:pStyle w:val="BodyText"/>
        <w:spacing w:line="316" w:lineRule="auto" w:before="55"/>
        <w:ind w:left="152"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59"/>
        <w:ind w:left="152" w:right="19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59"/>
        <w:ind w:left="152"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57"/>
        <w:ind w:left="152" w:right="19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p>
    <w:p>
      <w:pPr>
        <w:spacing w:after="0" w:line="319"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152" w:right="0"/>
        <w:jc w:val="left"/>
      </w:pPr>
      <w:r>
        <w:rPr/>
        <w:t>险和报酬的，则继续判断企业是否对该资产保留了控制，并根据前面各段所述的原则进行会计处理。</w:t>
      </w:r>
    </w:p>
    <w:p>
      <w:pPr>
        <w:pStyle w:val="BodyText"/>
        <w:spacing w:line="338" w:lineRule="auto" w:before="117"/>
        <w:ind w:right="9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2"/>
        <w:ind w:left="152" w:right="0"/>
        <w:jc w:val="left"/>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60" w:lineRule="auto" w:before="59"/>
        <w:ind w:right="273"/>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222" w:lineRule="exact"/>
        <w:ind w:left="152" w:right="0"/>
        <w:jc w:val="left"/>
      </w:pPr>
      <w:r>
        <w:rPr/>
        <w:t>性金融资产和在初始确认时指定为以公允价值计量且其变动计入当期损益的金融资产的条件一致。</w:t>
      </w:r>
    </w:p>
    <w:p>
      <w:pPr>
        <w:pStyle w:val="BodyText"/>
        <w:spacing w:line="316" w:lineRule="auto" w:before="115"/>
        <w:ind w:left="152" w:right="0" w:firstLine="360"/>
        <w:jc w:val="left"/>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360" w:lineRule="auto" w:before="60"/>
        <w:ind w:right="0"/>
        <w:jc w:val="left"/>
      </w:pPr>
      <w:r>
        <w:rPr/>
        <w:t>②</w:t>
      </w:r>
      <w:r>
        <w:rPr>
          <w:spacing w:val="-18"/>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222" w:lineRule="exact"/>
        <w:ind w:left="152" w:right="0"/>
        <w:jc w:val="left"/>
      </w:pPr>
      <w:r>
        <w:rPr/>
        <w:t>成本进行后续计量。其他金融负债采用实际利率法，按摊余成本进行后续计量，终止确认或摊销产生的利得或损失计入当期</w:t>
      </w:r>
    </w:p>
    <w:p>
      <w:pPr>
        <w:pStyle w:val="BodyText"/>
        <w:spacing w:line="240" w:lineRule="auto" w:before="76"/>
        <w:ind w:left="152" w:right="0"/>
        <w:jc w:val="left"/>
      </w:pPr>
      <w:r>
        <w:rPr/>
        <w:t>损益。</w:t>
      </w:r>
    </w:p>
    <w:p>
      <w:pPr>
        <w:pStyle w:val="BodyText"/>
        <w:spacing w:line="360" w:lineRule="auto" w:before="115"/>
        <w:ind w:right="0"/>
        <w:jc w:val="left"/>
      </w:pPr>
      <w:r>
        <w:rPr/>
        <w:t>③</w:t>
      </w:r>
      <w:r>
        <w:rPr>
          <w:spacing w:val="-18"/>
        </w:rPr>
        <w:t> </w:t>
      </w:r>
      <w:r>
        <w:rPr/>
        <w:t>财务担保合同</w:t>
      </w:r>
      <w:r>
        <w:rPr/>
        <w:t> </w:t>
      </w:r>
      <w:r>
        <w:rPr>
          <w:spacing w:val="-2"/>
        </w:rPr>
        <w:t>不属于指定为以公允价值计量且其变动计入当期损益的金融负债的财务担保合同，以公允价值进行初始确认，在初始确</w:t>
      </w:r>
    </w:p>
    <w:p>
      <w:pPr>
        <w:pStyle w:val="BodyText"/>
        <w:spacing w:line="236" w:lineRule="exact"/>
        <w:ind w:left="152" w:right="0"/>
        <w:jc w:val="left"/>
      </w:pPr>
      <w:r>
        <w:rPr/>
        <w:t>认后按照《企业会计准则第</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号</w:t>
      </w:r>
      <w:r>
        <w:rPr>
          <w:rFonts w:ascii="Times New Roman" w:hAnsi="Times New Roman" w:cs="Times New Roman" w:eastAsia="Times New Roman" w:hint="default"/>
        </w:rPr>
        <w:t>—</w:t>
      </w:r>
      <w:r>
        <w:rPr/>
        <w:t>或有事项》确定的金额和初始确认金额扣除按照《企业会计准则第</w:t>
      </w:r>
      <w:r>
        <w:rPr>
          <w:spacing w:val="-57"/>
        </w:rPr>
        <w:t> </w:t>
      </w:r>
      <w:r>
        <w:rPr>
          <w:rFonts w:ascii="Times New Roman" w:hAnsi="Times New Roman" w:cs="Times New Roman" w:eastAsia="Times New Roman" w:hint="default"/>
        </w:rPr>
        <w:t>14</w:t>
      </w:r>
      <w:r>
        <w:rPr>
          <w:rFonts w:ascii="Times New Roman" w:hAnsi="Times New Roman" w:cs="Times New Roman" w:eastAsia="Times New Roman" w:hint="default"/>
          <w:spacing w:val="-19"/>
        </w:rPr>
        <w:t> </w:t>
      </w:r>
      <w:r>
        <w:rPr>
          <w:spacing w:val="-3"/>
        </w:rPr>
        <w:t>号</w:t>
      </w:r>
      <w:r>
        <w:rPr>
          <w:rFonts w:ascii="Times New Roman" w:hAnsi="Times New Roman" w:cs="Times New Roman" w:eastAsia="Times New Roman" w:hint="default"/>
          <w:spacing w:val="-3"/>
        </w:rPr>
        <w:t>—</w:t>
      </w:r>
      <w:r>
        <w:rPr>
          <w:spacing w:val="-3"/>
        </w:rPr>
        <w:t>收入》的原则</w:t>
      </w:r>
    </w:p>
    <w:p>
      <w:pPr>
        <w:pStyle w:val="BodyText"/>
        <w:spacing w:line="240" w:lineRule="auto" w:before="63"/>
        <w:ind w:left="152" w:right="0"/>
        <w:jc w:val="left"/>
      </w:pPr>
      <w:r>
        <w:rPr/>
        <w:t>确定的累计摊销额后的余额之中的较高者进行后续计量。</w:t>
      </w:r>
    </w:p>
    <w:p>
      <w:pPr>
        <w:pStyle w:val="BodyText"/>
        <w:spacing w:line="338" w:lineRule="auto" w:before="117"/>
        <w:ind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
        <w:ind w:left="152" w:right="0"/>
        <w:jc w:val="left"/>
      </w:pPr>
      <w:r>
        <w:rPr>
          <w:spacing w:val="-2"/>
        </w:rPr>
        <w:t>订协议，以承担新金融负债方式替换现存金融负债，且新金融负债与现存金融负债的合同条款实质上不同的，终止确认现存</w:t>
      </w:r>
      <w:r>
        <w:rPr>
          <w:spacing w:val="-61"/>
        </w:rPr>
        <w:t> </w:t>
      </w:r>
      <w:r>
        <w:rPr>
          <w:spacing w:val="-61"/>
        </w:rPr>
      </w:r>
      <w:r>
        <w:rPr/>
        <w:t>金融负债，并同时确认新金融负债。</w:t>
      </w:r>
    </w:p>
    <w:p>
      <w:pPr>
        <w:pStyle w:val="BodyText"/>
        <w:spacing w:line="316" w:lineRule="auto" w:before="59"/>
        <w:ind w:left="152"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38" w:lineRule="auto" w:before="59"/>
        <w:ind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2"/>
        <w:ind w:left="152" w:right="0"/>
        <w:jc w:val="left"/>
      </w:pPr>
      <w:r>
        <w:rPr/>
        <w:t>损益。</w:t>
      </w:r>
    </w:p>
    <w:p>
      <w:pPr>
        <w:pStyle w:val="BodyText"/>
        <w:spacing w:line="319" w:lineRule="auto" w:before="117"/>
        <w:ind w:left="152"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3"/>
        </w:rPr>
        <w:t> </w:t>
      </w:r>
      <w:r>
        <w:rPr>
          <w:spacing w:val="-43"/>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38" w:lineRule="auto" w:before="58"/>
        <w:ind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2"/>
        <w:ind w:left="152" w:right="0"/>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pStyle w:val="BodyText"/>
        <w:spacing w:line="340" w:lineRule="auto" w:before="59"/>
        <w:ind w:right="197"/>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57" w:lineRule="auto" w:before="1"/>
        <w:ind w:right="88" w:hanging="361"/>
        <w:jc w:val="left"/>
      </w:pPr>
      <w:r>
        <w:rPr/>
        <w:t>或注销权益工具作为权益的变动处理</w:t>
      </w:r>
      <w:r>
        <w:rPr>
          <w:spacing w:val="-87"/>
        </w:rPr>
        <w:t>。</w:t>
      </w:r>
      <w:r>
        <w:rPr/>
        <w:t>本公司不确认权益工具的公允价值变动</w:t>
      </w:r>
      <w:r>
        <w:rPr>
          <w:spacing w:val="-87"/>
        </w:rPr>
        <w:t>。</w:t>
      </w:r>
      <w:r>
        <w:rPr/>
        <w:t>与权益性交易相关的交易费用从权益中扣减。</w:t>
      </w:r>
      <w:r>
        <w:rPr/>
        <w:t> 本公司对权益工具持有方的各种分配（不包括股票股利</w:t>
      </w:r>
      <w:r>
        <w:rPr>
          <w:spacing w:val="-92"/>
        </w:rPr>
        <w:t>）</w:t>
      </w:r>
      <w:r>
        <w:rPr/>
        <w:t>，</w:t>
      </w:r>
      <w:r>
        <w:rPr>
          <w:spacing w:val="2"/>
        </w:rPr>
        <w:t>减</w:t>
      </w:r>
      <w:r>
        <w:rPr/>
        <w:t>少股东权益。本公司不确认权益工具的公允价值变动额。</w:t>
      </w:r>
    </w:p>
    <w:p>
      <w:pPr>
        <w:spacing w:after="0" w:line="357"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firstLine="36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 项金额重大的应收款项。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firstLine="360"/>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 单独测试未发生减值的金融资产，包括在具有类似信用风险 特征的金融资产组合中进行减值测试。单项测试已确认减值 损失的应收款项，不再包括在具有类似信用风险特征的应收 款项组合中进行减值测试。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8"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信用风险特征组合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w:t>
      </w:r>
    </w:p>
    <w:p>
      <w:pPr>
        <w:pStyle w:val="BodyText"/>
        <w:spacing w:line="340" w:lineRule="auto" w:before="115"/>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44"/>
        <w:ind w:left="0" w:right="160"/>
        <w:jc w:val="right"/>
      </w:pPr>
      <w:r>
        <w:rPr/>
        <w:pict>
          <v:shape style="position:absolute;margin-left:56.459999pt;margin-top:-.728267pt;width:479.2pt;height:7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万元以下且账龄在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年以上的应收款项</w:t>
                        </w:r>
                      </w:p>
                    </w:tc>
                  </w:tr>
                  <w:tr>
                    <w:trPr>
                      <w:trHeight w:val="98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firstLine="360"/>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 项，单独进行减值测试，有客观证据表明其发生了减值的， 根据其未来现金流量现值低于其账面价值的差额，确认减值</w:t>
                        </w: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3"/>
        <w:rPr>
          <w:rFonts w:ascii="宋体" w:hAnsi="宋体" w:cs="宋体" w:eastAsia="宋体" w:hint="default"/>
          <w:sz w:val="24"/>
          <w:szCs w:val="24"/>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775;height:354" coordorigin="12,14" coordsize="4775,354">
              <v:shape style="position:absolute;left:12;top:14;width:4775;height:354" coordorigin="12,14" coordsize="4775,354" path="m12,368l4787,368,4787,14,12,14,12,36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775;height:2" coordorigin="10,372" coordsize="4775,2">
              <v:shape style="position:absolute;left:10;top:372;width:4775;height:2" coordorigin="10,372" coordsize="4775,0" path="m10,372l4784,372e" filled="false" stroked="true" strokeweight=".48pt" strokecolor="#000000">
                <v:path arrowok="t"/>
              </v:shape>
            </v:group>
            <v:group style="position:absolute;left:4789;top:5;width:2;height:373" coordorigin="4789,5" coordsize="2,373">
              <v:shape style="position:absolute;left:4789;top:5;width:2;height:373" coordorigin="4789,5" coordsize="0,373" path="m4789,5l4789,377e" filled="false" stroked="true" strokeweight=".48001pt" strokecolor="#000000">
                <v:path arrowok="t"/>
              </v:shape>
            </v:group>
            <v:group style="position:absolute;left:4794;top:372;width:4777;height:2" coordorigin="4794,372" coordsize="4777,2">
              <v:shape style="position:absolute;left:4794;top:372;width:4777;height:2" coordorigin="4794,372" coordsize="4777,0" path="m4794,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789;top:10;width:4787;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损失，计提坏账准备。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93"/>
        <w:jc w:val="left"/>
      </w:pPr>
      <w:r>
        <w:rPr/>
        <w:t>（</w:t>
      </w:r>
      <w:r>
        <w:rPr>
          <w:rFonts w:ascii="Times New Roman" w:hAnsi="Times New Roman" w:cs="Times New Roman" w:eastAsia="Times New Roman" w:hint="default"/>
        </w:rPr>
        <w:t>1</w:t>
      </w:r>
      <w:r>
        <w:rPr/>
        <w:t>）存货的分类 存货主要包括原材料、库存商品、低值易耗品等。</w:t>
      </w:r>
    </w:p>
    <w:p>
      <w:pPr>
        <w:pStyle w:val="BodyText"/>
        <w:spacing w:line="340" w:lineRule="auto" w:before="43"/>
        <w:ind w:right="45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40" w:lineRule="auto" w:before="39"/>
        <w:ind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60" w:lineRule="auto" w:before="1"/>
        <w:ind w:right="94" w:hanging="361"/>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222" w:lineRule="exact"/>
        <w:ind w:left="152" w:right="0"/>
        <w:jc w:val="left"/>
      </w:pPr>
      <w:r>
        <w:rPr/>
        <w:t>备按单个存货项目的成本高于其可变现净值的差额提取。</w:t>
      </w:r>
    </w:p>
    <w:p>
      <w:pPr>
        <w:pStyle w:val="BodyText"/>
        <w:spacing w:line="316" w:lineRule="auto" w:before="115"/>
        <w:ind w:left="152" w:right="190"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59"/>
        <w:ind w:right="0"/>
        <w:jc w:val="left"/>
      </w:pPr>
      <w:r>
        <w:rPr/>
        <w:t>（</w:t>
      </w:r>
      <w:r>
        <w:rPr>
          <w:rFonts w:ascii="Times New Roman" w:hAnsi="Times New Roman" w:cs="Times New Roman" w:eastAsia="Times New Roman" w:hint="default"/>
        </w:rPr>
        <w:t>4</w:t>
      </w:r>
      <w:r>
        <w:rPr/>
        <w:t>）存货的盘存制度为永续盘存制。</w:t>
      </w:r>
    </w:p>
    <w:p>
      <w:pPr>
        <w:pStyle w:val="BodyText"/>
        <w:spacing w:line="338" w:lineRule="auto" w:before="103"/>
        <w:ind w:right="3333"/>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152" w:right="190"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3"/>
        </w:rPr>
        <w:t> </w:t>
      </w:r>
      <w:r>
        <w:rPr>
          <w:spacing w:val="-63"/>
        </w:rPr>
      </w:r>
      <w:r>
        <w:rPr>
          <w:spacing w:val="-2"/>
        </w:rPr>
        <w:t>算，自划分为持有待售之日起不计提折旧或进行摊销，按照账面价值与公允价值减去处置费用后的净额孰低计量。持有待售</w:t>
      </w:r>
      <w:r>
        <w:rPr>
          <w:spacing w:val="-63"/>
        </w:rPr>
        <w:t> </w:t>
      </w:r>
      <w:r>
        <w:rPr>
          <w:spacing w:val="-63"/>
        </w:rPr>
      </w:r>
      <w:r>
        <w:rPr/>
        <w:t>的非流动资产包括单项资产和处置组。如果处置组是一个《企业会计准则第</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spacing w:val="-3"/>
        </w:rPr>
        <w:t>号</w:t>
      </w:r>
      <w:r>
        <w:rPr>
          <w:rFonts w:ascii="Times New Roman" w:hAnsi="Times New Roman" w:cs="Times New Roman" w:eastAsia="Times New Roman" w:hint="default"/>
          <w:spacing w:val="-3"/>
        </w:rPr>
        <w:t>——</w:t>
      </w:r>
      <w:r>
        <w:rPr>
          <w:spacing w:val="-3"/>
        </w:rPr>
        <w:t>资产减值》所定义的资产组，并且按照</w:t>
      </w:r>
      <w:r>
        <w:rPr/>
        <w:t>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6" w:lineRule="auto" w:before="61"/>
        <w:ind w:left="152" w:right="192" w:firstLine="360"/>
        <w:jc w:val="both"/>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w:t>
      </w:r>
    </w:p>
    <w:p>
      <w:pPr>
        <w:pStyle w:val="BodyText"/>
        <w:spacing w:line="309" w:lineRule="auto" w:before="60"/>
        <w:ind w:left="152" w:right="190" w:firstLine="360"/>
        <w:jc w:val="both"/>
      </w:pPr>
      <w:r>
        <w:rPr>
          <w:spacing w:val="-2"/>
        </w:rPr>
        <w:t>某项资产或处置组被划归为持有待售，但后来不再满足持有待售的非流动资产的确认条件，本公司停止将其划归为持有</w:t>
      </w:r>
      <w:r>
        <w:rPr/>
        <w:t> </w:t>
      </w:r>
      <w:r>
        <w:rPr>
          <w:spacing w:val="-4"/>
        </w:rPr>
        <w:t>待售，并按照下列两项金额中较低者进行计量：（</w:t>
      </w:r>
      <w:r>
        <w:rPr>
          <w:rFonts w:ascii="Times New Roman" w:hAnsi="Times New Roman" w:cs="Times New Roman" w:eastAsia="Times New Roman" w:hint="default"/>
          <w:spacing w:val="-4"/>
        </w:rPr>
        <w:t>1</w:t>
      </w:r>
      <w:r>
        <w:rPr>
          <w:spacing w:val="-4"/>
        </w:rPr>
        <w:t>）该资产或处置组被划归为持有待售之前的账面价值，按照其假定在没有</w:t>
      </w:r>
      <w:r>
        <w:rPr>
          <w:spacing w:val="-41"/>
        </w:rPr>
        <w:t> </w:t>
      </w:r>
      <w:r>
        <w:rPr>
          <w:spacing w:val="-41"/>
        </w:rPr>
      </w:r>
      <w:r>
        <w:rPr>
          <w:spacing w:val="-2"/>
        </w:rPr>
        <w:t>被划归为持有待售的情况下原应确认的折旧、摊销或减值进行调整后的金额；（</w:t>
      </w:r>
      <w:r>
        <w:rPr>
          <w:rFonts w:ascii="Times New Roman" w:hAnsi="Times New Roman" w:cs="Times New Roman" w:eastAsia="Times New Roman" w:hint="default"/>
          <w:spacing w:val="-2"/>
        </w:rPr>
        <w:t>2</w:t>
      </w:r>
      <w:r>
        <w:rPr>
          <w:spacing w:val="-2"/>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19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before="40"/>
        <w:ind w:left="152"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p>
    <w:p>
      <w:pPr>
        <w:spacing w:after="0" w:line="316"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152" w:right="0"/>
        <w:jc w:val="left"/>
      </w:pPr>
      <w:r>
        <w:rPr/>
        <w:t>方一起共同控制这些政策的制定。</w:t>
      </w:r>
    </w:p>
    <w:p>
      <w:pPr>
        <w:pStyle w:val="BodyText"/>
        <w:spacing w:line="338" w:lineRule="auto" w:before="117"/>
        <w:ind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6" w:lineRule="auto" w:before="2"/>
        <w:ind w:left="152" w:right="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w:t>
      </w:r>
    </w:p>
    <w:p>
      <w:pPr>
        <w:pStyle w:val="BodyText"/>
        <w:spacing w:line="316" w:lineRule="auto" w:before="59"/>
        <w:ind w:left="152" w:right="0" w:firstLine="360"/>
        <w:jc w:val="left"/>
      </w:pPr>
      <w:r>
        <w:rPr>
          <w:spacing w:val="-2"/>
        </w:rPr>
        <w:t>对于非同一控制下的企业合并取得的长期股权投资，在购买日按照合并成本作为长期股权投资的初始投资成本，合并成</w:t>
      </w:r>
      <w:r>
        <w:rPr/>
        <w:t> 本包括包括购买方付出的资产、发生或承担的负债、发行的权益性证券的公允价值之和。</w:t>
      </w:r>
    </w:p>
    <w:p>
      <w:pPr>
        <w:pStyle w:val="BodyText"/>
        <w:spacing w:line="240" w:lineRule="auto" w:before="60"/>
        <w:ind w:right="0"/>
        <w:jc w:val="left"/>
      </w:pPr>
      <w:r>
        <w:rPr/>
        <w:t>合并方或购买方为企业合并发生的审计、法律服务、评估咨询等中介费用以及其他相关管理费用，于发生时计入当期损</w:t>
      </w:r>
    </w:p>
    <w:p>
      <w:pPr>
        <w:pStyle w:val="BodyText"/>
        <w:spacing w:line="240" w:lineRule="auto" w:before="76"/>
        <w:ind w:left="152" w:right="0"/>
        <w:jc w:val="left"/>
      </w:pPr>
      <w:r>
        <w:rPr/>
        <w:t>益。</w:t>
      </w:r>
    </w:p>
    <w:p>
      <w:pPr>
        <w:pStyle w:val="BodyText"/>
        <w:spacing w:line="240" w:lineRule="auto" w:before="115"/>
        <w:ind w:right="0"/>
        <w:jc w:val="left"/>
      </w:pPr>
      <w:r>
        <w:rPr/>
        <w:t>除企业合并形成的长期股权投资外的其他股权投资，按成本进行初始计量，该成本视长期股权投资取得方式的不同，分</w:t>
      </w:r>
    </w:p>
    <w:p>
      <w:pPr>
        <w:pStyle w:val="BodyText"/>
        <w:spacing w:line="316" w:lineRule="auto" w:before="76"/>
        <w:ind w:left="152" w:right="190"/>
        <w:jc w:val="both"/>
      </w:pP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pStyle w:val="BodyText"/>
        <w:spacing w:line="340" w:lineRule="auto" w:before="59"/>
        <w:ind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1"/>
        <w:ind w:left="152" w:right="0"/>
        <w:jc w:val="left"/>
      </w:pPr>
      <w:r>
        <w:rPr/>
        <w:t>表采用成本法核算能够对被投资单位实施控制的长期股权投资。</w:t>
      </w:r>
    </w:p>
    <w:p>
      <w:pPr>
        <w:pStyle w:val="BodyText"/>
        <w:spacing w:line="360" w:lineRule="auto" w:before="115"/>
        <w:ind w:right="0"/>
        <w:jc w:val="left"/>
      </w:pPr>
      <w:r>
        <w:rPr/>
        <w:t>①</w:t>
      </w:r>
      <w:r>
        <w:rPr>
          <w:spacing w:val="-18"/>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222" w:lineRule="exact"/>
        <w:ind w:left="152" w:right="0"/>
        <w:jc w:val="left"/>
      </w:pPr>
      <w:r>
        <w:rPr/>
        <w:t>支付的价款或者对价中包含的已宣告但尚未发放的现金股利或者利润外</w:t>
      </w:r>
      <w:r>
        <w:rPr>
          <w:spacing w:val="-82"/>
        </w:rPr>
        <w:t>，</w:t>
      </w:r>
      <w:r>
        <w:rPr/>
        <w:t>当期投资收益按照享有被投资单位宣告发放的现金</w:t>
      </w:r>
    </w:p>
    <w:p>
      <w:pPr>
        <w:pStyle w:val="BodyText"/>
        <w:spacing w:line="240" w:lineRule="auto" w:before="76"/>
        <w:ind w:left="152" w:right="0"/>
        <w:jc w:val="left"/>
      </w:pPr>
      <w:r>
        <w:rPr/>
        <w:t>股利或利润确认。</w:t>
      </w:r>
    </w:p>
    <w:p>
      <w:pPr>
        <w:pStyle w:val="BodyText"/>
        <w:spacing w:line="357" w:lineRule="auto" w:before="117"/>
        <w:ind w:right="0"/>
        <w:jc w:val="left"/>
      </w:pPr>
      <w:r>
        <w:rPr/>
        <w:t>②</w:t>
      </w:r>
      <w:r>
        <w:rPr>
          <w:spacing w:val="-18"/>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224" w:lineRule="exact"/>
        <w:ind w:left="152" w:right="0"/>
        <w:jc w:val="left"/>
      </w:pPr>
      <w:r>
        <w:rPr/>
        <w:t>长期股权投资的初始投资成本；初始投资成本小于投资时应享有被投资单位可辨认净资产公允价值份额的，其差额计入当期</w:t>
      </w:r>
    </w:p>
    <w:p>
      <w:pPr>
        <w:pStyle w:val="BodyText"/>
        <w:spacing w:line="360" w:lineRule="auto" w:before="76"/>
        <w:ind w:right="0" w:hanging="361"/>
        <w:jc w:val="left"/>
      </w:pPr>
      <w:r>
        <w:rPr/>
        <w:t>损益，同时调整长期股权投资的成本。 </w:t>
      </w:r>
      <w:r>
        <w:rPr>
          <w:spacing w:val="-2"/>
        </w:rPr>
        <w:t>采用权益法核算时，按照应享有或应分担的被投资单位实现的净损益和其他综合收益的份额，分别确认投资收益和其他</w:t>
      </w:r>
    </w:p>
    <w:p>
      <w:pPr>
        <w:pStyle w:val="BodyText"/>
        <w:spacing w:line="222" w:lineRule="exact"/>
        <w:ind w:left="152" w:right="0"/>
        <w:jc w:val="left"/>
      </w:pPr>
      <w:r>
        <w:rPr/>
        <w:t>综合收益，同时调整长期股权投资的账面价值；按照被投资单位宣告分派的利润或现金股利计算应享有的部分，相应减少长</w:t>
      </w:r>
    </w:p>
    <w:p>
      <w:pPr>
        <w:pStyle w:val="BodyText"/>
        <w:spacing w:line="319" w:lineRule="auto" w:before="76"/>
        <w:ind w:left="152" w:right="0"/>
        <w:jc w:val="left"/>
      </w:pP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3"/>
        </w:rPr>
        <w:t> </w:t>
      </w:r>
      <w:r>
        <w:rPr>
          <w:spacing w:val="-63"/>
        </w:rPr>
      </w:r>
      <w:r>
        <w:rPr>
          <w:spacing w:val="-2"/>
        </w:rPr>
        <w:t>允价值为基础，对被投资单位的净利润进行调整后确认。被投资单位采用的会计政策及会计期间与本公司不一致的，按照本</w:t>
      </w:r>
      <w:r>
        <w:rPr>
          <w:spacing w:val="-63"/>
        </w:rPr>
        <w:t> </w:t>
      </w:r>
      <w:r>
        <w:rPr>
          <w:spacing w:val="-63"/>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t>不予以抵销。</w:t>
      </w:r>
    </w:p>
    <w:p>
      <w:pPr>
        <w:pStyle w:val="BodyText"/>
        <w:spacing w:line="316" w:lineRule="auto" w:before="58"/>
        <w:ind w:left="152"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p>
    <w:p>
      <w:pPr>
        <w:pStyle w:val="BodyText"/>
        <w:spacing w:line="319" w:lineRule="auto" w:before="57"/>
        <w:ind w:left="152" w:right="192"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240" w:lineRule="auto" w:before="58"/>
        <w:ind w:right="0"/>
        <w:jc w:val="left"/>
      </w:pPr>
      <w:r>
        <w:rPr/>
        <w:t>③</w:t>
      </w:r>
      <w:r>
        <w:rPr>
          <w:spacing w:val="-18"/>
        </w:rPr>
        <w:t> </w:t>
      </w:r>
      <w:r>
        <w:rPr/>
        <w:t>收购少数股权</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left="152" w:right="152" w:firstLine="360"/>
        <w:jc w:val="both"/>
      </w:pPr>
      <w:r>
        <w:rPr>
          <w:spacing w:val="-2"/>
        </w:rPr>
        <w:t>在编制合并财务报表时，因购买少数股权新增的长期股权投资与按照新增持股比例计算应享有子公司自购买日（或合并</w:t>
      </w:r>
      <w:r>
        <w:rPr/>
        <w:t> 日）开始持续计算的净资产份额之间的差额，调整资本公积，资本公积不足冲减的，调整留存收益。</w:t>
      </w:r>
    </w:p>
    <w:p>
      <w:pPr>
        <w:pStyle w:val="BodyText"/>
        <w:spacing w:line="357" w:lineRule="auto" w:before="59"/>
        <w:ind w:right="0"/>
        <w:jc w:val="left"/>
      </w:pPr>
      <w:r>
        <w:rPr/>
        <w:t>④</w:t>
      </w:r>
      <w:r>
        <w:rPr>
          <w:spacing w:val="-18"/>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224" w:lineRule="exact"/>
        <w:ind w:left="152" w:right="0"/>
        <w:jc w:val="left"/>
      </w:pPr>
      <w:r>
        <w:rPr/>
        <w:t>相对应享有子公司净资产的差额计入股东权益；母公司部分处置对子公司的长期股权投资导致丧失对子公司控制权的，按本</w:t>
      </w:r>
    </w:p>
    <w:p>
      <w:pPr>
        <w:pStyle w:val="BodyText"/>
        <w:spacing w:line="350" w:lineRule="auto" w:before="76"/>
        <w:ind w:right="0" w:hanging="361"/>
        <w:jc w:val="left"/>
      </w:pPr>
      <w:r>
        <w:rPr>
          <w:spacing w:val="-3"/>
          <w:w w:val="100"/>
        </w:rPr>
        <w:t>附注四、</w:t>
      </w:r>
      <w:r>
        <w:rPr>
          <w:rFonts w:ascii="Times New Roman" w:hAnsi="Times New Roman" w:cs="Times New Roman" w:eastAsia="Times New Roman" w:hint="default"/>
          <w:spacing w:val="-3"/>
          <w:w w:val="100"/>
        </w:rPr>
        <w:t>5</w:t>
      </w:r>
      <w:r>
        <w:rPr>
          <w:spacing w:val="-3"/>
          <w:w w:val="100"/>
        </w:rPr>
        <w:t>、（</w:t>
      </w:r>
      <w:r>
        <w:rPr>
          <w:rFonts w:ascii="Times New Roman" w:hAnsi="Times New Roman" w:cs="Times New Roman" w:eastAsia="Times New Roman" w:hint="default"/>
          <w:spacing w:val="-3"/>
          <w:w w:val="100"/>
        </w:rPr>
        <w:t>2</w:t>
      </w:r>
      <w:r>
        <w:rPr>
          <w:spacing w:val="-3"/>
          <w:w w:val="100"/>
        </w:rPr>
        <w:t>）</w:t>
      </w:r>
      <w:r>
        <w:rPr>
          <w:rFonts w:ascii="Times New Roman" w:hAnsi="Times New Roman" w:cs="Times New Roman" w:eastAsia="Times New Roman" w:hint="default"/>
          <w:spacing w:val="-3"/>
          <w:w w:val="100"/>
        </w:rPr>
        <w:t>“</w:t>
      </w:r>
      <w:r>
        <w:rPr>
          <w:spacing w:val="-3"/>
          <w:w w:val="100"/>
        </w:rPr>
        <w:t>合并财务报表编制的方法</w:t>
      </w:r>
      <w:r>
        <w:rPr>
          <w:rFonts w:ascii="Times New Roman" w:hAnsi="Times New Roman" w:cs="Times New Roman" w:eastAsia="Times New Roman" w:hint="default"/>
          <w:spacing w:val="-3"/>
          <w:w w:val="100"/>
        </w:rPr>
        <w:t>”</w:t>
      </w:r>
      <w:r>
        <w:rPr>
          <w:spacing w:val="-3"/>
          <w:w w:val="100"/>
        </w:rPr>
        <w:t>中所述的相关会计政策处理。</w:t>
      </w:r>
      <w:r>
        <w:rPr>
          <w:spacing w:val="-79"/>
          <w:w w:val="100"/>
        </w:rPr>
        <w:t> </w:t>
      </w: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ind w:left="152"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58"/>
        <w:ind w:left="152" w:right="15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3"/>
        </w:rPr>
        <w:t> </w:t>
      </w:r>
      <w:r>
        <w:rPr>
          <w:spacing w:val="-63"/>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0"/>
        <w:jc w:val="left"/>
      </w:pPr>
      <w:r>
        <w:rPr/>
        <w:t>成本法计量 </w:t>
      </w:r>
      <w:r>
        <w:rPr>
          <w:spacing w:val="-2"/>
        </w:rPr>
        <w:t>投资性房地产是指为赚取租金或资本增值，或两者兼有而持有的房地产。包括已出租的土地使用权、持有并准备增值后</w:t>
      </w:r>
    </w:p>
    <w:p>
      <w:pPr>
        <w:pStyle w:val="BodyText"/>
        <w:spacing w:line="224" w:lineRule="exact"/>
        <w:ind w:left="152" w:right="0"/>
        <w:jc w:val="left"/>
      </w:pPr>
      <w:r>
        <w:rPr/>
        <w:t>转让的土地使用权、已出租的建筑物等。</w:t>
      </w:r>
    </w:p>
    <w:p>
      <w:pPr>
        <w:pStyle w:val="BodyText"/>
        <w:spacing w:line="316" w:lineRule="auto" w:before="117"/>
        <w:ind w:left="152" w:right="152"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16" w:lineRule="auto" w:before="59"/>
        <w:ind w:left="152" w:right="15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152" w:right="153"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1"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19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192" w:firstLine="360"/>
        <w:jc w:val="both"/>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316" w:lineRule="auto" w:before="60"/>
        <w:ind w:left="152" w:right="0" w:firstLine="360"/>
        <w:jc w:val="left"/>
      </w:pPr>
      <w:r>
        <w:rPr>
          <w:spacing w:val="-2"/>
        </w:rPr>
        <w:t>在建工程的减值测试方法和减值准备计提方法：本公司于资产负债表日判断是否存在减值迹象。如存在减值迹象的，则</w:t>
      </w:r>
      <w:r>
        <w:rPr/>
        <w:t> </w:t>
      </w:r>
      <w:r>
        <w:rPr>
          <w:spacing w:val="-2"/>
        </w:rPr>
        <w:t>估计其可收回金额，进行减值测试。减值测试结果表明资产的可收回金额低于其账面价值的，按其差额计提减值准备并计入</w:t>
      </w:r>
      <w:r>
        <w:rPr>
          <w:spacing w:val="-63"/>
        </w:rPr>
        <w:t> </w:t>
      </w:r>
      <w:r>
        <w:rPr>
          <w:spacing w:val="-63"/>
        </w:rPr>
      </w:r>
      <w:r>
        <w:rPr>
          <w:spacing w:val="-2"/>
        </w:rPr>
        <w:t>减值损失。可收回金额为资产的公允价值减去处置费用后的净额与资产预计未来现金流量的现值两者之间的较高者。资产的</w:t>
      </w:r>
      <w:r>
        <w:rPr>
          <w:spacing w:val="-64"/>
        </w:rPr>
        <w:t> </w:t>
      </w:r>
      <w:r>
        <w:rPr>
          <w:spacing w:val="-64"/>
        </w:rPr>
      </w:r>
      <w:r>
        <w:rPr>
          <w:spacing w:val="-4"/>
        </w:rPr>
        <w:t>公允价值根据公平交易中销售协议价格确定；不存在销售协议但存在资产活跃市场的，公允价值按照该资产的买方出价确定；</w:t>
      </w:r>
      <w:r>
        <w:rPr>
          <w:spacing w:val="-44"/>
        </w:rPr>
        <w:t> </w:t>
      </w:r>
      <w:r>
        <w:rPr>
          <w:spacing w:val="-44"/>
        </w:rPr>
      </w:r>
      <w:r>
        <w:rPr>
          <w:spacing w:val="-2"/>
        </w:rPr>
        <w:t>不存在销售协议和资产活跃市场的，则以可获取的最佳信息为基础估计资产的公允价值。处置费用包括与资产处置有关的法</w:t>
      </w:r>
      <w:r>
        <w:rPr>
          <w:spacing w:val="-64"/>
        </w:rPr>
        <w:t> </w:t>
      </w:r>
      <w:r>
        <w:rPr>
          <w:spacing w:val="-64"/>
        </w:rPr>
      </w:r>
      <w:r>
        <w:rPr>
          <w:spacing w:val="-2"/>
        </w:rPr>
        <w:t>律费用、相关税费、搬运费以及为使资产达到可销售状态所发生的直接费用。资产预计未来现金流量的现值，按照资产在持</w:t>
      </w:r>
      <w:r>
        <w:rPr>
          <w:spacing w:val="-64"/>
        </w:rPr>
        <w:t> </w:t>
      </w:r>
      <w:r>
        <w:rPr>
          <w:spacing w:val="-64"/>
        </w:rPr>
      </w:r>
      <w:r>
        <w:rPr>
          <w:spacing w:val="-2"/>
        </w:rPr>
        <w:t>续使用过程中和最终处置时所产生的预计未来现金流量，选择恰当的折现率对其进行折现后的金额加以确定。资产减值准备</w:t>
      </w:r>
      <w:r>
        <w:rPr>
          <w:spacing w:val="-62"/>
        </w:rPr>
        <w:t> </w:t>
      </w:r>
      <w:r>
        <w:rPr>
          <w:spacing w:val="-62"/>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59"/>
        <w:ind w:left="152" w:right="192"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57" w:lineRule="auto" w:before="59"/>
        <w:ind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224" w:lineRule="exact"/>
        <w:ind w:left="152" w:right="0"/>
        <w:jc w:val="left"/>
      </w:pPr>
      <w:r>
        <w:rPr/>
        <w:t>性房地产和存货等资产。</w:t>
      </w:r>
    </w:p>
    <w:p>
      <w:pPr>
        <w:pStyle w:val="BodyText"/>
        <w:spacing w:line="300" w:lineRule="auto" w:before="117"/>
        <w:ind w:left="152" w:right="189" w:firstLine="360"/>
        <w:jc w:val="both"/>
      </w:pPr>
      <w:r>
        <w:rPr/>
        <w:t>如果符合资本化条件的资产在购建或生产过程中发生非正常中断、并且中断时间连续超过</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spacing w:val="-3"/>
        </w:rPr>
        <w:t>个月的，暂停借款费用的资</w:t>
      </w:r>
      <w:r>
        <w:rPr/>
        <w:t> 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222" w:lineRule="exact"/>
        <w:ind w:left="152" w:right="0"/>
        <w:jc w:val="left"/>
      </w:pPr>
      <w:r>
        <w:rPr/>
        <w:t>则计入无形资产成本。除此以外的其他项目的支出，在发生时计入当期损益。</w:t>
      </w:r>
    </w:p>
    <w:p>
      <w:pPr>
        <w:pStyle w:val="BodyText"/>
        <w:spacing w:line="316" w:lineRule="auto" w:before="115"/>
        <w:ind w:left="152" w:right="190"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3"/>
        </w:rPr>
        <w:t> </w:t>
      </w:r>
      <w:r>
        <w:rPr>
          <w:spacing w:val="-63"/>
        </w:rPr>
      </w:r>
      <w:r>
        <w:rPr/>
        <w:t>分配的，全部作为固定资产处理。</w:t>
      </w:r>
    </w:p>
    <w:p>
      <w:pPr>
        <w:pStyle w:val="BodyText"/>
        <w:spacing w:line="319" w:lineRule="auto" w:before="59"/>
        <w:ind w:left="152" w:right="0" w:firstLine="360"/>
        <w:jc w:val="left"/>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58"/>
        <w:ind w:left="152" w:right="101" w:firstLine="840"/>
        <w:jc w:val="both"/>
      </w:pPr>
      <w:r>
        <w:rPr>
          <w:spacing w:val="-3"/>
        </w:rPr>
        <w:t>期末，对使用寿命有限的无形资产的使用寿命和摊销方法进行复核，如发生变更则作为会计估计变更处理。此外，</w:t>
      </w:r>
      <w:r>
        <w:rPr/>
        <w:t> 还对使用寿命不确定的无形资产的使用寿命进行复核，如果有证据表明该无形资产为企业带来经济利益的期限是可预见的， 则估计其使用寿命并按照使用寿命有限的无形资产的摊销政策进行摊销。</w:t>
      </w:r>
    </w:p>
    <w:p>
      <w:pPr>
        <w:pStyle w:val="BodyText"/>
        <w:spacing w:line="316" w:lineRule="auto" w:before="57"/>
        <w:ind w:left="152" w:right="0" w:firstLine="360"/>
        <w:jc w:val="left"/>
      </w:pPr>
      <w:r>
        <w:rPr>
          <w:spacing w:val="-2"/>
        </w:rPr>
        <w:t>无形资产的减值测试方法和减值准备计提方法：本公司于资产负债表日判断是否存在减值迹象。如存在减值迹象的，则</w:t>
      </w:r>
      <w:r>
        <w:rPr/>
        <w:t> </w:t>
      </w:r>
      <w:r>
        <w:rPr>
          <w:spacing w:val="-2"/>
        </w:rPr>
        <w:t>估计其可收回金额，进行减值测试。减值测试结果表明资产的可收回金额低于其账面价值的，按其差额计提减值准备并计入</w:t>
      </w:r>
      <w:r>
        <w:rPr>
          <w:spacing w:val="-63"/>
        </w:rPr>
        <w:t> </w:t>
      </w:r>
      <w:r>
        <w:rPr>
          <w:spacing w:val="-63"/>
        </w:rPr>
      </w:r>
      <w:r>
        <w:rPr>
          <w:spacing w:val="-2"/>
        </w:rPr>
        <w:t>减值损失。可收回金额为资产的公允价值减去处置费用后的净额与资产预计未来现金流量的现值两者之间的较高者。资产的</w:t>
      </w:r>
      <w:r>
        <w:rPr>
          <w:spacing w:val="-64"/>
        </w:rPr>
        <w:t> </w:t>
      </w:r>
      <w:r>
        <w:rPr>
          <w:spacing w:val="-64"/>
        </w:rPr>
      </w:r>
      <w:r>
        <w:rPr>
          <w:spacing w:val="-4"/>
        </w:rPr>
        <w:t>公允价值根据公平交易中销售协议价格确定；不存在销售协议但存在资产活跃市场的，公允价值按照该资产的买方出价确定；</w:t>
      </w:r>
      <w:r>
        <w:rPr>
          <w:spacing w:val="-43"/>
        </w:rPr>
        <w:t> </w:t>
      </w:r>
      <w:r>
        <w:rPr>
          <w:spacing w:val="-43"/>
        </w:rPr>
      </w:r>
      <w:r>
        <w:rPr>
          <w:spacing w:val="-2"/>
        </w:rPr>
        <w:t>不存在销售协议和资产活跃市场的，则以可获取的最佳信息为基础估计资产的公允价值。处置费用包括与资产处置有关的法</w:t>
      </w:r>
      <w:r>
        <w:rPr>
          <w:spacing w:val="-64"/>
        </w:rPr>
        <w:t> </w:t>
      </w:r>
      <w:r>
        <w:rPr>
          <w:spacing w:val="-64"/>
        </w:rPr>
      </w:r>
      <w:r>
        <w:rPr>
          <w:spacing w:val="-2"/>
        </w:rPr>
        <w:t>律费用、相关税费、搬运费以及为使资产达到可销售状态所发生的直接费用。资产预计未来现金流量的现值，按照资产在持</w:t>
      </w:r>
      <w:r>
        <w:rPr>
          <w:spacing w:val="-64"/>
        </w:rPr>
        <w:t> </w:t>
      </w:r>
      <w:r>
        <w:rPr>
          <w:spacing w:val="-64"/>
        </w:rPr>
      </w:r>
      <w:r>
        <w:rPr>
          <w:spacing w:val="-2"/>
        </w:rPr>
        <w:t>续使用过程中和最终处置时所产生的预计未来现金流量，选择恰当的折现率对其进行折现后的金额加以确定。资产减值准备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29"/>
        <w:ind w:right="0"/>
        <w:jc w:val="left"/>
      </w:pPr>
      <w:r>
        <w:rPr/>
        <w:t>①</w:t>
      </w:r>
      <w:r>
        <w:rPr>
          <w:spacing w:val="-18"/>
        </w:rPr>
        <w:t> </w:t>
      </w:r>
      <w:r>
        <w:rPr/>
        <w:t>完成该无形资产以使其能够使用或出售在技术上具有可行性；</w:t>
      </w:r>
    </w:p>
    <w:p>
      <w:pPr>
        <w:pStyle w:val="BodyText"/>
        <w:spacing w:line="240" w:lineRule="auto" w:before="115"/>
        <w:ind w:right="0"/>
        <w:jc w:val="left"/>
      </w:pPr>
      <w:r>
        <w:rPr/>
        <w:t>②</w:t>
      </w:r>
      <w:r>
        <w:rPr>
          <w:spacing w:val="-18"/>
        </w:rPr>
        <w:t> </w:t>
      </w:r>
      <w:r>
        <w:rPr/>
        <w:t>具有完成该无形资产并使用或出售的意图；</w:t>
      </w:r>
    </w:p>
    <w:p>
      <w:pPr>
        <w:pStyle w:val="BodyText"/>
        <w:spacing w:line="316" w:lineRule="auto" w:before="117"/>
        <w:ind w:left="152" w:right="202" w:firstLine="360"/>
        <w:jc w:val="left"/>
      </w:pPr>
      <w:r>
        <w:rPr/>
        <w:t>③</w:t>
      </w:r>
      <w:r>
        <w:rPr>
          <w:spacing w:val="-18"/>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59"/>
        <w:ind w:right="0"/>
        <w:jc w:val="left"/>
      </w:pPr>
      <w:r>
        <w:rPr/>
        <w:t>④</w:t>
      </w:r>
      <w:r>
        <w:rPr>
          <w:spacing w:val="-18"/>
        </w:rPr>
        <w:t> </w:t>
      </w:r>
      <w:r>
        <w:rPr/>
        <w:t>有足够的技术、财务资源和其他资源支持，以完成该无形资产的开发，并有能力使用或出售该无形资产；</w:t>
      </w:r>
    </w:p>
    <w:p>
      <w:pPr>
        <w:pStyle w:val="BodyText"/>
        <w:spacing w:line="360" w:lineRule="auto" w:before="115"/>
        <w:ind w:right="297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对于固定资产、在建工程、使用寿命有限的无形资产、以成本模式计量的投资性房地产及对子公司、合营企业、联营企</w:t>
      </w:r>
    </w:p>
    <w:p>
      <w:pPr>
        <w:spacing w:after="0" w:line="240" w:lineRule="auto"/>
        <w:jc w:val="left"/>
        <w:sectPr>
          <w:footerReference w:type="default" r:id="rId19"/>
          <w:pgSz w:w="11910" w:h="16840"/>
          <w:pgMar w:footer="979" w:header="877" w:top="1100" w:bottom="1160" w:left="980" w:right="940"/>
          <w:pgNumType w:start="93"/>
        </w:sectPr>
      </w:pPr>
    </w:p>
    <w:p>
      <w:pPr>
        <w:spacing w:line="240" w:lineRule="auto" w:before="11"/>
        <w:rPr>
          <w:rFonts w:ascii="宋体" w:hAnsi="宋体" w:cs="宋体" w:eastAsia="宋体" w:hint="default"/>
          <w:sz w:val="21"/>
          <w:szCs w:val="21"/>
        </w:rPr>
      </w:pPr>
    </w:p>
    <w:p>
      <w:pPr>
        <w:pStyle w:val="BodyText"/>
        <w:spacing w:line="316" w:lineRule="auto" w:before="44"/>
        <w:ind w:left="152" w:right="190"/>
        <w:jc w:val="both"/>
      </w:pP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p>
    <w:p>
      <w:pPr>
        <w:pStyle w:val="BodyText"/>
        <w:spacing w:line="316" w:lineRule="auto" w:before="59"/>
        <w:ind w:left="152"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3"/>
        </w:rPr>
        <w:t> </w:t>
      </w:r>
      <w:r>
        <w:rPr>
          <w:spacing w:val="-63"/>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58"/>
        <w:ind w:left="152" w:right="19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3"/>
        </w:rPr>
        <w:t> </w:t>
      </w:r>
      <w:r>
        <w:rPr>
          <w:spacing w:val="-63"/>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59"/>
        <w:ind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360"/>
        <w:jc w:val="left"/>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3"/>
        </w:rPr>
        <w:t> </w:t>
      </w:r>
      <w:r>
        <w:rPr>
          <w:spacing w:val="-43"/>
        </w:rPr>
      </w:r>
      <w:r>
        <w:rPr/>
        <w:t>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152"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240" w:lineRule="auto" w:before="58"/>
        <w:ind w:right="0"/>
        <w:jc w:val="left"/>
      </w:pPr>
      <w:r>
        <w:rPr/>
        <w:t>职工内部退休计划采用上述辞退福利相同的原则处理</w:t>
      </w:r>
      <w:r>
        <w:rPr>
          <w:spacing w:val="-82"/>
        </w:rPr>
        <w:t>。</w:t>
      </w:r>
      <w:r>
        <w:rPr/>
        <w:t>本公司将自职工停止提供服务日至正常退休日的期间拟支付的内</w:t>
      </w:r>
    </w:p>
    <w:p>
      <w:pPr>
        <w:spacing w:after="0" w:line="240" w:lineRule="auto"/>
        <w:jc w:val="left"/>
        <w:sectPr>
          <w:footerReference w:type="default" r:id="rId20"/>
          <w:pgSz w:w="11910" w:h="16840"/>
          <w:pgMar w:footer="979" w:header="877" w:top="1100" w:bottom="1160" w:left="980" w:right="940"/>
          <w:pgNumType w:start="94"/>
        </w:sectPr>
      </w:pPr>
    </w:p>
    <w:p>
      <w:pPr>
        <w:spacing w:line="240" w:lineRule="auto" w:before="11"/>
        <w:rPr>
          <w:rFonts w:ascii="宋体" w:hAnsi="宋体" w:cs="宋体" w:eastAsia="宋体" w:hint="default"/>
          <w:sz w:val="21"/>
          <w:szCs w:val="21"/>
        </w:rPr>
      </w:pPr>
    </w:p>
    <w:p>
      <w:pPr>
        <w:pStyle w:val="BodyText"/>
        <w:spacing w:line="240" w:lineRule="auto" w:before="44"/>
        <w:ind w:left="152" w:right="0"/>
        <w:jc w:val="left"/>
      </w:pPr>
      <w:r>
        <w:rPr/>
        <w:t>退人员工资和缴纳的社会保险费等，在符合预计负债确认条件时，计入当期损益（辞退福利</w:t>
      </w:r>
      <w:r>
        <w:rPr>
          <w:spacing w:val="-92"/>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152"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52" w:right="139" w:firstLine="360"/>
        <w:jc w:val="left"/>
      </w:pPr>
      <w:r>
        <w:rPr/>
        <w:t>当与或有事项相关的义务同时符合以下条件</w:t>
      </w:r>
      <w:r>
        <w:rPr>
          <w:spacing w:val="-17"/>
        </w:rPr>
        <w:t>，</w:t>
      </w:r>
      <w:r>
        <w:rPr/>
        <w:t>确认为预计负债</w:t>
      </w:r>
      <w:r>
        <w:rPr>
          <w:spacing w:val="-108"/>
        </w:rPr>
        <w:t>：</w:t>
      </w:r>
      <w:r>
        <w:rPr/>
        <w:t>（</w:t>
      </w:r>
      <w:r>
        <w:rPr>
          <w:rFonts w:ascii="Times New Roman" w:hAnsi="Times New Roman" w:cs="Times New Roman" w:eastAsia="Times New Roman" w:hint="default"/>
          <w:spacing w:val="1"/>
        </w:rPr>
        <w:t>1</w:t>
      </w:r>
      <w:r>
        <w:rPr>
          <w:spacing w:val="-17"/>
        </w:rPr>
        <w:t>）</w:t>
      </w:r>
      <w:r>
        <w:rPr/>
        <w:t>该义务是本公司承担的现时义务</w:t>
      </w:r>
      <w:r>
        <w:rPr>
          <w:spacing w:val="-108"/>
        </w:rPr>
        <w:t>；</w:t>
      </w:r>
      <w:r>
        <w:rPr/>
        <w:t>（</w:t>
      </w:r>
      <w:r>
        <w:rPr>
          <w:rFonts w:ascii="Times New Roman" w:hAnsi="Times New Roman" w:cs="Times New Roman" w:eastAsia="Times New Roman" w:hint="default"/>
          <w:spacing w:val="1"/>
        </w:rPr>
        <w:t>2</w:t>
      </w:r>
      <w:r>
        <w:rPr>
          <w:spacing w:val="-17"/>
        </w:rPr>
        <w:t>）</w:t>
      </w:r>
      <w:r>
        <w:rPr/>
        <w:t>履行该义务</w:t>
      </w:r>
      <w:r>
        <w:rPr/>
        <w:t> 很可能导致经济利益流出</w:t>
      </w:r>
      <w:r>
        <w:rPr>
          <w:spacing w:val="-92"/>
        </w:rPr>
        <w:t>；</w:t>
      </w:r>
      <w:r>
        <w:rPr/>
        <w:t>（</w:t>
      </w:r>
      <w:r>
        <w:rPr>
          <w:rFonts w:ascii="Times New Roman" w:hAnsi="Times New Roman" w:cs="Times New Roman" w:eastAsia="Times New Roman" w:hint="default"/>
          <w:spacing w:val="1"/>
        </w:rPr>
        <w:t>3</w:t>
      </w:r>
      <w:r>
        <w:rPr/>
        <w:t>）该义务的金额能够可靠地计量。</w:t>
      </w:r>
    </w:p>
    <w:p>
      <w:pPr>
        <w:pStyle w:val="BodyText"/>
        <w:spacing w:line="316" w:lineRule="auto" w:before="51"/>
        <w:ind w:left="152"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59"/>
        <w:ind w:left="152"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38" w:lineRule="auto" w:before="59"/>
        <w:ind w:right="0"/>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2"/>
        <w:ind w:left="152" w:right="0"/>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38" w:lineRule="auto"/>
        <w:ind w:right="0"/>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2"/>
        <w:ind w:left="152" w:right="0"/>
        <w:jc w:val="left"/>
      </w:pPr>
      <w:r>
        <w:rPr/>
        <w:t>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
        <w:ind w:left="152" w:right="0"/>
        <w:jc w:val="left"/>
      </w:pPr>
      <w:r>
        <w:rPr/>
        <w:t>为以权益结算的股份支付和以现金结算的股份支付。</w:t>
      </w:r>
    </w:p>
    <w:p>
      <w:pPr>
        <w:pStyle w:val="BodyText"/>
        <w:spacing w:line="360" w:lineRule="auto" w:before="117"/>
        <w:ind w:right="0"/>
        <w:jc w:val="left"/>
      </w:pPr>
      <w:r>
        <w:rPr/>
        <w:t>①</w:t>
      </w:r>
      <w:r>
        <w:rPr>
          <w:spacing w:val="-18"/>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222" w:lineRule="exact"/>
        <w:ind w:left="152" w:right="0"/>
        <w:jc w:val="left"/>
      </w:pPr>
      <w:r>
        <w:rPr/>
        <w:t>完成等待期内的服务或达到规定业绩条件才可行权的情况下，在等待期内以对可行权权益工具数量的最佳估计为基础，按直</w:t>
      </w:r>
    </w:p>
    <w:p>
      <w:pPr>
        <w:pStyle w:val="BodyText"/>
        <w:spacing w:line="338" w:lineRule="auto" w:before="76"/>
        <w:ind w:right="0" w:hanging="361"/>
        <w:jc w:val="left"/>
      </w:pP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w:t>
      </w:r>
    </w:p>
    <w:p>
      <w:pPr>
        <w:pStyle w:val="BodyText"/>
        <w:spacing w:line="360" w:lineRule="auto" w:before="2"/>
        <w:ind w:right="0" w:hanging="361"/>
        <w:jc w:val="left"/>
      </w:pPr>
      <w:r>
        <w:rPr/>
        <w:t>的权益工具数量。上述估计的影响计入当期相关成本或费用，并相应调整资本公积。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w:t>
      </w:r>
    </w:p>
    <w:p>
      <w:pPr>
        <w:pStyle w:val="BodyText"/>
        <w:spacing w:line="222" w:lineRule="exact"/>
        <w:ind w:left="152" w:right="0"/>
        <w:jc w:val="left"/>
      </w:pPr>
      <w:r>
        <w:rPr/>
        <w:t>允价值计量，如果其他方服务的公允价值不能可靠计量，但权益工具的公允价值能够可靠计量的，按照权益工具在服务取得</w:t>
      </w:r>
    </w:p>
    <w:p>
      <w:pPr>
        <w:pStyle w:val="BodyText"/>
        <w:spacing w:line="240" w:lineRule="auto" w:before="76"/>
        <w:ind w:left="152" w:right="0"/>
        <w:jc w:val="left"/>
      </w:pPr>
      <w:r>
        <w:rPr/>
        <w:t>日的公允价值计量，计入相关成本或费用，相应增加股东权益。</w:t>
      </w:r>
    </w:p>
    <w:p>
      <w:pPr>
        <w:pStyle w:val="BodyText"/>
        <w:spacing w:line="357" w:lineRule="auto" w:before="117"/>
        <w:ind w:right="0"/>
        <w:jc w:val="left"/>
      </w:pPr>
      <w:r>
        <w:rPr/>
        <w:t>②</w:t>
      </w:r>
      <w:r>
        <w:rPr>
          <w:spacing w:val="-18"/>
        </w:rPr>
        <w:t> </w:t>
      </w:r>
      <w:r>
        <w:rPr/>
        <w:t>以现金结算的股份支付</w:t>
      </w:r>
      <w:r>
        <w:rPr/>
        <w:t> </w:t>
      </w:r>
      <w:r>
        <w:rPr>
          <w:spacing w:val="-2"/>
        </w:rPr>
        <w:t>以现金结算的股份支付，按照本公司承担的以股份或其他权益工具为基础确定的负债的公允价值计量。如授予后立即可</w:t>
      </w:r>
    </w:p>
    <w:p>
      <w:pPr>
        <w:spacing w:after="0" w:line="357" w:lineRule="auto"/>
        <w:jc w:val="left"/>
        <w:sectPr>
          <w:footerReference w:type="default" r:id="rId21"/>
          <w:pgSz w:w="11910" w:h="16840"/>
          <w:pgMar w:footer="979" w:header="877" w:top="1100" w:bottom="1160" w:left="980" w:right="980"/>
          <w:pgNumType w:start="95"/>
        </w:sectPr>
      </w:pPr>
    </w:p>
    <w:p>
      <w:pPr>
        <w:spacing w:line="240" w:lineRule="auto" w:before="11"/>
        <w:rPr>
          <w:rFonts w:ascii="宋体" w:hAnsi="宋体" w:cs="宋体" w:eastAsia="宋体" w:hint="default"/>
          <w:sz w:val="21"/>
          <w:szCs w:val="21"/>
        </w:rPr>
      </w:pPr>
    </w:p>
    <w:p>
      <w:pPr>
        <w:pStyle w:val="BodyText"/>
        <w:spacing w:line="316" w:lineRule="auto" w:before="44"/>
        <w:ind w:left="152" w:right="150"/>
        <w:jc w:val="both"/>
      </w:pPr>
      <w:r>
        <w:rPr>
          <w:spacing w:val="-2"/>
        </w:rPr>
        <w:t>行权，在授予日计入相关成本或费用，相应增加负债；如须完成等待期内的服务或达到规定业绩条件以后才可行权，在等待</w:t>
      </w:r>
      <w:r>
        <w:rPr>
          <w:spacing w:val="-64"/>
        </w:rPr>
        <w:t> </w:t>
      </w:r>
      <w:r>
        <w:rPr>
          <w:spacing w:val="-64"/>
        </w:rPr>
      </w:r>
      <w:r>
        <w:rPr>
          <w:spacing w:val="-2"/>
        </w:rPr>
        <w:t>期的每个资产负债表日，以对可行权情况的最佳估计为基础，按照本公司承担负债的公允价值金额，将当期取得的服务计入</w:t>
      </w:r>
      <w:r>
        <w:rPr>
          <w:spacing w:val="-63"/>
        </w:rPr>
        <w:t> </w:t>
      </w:r>
      <w:r>
        <w:rPr>
          <w:spacing w:val="-63"/>
        </w:rPr>
      </w:r>
      <w:r>
        <w:rPr/>
        <w:t>成本或费用，相应增加负债。</w:t>
      </w:r>
    </w:p>
    <w:p>
      <w:pPr>
        <w:pStyle w:val="BodyText"/>
        <w:spacing w:line="240" w:lineRule="auto" w:before="59"/>
        <w:ind w:right="0"/>
        <w:jc w:val="left"/>
      </w:pPr>
      <w:r>
        <w:rPr/>
        <w:t>在相关负债结算前的每个资产负债表日以及结算日，对负债的公允价值重新计量，其变动计入当期损益。</w:t>
      </w:r>
    </w:p>
    <w:p>
      <w:pPr>
        <w:pStyle w:val="BodyText"/>
        <w:spacing w:line="340" w:lineRule="auto" w:before="115"/>
        <w:ind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1"/>
        <w:ind w:left="152" w:right="150"/>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3"/>
        </w:rPr>
        <w:t> </w:t>
      </w:r>
      <w:r>
        <w:rPr>
          <w:spacing w:val="-63"/>
        </w:rPr>
      </w:r>
      <w:r>
        <w:rPr/>
        <w:t>取消了部分或全部已授予的权益工具。</w:t>
      </w:r>
    </w:p>
    <w:p>
      <w:pPr>
        <w:pStyle w:val="BodyText"/>
        <w:spacing w:line="319" w:lineRule="auto" w:before="59"/>
        <w:ind w:left="152" w:right="150"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3"/>
        </w:rPr>
        <w:t> </w:t>
      </w:r>
      <w:r>
        <w:rPr>
          <w:spacing w:val="-63"/>
        </w:rPr>
      </w:r>
      <w:r>
        <w:rPr/>
        <w:t>将其作为授予权益工具的取消处理。</w:t>
      </w:r>
    </w:p>
    <w:p>
      <w:pPr>
        <w:pStyle w:val="BodyText"/>
        <w:spacing w:line="340" w:lineRule="auto" w:before="55"/>
        <w:ind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1"/>
        <w:ind w:left="152" w:right="0"/>
        <w:jc w:val="both"/>
      </w:pPr>
      <w:r>
        <w:rPr/>
        <w:t>的，在本公司合并财务报表中按照以下规定进行会计处理：</w:t>
      </w:r>
    </w:p>
    <w:p>
      <w:pPr>
        <w:pStyle w:val="BodyText"/>
        <w:spacing w:line="316" w:lineRule="auto" w:before="117"/>
        <w:ind w:left="152" w:right="179" w:firstLine="360"/>
        <w:jc w:val="both"/>
      </w:pPr>
      <w:r>
        <w:rPr/>
        <w:t>①</w:t>
      </w:r>
      <w:r>
        <w:rPr>
          <w:spacing w:val="-18"/>
        </w:rPr>
        <w:t> </w:t>
      </w:r>
      <w:r>
        <w:rPr/>
        <w:t>结算企业以其本身权益工具结算的，将该股份支付交易作为权益结算的股份支付处理；除此之外，作为现金结算的</w:t>
      </w:r>
      <w:r>
        <w:rPr/>
        <w:t> 股份支付处理。</w:t>
      </w:r>
    </w:p>
    <w:p>
      <w:pPr>
        <w:pStyle w:val="BodyText"/>
        <w:spacing w:line="316" w:lineRule="auto" w:before="57"/>
        <w:ind w:left="152" w:right="152"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9" w:lineRule="auto" w:before="59"/>
        <w:ind w:left="152" w:right="153" w:firstLine="360"/>
        <w:jc w:val="both"/>
      </w:pPr>
      <w:r>
        <w:rPr/>
        <w:t>②</w:t>
      </w:r>
      <w:r>
        <w:rPr>
          <w:spacing w:val="-18"/>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58"/>
        <w:ind w:left="152" w:right="15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93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40"/>
        <w:ind w:left="152" w:right="152"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59"/>
        <w:ind w:left="152" w:right="152"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4"/>
        </w:rPr>
        <w:t> </w:t>
      </w:r>
      <w:r>
        <w:rPr>
          <w:spacing w:val="-64"/>
        </w:rPr>
      </w:r>
      <w:r>
        <w:rPr/>
        <w:t>融资产结算该金融工具。</w:t>
      </w:r>
    </w:p>
    <w:p>
      <w:pPr>
        <w:pStyle w:val="BodyText"/>
        <w:spacing w:line="357" w:lineRule="auto" w:before="59"/>
        <w:ind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237" w:lineRule="exact"/>
        <w:ind w:left="152" w:right="0"/>
        <w:jc w:val="both"/>
      </w:pPr>
      <w:r>
        <w:rPr/>
        <w:t>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。发行复合金融工具发生的交易费用，在负债成分和权益成分之间按照各自占</w:t>
      </w:r>
    </w:p>
    <w:p>
      <w:pPr>
        <w:pStyle w:val="BodyText"/>
        <w:spacing w:line="240" w:lineRule="auto" w:before="63"/>
        <w:ind w:left="152" w:right="0"/>
        <w:jc w:val="both"/>
      </w:pPr>
      <w:r>
        <w:rPr/>
        <w:t>总发行价款的比例进行分摊。</w:t>
      </w:r>
    </w:p>
    <w:p>
      <w:pPr>
        <w:pStyle w:val="BodyText"/>
        <w:spacing w:line="338" w:lineRule="auto" w:before="117"/>
        <w:ind w:right="157"/>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240" w:lineRule="auto" w:before="2"/>
        <w:ind w:left="152" w:right="0"/>
        <w:jc w:val="both"/>
      </w:pPr>
      <w:r>
        <w:rPr/>
        <w:t>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w:t>
      </w:r>
    </w:p>
    <w:p>
      <w:pPr>
        <w:spacing w:after="0" w:line="240"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152" w:right="198" w:firstLine="360"/>
        <w:jc w:val="both"/>
      </w:pPr>
      <w:r>
        <w:rPr>
          <w:spacing w:val="-2"/>
        </w:rPr>
        <w:t>归类为权益工具的永续债和优先股等金融工具，其发行（含再融资）、回购、出售或注销时，本公司作为权益的变动处</w:t>
      </w:r>
      <w:r>
        <w:rPr/>
        <w:t> 理，相关交易费用亦从权益中扣减。本公司对权益工具持有方的分配作为利润分配处理。</w:t>
      </w:r>
    </w:p>
    <w:p>
      <w:pPr>
        <w:pStyle w:val="BodyText"/>
        <w:spacing w:line="240" w:lineRule="auto" w:before="59"/>
        <w:ind w:right="0"/>
        <w:jc w:val="left"/>
      </w:pPr>
      <w:r>
        <w:rPr/>
        <w:t>本公司不确认权益工具的公允价值变动。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1"/>
        <w:ind w:left="152" w:right="0"/>
        <w:jc w:val="left"/>
      </w:pP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pStyle w:val="BodyText"/>
        <w:spacing w:line="350" w:lineRule="auto" w:before="58"/>
        <w:ind w:right="93"/>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在提供劳务交易的结果能够可靠估计的情况下，于资产负债表日按照完工百分比法确认提供的劳务收入。 提供劳务交易的结果能够可靠估计是指同时满足：①收入的金额能够可靠地计量；②相关的经济利益很可能流入企业；</w:t>
      </w:r>
    </w:p>
    <w:p>
      <w:pPr>
        <w:pStyle w:val="BodyText"/>
        <w:spacing w:line="357" w:lineRule="auto"/>
        <w:ind w:right="0" w:hanging="361"/>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224" w:lineRule="exact"/>
        <w:ind w:left="152" w:right="0"/>
        <w:jc w:val="left"/>
      </w:pPr>
      <w:r>
        <w:rPr/>
        <w:t>将已发生的劳务成本作为当期费用。已经发生的劳务成本如预计不能得到补偿的，则不确认收入。</w:t>
      </w:r>
    </w:p>
    <w:p>
      <w:pPr>
        <w:pStyle w:val="BodyText"/>
        <w:spacing w:line="316" w:lineRule="auto" w:before="117"/>
        <w:ind w:left="152" w:right="190" w:firstLine="360"/>
        <w:jc w:val="both"/>
      </w:pPr>
      <w:r>
        <w:rPr>
          <w:spacing w:val="-2"/>
        </w:rPr>
        <w:t>本公司与其他企业签订的合同或协议包括销售商品和提供劳务时，如销售商品部分和提供劳务部分能够区分并单独计量</w:t>
      </w:r>
      <w:r>
        <w:rPr/>
        <w:t> </w:t>
      </w:r>
      <w:r>
        <w:rPr>
          <w:spacing w:val="-2"/>
        </w:rPr>
        <w:t>的，将销售商品部分和提供劳务部分分别处理；如销售商品部分和提供劳务部分不能够区分，或虽能区分但不能够单独计量</w:t>
      </w:r>
      <w:r>
        <w:rPr>
          <w:spacing w:val="-63"/>
        </w:rPr>
        <w:t> </w:t>
      </w:r>
      <w:r>
        <w:rPr>
          <w:spacing w:val="-63"/>
        </w:rPr>
      </w:r>
      <w:r>
        <w:rPr/>
        <w:t>的，将该合同全部作为销售商品处理。</w:t>
      </w:r>
    </w:p>
    <w:p>
      <w:pPr>
        <w:pStyle w:val="BodyText"/>
        <w:spacing w:line="240" w:lineRule="auto" w:before="60"/>
        <w:ind w:right="0"/>
        <w:jc w:val="left"/>
      </w:pPr>
      <w:r>
        <w:rPr/>
        <w:t>（</w:t>
      </w:r>
      <w:r>
        <w:rPr>
          <w:rFonts w:ascii="Times New Roman" w:hAnsi="Times New Roman" w:cs="Times New Roman" w:eastAsia="Times New Roman" w:hint="default"/>
        </w:rPr>
        <w:t>3</w:t>
      </w:r>
      <w:r>
        <w:rPr/>
        <w:t>）收入确认的具体方法</w:t>
      </w:r>
    </w:p>
    <w:p>
      <w:pPr>
        <w:pStyle w:val="BodyText"/>
        <w:spacing w:line="360" w:lineRule="auto" w:before="101"/>
        <w:ind w:right="93"/>
        <w:jc w:val="left"/>
      </w:pPr>
      <w:r>
        <w:rPr/>
        <w:t>①软件产品的开发和销售 软件产品包括自行开发研制软件产品和定制开发软件产品。自行开发研制软件产品是指拥有自主知识产权、无差异化、</w:t>
      </w:r>
    </w:p>
    <w:p>
      <w:pPr>
        <w:pStyle w:val="BodyText"/>
        <w:spacing w:line="222" w:lineRule="exact"/>
        <w:ind w:left="152" w:right="0"/>
        <w:jc w:val="left"/>
      </w:pPr>
      <w:r>
        <w:rPr/>
        <w:t>可批量复制的软件产品；定制开发软件产品是指公司根据买方的实际需求进行定制、开发的软件产品。</w:t>
      </w:r>
    </w:p>
    <w:p>
      <w:pPr>
        <w:pStyle w:val="BodyText"/>
        <w:spacing w:line="316" w:lineRule="auto" w:before="117"/>
        <w:ind w:left="152" w:right="189" w:firstLine="360"/>
        <w:jc w:val="both"/>
      </w:pPr>
      <w:r>
        <w:rPr>
          <w:spacing w:val="-2"/>
        </w:rPr>
        <w:t>自行开发研制软件产品的销售，公司在软件产品的重要风险和报酬已转移给买方，取得相关的验收单后，不再对其实施</w:t>
      </w:r>
      <w:r>
        <w:rPr/>
        <w:t> </w:t>
      </w:r>
      <w:r>
        <w:rPr>
          <w:spacing w:val="-2"/>
        </w:rPr>
        <w:t>继续管理权和实际控制权，相关的收入已经收到或取得了收款的证据，并且与其有关的成本能够可靠地计量时，确认销售收</w:t>
      </w:r>
      <w:r>
        <w:rPr>
          <w:spacing w:val="-62"/>
        </w:rPr>
        <w:t> </w:t>
      </w:r>
      <w:r>
        <w:rPr>
          <w:spacing w:val="-62"/>
        </w:rPr>
      </w:r>
      <w:r>
        <w:rPr/>
        <w:t>入。</w:t>
      </w:r>
    </w:p>
    <w:p>
      <w:pPr>
        <w:pStyle w:val="BodyText"/>
        <w:spacing w:line="316" w:lineRule="auto" w:before="57"/>
        <w:ind w:left="152" w:right="0" w:firstLine="360"/>
        <w:jc w:val="left"/>
      </w:pPr>
      <w:r>
        <w:rPr>
          <w:spacing w:val="-2"/>
        </w:rPr>
        <w:t>定制开发软件项目按合同约定在项目实施完成并经对方验收合格后确认收入，对合同约定完工比例的，按合同约定的完</w:t>
      </w:r>
      <w:r>
        <w:rPr/>
        <w:t> 工确认条件确认收入。</w:t>
      </w:r>
    </w:p>
    <w:p>
      <w:pPr>
        <w:pStyle w:val="BodyText"/>
        <w:spacing w:line="360" w:lineRule="auto" w:before="59"/>
        <w:ind w:right="2793"/>
        <w:jc w:val="left"/>
      </w:pPr>
      <w:r>
        <w:rPr/>
        <w:t>②技术服务收入 技术服务是指公司为客户提供的技术支持、技术咨询、技术开发、系统维护等服务。</w:t>
      </w:r>
    </w:p>
    <w:p>
      <w:pPr>
        <w:pStyle w:val="BodyText"/>
        <w:spacing w:line="316" w:lineRule="auto" w:before="25"/>
        <w:ind w:left="152" w:right="0" w:firstLine="360"/>
        <w:jc w:val="left"/>
      </w:pPr>
      <w:r>
        <w:rPr>
          <w:spacing w:val="-2"/>
        </w:rPr>
        <w:t>技术服务收入的确认原则及方法为：在劳务已经提供，按合同约定取得验收单、收到价款或取得收取款项的证据时，确</w:t>
      </w:r>
      <w:r>
        <w:rPr/>
        <w:t> 认劳务收入。一定期限的维护合同，按合同期限平均确认收入。</w:t>
      </w:r>
    </w:p>
    <w:p>
      <w:pPr>
        <w:pStyle w:val="BodyText"/>
        <w:spacing w:line="340" w:lineRule="auto" w:before="59"/>
        <w:ind w:right="5673"/>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40" w:lineRule="auto" w:before="39"/>
        <w:ind w:right="477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after="0" w:line="340" w:lineRule="auto"/>
        <w:jc w:val="left"/>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与资产相关的政府补助，确认为递延收益，并在相关资产的使用寿命内平均分配计入当期损益。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268" w:lineRule="auto"/>
        <w:ind w:left="152" w:right="152" w:firstLine="360"/>
        <w:jc w:val="both"/>
        <w:rPr>
          <w:sz w:val="24"/>
          <w:szCs w:val="24"/>
        </w:rPr>
      </w:pPr>
      <w:r>
        <w:rPr>
          <w:spacing w:val="-2"/>
        </w:rPr>
        <w:t>与收益相关的政府补助，用于补偿以后期间的相关费用和损失的，确认为递延收益，并在确认相关费用的期间计入当期</w:t>
      </w:r>
      <w:r>
        <w:rPr/>
        <w:t> 损益；用于补偿已经发生的相关费用和损失的，直接计入当</w:t>
      </w:r>
      <w:r>
        <w:rPr>
          <w:sz w:val="24"/>
          <w:szCs w:val="24"/>
        </w:rPr>
        <w:t>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w:t>
      </w:r>
    </w:p>
    <w:p>
      <w:pPr>
        <w:pStyle w:val="BodyText"/>
        <w:spacing w:line="316" w:lineRule="auto" w:before="1"/>
        <w:ind w:left="152" w:right="0"/>
        <w:jc w:val="left"/>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340" w:lineRule="auto" w:before="57"/>
        <w:ind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9" w:lineRule="auto" w:before="1"/>
        <w:ind w:left="152" w:right="0"/>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58"/>
        <w:ind w:left="152" w:right="150"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3"/>
        </w:rPr>
        <w:t> </w:t>
      </w:r>
      <w:r>
        <w:rPr>
          <w:spacing w:val="-63"/>
        </w:rPr>
      </w:r>
      <w:r>
        <w:rPr/>
        <w:t>得税负债。</w:t>
      </w:r>
    </w:p>
    <w:p>
      <w:pPr>
        <w:pStyle w:val="BodyText"/>
        <w:spacing w:line="319" w:lineRule="auto" w:before="57"/>
        <w:ind w:left="152" w:right="150"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3"/>
        </w:rPr>
        <w:t> </w:t>
      </w:r>
      <w:r>
        <w:rPr>
          <w:spacing w:val="-63"/>
        </w:rPr>
      </w:r>
      <w:r>
        <w:rPr/>
        <w:t>额为限，确认其他可抵扣暂时性差异产生的递延所得税资产。</w:t>
      </w:r>
    </w:p>
    <w:p>
      <w:pPr>
        <w:pStyle w:val="BodyText"/>
        <w:spacing w:line="316" w:lineRule="auto" w:before="58"/>
        <w:ind w:left="152" w:right="152"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59"/>
        <w:ind w:left="152" w:right="150"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57"/>
        <w:ind w:left="152" w:right="15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40" w:lineRule="auto" w:before="59"/>
        <w:ind w:right="5993"/>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39"/>
        <w:ind w:left="152" w:right="23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240" w:lineRule="auto" w:before="58"/>
        <w:ind w:right="0"/>
        <w:jc w:val="left"/>
      </w:pPr>
      <w:r>
        <w:rPr/>
        <w:t>（</w:t>
      </w:r>
      <w:r>
        <w:rPr>
          <w:rFonts w:ascii="Times New Roman" w:hAnsi="Times New Roman" w:cs="Times New Roman" w:eastAsia="Times New Roman" w:hint="default"/>
        </w:rPr>
        <w:t>4</w:t>
      </w:r>
      <w:r>
        <w:rPr/>
        <w:t>）所得税的抵销</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152" w:right="192" w:firstLine="360"/>
        <w:jc w:val="both"/>
      </w:pPr>
      <w:r>
        <w:rPr>
          <w:spacing w:val="-2"/>
        </w:rPr>
        <w:t>当拥有以净额结算的法定权利，且意图以净额结算或取得资产、清偿负债同时进行时，本公司当期所得税资产及当期所</w:t>
      </w:r>
      <w:r>
        <w:rPr/>
        <w:t> 得税负债以抵销后的净额列报。</w:t>
      </w:r>
    </w:p>
    <w:p>
      <w:pPr>
        <w:pStyle w:val="BodyText"/>
        <w:spacing w:line="316" w:lineRule="auto" w:before="59"/>
        <w:ind w:left="152" w:right="19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5"/>
        </w:rPr>
        <w:t> </w:t>
      </w:r>
      <w:r>
        <w:rPr>
          <w:spacing w:val="-65"/>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1"/>
        <w:ind w:left="152" w:right="0"/>
        <w:jc w:val="left"/>
      </w:pPr>
      <w:r>
        <w:rPr/>
        <w:t>租金于实际发生时计入当期损益。</w:t>
      </w:r>
    </w:p>
    <w:p>
      <w:pPr>
        <w:pStyle w:val="BodyText"/>
        <w:spacing w:line="338" w:lineRule="auto" w:before="117"/>
        <w:ind w:right="273"/>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2"/>
        <w:ind w:left="152" w:right="0"/>
        <w:jc w:val="left"/>
      </w:pPr>
      <w:r>
        <w:rPr>
          <w:spacing w:val="-2"/>
        </w:rPr>
        <w:t>化，在整个租赁期间内按照与确认租金收入相同的基础分期计入当期损益；其他金额较小的初始直接费用于发生时计入当期</w:t>
      </w:r>
      <w:r>
        <w:rPr>
          <w:spacing w:val="-63"/>
        </w:rPr>
        <w:t> </w:t>
      </w:r>
      <w:r>
        <w:rPr>
          <w:spacing w:val="-63"/>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2"/>
        <w:ind w:left="152"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59"/>
        <w:ind w:right="0"/>
        <w:jc w:val="left"/>
      </w:pPr>
      <w:r>
        <w:rPr/>
        <w:t>未确认融资费用在租赁期内采用实际利率法计算确认当期的融资费用。或有租金于实际发生时计入当期损益。</w:t>
      </w:r>
    </w:p>
    <w:p>
      <w:pPr>
        <w:pStyle w:val="BodyText"/>
        <w:spacing w:line="338" w:lineRule="auto" w:before="117"/>
        <w:ind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3"/>
        <w:ind w:left="152"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59"/>
        <w:ind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left="152" w:right="192" w:firstLine="360"/>
        <w:jc w:val="both"/>
      </w:pPr>
      <w:r>
        <w:rPr>
          <w:spacing w:val="-2"/>
        </w:rPr>
        <w:t>终止经营，是指满足下列条件之一的已被本公司处置或划归为持有待售的、在经营和编制财务报表时能够单独区分的组</w:t>
      </w:r>
      <w:r>
        <w:rPr/>
        <w:t> </w:t>
      </w: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pStyle w:val="BodyText"/>
        <w:spacing w:line="240" w:lineRule="auto" w:before="58"/>
        <w:ind w:right="0"/>
        <w:jc w:val="left"/>
      </w:pPr>
      <w:r>
        <w:rPr/>
        <w:t>终止经营的会计处理方法参见本附注四、</w:t>
      </w:r>
      <w:r>
        <w:rPr>
          <w:rFonts w:ascii="Times New Roman" w:hAnsi="Times New Roman" w:cs="Times New Roman" w:eastAsia="Times New Roman" w:hint="default"/>
        </w:rPr>
        <w:t>12“</w:t>
      </w:r>
      <w:r>
        <w:rPr/>
        <w:t>划分为持有待售资产</w:t>
      </w:r>
      <w:r>
        <w:rPr>
          <w:rFonts w:ascii="Times New Roman" w:hAnsi="Times New Roman" w:cs="Times New Roman" w:eastAsia="Times New Roman" w:hint="default"/>
        </w:rPr>
        <w:t>”</w:t>
      </w:r>
      <w:r>
        <w:rPr/>
        <w:t>相关描述。</w:t>
      </w:r>
    </w:p>
    <w:p>
      <w:pPr>
        <w:spacing w:after="0" w:line="2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firstLine="360"/>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 政策变更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第二届董事会第八次临时会议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49"/>
        <w:ind w:left="152" w:right="168"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年初，财政部分别以财会</w:t>
      </w:r>
      <w:r>
        <w:rPr>
          <w:rFonts w:ascii="Times New Roman" w:hAnsi="Times New Roman" w:cs="Times New Roman" w:eastAsia="Times New Roman" w:hint="default"/>
        </w:rPr>
        <w:t>[2014]6</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t>号及</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号发布了《企业会计准则第</w:t>
      </w:r>
      <w:r>
        <w:rPr>
          <w:spacing w:val="-47"/>
        </w:rPr>
        <w:t> </w:t>
      </w:r>
      <w:r>
        <w:rPr>
          <w:rFonts w:ascii="Times New Roman" w:hAnsi="Times New Roman" w:cs="Times New Roman" w:eastAsia="Times New Roman" w:hint="default"/>
        </w:rPr>
        <w:t>39</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 </w:t>
      </w:r>
      <w:r>
        <w:rPr>
          <w:spacing w:val="-12"/>
        </w:rPr>
        <w:t>公允价值计量》、《企业会计准则第</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财务报表列报（</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4"/>
        </w:rPr>
        <w:t> </w:t>
      </w:r>
      <w:r>
        <w:rPr>
          <w:spacing w:val="-20"/>
        </w:rPr>
        <w:t>年修订）》、《企业会计准则第</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1"/>
        </w:rPr>
        <w:t>号</w:t>
      </w:r>
      <w:r>
        <w:rPr>
          <w:rFonts w:ascii="Times New Roman" w:hAnsi="Times New Roman" w:cs="Times New Roman" w:eastAsia="Times New Roman" w:hint="default"/>
          <w:spacing w:val="-1"/>
        </w:rPr>
        <w:t>——</w:t>
      </w:r>
      <w:r>
        <w:rPr>
          <w:spacing w:val="-1"/>
        </w:rPr>
        <w:t>职工薪酬（</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6"/>
        </w:rPr>
        <w:t> </w:t>
      </w:r>
      <w:r>
        <w:rPr/>
        <w:t>年</w:t>
      </w:r>
      <w:r>
        <w:rPr>
          <w:spacing w:val="-85"/>
        </w:rPr>
        <w:t> </w:t>
      </w:r>
      <w:r>
        <w:rPr>
          <w:spacing w:val="-21"/>
        </w:rPr>
        <w:t>修订）》、《企业会计准则第</w:t>
      </w:r>
      <w:r>
        <w:rPr>
          <w:spacing w:val="-40"/>
        </w:rPr>
        <w:t> </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20"/>
        </w:rPr>
        <w:t>年修订）》、《企业会计准则第</w:t>
      </w:r>
      <w:r>
        <w:rPr>
          <w:spacing w:val="-40"/>
        </w:rPr>
        <w:t> </w:t>
      </w:r>
      <w:r>
        <w:rPr>
          <w:rFonts w:ascii="Times New Roman" w:hAnsi="Times New Roman" w:cs="Times New Roman" w:eastAsia="Times New Roman" w:hint="default"/>
        </w:rPr>
        <w:t>40</w:t>
      </w:r>
      <w:r>
        <w:rPr>
          <w:rFonts w:ascii="Times New Roman" w:hAnsi="Times New Roman" w:cs="Times New Roman" w:eastAsia="Times New Roman" w:hint="default"/>
          <w:spacing w:val="-8"/>
        </w:rPr>
        <w:t> </w:t>
      </w:r>
      <w:r>
        <w:rPr>
          <w:spacing w:val="-13"/>
        </w:rPr>
        <w:t>号</w:t>
      </w:r>
      <w:r>
        <w:rPr>
          <w:rFonts w:ascii="Times New Roman" w:hAnsi="Times New Roman" w:cs="Times New Roman" w:eastAsia="Times New Roman" w:hint="default"/>
          <w:spacing w:val="-13"/>
        </w:rPr>
        <w:t>——</w:t>
      </w:r>
      <w:r>
        <w:rPr>
          <w:spacing w:val="-13"/>
        </w:rPr>
        <w:t>合营安排》、《企业会计准</w:t>
      </w:r>
    </w:p>
    <w:p>
      <w:pPr>
        <w:pStyle w:val="BodyText"/>
        <w:spacing w:line="300" w:lineRule="auto" w:before="13"/>
        <w:ind w:left="152" w:right="137"/>
        <w:jc w:val="left"/>
      </w:pPr>
      <w:r>
        <w:rPr/>
        <w:t>则第</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1"/>
        </w:rPr>
        <w:t>号</w:t>
      </w:r>
      <w:r>
        <w:rPr>
          <w:rFonts w:ascii="Times New Roman" w:hAnsi="Times New Roman" w:cs="Times New Roman" w:eastAsia="Times New Roman" w:hint="default"/>
          <w:spacing w:val="-1"/>
        </w:rPr>
        <w:t>——</w:t>
      </w:r>
      <w:r>
        <w:rPr>
          <w:spacing w:val="-1"/>
        </w:rPr>
        <w:t>长期股权投资（</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6"/>
        </w:rPr>
        <w:t> </w:t>
      </w:r>
      <w:r>
        <w:rPr>
          <w:spacing w:val="-7"/>
        </w:rPr>
        <w:t>年修订）》及《企业会计准则第</w:t>
      </w:r>
      <w:r>
        <w:rPr>
          <w:spacing w:val="-44"/>
        </w:rPr>
        <w:t> </w:t>
      </w:r>
      <w:r>
        <w:rPr>
          <w:rFonts w:ascii="Times New Roman" w:hAnsi="Times New Roman" w:cs="Times New Roman" w:eastAsia="Times New Roman" w:hint="default"/>
        </w:rPr>
        <w:t>41</w:t>
      </w:r>
      <w:r>
        <w:rPr>
          <w:rFonts w:ascii="Times New Roman" w:hAnsi="Times New Roman" w:cs="Times New Roman" w:eastAsia="Times New Roman" w:hint="default"/>
          <w:spacing w:val="-7"/>
        </w:rPr>
        <w:t> </w:t>
      </w:r>
      <w:r>
        <w:rPr>
          <w:spacing w:val="-5"/>
        </w:rPr>
        <w:t>号</w:t>
      </w:r>
      <w:r>
        <w:rPr>
          <w:rFonts w:ascii="Times New Roman" w:hAnsi="Times New Roman" w:cs="Times New Roman" w:eastAsia="Times New Roman" w:hint="default"/>
          <w:spacing w:val="-5"/>
        </w:rPr>
        <w:t>——</w:t>
      </w:r>
      <w:r>
        <w:rPr>
          <w:spacing w:val="-5"/>
        </w:rPr>
        <w:t>在其他主体中权益的披露》，要求自</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40"/>
        </w:rPr>
        <w:t> </w:t>
      </w:r>
      <w:r>
        <w:rPr/>
        <w:t>月</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rFonts w:ascii="Times New Roman" w:hAnsi="Times New Roman" w:cs="Times New Roman" w:eastAsia="Times New Roman" w:hint="default"/>
          <w:spacing w:val="-25"/>
        </w:rPr>
        <w:t> </w:t>
      </w:r>
      <w:r>
        <w:rPr/>
        <w:t>号发 布了《企业会计准则第</w:t>
      </w:r>
      <w:r>
        <w:rPr>
          <w:spacing w:val="-37"/>
        </w:rPr>
        <w:t>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spacing w:val="-1"/>
        </w:rPr>
        <w:t>号</w:t>
      </w:r>
      <w:r>
        <w:rPr>
          <w:rFonts w:ascii="Times New Roman" w:hAnsi="Times New Roman" w:cs="Times New Roman" w:eastAsia="Times New Roman" w:hint="default"/>
          <w:spacing w:val="-1"/>
        </w:rPr>
        <w:t>——</w:t>
      </w:r>
      <w:r>
        <w:rPr>
          <w:spacing w:val="-1"/>
        </w:rPr>
        <w:t>金融工具列报（</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
        </w:rPr>
        <w:t> </w:t>
      </w:r>
      <w:r>
        <w:rPr>
          <w:spacing w:val="-12"/>
          <w:w w:val="100"/>
        </w:rPr>
        <w:t>年修订）》（以下简称</w:t>
      </w:r>
      <w:r>
        <w:rPr>
          <w:rFonts w:ascii="Times New Roman" w:hAnsi="Times New Roman" w:cs="Times New Roman" w:eastAsia="Times New Roman" w:hint="default"/>
          <w:spacing w:val="-12"/>
          <w:w w:val="100"/>
        </w:rPr>
        <w:t>“</w:t>
      </w:r>
      <w:r>
        <w:rPr>
          <w:spacing w:val="-12"/>
          <w:w w:val="100"/>
        </w:rPr>
        <w:t>金融工具列报准则</w:t>
      </w:r>
      <w:r>
        <w:rPr>
          <w:rFonts w:ascii="Times New Roman" w:hAnsi="Times New Roman" w:cs="Times New Roman" w:eastAsia="Times New Roman" w:hint="default"/>
          <w:spacing w:val="-12"/>
          <w:w w:val="100"/>
        </w:rPr>
        <w:t>”</w:t>
      </w:r>
      <w:r>
        <w:rPr>
          <w:spacing w:val="-12"/>
          <w:w w:val="100"/>
        </w:rPr>
        <w:t>），要求在</w:t>
      </w:r>
      <w:r>
        <w:rPr>
          <w:spacing w:val="-37"/>
          <w:w w:val="10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年年度及以</w:t>
      </w:r>
      <w:r>
        <w:rPr>
          <w:spacing w:val="-87"/>
        </w:rPr>
        <w:t> </w:t>
      </w:r>
      <w:r>
        <w:rPr/>
        <w:t>后期间的财务报告中按照该准则的要求对金融工具进行列报。</w:t>
      </w:r>
    </w:p>
    <w:p>
      <w:pPr>
        <w:pStyle w:val="BodyText"/>
        <w:spacing w:line="240" w:lineRule="auto" w:before="70"/>
        <w:ind w:right="0"/>
        <w:jc w:val="left"/>
      </w:pPr>
      <w:r>
        <w:rPr/>
        <w:t>经本公司第二届董事会第八次临时会议于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日决议通过，本公司于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日开始执行前述除金融</w:t>
      </w:r>
    </w:p>
    <w:p>
      <w:pPr>
        <w:pStyle w:val="BodyText"/>
        <w:spacing w:line="300" w:lineRule="auto" w:before="63"/>
        <w:ind w:left="152" w:right="166"/>
        <w:jc w:val="left"/>
      </w:pPr>
      <w:r>
        <w:rPr/>
        <w:t>工具列报准则以外的</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项新颁布或修订的企业会计准则，在编制</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年年度财务报告时开始执行金融工具列报准则，对当 期和列报前期财务报表项目及金额无影响。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79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94" w:firstLine="36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 税，并按扣除当期允许抵扣的进项税额 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7%</w:t>
            </w:r>
          </w:p>
        </w:tc>
      </w:tr>
      <w:tr>
        <w:trPr>
          <w:trHeight w:val="295"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79" w:firstLine="360"/>
              <w:jc w:val="both"/>
              <w:rPr>
                <w:rFonts w:ascii="宋体" w:hAnsi="宋体" w:cs="宋体" w:eastAsia="宋体" w:hint="default"/>
                <w:sz w:val="18"/>
                <w:szCs w:val="18"/>
              </w:rPr>
            </w:pPr>
            <w:r>
              <w:rPr>
                <w:rFonts w:ascii="宋体" w:hAnsi="宋体" w:cs="宋体" w:eastAsia="宋体" w:hint="default"/>
                <w:sz w:val="18"/>
                <w:szCs w:val="18"/>
              </w:rPr>
              <w:t>北京北信源软件股份有限公司按应 纳税所得额的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计缴；江苏神州信源 系统工程有限公司按应纳税所得额的</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298"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9" w:header="877"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98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25</w:t>
            </w:r>
            <w:r>
              <w:rPr>
                <w:rFonts w:ascii="Times New Roman" w:hAnsi="Times New Roman" w:cs="Times New Roman" w:eastAsia="Times New Roman" w:hint="default"/>
                <w:spacing w:val="-2"/>
                <w:w w:val="99"/>
                <w:sz w:val="18"/>
                <w:szCs w:val="18"/>
              </w:rPr>
              <w:t>%</w:t>
            </w:r>
            <w:r>
              <w:rPr>
                <w:rFonts w:ascii="宋体" w:hAnsi="宋体" w:cs="宋体" w:eastAsia="宋体" w:hint="default"/>
                <w:w w:val="99"/>
                <w:sz w:val="18"/>
                <w:szCs w:val="18"/>
              </w:rPr>
              <w:t>计缴</w:t>
            </w:r>
            <w:r>
              <w:rPr>
                <w:rFonts w:ascii="宋体" w:hAnsi="宋体" w:cs="宋体" w:eastAsia="宋体" w:hint="default"/>
                <w:spacing w:val="-77"/>
                <w:w w:val="99"/>
                <w:sz w:val="18"/>
                <w:szCs w:val="18"/>
              </w:rPr>
              <w:t>；</w:t>
            </w:r>
            <w:r>
              <w:rPr>
                <w:rFonts w:ascii="宋体" w:hAnsi="宋体" w:cs="宋体" w:eastAsia="宋体" w:hint="default"/>
                <w:w w:val="99"/>
                <w:sz w:val="18"/>
                <w:szCs w:val="18"/>
              </w:rPr>
              <w:t>上海北信源信息技术有限公司</w:t>
            </w:r>
            <w:r>
              <w:rPr>
                <w:rFonts w:ascii="宋体" w:hAnsi="宋体" w:cs="宋体" w:eastAsia="宋体" w:hint="default"/>
                <w:sz w:val="18"/>
                <w:szCs w:val="18"/>
              </w:rPr>
            </w:r>
          </w:p>
          <w:p>
            <w:pPr>
              <w:pStyle w:val="TableParagraph"/>
              <w:spacing w:line="300" w:lineRule="auto" w:before="63"/>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年减半征收企业所得税，按应纳税 所得额的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52" w:right="0" w:firstLine="360"/>
        <w:jc w:val="left"/>
      </w:pPr>
      <w:r>
        <w:rPr/>
        <w:t>（</w:t>
      </w:r>
      <w:r>
        <w:rPr>
          <w:rFonts w:ascii="Times New Roman" w:hAnsi="Times New Roman" w:cs="Times New Roman" w:eastAsia="Times New Roman" w:hint="default"/>
        </w:rPr>
        <w:t>1</w:t>
      </w:r>
      <w:r>
        <w:rPr/>
        <w:t>）根据国务院国发</w:t>
      </w:r>
      <w:r>
        <w:rPr>
          <w:rFonts w:ascii="Times New Roman" w:hAnsi="Times New Roman" w:cs="Times New Roman" w:eastAsia="Times New Roman" w:hint="default"/>
        </w:rPr>
        <w:t>[2000]18</w:t>
      </w:r>
      <w:r>
        <w:rPr>
          <w:rFonts w:ascii="Times New Roman" w:hAnsi="Times New Roman" w:cs="Times New Roman" w:eastAsia="Times New Roman" w:hint="default"/>
          <w:spacing w:val="-11"/>
        </w:rPr>
        <w:t> </w:t>
      </w:r>
      <w:r>
        <w:rPr/>
        <w:t>号文件《国务院关于印发</w:t>
      </w:r>
      <w:r>
        <w:rPr>
          <w:rFonts w:ascii="Times New Roman" w:hAnsi="Times New Roman" w:cs="Times New Roman" w:eastAsia="Times New Roman" w:hint="default"/>
        </w:rPr>
        <w:t>&lt;</w:t>
      </w:r>
      <w:r>
        <w:rPr/>
        <w:t>鼓励软件产业和集成电路产业发展若干政策</w:t>
      </w:r>
      <w:r>
        <w:rPr>
          <w:rFonts w:ascii="Times New Roman" w:hAnsi="Times New Roman" w:cs="Times New Roman" w:eastAsia="Times New Roman" w:hint="default"/>
        </w:rPr>
        <w:t>&gt;</w:t>
      </w:r>
      <w:r>
        <w:rPr/>
        <w:t>的通知》和财政 </w:t>
      </w:r>
      <w:r>
        <w:rPr>
          <w:spacing w:val="-1"/>
        </w:rPr>
        <w:t>部、国家税务总局、海关总署下发财税</w:t>
      </w:r>
      <w:r>
        <w:rPr>
          <w:rFonts w:ascii="Times New Roman" w:hAnsi="Times New Roman" w:cs="Times New Roman" w:eastAsia="Times New Roman" w:hint="default"/>
          <w:spacing w:val="-1"/>
        </w:rPr>
        <w:t>[2000]25</w:t>
      </w:r>
      <w:r>
        <w:rPr>
          <w:rFonts w:ascii="Times New Roman" w:hAnsi="Times New Roman" w:cs="Times New Roman" w:eastAsia="Times New Roman" w:hint="default"/>
        </w:rPr>
        <w:t> </w:t>
      </w:r>
      <w:r>
        <w:rPr>
          <w:spacing w:val="-3"/>
        </w:rPr>
        <w:t>号文《关于鼓励软件产业和集成电路产业发展有关税收政策问题的通知》，</w:t>
      </w:r>
      <w:r>
        <w:rPr>
          <w:spacing w:val="-77"/>
        </w:rPr>
        <w:t> </w:t>
      </w:r>
      <w:r>
        <w:rPr>
          <w:spacing w:val="-77"/>
        </w:rPr>
      </w:r>
      <w:r>
        <w:rPr>
          <w:rFonts w:ascii="Times New Roman" w:hAnsi="Times New Roman" w:cs="Times New Roman" w:eastAsia="Times New Roman" w:hint="default"/>
        </w:rPr>
        <w:t>2010 </w:t>
      </w:r>
      <w:r>
        <w:rPr/>
        <w:t>年底以前，公司自行开发研制软件产品销售收入按 </w:t>
      </w:r>
      <w:r>
        <w:rPr>
          <w:rFonts w:ascii="Times New Roman" w:hAnsi="Times New Roman" w:cs="Times New Roman" w:eastAsia="Times New Roman" w:hint="default"/>
        </w:rPr>
        <w:t>17%</w:t>
      </w:r>
      <w:r>
        <w:rPr/>
        <w:t>的法定税率计缴增值税，对实际税负超过</w:t>
      </w:r>
      <w:r>
        <w:rPr>
          <w:spacing w:val="-64"/>
        </w:rPr>
        <w:t> </w:t>
      </w:r>
      <w:r>
        <w:rPr>
          <w:rFonts w:ascii="Times New Roman" w:hAnsi="Times New Roman" w:cs="Times New Roman" w:eastAsia="Times New Roman" w:hint="default"/>
        </w:rPr>
        <w:t>3%</w:t>
      </w:r>
      <w:r>
        <w:rPr/>
        <w:t>的部分实行即征 </w:t>
      </w:r>
      <w:r>
        <w:rPr>
          <w:spacing w:val="-1"/>
        </w:rPr>
        <w:t>即退政策。</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3"/>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3"/>
        </w:rPr>
        <w:t> </w:t>
      </w:r>
      <w:r>
        <w:rPr>
          <w:spacing w:val="-3"/>
        </w:rPr>
        <w:t>日，国务院《关于印发进一步鼓励软件产业和集成电路产业发展若干政策的通知》（国发</w:t>
      </w:r>
      <w:r>
        <w:rPr>
          <w:rFonts w:ascii="Times New Roman" w:hAnsi="Times New Roman" w:cs="Times New Roman" w:eastAsia="Times New Roman" w:hint="default"/>
          <w:spacing w:val="-3"/>
        </w:rPr>
        <w:t>[2011]4</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号）继续实施上述软件增值税税收优惠政策。</w:t>
      </w:r>
    </w:p>
    <w:p>
      <w:pPr>
        <w:pStyle w:val="BodyText"/>
        <w:spacing w:line="300" w:lineRule="auto" w:before="70"/>
        <w:ind w:left="152" w:right="145"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日，本公司取得了北京市科学技术委员会、北京市财政局、北京市国家税务局和北京市地方税务 </w:t>
      </w:r>
      <w:r>
        <w:rPr>
          <w:spacing w:val="-5"/>
        </w:rPr>
        <w:t>局联合颁发的《高新技术企业证书》。根据《中华人民共和国企业所得税法》、《中华人民共和国企业所得税暂行条例》以及</w:t>
      </w:r>
    </w:p>
    <w:p>
      <w:pPr>
        <w:pStyle w:val="BodyText"/>
        <w:spacing w:line="240" w:lineRule="auto" w:before="32"/>
        <w:ind w:left="152" w:right="0"/>
        <w:jc w:val="left"/>
      </w:pPr>
      <w:r>
        <w:rPr/>
        <w:t>《高新技术企业认定管理办法》的相关规定，</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年本公司适用的企业所得税税率为</w:t>
      </w:r>
      <w:r>
        <w:rPr>
          <w:spacing w:val="-45"/>
        </w:rPr>
        <w:t> </w:t>
      </w:r>
      <w:r>
        <w:rPr>
          <w:rFonts w:ascii="Times New Roman" w:hAnsi="Times New Roman" w:cs="Times New Roman" w:eastAsia="Times New Roman" w:hint="default"/>
        </w:rPr>
        <w:t>15%</w:t>
      </w:r>
      <w:r>
        <w:rPr/>
        <w:t>。</w:t>
      </w:r>
    </w:p>
    <w:p>
      <w:pPr>
        <w:pStyle w:val="BodyText"/>
        <w:spacing w:line="304" w:lineRule="auto" w:before="103"/>
        <w:ind w:left="152" w:right="151" w:firstLine="360"/>
        <w:jc w:val="both"/>
      </w:pPr>
      <w:r>
        <w:rPr/>
        <w:t>（</w:t>
      </w:r>
      <w:r>
        <w:rPr>
          <w:rFonts w:ascii="Times New Roman" w:hAnsi="Times New Roman" w:cs="Times New Roman" w:eastAsia="Times New Roman" w:hint="default"/>
        </w:rPr>
        <w:t>3</w:t>
      </w:r>
      <w:r>
        <w:rPr/>
        <w:t>）本公司于</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月取得了中华人民共和国国家发展和改革委员会、中华人民共和国工业和信息化部、中华人 </w:t>
      </w:r>
      <w:r>
        <w:rPr>
          <w:spacing w:val="-2"/>
        </w:rPr>
        <w:t>民共和国财政部、中华人民共和国商务部和国家税务总局联合颁发的《国家规划布局内重点软件企业证书》，根据《中华人</w:t>
      </w:r>
      <w:r>
        <w:rPr>
          <w:spacing w:val="-72"/>
        </w:rPr>
        <w:t> </w:t>
      </w:r>
      <w:r>
        <w:rPr>
          <w:spacing w:val="-72"/>
        </w:rPr>
      </w:r>
      <w:r>
        <w:rPr>
          <w:spacing w:val="-7"/>
        </w:rPr>
        <w:t>民共和国企业所得税法》、《国家税务总局关于企业所得税减免税管理问题的通知》（国税发</w:t>
      </w:r>
      <w:r>
        <w:rPr>
          <w:rFonts w:ascii="Times New Roman" w:hAnsi="Times New Roman" w:cs="Times New Roman" w:eastAsia="Times New Roman" w:hint="default"/>
          <w:spacing w:val="-7"/>
        </w:rPr>
        <w:t>[2008]111</w:t>
      </w:r>
      <w:r>
        <w:rPr>
          <w:rFonts w:ascii="Times New Roman" w:hAnsi="Times New Roman" w:cs="Times New Roman" w:eastAsia="Times New Roman" w:hint="default"/>
        </w:rPr>
        <w:t> </w:t>
      </w:r>
      <w:r>
        <w:rPr>
          <w:spacing w:val="-3"/>
        </w:rPr>
        <w:t>号）以及《北京市地方</w:t>
      </w:r>
      <w:r>
        <w:rPr>
          <w:spacing w:val="-53"/>
        </w:rPr>
        <w:t> </w:t>
      </w:r>
      <w:r>
        <w:rPr>
          <w:spacing w:val="-53"/>
        </w:rPr>
      </w:r>
      <w:r>
        <w:rPr>
          <w:spacing w:val="-7"/>
        </w:rPr>
        <w:t>税务局企业所得税减免税管理规定（试行）》（京地税企</w:t>
      </w:r>
      <w:r>
        <w:rPr>
          <w:rFonts w:ascii="Times New Roman" w:hAnsi="Times New Roman" w:cs="Times New Roman" w:eastAsia="Times New Roman" w:hint="default"/>
          <w:spacing w:val="-7"/>
        </w:rPr>
        <w:t>(2009)50</w:t>
      </w:r>
      <w:r>
        <w:rPr>
          <w:rFonts w:ascii="Times New Roman" w:hAnsi="Times New Roman" w:cs="Times New Roman" w:eastAsia="Times New Roman" w:hint="default"/>
        </w:rPr>
        <w:t> </w:t>
      </w:r>
      <w:r>
        <w:rPr>
          <w:spacing w:val="-2"/>
        </w:rPr>
        <w:t>号）的相关规定，国家规划布局内重点软件生产企业，如当</w:t>
      </w:r>
      <w:r>
        <w:rPr>
          <w:spacing w:val="-63"/>
        </w:rPr>
        <w:t> </w:t>
      </w:r>
      <w:r>
        <w:rPr>
          <w:spacing w:val="-63"/>
        </w:rPr>
      </w:r>
      <w:r>
        <w:rPr/>
        <w:t>年未享受免税优惠的，减按</w:t>
      </w:r>
      <w:r>
        <w:rPr>
          <w:spacing w:val="-45"/>
        </w:rPr>
        <w:t> </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年度本公司适用的企业所得税税率为</w:t>
      </w:r>
      <w:r>
        <w:rPr>
          <w:spacing w:val="-45"/>
        </w:rPr>
        <w:t> </w:t>
      </w:r>
      <w:r>
        <w:rPr>
          <w:rFonts w:ascii="Times New Roman" w:hAnsi="Times New Roman" w:cs="Times New Roman" w:eastAsia="Times New Roman" w:hint="default"/>
        </w:rPr>
        <w:t>10%</w:t>
      </w:r>
      <w:r>
        <w:rPr/>
        <w:t>。</w:t>
      </w:r>
    </w:p>
    <w:p>
      <w:pPr>
        <w:pStyle w:val="BodyText"/>
        <w:spacing w:line="300" w:lineRule="auto" w:before="50"/>
        <w:ind w:left="152" w:right="183" w:firstLine="360"/>
        <w:jc w:val="both"/>
      </w:pPr>
      <w:r>
        <w:rPr/>
        <w:t>（</w:t>
      </w:r>
      <w:r>
        <w:rPr>
          <w:rFonts w:ascii="Times New Roman" w:hAnsi="Times New Roman" w:cs="Times New Roman" w:eastAsia="Times New Roman" w:hint="default"/>
        </w:rPr>
        <w:t>4</w:t>
      </w:r>
      <w:r>
        <w:rPr/>
        <w:t>）根据财政部、国家税务总局下发财税</w:t>
      </w:r>
      <w:r>
        <w:rPr>
          <w:rFonts w:ascii="Times New Roman" w:hAnsi="Times New Roman" w:cs="Times New Roman" w:eastAsia="Times New Roman" w:hint="default"/>
        </w:rPr>
        <w:t>[2003]244</w:t>
      </w:r>
      <w:r>
        <w:rPr>
          <w:rFonts w:ascii="Times New Roman" w:hAnsi="Times New Roman" w:cs="Times New Roman" w:eastAsia="Times New Roman" w:hint="default"/>
          <w:spacing w:val="7"/>
        </w:rPr>
        <w:t> </w:t>
      </w:r>
      <w:r>
        <w:rPr>
          <w:spacing w:val="-4"/>
        </w:rPr>
        <w:t>号文《关于扩大企业技术开发费加计扣除政策适用范围的通知》，</w:t>
      </w:r>
      <w:r>
        <w:rPr/>
        <w:t> 企业研究开发新产品、新技术、新工艺所实际发生的费用，除按规定据实列支外，可再按当年实际发生额的</w:t>
      </w:r>
      <w:r>
        <w:rPr>
          <w:spacing w:val="-45"/>
        </w:rPr>
        <w:t> </w:t>
      </w:r>
      <w:r>
        <w:rPr>
          <w:rFonts w:ascii="Times New Roman" w:hAnsi="Times New Roman" w:cs="Times New Roman" w:eastAsia="Times New Roman" w:hint="default"/>
        </w:rPr>
        <w:t>50%</w:t>
      </w:r>
      <w:r>
        <w:rPr/>
        <w:t>抵扣企业 当年应纳税所得额。本公司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年度享受此优惠政策。</w:t>
      </w:r>
    </w:p>
    <w:p>
      <w:pPr>
        <w:pStyle w:val="BodyText"/>
        <w:spacing w:line="309" w:lineRule="auto" w:before="51"/>
        <w:ind w:left="152" w:right="0" w:firstLine="360"/>
        <w:jc w:val="left"/>
      </w:pPr>
      <w:r>
        <w:rPr/>
        <w:t>（</w:t>
      </w:r>
      <w:r>
        <w:rPr>
          <w:rFonts w:ascii="Times New Roman" w:hAnsi="Times New Roman" w:cs="Times New Roman" w:eastAsia="Times New Roman" w:hint="default"/>
        </w:rPr>
        <w:t>5</w:t>
      </w:r>
      <w:r>
        <w:rPr/>
        <w:t>）根据财政部、国家税务总局下发财税字</w:t>
      </w:r>
      <w:r>
        <w:rPr>
          <w:rFonts w:ascii="Times New Roman" w:hAnsi="Times New Roman" w:cs="Times New Roman" w:eastAsia="Times New Roman" w:hint="default"/>
        </w:rPr>
        <w:t>[1999]273</w:t>
      </w:r>
      <w:r>
        <w:rPr>
          <w:rFonts w:ascii="Times New Roman" w:hAnsi="Times New Roman" w:cs="Times New Roman" w:eastAsia="Times New Roman" w:hint="default"/>
          <w:spacing w:val="25"/>
        </w:rPr>
        <w:t> </w:t>
      </w:r>
      <w:r>
        <w:rPr/>
        <w:t>号文《关于贯彻落实〈中共中央、国务院关于加强技术创新， </w:t>
      </w:r>
      <w:r>
        <w:rPr>
          <w:spacing w:val="-2"/>
        </w:rPr>
        <w:t>发展高科技，实现产业化的决定〉有关税收问题的通知》，本公司从事技术转让、技术开发业务和与之相关的技术咨询、技</w:t>
      </w:r>
      <w:r>
        <w:rPr>
          <w:spacing w:val="-72"/>
        </w:rPr>
        <w:t> </w:t>
      </w:r>
      <w:r>
        <w:rPr>
          <w:spacing w:val="-72"/>
        </w:rPr>
      </w:r>
      <w:r>
        <w:rPr/>
        <w:t>术服务业务取得的收入，免征营业税。</w:t>
      </w:r>
    </w:p>
    <w:p>
      <w:pPr>
        <w:pStyle w:val="BodyText"/>
        <w:spacing w:line="300" w:lineRule="auto" w:before="65"/>
        <w:ind w:left="152" w:right="142"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）根据财税（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 </w:t>
      </w:r>
      <w:r>
        <w:rPr/>
        <w:t>号文、沪地税闸十六</w:t>
      </w:r>
      <w:r>
        <w:rPr>
          <w:rFonts w:ascii="Times New Roman" w:hAnsi="Times New Roman" w:cs="Times New Roman" w:eastAsia="Times New Roman" w:hint="default"/>
        </w:rPr>
        <w:t>[2011]000003</w:t>
      </w:r>
      <w:r>
        <w:rPr>
          <w:rFonts w:ascii="Times New Roman" w:hAnsi="Times New Roman" w:cs="Times New Roman" w:eastAsia="Times New Roman" w:hint="default"/>
          <w:spacing w:val="-28"/>
        </w:rPr>
        <w:t> </w:t>
      </w:r>
      <w:r>
        <w:rPr/>
        <w:t>号企业所得税优惠审批结果通知书，本公司的全资子公司 上海北信源信息技术有限公司自</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日免征企业所得税，自</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12</w:t>
      </w:r>
    </w:p>
    <w:p>
      <w:pPr>
        <w:pStyle w:val="BodyText"/>
        <w:spacing w:line="240" w:lineRule="auto" w:before="13"/>
        <w:ind w:left="152" w:right="0"/>
        <w:jc w:val="left"/>
      </w:pP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日减半征收企业所得税。</w:t>
      </w:r>
    </w:p>
    <w:p>
      <w:pPr>
        <w:spacing w:after="0" w:line="240" w:lineRule="auto"/>
        <w:jc w:val="left"/>
        <w:sectPr>
          <w:footerReference w:type="default" r:id="rId23"/>
          <w:pgSz w:w="11910" w:h="16840"/>
          <w:pgMar w:footer="979" w:header="877" w:top="1100" w:bottom="1160" w:left="980" w:right="980"/>
          <w:pgNumType w:start="101"/>
        </w:sectPr>
      </w:pPr>
    </w:p>
    <w:p>
      <w:pPr>
        <w:spacing w:line="240" w:lineRule="auto" w:before="12"/>
        <w:rPr>
          <w:rFonts w:ascii="宋体" w:hAnsi="宋体" w:cs="宋体" w:eastAsia="宋体" w:hint="default"/>
          <w:sz w:val="20"/>
          <w:szCs w:val="20"/>
        </w:rPr>
      </w:pPr>
    </w:p>
    <w:p>
      <w:pPr>
        <w:spacing w:line="487" w:lineRule="auto" w:before="36"/>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94,279.50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303,836,861.28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385,759,405.34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304,505,016.49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386,489,984.84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7,406,117.78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7"/>
        <w:ind w:right="0"/>
        <w:jc w:val="left"/>
        <w:rPr>
          <w:rFonts w:ascii="Times New Roman" w:hAnsi="Times New Roman" w:cs="Times New Roman" w:eastAsia="Times New Roman" w:hint="default"/>
        </w:rPr>
      </w:pPr>
      <w:r>
        <w:rPr/>
        <w:t>截至</w:t>
      </w:r>
      <w:r>
        <w:rPr>
          <w:spacing w:val="-5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54"/>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92"/>
        </w:rPr>
        <w:t>，</w:t>
      </w:r>
      <w:r>
        <w:rPr/>
        <w:t>公司</w:t>
      </w:r>
      <w:r>
        <w:rPr>
          <w:spacing w:val="-3"/>
        </w:rPr>
        <w:t>所</w:t>
      </w:r>
      <w:r>
        <w:rPr/>
        <w:t>有权受到限制的货币资金为人民币</w:t>
      </w:r>
      <w:r>
        <w:rPr>
          <w:spacing w:val="-53"/>
        </w:rPr>
        <w:t> </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2"/>
        </w:rPr>
        <w:t> </w:t>
      </w:r>
      <w:r>
        <w:rPr>
          <w:spacing w:val="-3"/>
        </w:rPr>
        <w:t>元</w:t>
      </w:r>
      <w:r>
        <w:rPr>
          <w:spacing w:val="-178"/>
        </w:rPr>
        <w:t>（</w:t>
      </w:r>
      <w:r>
        <w:rPr>
          <w:spacing w:val="-3"/>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年</w:t>
      </w:r>
      <w:r>
        <w:rPr>
          <w:spacing w:val="-5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54"/>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w:t>
      </w:r>
      <w:r>
        <w:rPr>
          <w:spacing w:val="-92"/>
        </w:rPr>
        <w:t>：</w:t>
      </w:r>
      <w:r>
        <w:rPr/>
        <w:t>人民币</w:t>
      </w:r>
      <w:r>
        <w:rPr>
          <w:spacing w:val="-54"/>
        </w:rPr>
        <w:t> </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left="152" w:right="0"/>
        <w:jc w:val="left"/>
      </w:pPr>
      <w:r>
        <w:rPr/>
        <w:t>元）系履约保证金。</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280,950.60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2,694,850.60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590,680.00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1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08" w:right="27"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280" w:right="101"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7" w:right="103"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6"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7"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 w:right="103" w:firstLine="360"/>
              <w:jc w:val="left"/>
              <w:rPr>
                <w:rFonts w:ascii="宋体" w:hAnsi="宋体" w:cs="宋体" w:eastAsia="宋体" w:hint="default"/>
                <w:sz w:val="18"/>
                <w:szCs w:val="18"/>
              </w:rPr>
            </w:pPr>
            <w:r>
              <w:rPr>
                <w:rFonts w:ascii="宋体" w:hAnsi="宋体" w:cs="宋体" w:eastAsia="宋体" w:hint="default"/>
                <w:sz w:val="18"/>
                <w:szCs w:val="18"/>
              </w:rPr>
              <w:t>计 提比例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5" w:right="48"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1" w:right="101" w:firstLine="18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firstLine="360"/>
              <w:jc w:val="both"/>
              <w:rPr>
                <w:rFonts w:ascii="宋体" w:hAnsi="宋体" w:cs="宋体" w:eastAsia="宋体" w:hint="default"/>
                <w:sz w:val="18"/>
                <w:szCs w:val="18"/>
              </w:rPr>
            </w:pPr>
            <w:r>
              <w:rPr>
                <w:rFonts w:ascii="宋体" w:hAnsi="宋体" w:cs="宋体" w:eastAsia="宋体" w:hint="default"/>
                <w:sz w:val="18"/>
                <w:szCs w:val="18"/>
              </w:rPr>
              <w:t>单项金额重大 并单独计提坏账准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8" w:firstLine="360"/>
              <w:jc w:val="both"/>
              <w:rPr>
                <w:rFonts w:ascii="宋体" w:hAnsi="宋体" w:cs="宋体" w:eastAsia="宋体" w:hint="default"/>
                <w:sz w:val="18"/>
                <w:szCs w:val="18"/>
              </w:rPr>
            </w:pPr>
            <w:r>
              <w:rPr>
                <w:rFonts w:ascii="宋体" w:hAnsi="宋体" w:cs="宋体" w:eastAsia="宋体" w:hint="default"/>
                <w:sz w:val="18"/>
                <w:szCs w:val="18"/>
              </w:rPr>
              <w:t>按信用风险特 征组合计提坏账准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778,838.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18,192.3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960,646.1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0,992,4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11,114.20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4" w:right="0"/>
              <w:jc w:val="center"/>
              <w:rPr>
                <w:rFonts w:ascii="Times New Roman" w:hAnsi="Times New Roman" w:cs="Times New Roman" w:eastAsia="Times New Roman" w:hint="default"/>
                <w:sz w:val="18"/>
                <w:szCs w:val="18"/>
              </w:rPr>
            </w:pPr>
            <w:r>
              <w:rPr>
                <w:rFonts w:ascii="Times New Roman"/>
                <w:sz w:val="18"/>
              </w:rPr>
              <w:t>246,08</w:t>
            </w:r>
          </w:p>
          <w:p>
            <w:pPr>
              <w:pStyle w:val="TableParagraph"/>
              <w:spacing w:line="240" w:lineRule="auto" w:before="102"/>
              <w:ind w:left="247" w:right="0"/>
              <w:jc w:val="center"/>
              <w:rPr>
                <w:rFonts w:ascii="Times New Roman" w:hAnsi="Times New Roman" w:cs="Times New Roman" w:eastAsia="Times New Roman" w:hint="default"/>
                <w:sz w:val="18"/>
                <w:szCs w:val="18"/>
              </w:rPr>
            </w:pPr>
            <w:r>
              <w:rPr>
                <w:rFonts w:ascii="Times New Roman"/>
                <w:sz w:val="18"/>
              </w:rPr>
              <w:t>1,382.46</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8" w:firstLine="360"/>
              <w:jc w:val="both"/>
              <w:rPr>
                <w:rFonts w:ascii="宋体" w:hAnsi="宋体" w:cs="宋体" w:eastAsia="宋体" w:hint="default"/>
                <w:sz w:val="18"/>
                <w:szCs w:val="18"/>
              </w:rPr>
            </w:pPr>
            <w:r>
              <w:rPr>
                <w:rFonts w:ascii="宋体" w:hAnsi="宋体" w:cs="宋体" w:eastAsia="宋体" w:hint="default"/>
                <w:sz w:val="18"/>
                <w:szCs w:val="18"/>
              </w:rPr>
              <w:t>单项金额不重 大但单独计提坏账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778,838.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18,192.3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960,646.1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0,992,4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24,9</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11,114.20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4" w:right="0"/>
              <w:jc w:val="center"/>
              <w:rPr>
                <w:rFonts w:ascii="Times New Roman" w:hAnsi="Times New Roman" w:cs="Times New Roman" w:eastAsia="Times New Roman" w:hint="default"/>
                <w:sz w:val="18"/>
                <w:szCs w:val="18"/>
              </w:rPr>
            </w:pPr>
            <w:r>
              <w:rPr>
                <w:rFonts w:ascii="Times New Roman"/>
                <w:sz w:val="18"/>
              </w:rPr>
              <w:t>246,08</w:t>
            </w:r>
          </w:p>
          <w:p>
            <w:pPr>
              <w:pStyle w:val="TableParagraph"/>
              <w:spacing w:line="240" w:lineRule="auto" w:before="102"/>
              <w:ind w:left="247" w:right="0"/>
              <w:jc w:val="center"/>
              <w:rPr>
                <w:rFonts w:ascii="Times New Roman" w:hAnsi="Times New Roman" w:cs="Times New Roman" w:eastAsia="Times New Roman" w:hint="default"/>
                <w:sz w:val="18"/>
                <w:szCs w:val="18"/>
              </w:rPr>
            </w:pPr>
            <w:r>
              <w:rPr>
                <w:rFonts w:ascii="Times New Roman"/>
                <w:sz w:val="18"/>
              </w:rPr>
              <w:t>1,382.46</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4" w:space="3815"/>
            <w:col w:w="148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218,439,406.52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10,901,901.22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218,439,406.52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10,901,901.22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126,865,307.46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12,726,668.95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42,900,394.42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12,870,118.32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19,573,730.10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11,319,503.87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14,483,600.70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7,241,800.35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5,062,129.40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4,049,703.52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407,778,838.50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47,818,192.36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11.73%</w:t>
            </w:r>
          </w:p>
        </w:tc>
      </w:tr>
    </w:tbl>
    <w:p>
      <w:pPr>
        <w:pStyle w:val="BodyText"/>
        <w:spacing w:line="360" w:lineRule="auto" w:before="49"/>
        <w:ind w:right="5093"/>
        <w:jc w:val="left"/>
      </w:pPr>
      <w:r>
        <w:rPr/>
        <w:t>确定该组合依据的说明： 组合中，采用余额百分比法计提坏账准备的应收账款：</w:t>
      </w:r>
    </w:p>
    <w:p>
      <w:pPr>
        <w:pStyle w:val="BodyText"/>
        <w:spacing w:line="240" w:lineRule="auto" w:before="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38" w:lineRule="auto" w:before="44"/>
        <w:ind w:right="-14"/>
        <w:jc w:val="left"/>
      </w:pPr>
      <w:r>
        <w:rPr/>
        <w:t>本期计提坏账准备金额</w:t>
      </w:r>
      <w:r>
        <w:rPr>
          <w:spacing w:val="-49"/>
        </w:rPr>
        <w:t> </w:t>
      </w:r>
      <w:r>
        <w:rPr>
          <w:rFonts w:ascii="Times New Roman" w:hAnsi="Times New Roman" w:cs="Times New Roman" w:eastAsia="Times New Roman" w:hint="default"/>
        </w:rPr>
        <w:t>22,907,078.16</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00" w:space="1969"/>
            <w:col w:w="1481"/>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9"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272"/>
              <w:jc w:val="left"/>
              <w:rPr>
                <w:rFonts w:ascii="宋体" w:hAnsi="宋体" w:cs="宋体" w:eastAsia="宋体" w:hint="default"/>
                <w:sz w:val="18"/>
                <w:szCs w:val="18"/>
              </w:rPr>
            </w:pPr>
            <w:r>
              <w:rPr>
                <w:rFonts w:ascii="宋体" w:hAnsi="宋体" w:cs="宋体" w:eastAsia="宋体" w:hint="default"/>
                <w:sz w:val="18"/>
                <w:szCs w:val="18"/>
              </w:rPr>
              <w:t>履行的核销程 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firstLine="88"/>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52" w:right="202" w:firstLine="360"/>
        <w:jc w:val="left"/>
      </w:pPr>
      <w:r>
        <w:rPr/>
        <w:t>本公司本年按欠款方归集的年末余额前五名应收账款汇总金额为</w:t>
      </w:r>
      <w:r>
        <w:rPr>
          <w:spacing w:val="-48"/>
        </w:rPr>
        <w:t> </w:t>
      </w:r>
      <w:r>
        <w:rPr>
          <w:rFonts w:ascii="Times New Roman" w:hAnsi="Times New Roman" w:cs="Times New Roman" w:eastAsia="Times New Roman" w:hint="default"/>
        </w:rPr>
        <w:t>52,568,630.00</w:t>
      </w:r>
      <w:r>
        <w:rPr>
          <w:rFonts w:ascii="Times New Roman" w:hAnsi="Times New Roman" w:cs="Times New Roman" w:eastAsia="Times New Roman" w:hint="default"/>
          <w:spacing w:val="-10"/>
        </w:rPr>
        <w:t> </w:t>
      </w:r>
      <w:r>
        <w:rPr/>
        <w:t>元，占应收账款年末余额合计数的比例 为</w:t>
      </w:r>
      <w:r>
        <w:rPr>
          <w:spacing w:val="-46"/>
        </w:rPr>
        <w:t> </w:t>
      </w:r>
      <w:r>
        <w:rPr>
          <w:rFonts w:ascii="Times New Roman" w:hAnsi="Times New Roman" w:cs="Times New Roman" w:eastAsia="Times New Roman" w:hint="default"/>
        </w:rPr>
        <w:t>12.89%</w:t>
      </w:r>
      <w:r>
        <w:rPr/>
        <w:t>，相应计提的坏账准备年末余额汇总金额为</w:t>
      </w:r>
      <w:r>
        <w:rPr>
          <w:spacing w:val="-46"/>
        </w:rPr>
        <w:t> </w:t>
      </w:r>
      <w:r>
        <w:rPr>
          <w:rFonts w:ascii="Times New Roman" w:hAnsi="Times New Roman" w:cs="Times New Roman" w:eastAsia="Times New Roman" w:hint="default"/>
        </w:rPr>
        <w:t>5,982,062.50</w:t>
      </w:r>
      <w:r>
        <w:rPr>
          <w:rFonts w:ascii="Times New Roman" w:hAnsi="Times New Roman" w:cs="Times New Roman" w:eastAsia="Times New Roman" w:hint="default"/>
          <w:spacing w:val="-9"/>
        </w:rPr>
        <w:t> </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5,327,213.11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8,804,640.31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3,336,454.58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871,850.00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409,678.00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528,480.00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138,802.00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9,952,397.69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10,224,970.31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本公司按预付对象归集的年末余额前五名预付账款汇总金额为</w:t>
      </w:r>
      <w:r>
        <w:rPr>
          <w:spacing w:val="-48"/>
        </w:rPr>
        <w:t> </w:t>
      </w:r>
      <w:r>
        <w:rPr>
          <w:rFonts w:ascii="Times New Roman" w:hAnsi="Times New Roman" w:cs="Times New Roman" w:eastAsia="Times New Roman" w:hint="default"/>
        </w:rPr>
        <w:t>3,283,470.75</w:t>
      </w:r>
      <w:r>
        <w:rPr>
          <w:rFonts w:ascii="Times New Roman" w:hAnsi="Times New Roman" w:cs="Times New Roman" w:eastAsia="Times New Roman" w:hint="default"/>
          <w:spacing w:val="-10"/>
        </w:rPr>
        <w:t> </w:t>
      </w:r>
      <w:r>
        <w:rPr/>
        <w:t>元，占预付账款年末余额合计数的比例为</w:t>
      </w:r>
    </w:p>
    <w:p>
      <w:pPr>
        <w:pStyle w:val="BodyText"/>
        <w:spacing w:line="240" w:lineRule="auto" w:before="105"/>
        <w:ind w:left="152" w:right="0"/>
        <w:jc w:val="left"/>
        <w:rPr>
          <w:rFonts w:ascii="Times New Roman" w:hAnsi="Times New Roman" w:cs="Times New Roman" w:eastAsia="Times New Roman" w:hint="default"/>
        </w:rPr>
      </w:pPr>
      <w:r>
        <w:rPr>
          <w:rFonts w:ascii="Times New Roman"/>
        </w:rPr>
        <w:t>32.99%</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1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08" w:right="27"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80" w:right="98"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7" w:right="103"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6"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5" w:right="107"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 w:right="103" w:firstLine="360"/>
              <w:jc w:val="left"/>
              <w:rPr>
                <w:rFonts w:ascii="宋体" w:hAnsi="宋体" w:cs="宋体" w:eastAsia="宋体" w:hint="default"/>
                <w:sz w:val="18"/>
                <w:szCs w:val="18"/>
              </w:rPr>
            </w:pPr>
            <w:r>
              <w:rPr>
                <w:rFonts w:ascii="宋体" w:hAnsi="宋体" w:cs="宋体" w:eastAsia="宋体" w:hint="default"/>
                <w:sz w:val="18"/>
                <w:szCs w:val="18"/>
              </w:rPr>
              <w:t>计 提比例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5" w:right="48"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5"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1" w:right="101" w:firstLine="18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单项金额重大 并单独计提坏账准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firstLine="360"/>
              <w:jc w:val="both"/>
              <w:rPr>
                <w:rFonts w:ascii="宋体" w:hAnsi="宋体" w:cs="宋体" w:eastAsia="宋体" w:hint="default"/>
                <w:sz w:val="18"/>
                <w:szCs w:val="18"/>
              </w:rPr>
            </w:pPr>
            <w:r>
              <w:rPr>
                <w:rFonts w:ascii="宋体" w:hAnsi="宋体" w:cs="宋体" w:eastAsia="宋体" w:hint="default"/>
                <w:sz w:val="18"/>
                <w:szCs w:val="18"/>
              </w:rPr>
              <w:t>按信用风险特 征组合计提坏账准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61,169.4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0,980.49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00,188.98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8,362.68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771.60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单项金额不重 大但单独计提坏账 准备的其他应收款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61,169.4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0,980.49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00,188.98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16,134.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8,362.68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5,947,</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771.60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834" w:space="3635"/>
            <w:col w:w="14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8,257,565.64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412,879.41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8,257,565.64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412,879.41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1,686,422.20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168,639.97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580,455.15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174,136.55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1,336,726.48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1,005,324.56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595,438.00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297,719.00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168,414.60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134,731.68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572,873.88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572,873.88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11,861,169.47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1,760,980.49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14.85%</w:t>
            </w:r>
          </w:p>
        </w:tc>
      </w:tr>
    </w:tbl>
    <w:p>
      <w:pPr>
        <w:pStyle w:val="BodyText"/>
        <w:spacing w:line="357" w:lineRule="auto" w:before="49"/>
        <w:ind w:right="4913"/>
        <w:jc w:val="left"/>
      </w:pPr>
      <w:r>
        <w:rPr/>
        <w:t>确定该组合依据的说明： 组合中，采用余额百分比法计提坏账准备的其他应收款：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80"/>
        </w:sectPr>
      </w:pPr>
    </w:p>
    <w:p>
      <w:pPr>
        <w:pStyle w:val="BodyText"/>
        <w:spacing w:line="340" w:lineRule="auto" w:before="44"/>
        <w:ind w:right="-14"/>
        <w:jc w:val="left"/>
      </w:pPr>
      <w:r>
        <w:rPr/>
        <w:t>本期计提坏账准备金额</w:t>
      </w:r>
      <w:r>
        <w:rPr>
          <w:spacing w:val="-48"/>
        </w:rPr>
        <w:t> </w:t>
      </w:r>
      <w:r>
        <w:rPr>
          <w:rFonts w:ascii="Times New Roman" w:hAnsi="Times New Roman" w:cs="Times New Roman" w:eastAsia="Times New Roman" w:hint="default"/>
        </w:rPr>
        <w:t>592,617.81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277" w:space="2192"/>
            <w:col w:w="148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
        </w:tc>
        <w:tc>
          <w:tcPr>
            <w:tcW w:w="4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272"/>
              <w:jc w:val="left"/>
              <w:rPr>
                <w:rFonts w:ascii="宋体" w:hAnsi="宋体" w:cs="宋体" w:eastAsia="宋体" w:hint="default"/>
                <w:sz w:val="18"/>
                <w:szCs w:val="18"/>
              </w:rPr>
            </w:pPr>
            <w:r>
              <w:rPr>
                <w:rFonts w:ascii="宋体" w:hAnsi="宋体" w:cs="宋体" w:eastAsia="宋体" w:hint="default"/>
                <w:sz w:val="18"/>
                <w:szCs w:val="18"/>
              </w:rPr>
              <w:t>其他应收款性 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0" w:hanging="272"/>
              <w:jc w:val="left"/>
              <w:rPr>
                <w:rFonts w:ascii="宋体" w:hAnsi="宋体" w:cs="宋体" w:eastAsia="宋体" w:hint="default"/>
                <w:sz w:val="18"/>
                <w:szCs w:val="18"/>
              </w:rPr>
            </w:pPr>
            <w:r>
              <w:rPr>
                <w:rFonts w:ascii="宋体" w:hAnsi="宋体" w:cs="宋体" w:eastAsia="宋体" w:hint="default"/>
                <w:sz w:val="18"/>
                <w:szCs w:val="18"/>
              </w:rPr>
              <w:t>履行的核销程 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firstLine="88"/>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9"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7"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应收政府补助款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应收日常经营款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8,971,169.47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7,116,134.28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11,861,169.47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7,116,134.28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31"/>
              <w:jc w:val="right"/>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0" w:firstLine="360"/>
              <w:jc w:val="left"/>
              <w:rPr>
                <w:rFonts w:ascii="宋体" w:hAnsi="宋体" w:cs="宋体" w:eastAsia="宋体" w:hint="default"/>
                <w:sz w:val="18"/>
                <w:szCs w:val="18"/>
              </w:rPr>
            </w:pPr>
            <w:r>
              <w:rPr>
                <w:rFonts w:ascii="宋体" w:hAnsi="宋体" w:cs="宋体" w:eastAsia="宋体" w:hint="default"/>
                <w:sz w:val="18"/>
                <w:szCs w:val="18"/>
              </w:rPr>
              <w:t>占其他应收款 期末余额合计数的</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11" w:right="72" w:hanging="18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firstLine="360"/>
              <w:jc w:val="left"/>
              <w:rPr>
                <w:rFonts w:ascii="宋体" w:hAnsi="宋体" w:cs="宋体" w:eastAsia="宋体" w:hint="default"/>
                <w:sz w:val="18"/>
                <w:szCs w:val="18"/>
              </w:rPr>
            </w:pPr>
            <w:r>
              <w:rPr>
                <w:rFonts w:ascii="宋体" w:hAnsi="宋体" w:cs="宋体" w:eastAsia="宋体" w:hint="default"/>
                <w:sz w:val="18"/>
                <w:szCs w:val="18"/>
              </w:rPr>
              <w:t>北京市经济和 信息化委员会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144,500.00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firstLine="360"/>
              <w:jc w:val="both"/>
              <w:rPr>
                <w:rFonts w:ascii="宋体" w:hAnsi="宋体" w:cs="宋体" w:eastAsia="宋体" w:hint="default"/>
                <w:sz w:val="18"/>
                <w:szCs w:val="18"/>
              </w:rPr>
            </w:pPr>
            <w:r>
              <w:rPr>
                <w:rFonts w:ascii="宋体" w:hAnsi="宋体" w:cs="宋体" w:eastAsia="宋体" w:hint="default"/>
                <w:sz w:val="18"/>
                <w:szCs w:val="18"/>
              </w:rPr>
              <w:t>长春吉大正元 信息技术股份有限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年之内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46,060.00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江苏省交通运</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输厅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年之内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国网物资有限</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年之内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黄河农村商业</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年之内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59"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4,721,200.00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51"/>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246,060.00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3"/>
        <w:jc w:val="right"/>
      </w:pPr>
      <w:r>
        <w:rPr/>
        <w:pict>
          <v:shape style="position:absolute;margin-left:56.400002pt;margin-top:-52.118282pt;width:479.4pt;height:138.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3"/>
                    <w:gridCol w:w="1916"/>
                    <w:gridCol w:w="1913"/>
                    <w:gridCol w:w="1918"/>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1"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92"/>
                          <w:jc w:val="left"/>
                          <w:rPr>
                            <w:rFonts w:ascii="宋体" w:hAnsi="宋体" w:cs="宋体" w:eastAsia="宋体" w:hint="default"/>
                            <w:sz w:val="18"/>
                            <w:szCs w:val="18"/>
                          </w:rPr>
                        </w:pPr>
                        <w:r>
                          <w:rPr>
                            <w:rFonts w:ascii="宋体" w:hAnsi="宋体" w:cs="宋体" w:eastAsia="宋体" w:hint="default"/>
                            <w:sz w:val="18"/>
                            <w:szCs w:val="18"/>
                          </w:rPr>
                          <w:t>预计收取的时间、 金额及依据</w:t>
                        </w:r>
                      </w:p>
                    </w:tc>
                  </w:tr>
                  <w:tr>
                    <w:trPr>
                      <w:trHeight w:val="164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77" w:firstLine="360"/>
                          <w:jc w:val="left"/>
                          <w:rPr>
                            <w:rFonts w:ascii="宋体" w:hAnsi="宋体" w:cs="宋体" w:eastAsia="宋体" w:hint="default"/>
                            <w:sz w:val="18"/>
                            <w:szCs w:val="18"/>
                          </w:rPr>
                        </w:pPr>
                        <w:r>
                          <w:rPr>
                            <w:rFonts w:ascii="宋体" w:hAnsi="宋体" w:cs="宋体" w:eastAsia="宋体" w:hint="default"/>
                            <w:sz w:val="18"/>
                            <w:szCs w:val="18"/>
                          </w:rPr>
                          <w:t>北京市经济和信息 化委员会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年中关村现代 服务业试点项目补助资 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年之内</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0" w:right="0"/>
                          <w:jc w:val="center"/>
                          <w:rPr>
                            <w:rFonts w:ascii="宋体" w:hAnsi="宋体" w:cs="宋体" w:eastAsia="宋体" w:hint="default"/>
                            <w:sz w:val="18"/>
                            <w:szCs w:val="18"/>
                          </w:rPr>
                        </w:pPr>
                        <w:r>
                          <w:rPr>
                            <w:rFonts w:ascii="宋体" w:hAnsi="宋体" w:cs="宋体" w:eastAsia="宋体" w:hint="default"/>
                            <w:sz w:val="18"/>
                            <w:szCs w:val="18"/>
                          </w:rPr>
                          <w:t>预计收取时间：</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w:t>
                        </w:r>
                        <w:r>
                          <w:rPr>
                            <w:rFonts w:ascii="宋体" w:hAnsi="宋体" w:cs="宋体" w:eastAsia="宋体" w:hint="default"/>
                            <w:sz w:val="18"/>
                            <w:szCs w:val="18"/>
                          </w:rPr>
                          <w:t>收取金额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2,890,000.00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元，收取依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据：京财经一指</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8"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4,442,411.75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4,442,411.75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3,579,776.68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3,579,776.68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5,805,661.27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5,805,661.27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1,656,747.49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1,656,747.49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消耗性生物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firstLine="360"/>
              <w:jc w:val="both"/>
              <w:rPr>
                <w:rFonts w:ascii="宋体" w:hAnsi="宋体" w:cs="宋体" w:eastAsia="宋体" w:hint="default"/>
                <w:sz w:val="18"/>
                <w:szCs w:val="18"/>
              </w:rPr>
            </w:pPr>
            <w:r>
              <w:rPr>
                <w:rFonts w:ascii="宋体" w:hAnsi="宋体" w:cs="宋体" w:eastAsia="宋体" w:hint="default"/>
                <w:sz w:val="18"/>
                <w:szCs w:val="18"/>
              </w:rPr>
              <w:t>建造合同形 成的已完工未结 算资产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3,875.00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10,248,073.0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10,248,073.0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5,240,399.17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5,240,399.17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消耗性生物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2" w:firstLine="360"/>
              <w:jc w:val="both"/>
              <w:rPr>
                <w:rFonts w:ascii="宋体" w:hAnsi="宋体" w:cs="宋体" w:eastAsia="宋体" w:hint="default"/>
                <w:sz w:val="18"/>
                <w:szCs w:val="18"/>
              </w:rPr>
            </w:pPr>
            <w:r>
              <w:rPr>
                <w:rFonts w:ascii="宋体" w:hAnsi="宋体" w:cs="宋体" w:eastAsia="宋体" w:hint="default"/>
                <w:sz w:val="18"/>
                <w:szCs w:val="18"/>
              </w:rPr>
              <w:t>建造合同形 成的已完工未结 算资产</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91,716.29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91,716.29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2,754,198.61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2,349,657.65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1,182,515.54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710,952.49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453,568.40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450,619.82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4,390,282.55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3,511,229.96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15"/>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15"/>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按公允价值计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量的</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56" w:right="65" w:firstLine="271"/>
              <w:jc w:val="left"/>
              <w:rPr>
                <w:rFonts w:ascii="宋体" w:hAnsi="宋体" w:cs="宋体" w:eastAsia="宋体" w:hint="default"/>
                <w:sz w:val="18"/>
                <w:szCs w:val="18"/>
              </w:rPr>
            </w:pPr>
            <w:r>
              <w:rPr>
                <w:rFonts w:ascii="宋体" w:hAnsi="宋体" w:cs="宋体" w:eastAsia="宋体" w:hint="default"/>
                <w:sz w:val="18"/>
                <w:szCs w:val="18"/>
              </w:rPr>
              <w:t>被投 资单位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9" w:right="67" w:firstLine="360"/>
              <w:jc w:val="both"/>
              <w:rPr>
                <w:rFonts w:ascii="宋体" w:hAnsi="宋体" w:cs="宋体" w:eastAsia="宋体" w:hint="default"/>
                <w:sz w:val="18"/>
                <w:szCs w:val="18"/>
              </w:rPr>
            </w:pPr>
            <w:r>
              <w:rPr>
                <w:rFonts w:ascii="宋体" w:hAnsi="宋体" w:cs="宋体" w:eastAsia="宋体" w:hint="default"/>
                <w:sz w:val="18"/>
                <w:szCs w:val="18"/>
              </w:rPr>
              <w:t>在被 投资单位 持股比例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69" w:right="71" w:firstLine="36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71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71" w:firstLine="18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0" w:right="67" w:firstLine="18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71" w:firstLine="18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7" w:firstLine="18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firstLine="360"/>
              <w:jc w:val="both"/>
              <w:rPr>
                <w:rFonts w:ascii="宋体" w:hAnsi="宋体" w:cs="宋体" w:eastAsia="宋体" w:hint="default"/>
                <w:sz w:val="18"/>
                <w:szCs w:val="18"/>
              </w:rPr>
            </w:pPr>
            <w:r>
              <w:rPr>
                <w:rFonts w:ascii="宋体" w:hAnsi="宋体" w:cs="宋体" w:eastAsia="宋体" w:hint="default"/>
                <w:sz w:val="18"/>
                <w:szCs w:val="18"/>
              </w:rPr>
              <w:t>北京 恒易传奇 科技有限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firstLine="360"/>
              <w:jc w:val="both"/>
              <w:rPr>
                <w:rFonts w:ascii="宋体" w:hAnsi="宋体" w:cs="宋体" w:eastAsia="宋体" w:hint="default"/>
                <w:sz w:val="18"/>
                <w:szCs w:val="18"/>
              </w:rPr>
            </w:pPr>
            <w:r>
              <w:rPr>
                <w:rFonts w:ascii="宋体" w:hAnsi="宋体" w:cs="宋体" w:eastAsia="宋体" w:hint="default"/>
                <w:sz w:val="18"/>
                <w:szCs w:val="18"/>
              </w:rPr>
              <w:t>上海 无寻网络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firstLine="360"/>
              <w:jc w:val="both"/>
              <w:rPr>
                <w:rFonts w:ascii="宋体" w:hAnsi="宋体" w:cs="宋体" w:eastAsia="宋体" w:hint="default"/>
                <w:sz w:val="18"/>
                <w:szCs w:val="18"/>
              </w:rPr>
            </w:pPr>
            <w:r>
              <w:rPr>
                <w:rFonts w:ascii="宋体" w:hAnsi="宋体" w:cs="宋体" w:eastAsia="宋体" w:hint="default"/>
                <w:sz w:val="18"/>
                <w:szCs w:val="18"/>
              </w:rPr>
              <w:t>北京 双洲科技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6"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2"/>
              <w:ind w:left="206" w:right="0"/>
              <w:jc w:val="left"/>
              <w:rPr>
                <w:rFonts w:ascii="Times New Roman" w:hAnsi="Times New Roman" w:cs="Times New Roman" w:eastAsia="Times New Roman" w:hint="default"/>
                <w:sz w:val="18"/>
                <w:szCs w:val="18"/>
              </w:rPr>
            </w:pPr>
            <w:r>
              <w:rPr>
                <w:rFonts w:ascii="Times New Roman"/>
                <w:sz w:val="18"/>
              </w:rPr>
              <w:t>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9" w:header="877" w:top="1100" w:bottom="1160" w:left="980" w:right="980"/>
          <w:pgNumType w:start="11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3"/>
              <w:jc w:val="left"/>
              <w:rPr>
                <w:rFonts w:ascii="宋体" w:hAnsi="宋体" w:cs="宋体" w:eastAsia="宋体" w:hint="default"/>
                <w:sz w:val="18"/>
                <w:szCs w:val="18"/>
              </w:rPr>
            </w:pPr>
            <w:r>
              <w:rPr>
                <w:rFonts w:ascii="宋体" w:hAnsi="宋体" w:cs="宋体" w:eastAsia="宋体" w:hint="default"/>
                <w:sz w:val="18"/>
                <w:szCs w:val="18"/>
              </w:rPr>
              <w:t>房屋及建 筑物</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5"/>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16,952,41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w w:val="95"/>
                <w:sz w:val="18"/>
              </w:rPr>
              <w:t>6.11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9,180,339.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30,358,352.5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5"/>
        <w:gridCol w:w="1196"/>
        <w:gridCol w:w="1195"/>
        <w:gridCol w:w="1287"/>
        <w:gridCol w:w="1368"/>
      </w:tblGrid>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22,617,92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7,790,311.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3,739,017.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34,147,254.4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22,617,92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7,790,311.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3,739,017.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34,147,254.4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722,744.5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153,440.0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876,184.59</w:t>
            </w: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722,744.5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876,184.59</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26,843,52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12,765,91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7.50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63,629,422.3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426,522.4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9,473,961.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4,138,826.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14,039,310.3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239,081.0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2,612,362.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1,903,766.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4,755,209.42</w:t>
            </w: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2,612,362.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1,903,766.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4,755,209.42</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861,194.28</w:t>
            </w:r>
          </w:p>
        </w:tc>
      </w:tr>
      <w:tr>
        <w:trPr>
          <w:trHeight w:val="716"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707,754.2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153,440.0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861,194.28</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665,603.5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11,378,56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5,889,152.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07</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17,933,325.5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195"/>
        <w:gridCol w:w="1196"/>
        <w:gridCol w:w="1195"/>
        <w:gridCol w:w="1287"/>
        <w:gridCol w:w="1368"/>
      </w:tblGrid>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26,177,91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7.87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3.50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6,876,765.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45,696,096.8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3,799,073.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7,478,454.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5,041,513.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c>
          <w:tcPr>
            <w:tcW w:w="128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16,319,042.1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西安办公楼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11,286,734.72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南京研发楼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9,233,306.25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5" w:firstLine="360"/>
              <w:jc w:val="left"/>
              <w:rPr>
                <w:rFonts w:ascii="宋体" w:hAnsi="宋体" w:cs="宋体" w:eastAsia="宋体" w:hint="default"/>
                <w:sz w:val="18"/>
                <w:szCs w:val="18"/>
              </w:rPr>
            </w:pPr>
            <w:r>
              <w:rPr>
                <w:rFonts w:ascii="宋体" w:hAnsi="宋体" w:cs="宋体" w:eastAsia="宋体" w:hint="default"/>
                <w:sz w:val="18"/>
                <w:szCs w:val="18"/>
              </w:rPr>
              <w:t>锦业时代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 </w:t>
            </w:r>
            <w:r>
              <w:rPr>
                <w:rFonts w:ascii="宋体" w:hAnsi="宋体" w:cs="宋体" w:eastAsia="宋体" w:hint="default"/>
                <w:sz w:val="18"/>
                <w:szCs w:val="18"/>
              </w:rPr>
              <w:t>地下负二层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车位的车位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开发商正在办理过程中</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3" w:right="8150"/>
        <w:jc w:val="center"/>
      </w:pPr>
      <w:r>
        <w:rPr/>
        <w:t>其他说明：</w:t>
      </w:r>
    </w:p>
    <w:p>
      <w:pPr>
        <w:spacing w:after="0" w:line="240" w:lineRule="auto"/>
        <w:jc w:val="cente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4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11,216,914.6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1382" w:type="dxa"/>
            <w:vMerge w:val="restart"/>
            <w:tcBorders>
              <w:top w:val="single" w:sz="4" w:space="0" w:color="000000"/>
              <w:left w:val="single" w:sz="4" w:space="0" w:color="000000"/>
              <w:right w:val="single" w:sz="4" w:space="0" w:color="000000"/>
            </w:tcBorders>
          </w:tcPr>
          <w:p>
            <w:pP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1,120,995.00</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12,337,909.69</w:t>
            </w:r>
          </w:p>
        </w:tc>
      </w:tr>
      <w:tr>
        <w:trPr>
          <w:trHeight w:val="391" w:hRule="exact"/>
        </w:trPr>
        <w:tc>
          <w:tcPr>
            <w:tcW w:w="24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1"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161" w:hRule="exact"/>
        </w:trPr>
        <w:tc>
          <w:tcPr>
            <w:tcW w:w="24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11,216,914.6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382" w:type="dxa"/>
            <w:vMerge w:val="restart"/>
            <w:tcBorders>
              <w:top w:val="single" w:sz="4" w:space="0" w:color="000000"/>
              <w:left w:val="single" w:sz="4" w:space="0" w:color="000000"/>
              <w:right w:val="single" w:sz="4" w:space="0" w:color="000000"/>
            </w:tcBorders>
          </w:tcPr>
          <w:p>
            <w:pP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1,120,995.00</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12,337,909.69</w:t>
            </w:r>
          </w:p>
        </w:tc>
      </w:tr>
      <w:tr>
        <w:trPr>
          <w:trHeight w:val="394" w:hRule="exact"/>
        </w:trPr>
        <w:tc>
          <w:tcPr>
            <w:tcW w:w="24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82" w:type="dxa"/>
            <w:vMerge/>
            <w:tcBorders>
              <w:left w:val="single" w:sz="4" w:space="0" w:color="000000"/>
              <w:right w:val="single" w:sz="4" w:space="0" w:color="000000"/>
            </w:tcBorders>
          </w:tcPr>
          <w:p>
            <w:pPr/>
          </w:p>
        </w:tc>
        <w:tc>
          <w:tcPr>
            <w:tcW w:w="1381" w:type="dxa"/>
            <w:vMerge/>
            <w:tcBorders>
              <w:left w:val="single" w:sz="4" w:space="0" w:color="000000"/>
              <w:right w:val="single" w:sz="4" w:space="0" w:color="000000"/>
            </w:tcBorders>
          </w:tcPr>
          <w:p>
            <w:pPr/>
          </w:p>
        </w:tc>
        <w:tc>
          <w:tcPr>
            <w:tcW w:w="1579" w:type="dxa"/>
            <w:vMerge/>
            <w:tcBorders>
              <w:left w:val="single" w:sz="4" w:space="0" w:color="000000"/>
              <w:right w:val="single" w:sz="4" w:space="0" w:color="000000"/>
            </w:tcBorders>
          </w:tcPr>
          <w:p>
            <w:pPr/>
          </w:p>
        </w:tc>
      </w:tr>
      <w:tr>
        <w:trPr>
          <w:trHeight w:val="161" w:hRule="exact"/>
        </w:trPr>
        <w:tc>
          <w:tcPr>
            <w:tcW w:w="24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579" w:type="dxa"/>
            <w:vMerge/>
            <w:tcBorders>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1,286,200.00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1,286,200.00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1,286,200.00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1,286,200.00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11,216,914.6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2,407,195.00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13,624,109.69</w:t>
            </w:r>
          </w:p>
        </w:tc>
      </w:tr>
      <w:tr>
        <w:trPr>
          <w:trHeight w:val="716"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11,216,914.6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153,067.12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11,369,981.81</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76" w:right="0"/>
              <w:jc w:val="center"/>
              <w:rPr>
                <w:rFonts w:ascii="Times New Roman" w:hAnsi="Times New Roman" w:cs="Times New Roman" w:eastAsia="Times New Roman" w:hint="default"/>
                <w:sz w:val="18"/>
                <w:szCs w:val="18"/>
              </w:rPr>
            </w:pPr>
            <w:r>
              <w:rPr>
                <w:rFonts w:ascii="Times New Roman"/>
                <w:sz w:val="18"/>
              </w:rPr>
              <w:t>11,216,914.6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153,067.12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11,369,981.81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2"/>
        <w:gridCol w:w="1381"/>
        <w:gridCol w:w="1579"/>
      </w:tblGrid>
      <w:tr>
        <w:trPr>
          <w:trHeight w:val="36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178,689.83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178,689.83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178,689.83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178,689.83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11,216,914.6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331,756.95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11,548,671.64</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2,075,438.05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2,075,438.05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967,927.88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967,927.88</w:t>
            </w:r>
          </w:p>
        </w:tc>
      </w:tr>
    </w:tbl>
    <w:p>
      <w:pPr>
        <w:pStyle w:val="BodyText"/>
        <w:spacing w:line="240" w:lineRule="auto" w:before="49"/>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注：本年摊销金额为</w:t>
      </w:r>
      <w:r>
        <w:rPr>
          <w:spacing w:val="-48"/>
        </w:rPr>
        <w:t> </w:t>
      </w:r>
      <w:r>
        <w:rPr>
          <w:rFonts w:ascii="Times New Roman" w:hAnsi="Times New Roman" w:cs="Times New Roman" w:eastAsia="Times New Roman" w:hint="default"/>
        </w:rPr>
        <w:t>178,689.83</w:t>
      </w:r>
      <w:r>
        <w:rPr>
          <w:rFonts w:ascii="Times New Roman" w:hAnsi="Times New Roman" w:cs="Times New Roman" w:eastAsia="Times New Roman" w:hint="default"/>
          <w:spacing w:val="-10"/>
        </w:rPr>
        <w:t> </w:t>
      </w:r>
      <w:r>
        <w:rPr/>
        <w:t>元。</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3" w:right="5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3" w:firstLine="88"/>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金甲防线</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29,415,45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24,705,43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4,710,016.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79" w:firstLine="360"/>
              <w:jc w:val="left"/>
              <w:rPr>
                <w:rFonts w:ascii="宋体" w:hAnsi="宋体" w:cs="宋体" w:eastAsia="宋体" w:hint="default"/>
                <w:sz w:val="18"/>
                <w:szCs w:val="18"/>
              </w:rPr>
            </w:pPr>
            <w:r>
              <w:rPr>
                <w:rFonts w:ascii="宋体" w:hAnsi="宋体" w:cs="宋体" w:eastAsia="宋体" w:hint="default"/>
                <w:sz w:val="18"/>
                <w:szCs w:val="18"/>
              </w:rPr>
              <w:t>北信源国 产终端安全管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14,283,47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6.89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11,996,39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9.67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2,287,077.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理系统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firstLine="360"/>
              <w:jc w:val="both"/>
              <w:rPr>
                <w:rFonts w:ascii="宋体" w:hAnsi="宋体" w:cs="宋体" w:eastAsia="宋体" w:hint="default"/>
                <w:sz w:val="18"/>
                <w:szCs w:val="18"/>
              </w:rPr>
            </w:pPr>
            <w:r>
              <w:rPr>
                <w:rFonts w:ascii="宋体" w:hAnsi="宋体" w:cs="宋体" w:eastAsia="宋体" w:hint="default"/>
                <w:sz w:val="18"/>
                <w:szCs w:val="18"/>
              </w:rPr>
              <w:t>虚拟化终 端安全管理系 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15,110,11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9.85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12,690,68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2,419,439.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58,809,05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2.03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49,392,51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9,416,533.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网络费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120,283.02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48,941.71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7"/>
              <w:jc w:val="right"/>
              <w:rPr>
                <w:rFonts w:ascii="宋体" w:hAnsi="宋体" w:cs="宋体" w:eastAsia="宋体" w:hint="default"/>
                <w:sz w:val="18"/>
                <w:szCs w:val="18"/>
              </w:rPr>
            </w:pPr>
            <w:r>
              <w:rPr>
                <w:rFonts w:ascii="宋体" w:hAnsi="宋体" w:cs="宋体" w:eastAsia="宋体" w:hint="default"/>
                <w:sz w:val="18"/>
                <w:szCs w:val="18"/>
              </w:rPr>
              <w:t>域名注册费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60,968.82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16,389.86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7"/>
              <w:jc w:val="righ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1,188,969.47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418,486.56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780,495.55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1,474,205.99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139,975.78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1,334,230.21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1,270,771.58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1,604,501.65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603,499.61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91,716.29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2,180,057.33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49,579,172.85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5,458,757.74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26,079,476.88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2,859,136.21</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内部交易未实现利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4,024,321.43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1,006,080.36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4,969,540.75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1,242,385.19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53,603,494.28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6,464,838.10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31,049,017.63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4,101,521.40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1" w:firstLine="180"/>
              <w:jc w:val="left"/>
              <w:rPr>
                <w:rFonts w:ascii="宋体" w:hAnsi="宋体" w:cs="宋体" w:eastAsia="宋体" w:hint="default"/>
                <w:sz w:val="18"/>
                <w:szCs w:val="18"/>
              </w:rPr>
            </w:pPr>
            <w:r>
              <w:rPr>
                <w:rFonts w:ascii="宋体" w:hAnsi="宋体" w:cs="宋体" w:eastAsia="宋体" w:hint="default"/>
                <w:sz w:val="18"/>
                <w:szCs w:val="18"/>
              </w:rPr>
              <w:t>递延所得税资产和 负债期末互抵金额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51" w:firstLine="271"/>
              <w:jc w:val="left"/>
              <w:rPr>
                <w:rFonts w:ascii="宋体" w:hAnsi="宋体" w:cs="宋体" w:eastAsia="宋体" w:hint="default"/>
                <w:sz w:val="18"/>
                <w:szCs w:val="18"/>
              </w:rPr>
            </w:pPr>
            <w:r>
              <w:rPr>
                <w:rFonts w:ascii="宋体" w:hAnsi="宋体" w:cs="宋体" w:eastAsia="宋体" w:hint="default"/>
                <w:sz w:val="18"/>
                <w:szCs w:val="18"/>
              </w:rPr>
              <w:t>抵销后递延所得税 资产或负债期末余额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48" w:firstLine="180"/>
              <w:jc w:val="left"/>
              <w:rPr>
                <w:rFonts w:ascii="宋体" w:hAnsi="宋体" w:cs="宋体" w:eastAsia="宋体" w:hint="default"/>
                <w:sz w:val="18"/>
                <w:szCs w:val="18"/>
              </w:rPr>
            </w:pPr>
            <w:r>
              <w:rPr>
                <w:rFonts w:ascii="宋体" w:hAnsi="宋体" w:cs="宋体" w:eastAsia="宋体" w:hint="default"/>
                <w:sz w:val="18"/>
                <w:szCs w:val="18"/>
              </w:rPr>
              <w:t>递延所得税资产和 负债期初互抵金额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0" w:firstLine="271"/>
              <w:jc w:val="left"/>
              <w:rPr>
                <w:rFonts w:ascii="宋体" w:hAnsi="宋体" w:cs="宋体" w:eastAsia="宋体" w:hint="default"/>
                <w:sz w:val="18"/>
                <w:szCs w:val="18"/>
              </w:rPr>
            </w:pPr>
            <w:r>
              <w:rPr>
                <w:rFonts w:ascii="宋体" w:hAnsi="宋体" w:cs="宋体" w:eastAsia="宋体" w:hint="default"/>
                <w:sz w:val="18"/>
                <w:szCs w:val="18"/>
              </w:rPr>
              <w:t>抵销后递延所得税 资产或负债期初余额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6,464,838.10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4,101,521.40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购置长期资产预付款项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13,911,106.00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19,819,423.00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13,911,106.00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19,819,423.00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本期末已逾期未偿还的短期借款总额为元，其中重要的已逾期未偿还的短期借款情况如下：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应付采购产品款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17,774,437.20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10,340,822.83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18,105,411.20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10,578,062.83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1,658,492.26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2,234,472.13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1,658,492.26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2,234,472.13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84,424,261.28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84,424,261.28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firstLine="36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 定提存计划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7,337,380.93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7,337,380.93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firstLine="360"/>
              <w:jc w:val="left"/>
              <w:rPr>
                <w:rFonts w:ascii="宋体" w:hAnsi="宋体" w:cs="宋体" w:eastAsia="宋体" w:hint="default"/>
                <w:sz w:val="18"/>
                <w:szCs w:val="18"/>
              </w:rPr>
            </w:pPr>
            <w:r>
              <w:rPr>
                <w:rFonts w:ascii="宋体" w:hAnsi="宋体" w:cs="宋体" w:eastAsia="宋体" w:hint="default"/>
                <w:sz w:val="18"/>
                <w:szCs w:val="18"/>
              </w:rPr>
              <w:t>四、一年内到期的 其他福利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91,761,642.21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91,761,642.21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4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w:t>
            </w:r>
            <w:r>
              <w:rPr>
                <w:rFonts w:ascii="宋体" w:hAnsi="宋体" w:cs="宋体" w:eastAsia="宋体" w:hint="default"/>
                <w:sz w:val="18"/>
                <w:szCs w:val="18"/>
              </w:rPr>
              <w:t> 贴和补贴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70,683,184.86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70,683,184.86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7,111,332.95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7,111,332.95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3,976,699.36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3,976,699.36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其中：医疗保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3,487,915.51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3,487,915.51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132,018.09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132,018.09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280,289.76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280,289.76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补充医疗保险费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1,805,605.00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1,805,605.00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w:t>
            </w:r>
            <w:r>
              <w:rPr>
                <w:rFonts w:ascii="宋体" w:hAnsi="宋体" w:cs="宋体" w:eastAsia="宋体" w:hint="default"/>
                <w:sz w:val="18"/>
                <w:szCs w:val="18"/>
              </w:rPr>
              <w:t> 教育经费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847,439.11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847,439.11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、短期利润分享计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84,424,261.28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84,424,261.28</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6,925,936.10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6,925,936.10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6,860.80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6,860.80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404,584.03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404,584.03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7,337,380.93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7,337,380.93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55,551,780.74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36,059,719.37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7,458,323.84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4,897,288.11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266,801.05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231,786.68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2,676,594.36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1,377,353.76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1,906,993.39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975,852.81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124,033.64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275,956.49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5,278.77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68,272,983.51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43,559,779.50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0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339,623.29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应付日常经营款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2,255,615.15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1,206,377.58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2,255,615.15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1,546,000.87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80"/>
        <w:gridCol w:w="1200"/>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1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3" w:hanging="9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133,400,0</w:t>
            </w:r>
          </w:p>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sz w:val="18"/>
              </w:rPr>
              <w:t>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4" w:right="0"/>
              <w:jc w:val="left"/>
              <w:rPr>
                <w:rFonts w:ascii="Times New Roman" w:hAnsi="Times New Roman" w:cs="Times New Roman" w:eastAsia="Times New Roman" w:hint="default"/>
                <w:sz w:val="18"/>
                <w:szCs w:val="18"/>
              </w:rPr>
            </w:pPr>
            <w:r>
              <w:rPr>
                <w:rFonts w:ascii="Times New Roman"/>
                <w:sz w:val="18"/>
              </w:rPr>
              <w:t>133,400,0</w:t>
            </w:r>
          </w:p>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sz w:val="18"/>
              </w:rPr>
              <w:t>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133,400,0</w:t>
            </w:r>
          </w:p>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sz w:val="18"/>
              </w:rPr>
              <w:t>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266,800,0</w:t>
            </w:r>
          </w:p>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sz w:val="18"/>
              </w:rPr>
              <w:t>00.00</w:t>
            </w:r>
          </w:p>
        </w:tc>
      </w:tr>
    </w:tbl>
    <w:p>
      <w:pPr>
        <w:pStyle w:val="BodyText"/>
        <w:spacing w:line="240" w:lineRule="auto" w:before="49"/>
        <w:ind w:right="0"/>
        <w:jc w:val="left"/>
      </w:pPr>
      <w:r>
        <w:rPr/>
        <w:t>其他说明：</w:t>
      </w:r>
    </w:p>
    <w:p>
      <w:pPr>
        <w:pStyle w:val="BodyText"/>
        <w:spacing w:line="240" w:lineRule="auto" w:before="115"/>
        <w:ind w:left="0" w:right="148"/>
        <w:jc w:val="right"/>
      </w:pPr>
      <w:r>
        <w:rPr/>
        <w:t>根据本公司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日召开的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年年度股东大会会议决议，同意本公司以</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日股本</w:t>
      </w:r>
      <w:r>
        <w:rPr>
          <w:spacing w:val="-47"/>
        </w:rPr>
        <w:t> </w:t>
      </w:r>
      <w:r>
        <w:rPr>
          <w:rFonts w:ascii="Times New Roman" w:hAnsi="Times New Roman" w:cs="Times New Roman" w:eastAsia="Times New Roman" w:hint="default"/>
        </w:rPr>
        <w:t>13,340.00</w:t>
      </w:r>
      <w:r>
        <w:rPr>
          <w:rFonts w:ascii="Times New Roman" w:hAnsi="Times New Roman" w:cs="Times New Roman" w:eastAsia="Times New Roman" w:hint="default"/>
          <w:spacing w:val="-10"/>
        </w:rPr>
        <w:t> </w:t>
      </w:r>
      <w:r>
        <w:rPr/>
        <w:t>万股</w:t>
      </w:r>
    </w:p>
    <w:p>
      <w:pPr>
        <w:pStyle w:val="BodyText"/>
        <w:spacing w:line="240" w:lineRule="auto" w:before="63"/>
        <w:ind w:left="152" w:right="0"/>
        <w:jc w:val="left"/>
      </w:pPr>
      <w:r>
        <w:rPr/>
        <w:t>为基数，按每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股由资本公积转增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股，共计转增</w:t>
      </w:r>
      <w:r>
        <w:rPr>
          <w:spacing w:val="-48"/>
        </w:rPr>
        <w:t> </w:t>
      </w:r>
      <w:r>
        <w:rPr>
          <w:rFonts w:ascii="Times New Roman" w:hAnsi="Times New Roman" w:cs="Times New Roman" w:eastAsia="Times New Roman" w:hint="default"/>
        </w:rPr>
        <w:t>13,340.00</w:t>
      </w:r>
      <w:r>
        <w:rPr>
          <w:rFonts w:ascii="Times New Roman" w:hAnsi="Times New Roman" w:cs="Times New Roman" w:eastAsia="Times New Roman" w:hint="default"/>
          <w:spacing w:val="-9"/>
        </w:rPr>
        <w:t> </w:t>
      </w:r>
      <w:r>
        <w:rPr/>
        <w:t>万股，转增后，注册资本增加人民币</w:t>
      </w:r>
      <w:r>
        <w:rPr>
          <w:spacing w:val="-45"/>
        </w:rPr>
        <w:t> </w:t>
      </w:r>
      <w:r>
        <w:rPr>
          <w:rFonts w:ascii="Times New Roman" w:hAnsi="Times New Roman" w:cs="Times New Roman" w:eastAsia="Times New Roman" w:hint="default"/>
        </w:rPr>
        <w:t>13,340.00</w:t>
      </w:r>
      <w:r>
        <w:rPr>
          <w:rFonts w:ascii="Times New Roman" w:hAnsi="Times New Roman" w:cs="Times New Roman" w:eastAsia="Times New Roman" w:hint="default"/>
          <w:spacing w:val="-9"/>
        </w:rPr>
        <w:t> </w:t>
      </w:r>
      <w:r>
        <w:rPr/>
        <w:t>万元。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资本溢价（股本溢</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309,997,424.30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176,597,424.30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4,003,788.51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4,003,788.51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314,001,212.81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180,601,212.81</w:t>
            </w:r>
          </w:p>
        </w:tc>
      </w:tr>
    </w:tbl>
    <w:p>
      <w:pPr>
        <w:pStyle w:val="BodyText"/>
        <w:spacing w:line="240" w:lineRule="auto" w:before="49"/>
        <w:ind w:right="0"/>
        <w:jc w:val="left"/>
      </w:pPr>
      <w:r>
        <w:rPr/>
        <w:t>其他说明，包括本期增减变动情况、变动原因说明：</w:t>
      </w:r>
    </w:p>
    <w:p>
      <w:pPr>
        <w:pStyle w:val="BodyText"/>
        <w:spacing w:line="240" w:lineRule="auto" w:before="115"/>
        <w:ind w:left="0" w:right="150"/>
        <w:jc w:val="right"/>
        <w:rPr>
          <w:rFonts w:ascii="Times New Roman" w:hAnsi="Times New Roman" w:cs="Times New Roman" w:eastAsia="Times New Roman" w:hint="default"/>
        </w:rPr>
      </w:pPr>
      <w:r>
        <w:rPr/>
        <w:t>根据本公司</w:t>
      </w:r>
      <w:r>
        <w:rPr>
          <w:spacing w:val="-6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日</w:t>
      </w:r>
      <w:r>
        <w:rPr>
          <w:spacing w:val="-3"/>
        </w:rPr>
        <w:t>召</w:t>
      </w:r>
      <w:r>
        <w:rPr/>
        <w:t>开的</w:t>
      </w:r>
      <w:r>
        <w:rPr>
          <w:spacing w:val="-6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t>年度第一次临时股</w:t>
      </w:r>
      <w:r>
        <w:rPr>
          <w:spacing w:val="-3"/>
        </w:rPr>
        <w:t>东</w:t>
      </w:r>
      <w:r>
        <w:rPr/>
        <w:t>大会会议决议</w:t>
      </w:r>
      <w:r>
        <w:rPr>
          <w:spacing w:val="-92"/>
        </w:rPr>
        <w:t>，</w:t>
      </w:r>
      <w:r>
        <w:rPr/>
        <w:t>同意本公司以</w:t>
      </w:r>
      <w:r>
        <w:rPr>
          <w:spacing w:val="-6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日股本</w:t>
      </w:r>
      <w:r>
        <w:rPr>
          <w:spacing w:val="-6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left="152" w:right="0"/>
        <w:jc w:val="left"/>
      </w:pPr>
      <w:r>
        <w:rPr/>
        <w:t>万股为基数，按每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股由资本公积转增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股，共计转增</w:t>
      </w:r>
      <w:r>
        <w:rPr>
          <w:spacing w:val="-48"/>
        </w:rPr>
        <w:t> </w:t>
      </w:r>
      <w:r>
        <w:rPr>
          <w:rFonts w:ascii="Times New Roman" w:hAnsi="Times New Roman" w:cs="Times New Roman" w:eastAsia="Times New Roman" w:hint="default"/>
        </w:rPr>
        <w:t>13,340.00</w:t>
      </w:r>
      <w:r>
        <w:rPr>
          <w:rFonts w:ascii="Times New Roman" w:hAnsi="Times New Roman" w:cs="Times New Roman" w:eastAsia="Times New Roman" w:hint="default"/>
          <w:spacing w:val="-8"/>
        </w:rPr>
        <w:t> </w:t>
      </w:r>
      <w:r>
        <w:rPr/>
        <w:t>万股，转增后，减少资本公积</w:t>
      </w:r>
      <w:r>
        <w:rPr>
          <w:spacing w:val="-46"/>
        </w:rPr>
        <w:t> </w:t>
      </w:r>
      <w:r>
        <w:rPr>
          <w:rFonts w:ascii="Times New Roman" w:hAnsi="Times New Roman" w:cs="Times New Roman" w:eastAsia="Times New Roman" w:hint="default"/>
        </w:rPr>
        <w:t>13,340.00</w:t>
      </w:r>
      <w:r>
        <w:rPr>
          <w:rFonts w:ascii="Times New Roman" w:hAnsi="Times New Roman" w:cs="Times New Roman" w:eastAsia="Times New Roman" w:hint="default"/>
          <w:spacing w:val="-8"/>
        </w:rPr>
        <w:t> </w:t>
      </w:r>
      <w:r>
        <w:rPr/>
        <w:t>万元。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0"/>
        <w:gridCol w:w="936"/>
        <w:gridCol w:w="937"/>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439" w:right="77"/>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13" w:right="31" w:firstLine="180"/>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7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firstLine="360"/>
              <w:jc w:val="both"/>
              <w:rPr>
                <w:rFonts w:ascii="宋体" w:hAnsi="宋体" w:cs="宋体" w:eastAsia="宋体" w:hint="default"/>
                <w:sz w:val="18"/>
                <w:szCs w:val="18"/>
              </w:rPr>
            </w:pPr>
            <w:r>
              <w:rPr>
                <w:rFonts w:ascii="宋体" w:hAnsi="宋体" w:cs="宋体" w:eastAsia="宋体" w:hint="default"/>
                <w:sz w:val="18"/>
                <w:szCs w:val="18"/>
              </w:rPr>
              <w:t>本期 所得税前 发生额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6" w:firstLine="360"/>
              <w:jc w:val="both"/>
              <w:rPr>
                <w:rFonts w:ascii="宋体" w:hAnsi="宋体" w:cs="宋体" w:eastAsia="宋体" w:hint="default"/>
                <w:sz w:val="18"/>
                <w:szCs w:val="18"/>
              </w:rPr>
            </w:pPr>
            <w:r>
              <w:rPr>
                <w:rFonts w:ascii="宋体" w:hAnsi="宋体" w:cs="宋体" w:eastAsia="宋体" w:hint="default"/>
                <w:sz w:val="18"/>
                <w:szCs w:val="18"/>
              </w:rPr>
              <w:t>减：前期 计入其他综合 收益当期转入</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损益</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05" w:right="19" w:firstLine="280"/>
              <w:jc w:val="left"/>
              <w:rPr>
                <w:rFonts w:ascii="宋体" w:hAnsi="宋体" w:cs="宋体" w:eastAsia="宋体" w:hint="default"/>
                <w:sz w:val="18"/>
                <w:szCs w:val="18"/>
              </w:rPr>
            </w:pPr>
            <w:r>
              <w:rPr>
                <w:rFonts w:ascii="宋体" w:hAnsi="宋体" w:cs="宋体" w:eastAsia="宋体" w:hint="default"/>
                <w:spacing w:val="-8"/>
                <w:sz w:val="18"/>
                <w:szCs w:val="18"/>
              </w:rPr>
              <w:t>减：所</w:t>
            </w:r>
            <w:r>
              <w:rPr>
                <w:rFonts w:ascii="宋体" w:hAnsi="宋体" w:cs="宋体" w:eastAsia="宋体" w:hint="default"/>
                <w:sz w:val="18"/>
                <w:szCs w:val="18"/>
              </w:rPr>
              <w:t> 得税费用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01" w:firstLine="360"/>
              <w:jc w:val="left"/>
              <w:rPr>
                <w:rFonts w:ascii="宋体" w:hAnsi="宋体" w:cs="宋体" w:eastAsia="宋体" w:hint="default"/>
                <w:sz w:val="18"/>
                <w:szCs w:val="18"/>
              </w:rPr>
            </w:pPr>
            <w:r>
              <w:rPr>
                <w:rFonts w:ascii="宋体" w:hAnsi="宋体" w:cs="宋体" w:eastAsia="宋体" w:hint="default"/>
                <w:sz w:val="18"/>
                <w:szCs w:val="18"/>
              </w:rPr>
              <w:t>税后 归属于母</w:t>
            </w:r>
          </w:p>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firstLine="360"/>
              <w:jc w:val="both"/>
              <w:rPr>
                <w:rFonts w:ascii="宋体" w:hAnsi="宋体" w:cs="宋体" w:eastAsia="宋体" w:hint="default"/>
                <w:sz w:val="18"/>
                <w:szCs w:val="18"/>
              </w:rPr>
            </w:pPr>
            <w:r>
              <w:rPr>
                <w:rFonts w:ascii="宋体" w:hAnsi="宋体" w:cs="宋体" w:eastAsia="宋体" w:hint="default"/>
                <w:sz w:val="18"/>
                <w:szCs w:val="18"/>
              </w:rPr>
              <w:t>税后 归属于少 数股东</w:t>
            </w:r>
          </w:p>
        </w:tc>
        <w:tc>
          <w:tcPr>
            <w:tcW w:w="797" w:type="dxa"/>
            <w:vMerge/>
            <w:tcBorders>
              <w:left w:val="single" w:sz="4" w:space="0" w:color="000000"/>
              <w:right w:val="single" w:sz="4" w:space="0" w:color="000000"/>
            </w:tcBorders>
            <w:shd w:val="clear" w:color="auto" w:fill="D2D2D2"/>
          </w:tcPr>
          <w:p>
            <w:pP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674"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07" w:right="0"/>
              <w:jc w:val="center"/>
              <w:rPr>
                <w:rFonts w:ascii="宋体" w:hAnsi="宋体" w:cs="宋体" w:eastAsia="宋体" w:hint="default"/>
                <w:sz w:val="18"/>
                <w:szCs w:val="18"/>
              </w:rPr>
            </w:pPr>
            <w:r>
              <w:rPr>
                <w:rFonts w:ascii="宋体" w:hAnsi="宋体" w:cs="宋体" w:eastAsia="宋体" w:hint="default"/>
                <w:sz w:val="18"/>
                <w:szCs w:val="18"/>
              </w:rPr>
              <w:t>其中：重新计算设定受益计划</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0"/>
        <w:gridCol w:w="936"/>
        <w:gridCol w:w="937"/>
        <w:gridCol w:w="936"/>
        <w:gridCol w:w="797"/>
      </w:tblGrid>
      <w:tr>
        <w:trPr>
          <w:trHeight w:val="36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净负债和净资产的变动</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900"/>
              <w:jc w:val="both"/>
              <w:rPr>
                <w:rFonts w:ascii="宋体" w:hAnsi="宋体" w:cs="宋体" w:eastAsia="宋体" w:hint="default"/>
                <w:sz w:val="18"/>
                <w:szCs w:val="18"/>
              </w:rPr>
            </w:pPr>
            <w:r>
              <w:rPr>
                <w:rFonts w:ascii="宋体" w:hAnsi="宋体" w:cs="宋体" w:eastAsia="宋体" w:hint="default"/>
                <w:sz w:val="18"/>
                <w:szCs w:val="18"/>
              </w:rPr>
              <w:t>权益法下在被投资单位 不能重分类进损益的其他综合收益 中享有的份额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34.78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34.78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934.78</w:t>
            </w:r>
          </w:p>
        </w:tc>
      </w:tr>
      <w:tr>
        <w:trPr>
          <w:trHeight w:val="1028"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360"/>
              <w:jc w:val="both"/>
              <w:rPr>
                <w:rFonts w:ascii="宋体" w:hAnsi="宋体" w:cs="宋体" w:eastAsia="宋体" w:hint="default"/>
                <w:sz w:val="18"/>
                <w:szCs w:val="18"/>
              </w:rPr>
            </w:pPr>
            <w:r>
              <w:rPr>
                <w:rFonts w:ascii="宋体" w:hAnsi="宋体" w:cs="宋体" w:eastAsia="宋体" w:hint="default"/>
                <w:sz w:val="18"/>
                <w:szCs w:val="18"/>
              </w:rPr>
              <w:t>其中：权益法下在被投资单位 以后将重分类进损益的其他综合收 益中享有的份额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900"/>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firstLine="900"/>
              <w:jc w:val="left"/>
              <w:rPr>
                <w:rFonts w:ascii="宋体" w:hAnsi="宋体" w:cs="宋体" w:eastAsia="宋体" w:hint="default"/>
                <w:sz w:val="18"/>
                <w:szCs w:val="18"/>
              </w:rPr>
            </w:pPr>
            <w:r>
              <w:rPr>
                <w:rFonts w:ascii="宋体" w:hAnsi="宋体" w:cs="宋体" w:eastAsia="宋体" w:hint="default"/>
                <w:sz w:val="18"/>
                <w:szCs w:val="18"/>
              </w:rPr>
              <w:t>持有至到期投资重分类 为可供出售金融资产损益</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现金流量套期损益的有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34.78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34.78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934.78</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6" w:right="0"/>
              <w:jc w:val="left"/>
              <w:rPr>
                <w:rFonts w:ascii="Times New Roman" w:hAnsi="Times New Roman" w:cs="Times New Roman" w:eastAsia="Times New Roman" w:hint="default"/>
                <w:sz w:val="18"/>
                <w:szCs w:val="18"/>
              </w:rPr>
            </w:pPr>
            <w:r>
              <w:rPr>
                <w:rFonts w:ascii="Times New Roman"/>
                <w:sz w:val="18"/>
              </w:rPr>
              <w:t>34.78</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34.78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934.78</w:t>
            </w: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22,921,035.11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7,158,110.08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30,079,145.19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22,921,035.11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7,158,110.08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30,079,145.19</w:t>
            </w:r>
          </w:p>
        </w:tc>
      </w:tr>
    </w:tbl>
    <w:p>
      <w:pPr>
        <w:pStyle w:val="BodyText"/>
        <w:spacing w:line="240" w:lineRule="auto" w:before="49"/>
        <w:ind w:right="0"/>
        <w:jc w:val="left"/>
      </w:pPr>
      <w:r>
        <w:rPr/>
        <w:t>盈余公积说明，包括本期增减变动情况、变动原因说明：</w:t>
      </w:r>
    </w:p>
    <w:p>
      <w:pPr>
        <w:pStyle w:val="BodyText"/>
        <w:spacing w:line="240" w:lineRule="auto" w:before="115"/>
        <w:ind w:right="0"/>
        <w:jc w:val="left"/>
        <w:rPr>
          <w:rFonts w:ascii="Times New Roman" w:hAnsi="Times New Roman" w:cs="Times New Roman" w:eastAsia="Times New Roman" w:hint="default"/>
        </w:rPr>
      </w:pPr>
      <w:r>
        <w:rPr/>
        <w:t>根据公司法、章程的规定，本公司按净利润的</w:t>
      </w:r>
      <w:r>
        <w:rPr>
          <w:spacing w:val="-44"/>
        </w:rPr>
        <w:t> </w:t>
      </w:r>
      <w:r>
        <w:rPr>
          <w:rFonts w:ascii="Times New Roman" w:hAnsi="Times New Roman" w:cs="Times New Roman" w:eastAsia="Times New Roman" w:hint="default"/>
        </w:rPr>
        <w:t>10%</w:t>
      </w:r>
      <w:r>
        <w:rPr/>
        <w:t>提取法定盈余公积金。法定盈余公积累计额为本公司注册资本</w:t>
      </w:r>
      <w:r>
        <w:rPr>
          <w:spacing w:val="-44"/>
        </w:rPr>
        <w:t> </w:t>
      </w:r>
      <w:r>
        <w:rPr>
          <w:rFonts w:ascii="Times New Roman" w:hAnsi="Times New Roman" w:cs="Times New Roman" w:eastAsia="Times New Roman" w:hint="default"/>
        </w:rPr>
        <w:t>50%</w:t>
      </w:r>
    </w:p>
    <w:p>
      <w:pPr>
        <w:pStyle w:val="BodyText"/>
        <w:spacing w:line="240" w:lineRule="auto" w:before="63"/>
        <w:ind w:left="152" w:right="0"/>
        <w:jc w:val="left"/>
      </w:pPr>
      <w:r>
        <w:rPr/>
        <w:t>以上的，可不再提取。</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177,324,541.06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129,635,116.53</w:t>
            </w:r>
          </w:p>
        </w:tc>
      </w:tr>
      <w:tr>
        <w:trPr>
          <w:trHeight w:val="715"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2"/>
                <w:sz w:val="18"/>
                <w:szCs w:val="18"/>
              </w:rPr>
              <w:t>调整期初未分配利润合计数（调增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，调减</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12"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177,324,541.06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129,635,116.53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67,993,885.54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7,158,110.08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6,761,815.25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13,340,000.00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224,820,316.52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177,324,541.06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3"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258,924,229.24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29,036,590.32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207,761,497.26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26,986,454.19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3,809,410.06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2,668,592.73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20,443,057.30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20,033,504.53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262,733,639.30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31,705,183.05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228,204,554.56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47,019,958.72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113,047.63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23,208.63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2,188,435.57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1,978,342.70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1,575,151.62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1,409,677.02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8,331.46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10,593.76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3,884,966.28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3,421,822.11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left="152" w:right="0" w:firstLine="36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25,165,174.39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22,565,603.91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6,591,105.84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5,726,377.50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6,455,895.13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5,230,882.29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5,247,743.06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4,815,309.62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4,938,556.33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4,474,453.49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4,556,297.05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4,808,684.64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3,031,722.45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2,005,445.40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2,361,310.80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1,833,688.89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2,280,663.86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640,398.18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2,157,086.69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1,959,292.62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3,567,800.21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2,915,398.08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66,353,355.81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56,975,534.62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39,788,262.74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37,861,659.39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9,954,565.86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5,215,093.00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办公楼费用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7,370,622.09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6,521,855.95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5,472,893.71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2,700,833.44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资产折旧费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3,221,251.73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2,901,419.68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2,540,773.95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561,823.72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2,125,574.82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880,104.68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1,642,408.05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998,478.59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1,608,113.76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770,573.27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1,299,077.60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1,056,593.31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7,010,998.07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6,572,662.12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82,034,542.38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66,041,097.15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9,173,218.63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7,433,242.86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32,689.60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-9,111,460.07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-7,400,553.26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23,499,695.97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12,861,939.54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23,499,695.97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12,861,939.54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0" w:right="0"/>
              <w:jc w:val="left"/>
              <w:rPr>
                <w:rFonts w:ascii="宋体" w:hAnsi="宋体" w:cs="宋体" w:eastAsia="宋体" w:hint="default"/>
                <w:sz w:val="18"/>
                <w:szCs w:val="18"/>
              </w:rPr>
            </w:pPr>
            <w:r>
              <w:rPr>
                <w:rFonts w:ascii="宋体" w:hAnsi="宋体" w:cs="宋体" w:eastAsia="宋体" w:hint="default"/>
                <w:sz w:val="18"/>
                <w:szCs w:val="18"/>
              </w:rPr>
              <w:t>计入当期非经常性损益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非流动资产处置利得合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无形资产处置利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9,731,361.54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18,583,685.97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3,030,200.00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62,348.00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62,348.00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9,794,709.54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18,583,904.87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3,093,548.00</w:t>
            </w:r>
          </w:p>
        </w:tc>
      </w:tr>
    </w:tbl>
    <w:p>
      <w:pPr>
        <w:pStyle w:val="BodyText"/>
        <w:spacing w:line="240" w:lineRule="auto" w:before="49"/>
        <w:ind w:right="0"/>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年中关村现代服务 业试点项目补助资金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firstLine="360"/>
              <w:jc w:val="left"/>
              <w:rPr>
                <w:rFonts w:ascii="宋体" w:hAnsi="宋体" w:cs="宋体" w:eastAsia="宋体" w:hint="default"/>
                <w:sz w:val="18"/>
                <w:szCs w:val="18"/>
              </w:rPr>
            </w:pPr>
            <w:r>
              <w:rPr>
                <w:rFonts w:ascii="宋体" w:hAnsi="宋体" w:cs="宋体" w:eastAsia="宋体" w:hint="default"/>
                <w:sz w:val="18"/>
                <w:szCs w:val="18"/>
              </w:rPr>
              <w:t>中关村科技园区管理委 员会资助经费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firstLine="360"/>
              <w:jc w:val="left"/>
              <w:rPr>
                <w:rFonts w:ascii="宋体" w:hAnsi="宋体" w:cs="宋体" w:eastAsia="宋体" w:hint="default"/>
                <w:sz w:val="18"/>
                <w:szCs w:val="18"/>
              </w:rPr>
            </w:pPr>
            <w:r>
              <w:rPr>
                <w:rFonts w:ascii="宋体" w:hAnsi="宋体" w:cs="宋体" w:eastAsia="宋体" w:hint="default"/>
                <w:sz w:val="18"/>
                <w:szCs w:val="18"/>
              </w:rPr>
              <w:t>北京中关村企业信用促 进会中介补贴款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firstLine="360"/>
              <w:jc w:val="left"/>
              <w:rPr>
                <w:rFonts w:ascii="宋体" w:hAnsi="宋体" w:cs="宋体" w:eastAsia="宋体" w:hint="default"/>
                <w:sz w:val="18"/>
                <w:szCs w:val="18"/>
              </w:rPr>
            </w:pPr>
            <w:r>
              <w:rPr>
                <w:rFonts w:ascii="宋体" w:hAnsi="宋体" w:cs="宋体" w:eastAsia="宋体" w:hint="default"/>
                <w:sz w:val="18"/>
                <w:szCs w:val="18"/>
              </w:rPr>
              <w:t>北京市财政局老旧汽车 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firstLine="360"/>
              <w:jc w:val="left"/>
              <w:rPr>
                <w:rFonts w:ascii="宋体" w:hAnsi="宋体" w:cs="宋体" w:eastAsia="宋体" w:hint="default"/>
                <w:sz w:val="18"/>
                <w:szCs w:val="18"/>
              </w:rPr>
            </w:pPr>
            <w:r>
              <w:rPr>
                <w:rFonts w:ascii="宋体" w:hAnsi="宋体" w:cs="宋体" w:eastAsia="宋体" w:hint="default"/>
                <w:sz w:val="18"/>
                <w:szCs w:val="18"/>
              </w:rPr>
              <w:t>国家知识产权局专利局 北京代表处款项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1,200.00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1" w:firstLine="360"/>
              <w:jc w:val="left"/>
              <w:rPr>
                <w:rFonts w:ascii="宋体" w:hAnsi="宋体" w:cs="宋体" w:eastAsia="宋体" w:hint="default"/>
                <w:sz w:val="18"/>
                <w:szCs w:val="18"/>
              </w:rPr>
            </w:pPr>
            <w:r>
              <w:rPr>
                <w:rFonts w:ascii="宋体" w:hAnsi="宋体" w:cs="宋体" w:eastAsia="宋体" w:hint="default"/>
                <w:sz w:val="18"/>
                <w:szCs w:val="18"/>
              </w:rPr>
              <w:t>北京市海淀区财政局</w:t>
            </w:r>
            <w:r>
              <w:rPr>
                <w:rFonts w:ascii="宋体" w:hAnsi="宋体" w:cs="宋体" w:eastAsia="宋体" w:hint="default"/>
                <w:spacing w:val="1"/>
                <w:sz w:val="18"/>
                <w:szCs w:val="18"/>
              </w:rPr>
              <w:t> </w:t>
            </w:r>
            <w:r>
              <w:rPr>
                <w:rFonts w:ascii="宋体" w:hAnsi="宋体" w:cs="宋体" w:eastAsia="宋体" w:hint="default"/>
                <w:sz w:val="18"/>
                <w:szCs w:val="18"/>
              </w:rPr>
              <w:t>国</w:t>
            </w:r>
            <w:r>
              <w:rPr>
                <w:rFonts w:ascii="宋体" w:hAnsi="宋体" w:cs="宋体" w:eastAsia="宋体" w:hint="default"/>
                <w:sz w:val="18"/>
                <w:szCs w:val="18"/>
              </w:rPr>
              <w:t> 家补助资金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6,701,161.54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10,552,685.97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 w:firstLine="360"/>
              <w:jc w:val="left"/>
              <w:rPr>
                <w:rFonts w:ascii="宋体" w:hAnsi="宋体" w:cs="宋体" w:eastAsia="宋体" w:hint="default"/>
                <w:sz w:val="18"/>
                <w:szCs w:val="18"/>
              </w:rPr>
            </w:pPr>
            <w:r>
              <w:rPr>
                <w:rFonts w:ascii="宋体" w:hAnsi="宋体" w:cs="宋体" w:eastAsia="宋体" w:hint="default"/>
                <w:sz w:val="18"/>
                <w:szCs w:val="18"/>
              </w:rPr>
              <w:t>中国（南京）软件谷管理 委员会补贴资金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技术创新补贴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9,731,361.54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18,583,685.97</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5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0" w:right="0"/>
              <w:jc w:val="left"/>
              <w:rPr>
                <w:rFonts w:ascii="宋体" w:hAnsi="宋体" w:cs="宋体" w:eastAsia="宋体" w:hint="default"/>
                <w:sz w:val="18"/>
                <w:szCs w:val="18"/>
              </w:rPr>
            </w:pPr>
            <w:r>
              <w:rPr>
                <w:rFonts w:ascii="宋体" w:hAnsi="宋体" w:cs="宋体" w:eastAsia="宋体" w:hint="default"/>
                <w:sz w:val="18"/>
                <w:szCs w:val="18"/>
              </w:rPr>
              <w:t>计入当期非经常性损益</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非流动资产处置损失合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8,940.31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无形资产处置损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8,940.31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8,940.31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8,522,556.27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1,562,847.56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-2,363,316.70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-1,485,427.65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6,159,239.57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77,419.91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9"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74,153,125.11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7,415,312.51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-89,949.91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-1,166,123.03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-2,363,316.70</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3" w:firstLine="36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 扣亏损的影响</w:t>
            </w:r>
          </w:p>
        </w:tc>
        <w:tc>
          <w:tcPr>
            <w:tcW w:w="47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
        </w:tc>
        <w:tc>
          <w:tcPr>
            <w:tcW w:w="47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6,159,239.57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33" w:right="8150"/>
        <w:jc w:val="center"/>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2,523,665.03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3,017,171.75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8,031,010.00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9,173,218.63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7,433,242.86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11,837,083.66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18,481,424.61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3,194,826.94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5,812,247.96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firstLine="360"/>
              <w:jc w:val="left"/>
              <w:rPr>
                <w:rFonts w:ascii="宋体" w:hAnsi="宋体" w:cs="宋体" w:eastAsia="宋体" w:hint="default"/>
                <w:sz w:val="18"/>
                <w:szCs w:val="18"/>
              </w:rPr>
            </w:pPr>
            <w:r>
              <w:rPr>
                <w:rFonts w:ascii="宋体" w:hAnsi="宋体" w:cs="宋体" w:eastAsia="宋体" w:hint="default"/>
                <w:sz w:val="18"/>
                <w:szCs w:val="18"/>
              </w:rPr>
              <w:t>支付办公、差旅、房租、招待等营 业费用及管理费用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67,804,467.81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57,616,643.09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71,061,053.31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63,461,580.65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计入资本公积的政府补助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17"/>
        <w:gridCol w:w="3069"/>
        <w:gridCol w:w="3185"/>
      </w:tblGrid>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3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量：</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17"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7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58"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17"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67,993,885.54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67,791,239.78</w:t>
            </w: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23,499,695.97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12,861,939.54</w:t>
            </w:r>
          </w:p>
        </w:tc>
      </w:tr>
      <w:tr>
        <w:trPr>
          <w:trHeight w:val="715"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0" w:firstLine="36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 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4,755,209.42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3,443,335.88</w:t>
            </w: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178,689.83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654,407.77</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603,499.61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498,563.07</w:t>
            </w:r>
          </w:p>
        </w:tc>
      </w:tr>
      <w:tr>
        <w:trPr>
          <w:trHeight w:val="71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 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7,940.31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firstLine="36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-2,363,316.70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-1,485,427.65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firstLine="36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-5,007,673.85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-931,183.17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1" w:firstLine="36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-172,799,280.26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-116,040,260.89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1" w:firstLine="36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63,804,320.94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22,906,627.83</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-19,327,029.19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-10,300,757.84</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2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．不涉及现金收支的重大投资和筹资</w:t>
            </w:r>
            <w:r>
              <w:rPr>
                <w:rFonts w:ascii="宋体" w:hAnsi="宋体" w:cs="宋体" w:eastAsia="宋体" w:hint="default"/>
                <w:sz w:val="18"/>
                <w:szCs w:val="18"/>
              </w:rPr>
              <w:t> 活动：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64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70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64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0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303,892,016.49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385,853,684.84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385,853,684.84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432,835,917.03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-81,961,668.35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-46,982,232.19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价物</w:t>
            </w:r>
          </w:p>
        </w:tc>
        <w:tc>
          <w:tcPr>
            <w:tcW w:w="4583" w:type="dxa"/>
            <w:tcBorders>
              <w:top w:val="single" w:sz="4" w:space="0" w:color="000000"/>
              <w:left w:val="single" w:sz="10" w:space="0" w:color="D2D2D2"/>
              <w:bottom w:val="single" w:sz="4" w:space="0" w:color="000000"/>
              <w:right w:val="single" w:sz="4" w:space="0" w:color="000000"/>
            </w:tcBorders>
          </w:tcPr>
          <w:p>
            <w:pP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7"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
        </w:tc>
        <w:tc>
          <w:tcPr>
            <w:tcW w:w="45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0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303,892,016.49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385,853,684.84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55,155.21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94,279.50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303,836,861.28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385,759,405.34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项</w:t>
            </w:r>
          </w:p>
        </w:tc>
        <w:tc>
          <w:tcPr>
            <w:tcW w:w="3058"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303,892,016.49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385,853,684.84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716"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 限制的现金和现金等价物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6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06"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履约保证金无法随意支取</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0"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7,406,117.78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马元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5" w:right="0"/>
              <w:jc w:val="left"/>
              <w:rPr>
                <w:rFonts w:ascii="Times New Roman" w:hAnsi="Times New Roman" w:cs="Times New Roman" w:eastAsia="Times New Roman" w:hint="default"/>
                <w:sz w:val="18"/>
                <w:szCs w:val="18"/>
              </w:rPr>
            </w:pPr>
            <w:r>
              <w:rPr>
                <w:rFonts w:ascii="Times New Roman"/>
                <w:sz w:val="18"/>
              </w:rPr>
              <w:t>4,202,052.64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1.7625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7,406,117.78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17"/>
        <w:gridCol w:w="2000"/>
        <w:gridCol w:w="1999"/>
        <w:gridCol w:w="2000"/>
      </w:tblGrid>
      <w:tr>
        <w:trPr>
          <w:trHeight w:val="434" w:hRule="exact"/>
        </w:trPr>
        <w:tc>
          <w:tcPr>
            <w:tcW w:w="3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391"/>
              <w:jc w:val="right"/>
              <w:rPr>
                <w:rFonts w:ascii="Times New Roman" w:hAnsi="Times New Roman" w:cs="Times New Roman" w:eastAsia="Times New Roman" w:hint="default"/>
                <w:sz w:val="18"/>
                <w:szCs w:val="18"/>
              </w:rPr>
            </w:pPr>
            <w:r>
              <w:rPr>
                <w:rFonts w:ascii="Times New Roman"/>
                <w:sz w:val="18"/>
              </w:rPr>
              <w:t>69,859.75</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0"/>
              <w:ind w:right="544"/>
              <w:jc w:val="right"/>
              <w:rPr>
                <w:rFonts w:ascii="Times New Roman" w:hAnsi="Times New Roman" w:cs="Times New Roman" w:eastAsia="Times New Roman" w:hint="default"/>
                <w:sz w:val="18"/>
                <w:szCs w:val="18"/>
              </w:rPr>
            </w:pPr>
            <w:r>
              <w:rPr>
                <w:rFonts w:ascii="Times New Roman"/>
                <w:sz w:val="18"/>
              </w:rPr>
              <w:t>1.7625</w:t>
            </w:r>
          </w:p>
        </w:tc>
        <w:tc>
          <w:tcPr>
            <w:tcW w:w="20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0"/>
              <w:ind w:left="653" w:right="0"/>
              <w:jc w:val="left"/>
              <w:rPr>
                <w:rFonts w:ascii="Times New Roman" w:hAnsi="Times New Roman" w:cs="Times New Roman" w:eastAsia="Times New Roman" w:hint="default"/>
                <w:sz w:val="18"/>
                <w:szCs w:val="18"/>
              </w:rPr>
            </w:pPr>
            <w:r>
              <w:rPr>
                <w:rFonts w:ascii="Times New Roman"/>
                <w:sz w:val="18"/>
              </w:rPr>
              <w:t>123,127.81</w:t>
            </w:r>
          </w:p>
        </w:tc>
      </w:tr>
      <w:tr>
        <w:trPr>
          <w:trHeight w:val="432" w:hRule="exact"/>
        </w:trPr>
        <w:tc>
          <w:tcPr>
            <w:tcW w:w="3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其中：马元</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391"/>
              <w:jc w:val="right"/>
              <w:rPr>
                <w:rFonts w:ascii="Times New Roman" w:hAnsi="Times New Roman" w:cs="Times New Roman" w:eastAsia="Times New Roman" w:hint="default"/>
                <w:sz w:val="18"/>
                <w:szCs w:val="18"/>
              </w:rPr>
            </w:pPr>
            <w:r>
              <w:rPr>
                <w:rFonts w:ascii="Times New Roman"/>
                <w:sz w:val="18"/>
              </w:rPr>
              <w:t>69,859.75</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544"/>
              <w:jc w:val="right"/>
              <w:rPr>
                <w:rFonts w:ascii="Times New Roman" w:hAnsi="Times New Roman" w:cs="Times New Roman" w:eastAsia="Times New Roman" w:hint="default"/>
                <w:sz w:val="18"/>
                <w:szCs w:val="18"/>
              </w:rPr>
            </w:pPr>
            <w:r>
              <w:rPr>
                <w:rFonts w:ascii="Times New Roman"/>
                <w:sz w:val="18"/>
              </w:rPr>
              <w:t>1.7625</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653" w:right="0"/>
              <w:jc w:val="left"/>
              <w:rPr>
                <w:rFonts w:ascii="Times New Roman" w:hAnsi="Times New Roman" w:cs="Times New Roman" w:eastAsia="Times New Roman" w:hint="default"/>
                <w:sz w:val="18"/>
                <w:szCs w:val="18"/>
              </w:rPr>
            </w:pPr>
            <w:r>
              <w:rPr>
                <w:rFonts w:ascii="Times New Roman"/>
                <w:sz w:val="18"/>
              </w:rPr>
              <w:t>123,127.81</w:t>
            </w:r>
          </w:p>
        </w:tc>
      </w:tr>
      <w:tr>
        <w:trPr>
          <w:trHeight w:val="432" w:hRule="exact"/>
        </w:trPr>
        <w:tc>
          <w:tcPr>
            <w:tcW w:w="3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417"/>
              <w:jc w:val="right"/>
              <w:rPr>
                <w:rFonts w:ascii="Times New Roman" w:hAnsi="Times New Roman" w:cs="Times New Roman" w:eastAsia="Times New Roman" w:hint="default"/>
                <w:sz w:val="18"/>
                <w:szCs w:val="18"/>
              </w:rPr>
            </w:pPr>
            <w:r>
              <w:rPr>
                <w:rFonts w:ascii="Times New Roman"/>
                <w:spacing w:val="-1"/>
                <w:w w:val="95"/>
                <w:sz w:val="18"/>
              </w:rPr>
              <w:t>2,114.60</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1.7625</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345"/>
              <w:jc w:val="right"/>
              <w:rPr>
                <w:rFonts w:ascii="Times New Roman" w:hAnsi="Times New Roman" w:cs="Times New Roman" w:eastAsia="Times New Roman" w:hint="default"/>
                <w:sz w:val="18"/>
                <w:szCs w:val="18"/>
              </w:rPr>
            </w:pPr>
            <w:r>
              <w:rPr>
                <w:rFonts w:ascii="Times New Roman"/>
                <w:spacing w:val="-1"/>
                <w:sz w:val="18"/>
              </w:rPr>
              <w:t>3,726.98</w:t>
            </w:r>
          </w:p>
        </w:tc>
      </w:tr>
      <w:tr>
        <w:trPr>
          <w:trHeight w:val="432" w:hRule="exact"/>
        </w:trPr>
        <w:tc>
          <w:tcPr>
            <w:tcW w:w="3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其中：马元</w:t>
            </w:r>
          </w:p>
        </w:tc>
        <w:tc>
          <w:tcPr>
            <w:tcW w:w="20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417"/>
              <w:jc w:val="right"/>
              <w:rPr>
                <w:rFonts w:ascii="Times New Roman" w:hAnsi="Times New Roman" w:cs="Times New Roman" w:eastAsia="Times New Roman" w:hint="default"/>
                <w:sz w:val="18"/>
                <w:szCs w:val="18"/>
              </w:rPr>
            </w:pPr>
            <w:r>
              <w:rPr>
                <w:rFonts w:ascii="Times New Roman"/>
                <w:spacing w:val="-1"/>
                <w:w w:val="95"/>
                <w:sz w:val="18"/>
              </w:rPr>
              <w:t>2,114.60</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1.7625</w:t>
            </w:r>
          </w:p>
        </w:tc>
        <w:tc>
          <w:tcPr>
            <w:tcW w:w="20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345"/>
              <w:jc w:val="right"/>
              <w:rPr>
                <w:rFonts w:ascii="Times New Roman" w:hAnsi="Times New Roman" w:cs="Times New Roman" w:eastAsia="Times New Roman" w:hint="default"/>
                <w:sz w:val="18"/>
                <w:szCs w:val="18"/>
              </w:rPr>
            </w:pPr>
            <w:r>
              <w:rPr>
                <w:rFonts w:ascii="Times New Roman"/>
                <w:spacing w:val="-1"/>
                <w:sz w:val="18"/>
              </w:rPr>
              <w:t>3,726.98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2" w:right="0" w:firstLine="360"/>
        <w:jc w:val="left"/>
      </w:pPr>
      <w:r>
        <w:rPr>
          <w:spacing w:val="-2"/>
        </w:rPr>
        <w:t>交易基本信息、交易构成反向购买的依据、上市公司保留的资产、负债是否构成业务及其依据、合并成本的确定、按照</w:t>
      </w:r>
      <w:r>
        <w:rPr/>
        <w:t> 权益性交易处理时调整权益的金额及其计算：</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79" w:top="1100" w:bottom="1160" w:left="980" w:right="940"/>
        </w:sectPr>
      </w:pPr>
    </w:p>
    <w:p>
      <w:pPr>
        <w:pStyle w:val="BodyText"/>
        <w:spacing w:line="240" w:lineRule="auto" w:before="44"/>
        <w:ind w:right="-20"/>
        <w:jc w:val="left"/>
      </w:pPr>
      <w:r>
        <w:rPr/>
        <w:t>是否存在单次处置对子公司投资即丧失控制权的情形</w:t>
      </w:r>
    </w:p>
    <w:p>
      <w:pPr>
        <w:pStyle w:val="BodyText"/>
        <w:spacing w:line="3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340" w:lineRule="auto" w:before="39"/>
        <w:ind w:right="48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一揽子交易</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20"/>
        <w:jc w:val="left"/>
      </w:pPr>
      <w:r>
        <w:rPr/>
        <w:t>非一揽子交易</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2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pStyle w:val="BodyText"/>
        <w:spacing w:line="240" w:lineRule="auto"/>
        <w:ind w:left="152" w:right="0"/>
        <w:jc w:val="left"/>
      </w:pPr>
      <w:r>
        <w:rPr/>
        <w:t>单位：</w:t>
      </w:r>
      <w:r>
        <w:rPr>
          <w:spacing w:val="1"/>
        </w:rPr>
        <w:t> </w:t>
      </w:r>
      <w:r>
        <w:rPr/>
        <w:t>元</w:t>
      </w:r>
    </w:p>
    <w:p>
      <w:pPr>
        <w:spacing w:after="0" w:line="240" w:lineRule="auto"/>
        <w:jc w:val="left"/>
        <w:sectPr>
          <w:type w:val="continuous"/>
          <w:pgSz w:w="11910" w:h="16840"/>
          <w:pgMar w:top="1060" w:bottom="1160" w:left="980" w:right="940"/>
          <w:cols w:num="2" w:equalWidth="0">
            <w:col w:w="6274" w:space="2555"/>
            <w:col w:w="1161"/>
          </w:cols>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说明其他原因导致的合并范围变动（如，新设子公司、清算子公司等）及其相关情况：</w:t>
      </w:r>
    </w:p>
    <w:p>
      <w:pPr>
        <w:pStyle w:val="BodyText"/>
        <w:spacing w:line="240" w:lineRule="auto" w:before="117"/>
        <w:ind w:right="0"/>
        <w:jc w:val="left"/>
      </w:pPr>
      <w:r>
        <w:rPr/>
        <w:t>北京北信源软件股份有限公司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年投资</w:t>
      </w:r>
      <w:r>
        <w:rPr>
          <w:spacing w:val="-48"/>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8"/>
        </w:rPr>
        <w:t> </w:t>
      </w:r>
      <w:r>
        <w:rPr/>
        <w:t>万元成立北信源（马来西亚）信息技术公司。截止到</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BodyText"/>
        <w:spacing w:line="240" w:lineRule="auto" w:before="63"/>
        <w:ind w:left="152" w:right="0"/>
        <w:jc w:val="left"/>
      </w:pPr>
      <w:r>
        <w:rPr>
          <w:rFonts w:ascii="Times New Roman" w:hAnsi="Times New Roman" w:cs="Times New Roman" w:eastAsia="Times New Roman" w:hint="default"/>
        </w:rPr>
        <w:t>31 </w:t>
      </w:r>
      <w:r>
        <w:rPr>
          <w:spacing w:val="-4"/>
        </w:rPr>
        <w:t>日本公司对北信源（马来西亚）信息技术公司</w:t>
      </w:r>
      <w:r>
        <w:rPr>
          <w:spacing w:val="-43"/>
        </w:rPr>
        <w:t> </w:t>
      </w:r>
      <w:r>
        <w:rPr>
          <w:rFonts w:ascii="Times New Roman" w:hAnsi="Times New Roman" w:cs="Times New Roman" w:eastAsia="Times New Roman" w:hint="default"/>
          <w:spacing w:val="-3"/>
        </w:rPr>
        <w:t>100.00%</w:t>
      </w:r>
      <w:r>
        <w:rPr>
          <w:spacing w:val="-3"/>
        </w:rPr>
        <w:t>控股，北信源（马来西亚）信息技术公司报表纳入本公司合并报表。</w:t>
      </w:r>
    </w:p>
    <w:p>
      <w:pPr>
        <w:spacing w:after="0" w:line="240" w:lineRule="auto"/>
        <w:jc w:val="left"/>
        <w:sectPr>
          <w:type w:val="continuous"/>
          <w:pgSz w:w="11910" w:h="16840"/>
          <w:pgMar w:top="1060" w:bottom="1160" w:left="980" w:right="940"/>
        </w:sectPr>
      </w:pPr>
    </w:p>
    <w:p>
      <w:pPr>
        <w:spacing w:line="240" w:lineRule="auto" w:before="12"/>
        <w:rPr>
          <w:rFonts w:ascii="宋体" w:hAnsi="宋体" w:cs="宋体" w:eastAsia="宋体" w:hint="default"/>
          <w:sz w:val="20"/>
          <w:szCs w:val="20"/>
        </w:rPr>
      </w:pPr>
    </w:p>
    <w:p>
      <w:pPr>
        <w:spacing w:line="487" w:lineRule="auto" w:before="36"/>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firstLine="360"/>
              <w:jc w:val="both"/>
              <w:rPr>
                <w:rFonts w:ascii="宋体" w:hAnsi="宋体" w:cs="宋体" w:eastAsia="宋体" w:hint="default"/>
                <w:sz w:val="18"/>
                <w:szCs w:val="18"/>
              </w:rPr>
            </w:pPr>
            <w:r>
              <w:rPr>
                <w:rFonts w:ascii="宋体" w:hAnsi="宋体" w:cs="宋体" w:eastAsia="宋体" w:hint="default"/>
                <w:sz w:val="18"/>
                <w:szCs w:val="18"/>
              </w:rPr>
              <w:t>上海北信源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8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8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8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firstLine="360"/>
              <w:jc w:val="both"/>
              <w:rPr>
                <w:rFonts w:ascii="宋体" w:hAnsi="宋体" w:cs="宋体" w:eastAsia="宋体" w:hint="default"/>
                <w:sz w:val="18"/>
                <w:szCs w:val="18"/>
              </w:rPr>
            </w:pPr>
            <w:r>
              <w:rPr>
                <w:rFonts w:ascii="宋体" w:hAnsi="宋体" w:cs="宋体" w:eastAsia="宋体" w:hint="default"/>
                <w:sz w:val="18"/>
                <w:szCs w:val="18"/>
              </w:rPr>
              <w:t>江苏神州信 源系统工程有限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firstLine="360"/>
              <w:jc w:val="both"/>
              <w:rPr>
                <w:rFonts w:ascii="宋体" w:hAnsi="宋体" w:cs="宋体" w:eastAsia="宋体" w:hint="default"/>
                <w:sz w:val="18"/>
                <w:szCs w:val="18"/>
              </w:rPr>
            </w:pPr>
            <w:r>
              <w:rPr>
                <w:rFonts w:ascii="宋体" w:hAnsi="宋体" w:cs="宋体" w:eastAsia="宋体" w:hint="default"/>
                <w:sz w:val="18"/>
                <w:szCs w:val="18"/>
              </w:rPr>
              <w:t>北信源（马 来西亚）信息技 术公司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2"/>
        <w:spacing w:line="477" w:lineRule="auto"/>
        <w:ind w:right="6883"/>
        <w:jc w:val="left"/>
        <w:rPr>
          <w:b w:val="0"/>
          <w:bCs w:val="0"/>
        </w:rPr>
      </w:pPr>
      <w:r>
        <w:rPr>
          <w:rFonts w:ascii="Times New Roman" w:hAnsi="Times New Roman" w:cs="Times New Roman" w:eastAsia="Times New Roman" w:hint="default"/>
          <w:sz w:val="21"/>
          <w:szCs w:val="21"/>
        </w:rPr>
        <w:t>6</w:t>
      </w:r>
      <w:r>
        <w:rPr>
          <w:sz w:val="21"/>
          <w:szCs w:val="21"/>
        </w:rPr>
        <w:t>、其他</w:t>
      </w:r>
      <w:r>
        <w:rPr>
          <w:w w:val="100"/>
          <w:sz w:val="21"/>
          <w:szCs w:val="21"/>
        </w:rPr>
        <w:t> </w:t>
      </w:r>
      <w:r>
        <w:rPr/>
        <w:t>十、与金融工具相关的风险</w:t>
      </w:r>
      <w:r>
        <w:rPr>
          <w:w w:val="99"/>
        </w:rPr>
        <w:t> </w:t>
      </w:r>
      <w:r>
        <w:rPr/>
        <w:t>十一、公允价值的披露</w:t>
      </w:r>
      <w:r>
        <w:rPr>
          <w:b w:val="0"/>
          <w:bCs w:val="0"/>
        </w:rPr>
      </w:r>
    </w:p>
    <w:p>
      <w:pPr>
        <w:pStyle w:val="Heading3"/>
        <w:spacing w:line="240" w:lineRule="auto" w:before="85"/>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b/>
          <w:bCs/>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2" w:right="70" w:firstLine="180"/>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72" w:firstLine="268"/>
              <w:jc w:val="left"/>
              <w:rPr>
                <w:rFonts w:ascii="宋体" w:hAnsi="宋体" w:cs="宋体" w:eastAsia="宋体" w:hint="default"/>
                <w:sz w:val="18"/>
                <w:szCs w:val="18"/>
              </w:rPr>
            </w:pPr>
            <w:r>
              <w:rPr>
                <w:rFonts w:ascii="宋体" w:hAnsi="宋体" w:cs="宋体" w:eastAsia="宋体" w:hint="default"/>
                <w:sz w:val="18"/>
                <w:szCs w:val="18"/>
              </w:rPr>
              <w:t>母公司对本企 业的表决权比例</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firstLine="360"/>
              <w:jc w:val="left"/>
              <w:rPr>
                <w:rFonts w:ascii="宋体" w:hAnsi="宋体" w:cs="宋体" w:eastAsia="宋体" w:hint="default"/>
                <w:sz w:val="18"/>
                <w:szCs w:val="18"/>
              </w:rPr>
            </w:pPr>
            <w:r>
              <w:rPr>
                <w:rFonts w:ascii="宋体" w:hAnsi="宋体" w:cs="宋体" w:eastAsia="宋体" w:hint="default"/>
                <w:sz w:val="18"/>
                <w:szCs w:val="18"/>
              </w:rPr>
              <w:t>北京北信源软 件股份有限公司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266800000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16"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3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关键管理人员亲属</w:t>
            </w:r>
          </w:p>
        </w:tc>
      </w:tr>
    </w:tbl>
    <w:p>
      <w:pPr>
        <w:pStyle w:val="BodyText"/>
        <w:spacing w:line="240" w:lineRule="auto" w:before="49"/>
        <w:ind w:right="0"/>
        <w:jc w:val="left"/>
      </w:pPr>
      <w:r>
        <w:rPr/>
        <w:t>其他说明</w:t>
      </w:r>
    </w:p>
    <w:p>
      <w:pPr>
        <w:pStyle w:val="BodyText"/>
        <w:spacing w:line="240" w:lineRule="auto" w:before="117"/>
        <w:ind w:right="0"/>
        <w:jc w:val="left"/>
      </w:pPr>
      <w:r>
        <w:rPr/>
        <w:t>注</w:t>
      </w:r>
      <w:r>
        <w:rPr>
          <w:spacing w:val="-47"/>
        </w:rPr>
        <w:t> </w:t>
      </w:r>
      <w:r>
        <w:rPr>
          <w:rFonts w:ascii="Times New Roman" w:hAnsi="Times New Roman" w:cs="Times New Roman" w:eastAsia="Times New Roman" w:hint="default"/>
        </w:rPr>
        <w:t>1</w:t>
      </w:r>
      <w:r>
        <w:rPr/>
        <w:t>：王晓娜女士，现任北京北信源软件股份有限公司副总经理，不持有本公司股份。</w:t>
      </w:r>
    </w:p>
    <w:p>
      <w:pPr>
        <w:pStyle w:val="BodyText"/>
        <w:spacing w:line="240" w:lineRule="auto" w:before="101"/>
        <w:ind w:right="0"/>
        <w:jc w:val="left"/>
      </w:pPr>
      <w:r>
        <w:rPr/>
        <w:t>注</w:t>
      </w:r>
      <w:r>
        <w:rPr>
          <w:spacing w:val="-47"/>
        </w:rPr>
        <w:t> </w:t>
      </w:r>
      <w:r>
        <w:rPr>
          <w:rFonts w:ascii="Times New Roman" w:hAnsi="Times New Roman" w:cs="Times New Roman" w:eastAsia="Times New Roman" w:hint="default"/>
        </w:rPr>
        <w:t>2</w:t>
      </w:r>
      <w:r>
        <w:rPr/>
        <w:t>：王晓峰先生，现任上海北信源信息技术有限公司总经理，持有本公司股份比例为</w:t>
      </w:r>
      <w:r>
        <w:rPr>
          <w:spacing w:val="-47"/>
        </w:rPr>
        <w:t> </w:t>
      </w:r>
      <w:r>
        <w:rPr>
          <w:rFonts w:ascii="Times New Roman" w:hAnsi="Times New Roman" w:cs="Times New Roman" w:eastAsia="Times New Roman" w:hint="default"/>
        </w:rPr>
        <w:t>1.58%</w:t>
      </w:r>
      <w:r>
        <w:rPr/>
        <w:t>。</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77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3" w:right="7670"/>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line="487" w:lineRule="auto" w:before="36"/>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right="0"/>
        <w:jc w:val="left"/>
      </w:pPr>
      <w:r>
        <w:rPr/>
        <w:t>资产负债表日存在的重要承诺</w:t>
      </w:r>
    </w:p>
    <w:p>
      <w:pPr>
        <w:pStyle w:val="BodyText"/>
        <w:spacing w:line="240" w:lineRule="auto" w:before="115"/>
        <w:ind w:right="0"/>
        <w:jc w:val="left"/>
      </w:pP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日，本公司无需要披露的重大承诺事项。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截至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spacing w:line="487" w:lineRule="auto" w:before="36"/>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4"/>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1"/>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after="0" w:line="240" w:lineRule="auto"/>
        <w:jc w:val="left"/>
        <w:sectPr>
          <w:pgSz w:w="11910" w:h="16840"/>
          <w:pgMar w:header="877" w:footer="979" w:top="1100" w:bottom="1160" w:left="980" w:right="98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1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08" w:right="27"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280" w:right="98"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7" w:right="103"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6"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5" w:right="107"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 w:right="103" w:firstLine="360"/>
              <w:jc w:val="left"/>
              <w:rPr>
                <w:rFonts w:ascii="宋体" w:hAnsi="宋体" w:cs="宋体" w:eastAsia="宋体" w:hint="default"/>
                <w:sz w:val="18"/>
                <w:szCs w:val="18"/>
              </w:rPr>
            </w:pPr>
            <w:r>
              <w:rPr>
                <w:rFonts w:ascii="宋体" w:hAnsi="宋体" w:cs="宋体" w:eastAsia="宋体" w:hint="default"/>
                <w:sz w:val="18"/>
                <w:szCs w:val="18"/>
              </w:rPr>
              <w:t>计 提比例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5" w:right="48"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5"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1" w:right="101" w:firstLine="18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单项金额重大 并单独计提坏账准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按信用风险特 征组合计提坏账准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212,233.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87,336.8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524,896.6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9,284,8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79,135.33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4" w:right="0"/>
              <w:jc w:val="center"/>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5,726.95</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单项金额不重 大但单独计提坏账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212,233.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87,336.8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524,896.6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9,284,8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22,6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79,135.33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4" w:right="0"/>
              <w:jc w:val="center"/>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5"/>
              <w:ind w:left="247" w:right="0"/>
              <w:jc w:val="center"/>
              <w:rPr>
                <w:rFonts w:ascii="Times New Roman" w:hAnsi="Times New Roman" w:cs="Times New Roman" w:eastAsia="Times New Roman" w:hint="default"/>
                <w:sz w:val="18"/>
                <w:szCs w:val="18"/>
              </w:rPr>
            </w:pPr>
            <w:r>
              <w:rPr>
                <w:rFonts w:ascii="Times New Roman"/>
                <w:sz w:val="18"/>
              </w:rPr>
              <w:t>5,726.95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4" w:space="3815"/>
            <w:col w:w="14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186,845,661.86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9,342,283.09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47,364,034.67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199,450,490.38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9,342,283.09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116,047,533.28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11,604,753.33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38,840,201.26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11,652,060.37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19,114,802.40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11,088,240.02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14,030,673.00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7,015,336.50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5,056,129.40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4,044,903.52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408,212,233.47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43,687,336.81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10.70%</w:t>
            </w:r>
          </w:p>
        </w:tc>
      </w:tr>
    </w:tbl>
    <w:p>
      <w:pPr>
        <w:pStyle w:val="BodyText"/>
        <w:spacing w:line="240" w:lineRule="auto" w:before="49"/>
        <w:ind w:right="0"/>
        <w:jc w:val="left"/>
      </w:pPr>
      <w:r>
        <w:rPr/>
        <w:t>组合中，采用余额百分比法计提坏账准备的应收账款：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9"/>
        </w:rPr>
        <w:t> </w:t>
      </w:r>
      <w:r>
        <w:rPr>
          <w:rFonts w:ascii="Times New Roman" w:hAnsi="Times New Roman" w:cs="Times New Roman" w:eastAsia="Times New Roman" w:hint="default"/>
        </w:rPr>
        <w:t>23,499,695.97</w:t>
      </w:r>
      <w:r>
        <w:rPr>
          <w:rFonts w:ascii="Times New Roman" w:hAnsi="Times New Roman" w:cs="Times New Roman" w:eastAsia="Times New Roman" w:hint="default"/>
          <w:spacing w:val="-1"/>
        </w:rPr>
        <w:t> </w:t>
      </w:r>
      <w:r>
        <w:rPr/>
        <w:t>元；本期收回或转回坏账准备金额元。</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本公司本年按欠款方归集的年末余额前五名应收账款汇总金额</w:t>
      </w:r>
      <w:r>
        <w:rPr>
          <w:spacing w:val="-48"/>
        </w:rPr>
        <w:t> </w:t>
      </w:r>
      <w:r>
        <w:rPr>
          <w:rFonts w:ascii="Times New Roman" w:hAnsi="Times New Roman" w:cs="Times New Roman" w:eastAsia="Times New Roman" w:hint="default"/>
        </w:rPr>
        <w:t>52,568,630.00</w:t>
      </w:r>
      <w:r>
        <w:rPr>
          <w:rFonts w:ascii="Times New Roman" w:hAnsi="Times New Roman" w:cs="Times New Roman" w:eastAsia="Times New Roman" w:hint="default"/>
          <w:spacing w:val="-11"/>
        </w:rPr>
        <w:t> </w:t>
      </w:r>
      <w:r>
        <w:rPr/>
        <w:t>元，占应收账款年末余额合计数的比例</w:t>
      </w:r>
    </w:p>
    <w:p>
      <w:pPr>
        <w:pStyle w:val="BodyText"/>
        <w:spacing w:line="240" w:lineRule="auto" w:before="63"/>
        <w:ind w:left="152" w:right="0"/>
        <w:jc w:val="left"/>
      </w:pPr>
      <w:r>
        <w:rPr>
          <w:rFonts w:ascii="Times New Roman" w:hAnsi="Times New Roman" w:cs="Times New Roman" w:eastAsia="Times New Roman" w:hint="default"/>
        </w:rPr>
        <w:t>12.88%</w:t>
      </w:r>
      <w:r>
        <w:rPr/>
        <w:t>，相应计提的坏账准备年末余额汇总金额</w:t>
      </w:r>
      <w:r>
        <w:rPr>
          <w:spacing w:val="-49"/>
        </w:rPr>
        <w:t> </w:t>
      </w:r>
      <w:r>
        <w:rPr>
          <w:rFonts w:ascii="Times New Roman" w:hAnsi="Times New Roman" w:cs="Times New Roman" w:eastAsia="Times New Roman" w:hint="default"/>
        </w:rPr>
        <w:t>5,982,062.50</w:t>
      </w:r>
      <w:r>
        <w:rPr>
          <w:rFonts w:ascii="Times New Roman" w:hAnsi="Times New Roman" w:cs="Times New Roman" w:eastAsia="Times New Roman" w:hint="default"/>
          <w:spacing w:val="-1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81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08" w:right="27"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80" w:right="98" w:firstLine="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7" w:right="103"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6"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5" w:right="107"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8" w:right="103" w:firstLine="360"/>
              <w:jc w:val="left"/>
              <w:rPr>
                <w:rFonts w:ascii="宋体" w:hAnsi="宋体" w:cs="宋体" w:eastAsia="宋体" w:hint="default"/>
                <w:sz w:val="18"/>
                <w:szCs w:val="18"/>
              </w:rPr>
            </w:pPr>
            <w:r>
              <w:rPr>
                <w:rFonts w:ascii="宋体" w:hAnsi="宋体" w:cs="宋体" w:eastAsia="宋体" w:hint="default"/>
                <w:sz w:val="18"/>
                <w:szCs w:val="18"/>
              </w:rPr>
              <w:t>计 提比例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5" w:right="48" w:firstLine="180"/>
              <w:jc w:val="left"/>
              <w:rPr>
                <w:rFonts w:ascii="宋体" w:hAnsi="宋体" w:cs="宋体" w:eastAsia="宋体" w:hint="default"/>
                <w:sz w:val="18"/>
                <w:szCs w:val="18"/>
              </w:rPr>
            </w:pPr>
            <w:r>
              <w:rPr>
                <w:rFonts w:ascii="宋体" w:hAnsi="宋体" w:cs="宋体" w:eastAsia="宋体" w:hint="default"/>
                <w:sz w:val="18"/>
                <w:szCs w:val="18"/>
              </w:rPr>
              <w:t>金 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5" w:right="103" w:firstLine="180"/>
              <w:jc w:val="left"/>
              <w:rPr>
                <w:rFonts w:ascii="宋体" w:hAnsi="宋体" w:cs="宋体" w:eastAsia="宋体" w:hint="default"/>
                <w:sz w:val="18"/>
                <w:szCs w:val="18"/>
              </w:rPr>
            </w:pPr>
            <w:r>
              <w:rPr>
                <w:rFonts w:ascii="宋体" w:hAnsi="宋体" w:cs="宋体" w:eastAsia="宋体" w:hint="default"/>
                <w:sz w:val="18"/>
                <w:szCs w:val="18"/>
              </w:rPr>
              <w:t>比 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1" w:right="101" w:firstLine="18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单项金额重大 并单独计提坏账准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firstLine="360"/>
              <w:jc w:val="both"/>
              <w:rPr>
                <w:rFonts w:ascii="宋体" w:hAnsi="宋体" w:cs="宋体" w:eastAsia="宋体" w:hint="default"/>
                <w:sz w:val="18"/>
                <w:szCs w:val="18"/>
              </w:rPr>
            </w:pPr>
            <w:r>
              <w:rPr>
                <w:rFonts w:ascii="宋体" w:hAnsi="宋体" w:cs="宋体" w:eastAsia="宋体" w:hint="default"/>
                <w:sz w:val="18"/>
                <w:szCs w:val="18"/>
              </w:rPr>
              <w:t>按信用风险特 征组合计提坏账准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3,619.99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8,031.69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5,588.30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7" w:right="0"/>
              <w:jc w:val="center"/>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657.82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397.58</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firstLine="360"/>
              <w:jc w:val="both"/>
              <w:rPr>
                <w:rFonts w:ascii="宋体" w:hAnsi="宋体" w:cs="宋体" w:eastAsia="宋体" w:hint="default"/>
                <w:sz w:val="18"/>
                <w:szCs w:val="18"/>
              </w:rPr>
            </w:pPr>
            <w:r>
              <w:rPr>
                <w:rFonts w:ascii="宋体" w:hAnsi="宋体" w:cs="宋体" w:eastAsia="宋体" w:hint="default"/>
                <w:sz w:val="18"/>
                <w:szCs w:val="18"/>
              </w:rPr>
              <w:t>单项金额不重 大但单独计提坏账 准备的其他应收款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7" w:right="0"/>
              <w:jc w:val="lef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3,619.99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1"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5" w:right="0"/>
              <w:jc w:val="left"/>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8,031.69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7"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2"/>
              <w:ind w:left="492"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1" w:right="0"/>
              <w:jc w:val="left"/>
              <w:rPr>
                <w:rFonts w:ascii="Times New Roman" w:hAnsi="Times New Roman" w:cs="Times New Roman" w:eastAsia="Times New Roman" w:hint="default"/>
                <w:sz w:val="18"/>
                <w:szCs w:val="18"/>
              </w:rPr>
            </w:pPr>
            <w:r>
              <w:rPr>
                <w:rFonts w:ascii="Times New Roman"/>
                <w:sz w:val="18"/>
              </w:rPr>
              <w:t>7,53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5,588.30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98"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72,055.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5"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7" w:right="0"/>
              <w:jc w:val="center"/>
              <w:rPr>
                <w:rFonts w:ascii="Times New Roman" w:hAnsi="Times New Roman" w:cs="Times New Roman" w:eastAsia="Times New Roman" w:hint="default"/>
                <w:sz w:val="18"/>
                <w:szCs w:val="18"/>
              </w:rPr>
            </w:pPr>
            <w:r>
              <w:rPr>
                <w:rFonts w:ascii="Times New Roman"/>
                <w:sz w:val="18"/>
              </w:rPr>
              <w:t>843,</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657.82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18.06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8" w:right="0"/>
              <w:jc w:val="left"/>
              <w:rPr>
                <w:rFonts w:ascii="Times New Roman" w:hAnsi="Times New Roman" w:cs="Times New Roman" w:eastAsia="Times New Roman" w:hint="default"/>
                <w:sz w:val="18"/>
                <w:szCs w:val="18"/>
              </w:rPr>
            </w:pPr>
            <w:r>
              <w:rPr>
                <w:rFonts w:ascii="Times New Roman"/>
                <w:sz w:val="18"/>
              </w:rPr>
              <w:t>3,828,</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397.58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40</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834" w:space="3635"/>
            <w:col w:w="148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5,456,616.95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272,831.97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1,146,162.48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6,602,779.43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272,831.97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4.13%</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969,314.08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96,929.16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184,370.00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55,311.00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1,047,156.48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842,959.56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182,234.00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109,814.60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87,851.68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572,873.88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572,873.88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8,803,619.99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1,268,031.69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14.40%</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376"/>
        <w:gridCol w:w="2158"/>
        <w:gridCol w:w="2391"/>
        <w:gridCol w:w="2290"/>
      </w:tblGrid>
      <w:tr>
        <w:trPr>
          <w:trHeight w:val="434" w:hRule="exact"/>
        </w:trPr>
        <w:tc>
          <w:tcPr>
            <w:tcW w:w="2376" w:type="dxa"/>
            <w:vMerge w:val="restart"/>
            <w:tcBorders>
              <w:top w:val="single" w:sz="6" w:space="0" w:color="000000"/>
              <w:left w:val="single" w:sz="6" w:space="0" w:color="000000"/>
              <w:right w:val="single" w:sz="6"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83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left="36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32" w:hRule="exact"/>
        </w:trPr>
        <w:tc>
          <w:tcPr>
            <w:tcW w:w="2376" w:type="dxa"/>
            <w:vMerge/>
            <w:tcBorders>
              <w:left w:val="single" w:sz="6" w:space="0" w:color="000000"/>
              <w:bottom w:val="single" w:sz="12" w:space="0" w:color="000000"/>
              <w:right w:val="single" w:sz="6" w:space="0" w:color="000000"/>
            </w:tcBorders>
          </w:tcPr>
          <w:p>
            <w:pP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3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63" w:right="0"/>
              <w:jc w:val="left"/>
              <w:rPr>
                <w:rFonts w:ascii="Times New Roman" w:hAnsi="Times New Roman" w:cs="Times New Roman" w:eastAsia="Times New Roman" w:hint="default"/>
                <w:sz w:val="18"/>
                <w:szCs w:val="18"/>
              </w:rPr>
            </w:pPr>
            <w:r>
              <w:rPr>
                <w:rFonts w:ascii="Times New Roman"/>
                <w:sz w:val="18"/>
              </w:rPr>
              <w:t>1,146,162.48</w:t>
            </w:r>
          </w:p>
        </w:tc>
        <w:tc>
          <w:tcPr>
            <w:tcW w:w="2391" w:type="dxa"/>
            <w:tcBorders>
              <w:top w:val="single" w:sz="12" w:space="0" w:color="000000"/>
              <w:left w:val="single" w:sz="6" w:space="0" w:color="000000"/>
              <w:bottom w:val="single" w:sz="12" w:space="0" w:color="000000"/>
              <w:right w:val="single" w:sz="6" w:space="0" w:color="000000"/>
            </w:tcBorders>
          </w:tcPr>
          <w:p>
            <w:pPr/>
          </w:p>
        </w:tc>
        <w:tc>
          <w:tcPr>
            <w:tcW w:w="22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0.00</w:t>
            </w:r>
          </w:p>
        </w:tc>
      </w:tr>
      <w:tr>
        <w:trPr>
          <w:trHeight w:val="43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63" w:right="0"/>
              <w:jc w:val="left"/>
              <w:rPr>
                <w:rFonts w:ascii="Times New Roman" w:hAnsi="Times New Roman" w:cs="Times New Roman" w:eastAsia="Times New Roman" w:hint="default"/>
                <w:sz w:val="18"/>
                <w:szCs w:val="18"/>
              </w:rPr>
            </w:pPr>
            <w:r>
              <w:rPr>
                <w:rFonts w:ascii="Times New Roman"/>
                <w:sz w:val="18"/>
              </w:rPr>
              <w:t>1,146,162.48</w:t>
            </w:r>
          </w:p>
        </w:tc>
        <w:tc>
          <w:tcPr>
            <w:tcW w:w="2391" w:type="dxa"/>
            <w:tcBorders>
              <w:top w:val="single" w:sz="12" w:space="0" w:color="000000"/>
              <w:left w:val="single" w:sz="6" w:space="0" w:color="000000"/>
              <w:bottom w:val="single" w:sz="12" w:space="0" w:color="000000"/>
              <w:right w:val="single" w:sz="6" w:space="0" w:color="000000"/>
            </w:tcBorders>
          </w:tcPr>
          <w:p>
            <w:pPr/>
          </w:p>
        </w:tc>
        <w:tc>
          <w:tcPr>
            <w:tcW w:w="22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1,146,162.48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1,144,204.98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232,923.00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266,287.00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员工保险费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120,622.35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49,729.29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163,825.20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125,439.20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2,527,060.99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1,745,265.39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704,698.67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625,179.17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2,890,000.00</w:t>
            </w: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1,018,327.30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679,734.37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36,216.00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8,803,619.99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4,672,055.40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102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5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08"/>
              <w:jc w:val="right"/>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firstLine="360"/>
              <w:jc w:val="left"/>
              <w:rPr>
                <w:rFonts w:ascii="宋体" w:hAnsi="宋体" w:cs="宋体" w:eastAsia="宋体" w:hint="default"/>
                <w:sz w:val="18"/>
                <w:szCs w:val="18"/>
              </w:rPr>
            </w:pPr>
            <w:r>
              <w:rPr>
                <w:rFonts w:ascii="宋体" w:hAnsi="宋体" w:cs="宋体" w:eastAsia="宋体" w:hint="default"/>
                <w:sz w:val="18"/>
                <w:szCs w:val="18"/>
              </w:rPr>
              <w:t>占其他应收款 期末余额合计数的</w:t>
            </w:r>
          </w:p>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23" w:right="79" w:hanging="18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firstLine="360"/>
              <w:jc w:val="left"/>
              <w:rPr>
                <w:rFonts w:ascii="宋体" w:hAnsi="宋体" w:cs="宋体" w:eastAsia="宋体" w:hint="default"/>
                <w:sz w:val="18"/>
                <w:szCs w:val="18"/>
              </w:rPr>
            </w:pPr>
            <w:r>
              <w:rPr>
                <w:rFonts w:ascii="宋体" w:hAnsi="宋体" w:cs="宋体" w:eastAsia="宋体" w:hint="default"/>
                <w:sz w:val="18"/>
                <w:szCs w:val="18"/>
              </w:rPr>
              <w:t>北京市经济和信 息化委员会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国网物资有限公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firstLine="360"/>
              <w:jc w:val="left"/>
              <w:rPr>
                <w:rFonts w:ascii="宋体" w:hAnsi="宋体" w:cs="宋体" w:eastAsia="宋体" w:hint="default"/>
                <w:sz w:val="18"/>
                <w:szCs w:val="18"/>
              </w:rPr>
            </w:pPr>
            <w:r>
              <w:rPr>
                <w:rFonts w:ascii="宋体" w:hAnsi="宋体" w:cs="宋体" w:eastAsia="宋体" w:hint="default"/>
                <w:sz w:val="18"/>
                <w:szCs w:val="18"/>
              </w:rPr>
              <w:t>国网国际招标有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黄河农村商业银</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155,964.11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13,217.94</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59"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3,705,964.11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28"/>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290,717.94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6"/>
        <w:jc w:val="right"/>
      </w:pPr>
      <w:r>
        <w:rPr/>
        <w:pict>
          <v:shape style="position:absolute;margin-left:56.400002pt;margin-top:-52.088261pt;width:479.3pt;height:118.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6"/>
                    <w:gridCol w:w="1865"/>
                    <w:gridCol w:w="1868"/>
                    <w:gridCol w:w="1867"/>
                    <w:gridCol w:w="1945"/>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8" w:right="65" w:hanging="92"/>
                          <w:jc w:val="left"/>
                          <w:rPr>
                            <w:rFonts w:ascii="宋体" w:hAnsi="宋体" w:cs="宋体" w:eastAsia="宋体" w:hint="default"/>
                            <w:sz w:val="18"/>
                            <w:szCs w:val="18"/>
                          </w:rPr>
                        </w:pPr>
                        <w:r>
                          <w:rPr>
                            <w:rFonts w:ascii="宋体" w:hAnsi="宋体" w:cs="宋体" w:eastAsia="宋体" w:hint="default"/>
                            <w:sz w:val="18"/>
                            <w:szCs w:val="18"/>
                          </w:rPr>
                          <w:t>预计收取的时间、 金额及依据</w:t>
                        </w:r>
                      </w:p>
                    </w:tc>
                  </w:tr>
                  <w:tr>
                    <w:trPr>
                      <w:trHeight w:val="164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89" w:firstLine="360"/>
                          <w:jc w:val="left"/>
                          <w:rPr>
                            <w:rFonts w:ascii="宋体" w:hAnsi="宋体" w:cs="宋体" w:eastAsia="宋体" w:hint="default"/>
                            <w:sz w:val="18"/>
                            <w:szCs w:val="18"/>
                          </w:rPr>
                        </w:pPr>
                        <w:r>
                          <w:rPr>
                            <w:rFonts w:ascii="宋体" w:hAnsi="宋体" w:cs="宋体" w:eastAsia="宋体" w:hint="default"/>
                            <w:sz w:val="18"/>
                            <w:szCs w:val="18"/>
                          </w:rPr>
                          <w:t>北京市经济和信息 化委员会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16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年中关村现 代服务业试点项目</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90" w:right="0"/>
                          <w:jc w:val="left"/>
                          <w:rPr>
                            <w:rFonts w:ascii="Times New Roman" w:hAnsi="Times New Roman" w:cs="Times New Roman" w:eastAsia="Times New Roman" w:hint="default"/>
                            <w:sz w:val="18"/>
                            <w:szCs w:val="18"/>
                          </w:rPr>
                        </w:pPr>
                        <w:r>
                          <w:rPr>
                            <w:rFonts w:ascii="Times New Roman"/>
                            <w:sz w:val="18"/>
                          </w:rPr>
                          <w:t>2,890,000.00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宋体" w:hAnsi="宋体" w:cs="宋体" w:eastAsia="宋体" w:hint="default"/>
                            <w:sz w:val="18"/>
                            <w:szCs w:val="18"/>
                          </w:rPr>
                        </w:pPr>
                        <w:r>
                          <w:rPr>
                            <w:rFonts w:ascii="宋体" w:hAnsi="宋体" w:cs="宋体" w:eastAsia="宋体" w:hint="default"/>
                            <w:sz w:val="18"/>
                            <w:szCs w:val="18"/>
                          </w:rPr>
                          <w:t>预计收取时间：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月，收取金额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元，收取依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据：京财经一指</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
              </w:txbxContent>
            </v:textbox>
            <w10:wrap type="none"/>
          </v:shape>
        </w:pict>
      </w:r>
      <w:r>
        <w:rPr/>
        <w:t>：</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9"/>
        <w:gridCol w:w="1866"/>
        <w:gridCol w:w="1945"/>
      </w:tblGrid>
      <w:tr>
        <w:trPr>
          <w:trHeight w:val="40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2" w:right="0"/>
              <w:jc w:val="center"/>
              <w:rPr>
                <w:rFonts w:ascii="Times New Roman" w:hAnsi="Times New Roman" w:cs="Times New Roman" w:eastAsia="Times New Roman" w:hint="default"/>
                <w:sz w:val="18"/>
                <w:szCs w:val="18"/>
              </w:rPr>
            </w:pPr>
            <w:r>
              <w:rPr>
                <w:rFonts w:ascii="Times New Roman"/>
                <w:sz w:val="18"/>
              </w:rPr>
              <w:t>--</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2,890,000.00</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8" w:right="0"/>
              <w:jc w:val="center"/>
              <w:rPr>
                <w:rFonts w:ascii="Times New Roman" w:hAnsi="Times New Roman" w:cs="Times New Roman" w:eastAsia="Times New Roman" w:hint="default"/>
                <w:sz w:val="18"/>
                <w:szCs w:val="18"/>
              </w:rPr>
            </w:pPr>
            <w:r>
              <w:rPr>
                <w:rFonts w:ascii="Times New Roman"/>
                <w:sz w:val="18"/>
              </w:rPr>
              <w:t>--</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对子公司投</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firstLine="360"/>
              <w:jc w:val="left"/>
              <w:rPr>
                <w:rFonts w:ascii="宋体" w:hAnsi="宋体" w:cs="宋体" w:eastAsia="宋体" w:hint="default"/>
                <w:sz w:val="18"/>
                <w:szCs w:val="18"/>
              </w:rPr>
            </w:pPr>
            <w:r>
              <w:rPr>
                <w:rFonts w:ascii="宋体" w:hAnsi="宋体" w:cs="宋体" w:eastAsia="宋体" w:hint="default"/>
                <w:sz w:val="18"/>
                <w:szCs w:val="18"/>
              </w:rPr>
              <w:t>对联营、合 营企业投资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9" w:right="58"/>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9" w:right="59"/>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firstLine="360"/>
              <w:jc w:val="both"/>
              <w:rPr>
                <w:rFonts w:ascii="宋体" w:hAnsi="宋体" w:cs="宋体" w:eastAsia="宋体" w:hint="default"/>
                <w:sz w:val="18"/>
                <w:szCs w:val="18"/>
              </w:rPr>
            </w:pPr>
            <w:r>
              <w:rPr>
                <w:rFonts w:ascii="宋体" w:hAnsi="宋体" w:cs="宋体" w:eastAsia="宋体" w:hint="default"/>
                <w:sz w:val="18"/>
                <w:szCs w:val="18"/>
              </w:rPr>
              <w:t>江苏神州信 源系统工程有限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firstLine="360"/>
              <w:jc w:val="both"/>
              <w:rPr>
                <w:rFonts w:ascii="宋体" w:hAnsi="宋体" w:cs="宋体" w:eastAsia="宋体" w:hint="default"/>
                <w:sz w:val="18"/>
                <w:szCs w:val="18"/>
              </w:rPr>
            </w:pPr>
            <w:r>
              <w:rPr>
                <w:rFonts w:ascii="宋体" w:hAnsi="宋体" w:cs="宋体" w:eastAsia="宋体" w:hint="default"/>
                <w:spacing w:val="-9"/>
                <w:sz w:val="18"/>
                <w:szCs w:val="18"/>
              </w:rPr>
              <w:t>北信源（马来</w:t>
            </w:r>
            <w:r>
              <w:rPr>
                <w:rFonts w:ascii="宋体" w:hAnsi="宋体" w:cs="宋体" w:eastAsia="宋体" w:hint="default"/>
                <w:sz w:val="18"/>
                <w:szCs w:val="18"/>
              </w:rPr>
              <w:t> </w:t>
            </w:r>
            <w:r>
              <w:rPr>
                <w:rFonts w:ascii="宋体" w:hAnsi="宋体" w:cs="宋体" w:eastAsia="宋体" w:hint="default"/>
                <w:spacing w:val="-7"/>
                <w:sz w:val="18"/>
                <w:szCs w:val="18"/>
              </w:rPr>
              <w:t>西亚）信息技术公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firstLine="360"/>
              <w:jc w:val="both"/>
              <w:rPr>
                <w:rFonts w:ascii="宋体" w:hAnsi="宋体" w:cs="宋体" w:eastAsia="宋体" w:hint="default"/>
                <w:sz w:val="18"/>
                <w:szCs w:val="18"/>
              </w:rPr>
            </w:pPr>
            <w:r>
              <w:rPr>
                <w:rFonts w:ascii="宋体" w:hAnsi="宋体" w:cs="宋体" w:eastAsia="宋体" w:hint="default"/>
                <w:sz w:val="18"/>
                <w:szCs w:val="18"/>
              </w:rPr>
              <w:t>上海北信源 信息技术有限公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9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227,852,426.00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13,004,509.67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178,272,522.54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9,436,393.42</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3,809,410.06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2,668,592.73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20,443,057.30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20,033,504.53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231,661,836.06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15,673,102.40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198,715,579.84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29,469,897.95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24"/>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8" w:firstLine="36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 务密切相关，按照国家统一标准定额或定 量享受的政府补助除外）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3" w:right="0"/>
              <w:jc w:val="left"/>
              <w:rPr>
                <w:rFonts w:ascii="宋体" w:hAnsi="宋体" w:cs="宋体" w:eastAsia="宋体" w:hint="default"/>
                <w:sz w:val="18"/>
                <w:szCs w:val="18"/>
              </w:rPr>
            </w:pPr>
            <w:r>
              <w:rPr>
                <w:rFonts w:ascii="宋体" w:hAnsi="宋体" w:cs="宋体" w:eastAsia="宋体" w:hint="default"/>
                <w:sz w:val="18"/>
                <w:szCs w:val="18"/>
              </w:rPr>
              <w:t>政府补贴款</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62,348.00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291,727.98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2,792,879.71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344"/>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3" w:right="0"/>
              <w:jc w:val="left"/>
              <w:rPr>
                <w:rFonts w:ascii="宋体" w:hAnsi="宋体" w:cs="宋体" w:eastAsia="宋体" w:hint="default"/>
                <w:sz w:val="18"/>
                <w:szCs w:val="18"/>
              </w:rPr>
            </w:pPr>
            <w:r>
              <w:rPr>
                <w:rFonts w:ascii="宋体" w:hAnsi="宋体" w:cs="宋体" w:eastAsia="宋体" w:hint="default"/>
                <w:sz w:val="18"/>
                <w:szCs w:val="18"/>
              </w:rPr>
              <w:t>涉及金额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6,701,161.54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firstLine="360"/>
              <w:jc w:val="both"/>
              <w:rPr>
                <w:rFonts w:ascii="宋体" w:hAnsi="宋体" w:cs="宋体" w:eastAsia="宋体" w:hint="default"/>
                <w:sz w:val="18"/>
                <w:szCs w:val="18"/>
              </w:rPr>
            </w:pPr>
            <w:r>
              <w:rPr>
                <w:rFonts w:ascii="宋体" w:hAnsi="宋体" w:cs="宋体" w:eastAsia="宋体" w:hint="default"/>
                <w:sz w:val="18"/>
                <w:szCs w:val="18"/>
              </w:rPr>
              <w:t>依据国家对软件行业的总体政策导 向，预期软件增值税退税的税收优惠政 策将在较长时期内保持稳定，故定义为 经常性损益。</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383"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71" w:hRule="exact"/>
        </w:trPr>
        <w:tc>
          <w:tcPr>
            <w:tcW w:w="2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05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81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67"/>
              <w:ind w:left="772" w:right="24" w:hanging="387"/>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67"/>
              <w:ind w:left="773" w:right="24" w:hanging="387"/>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r>
      <w:tr>
        <w:trPr>
          <w:trHeight w:val="362"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0.250</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firstLine="360"/>
              <w:jc w:val="left"/>
              <w:rPr>
                <w:rFonts w:ascii="宋体" w:hAnsi="宋体" w:cs="宋体" w:eastAsia="宋体" w:hint="default"/>
                <w:sz w:val="18"/>
                <w:szCs w:val="18"/>
              </w:rPr>
            </w:pPr>
            <w:r>
              <w:rPr>
                <w:rFonts w:ascii="宋体" w:hAnsi="宋体" w:cs="宋体" w:eastAsia="宋体" w:hint="default"/>
                <w:sz w:val="18"/>
                <w:szCs w:val="18"/>
              </w:rPr>
              <w:t>扣除非经常性损益后归属于 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t>公司根据财政部</w:t>
      </w:r>
      <w:r>
        <w:rPr>
          <w:spacing w:val="-47"/>
        </w:rPr>
        <w:t> </w:t>
      </w:r>
      <w:r>
        <w:rPr>
          <w:rFonts w:ascii="Times New Roman" w:hAnsi="Times New Roman" w:cs="Times New Roman" w:eastAsia="Times New Roman" w:hint="default"/>
        </w:rPr>
        <w:t>2014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w:t>
      </w:r>
    </w:p>
    <w:p>
      <w:pPr>
        <w:pStyle w:val="BodyText"/>
        <w:spacing w:line="240" w:lineRule="auto" w:before="63"/>
        <w:ind w:left="152" w:right="0"/>
        <w:jc w:val="left"/>
      </w:pPr>
      <w:r>
        <w:rPr/>
        <w:t>较财务报表进行了追溯重述，重述后的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日合并资产负债表如下：</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433,283,917.03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386,489,984.84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304,505,016.49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720"/>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且其变动计入当期损益的 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590,680.00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2,694,850.60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155,445,282.25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246,081,382.46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359,960,646.14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17,219,704.67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10,224,970.31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9,952,397.69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应收分保合同准</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3,745,955.12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5,947,771.60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10,100,188.98</w:t>
            </w:r>
          </w:p>
        </w:tc>
      </w:tr>
      <w:tr>
        <w:trPr>
          <w:trHeight w:val="71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买入返售金融资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5"/>
              <w:jc w:val="center"/>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4,309,216.00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5,240,399.17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10,248,073.02</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划分为持有待售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的资产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37,946.17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91,716.29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1,759,642.90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3,511,229.96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4,390,282.55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616,001,664.14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658,086,418.34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701,943,171.76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发放贷款及垫款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13,777,188.93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16,319,042.11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45,696,096.80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1,309,835.65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967,927.88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2,075,438.05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9,416,533.82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5"/>
              <w:jc w:val="center"/>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1,618,710.22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1,270,771.58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2,180,057.33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2,616,093.75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4,101,521.40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6,464,838.10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19,819,423.00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13,911,106.00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19,321,828.55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47,478,685.97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89,744,070.10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635,323,492.69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705,565,104.31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791,687,241.86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吸收存款及同业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720"/>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且其变动计入当期损益的 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7,860,412.95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10,578,062.83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18,105,411.20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4,664,813.66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2,234,472.13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1,658,492.26</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卖出回购金融资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应付手续费及佣</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28,333,515.78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43,559,779.50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68,272,983.51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2,269,201.10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1,546,000.87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2,255,615.15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划分为持有待售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的负债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43,127,943.49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57,918,315.33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90,292,502.12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1"/>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长期应付职工薪</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43,127,943.49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57,918,315.33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90,292,502.12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5"/>
              <w:jc w:val="center"/>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66,700,000.00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266,800,000.00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1"/>
              <w:jc w:val="righ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379,701,212.81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314,001,212.81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180,601,212.81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-905,934.78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16,159,219.86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22,921,035.11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30,079,145.19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129,635,116.53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177,324,541.06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224,820,316.52</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left"/>
              <w:rPr>
                <w:rFonts w:ascii="宋体" w:hAnsi="宋体" w:cs="宋体" w:eastAsia="宋体" w:hint="default"/>
                <w:sz w:val="18"/>
                <w:szCs w:val="18"/>
              </w:rPr>
            </w:pPr>
            <w:r>
              <w:rPr>
                <w:rFonts w:ascii="宋体" w:hAnsi="宋体" w:cs="宋体" w:eastAsia="宋体" w:hint="default"/>
                <w:sz w:val="18"/>
                <w:szCs w:val="18"/>
              </w:rPr>
              <w:t>归属于母公司所有者 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592,195,549.20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647,646,788.98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701,394,739.74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592,195,549.20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647,646,788.98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701,394,739.74</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负债和所有者权益总</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635,323,492.69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705,565,104.31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791,687,241.86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877" w:footer="979" w:top="1100" w:bottom="1160" w:left="980" w:right="9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768" w:right="0"/>
        <w:jc w:val="left"/>
        <w:rPr>
          <w:b w:val="0"/>
          <w:bCs w:val="0"/>
        </w:rPr>
      </w:pPr>
      <w:bookmarkStart w:name="_TOC_250000" w:id="10"/>
      <w:r>
        <w:rPr/>
        <w:t>第十节</w:t>
      </w:r>
      <w:r>
        <w:rPr>
          <w:spacing w:val="-6"/>
        </w:rPr>
        <w:t> </w:t>
      </w:r>
      <w:r>
        <w:rPr/>
        <w:t>备查文件目录</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413"/>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四、载有公司法定代表人签名的公司</w:t>
      </w:r>
      <w:r>
        <w:rPr>
          <w:rFonts w:ascii="Times New Roman" w:hAnsi="Times New Roman" w:cs="Times New Roman" w:eastAsia="Times New Roman" w:hint="default"/>
        </w:rPr>
        <w:t>2014</w:t>
      </w:r>
      <w:r>
        <w:rPr/>
        <w:t>年年度报告文本原件</w:t>
      </w:r>
    </w:p>
    <w:p>
      <w:pPr>
        <w:spacing w:after="0" w:line="316" w:lineRule="auto"/>
        <w:jc w:val="left"/>
        <w:sectPr>
          <w:pgSz w:w="11910" w:h="16840"/>
          <w:pgMar w:header="877" w:footer="979" w:top="1100" w:bottom="1160" w:left="980" w:right="980"/>
        </w:sectPr>
      </w:pPr>
    </w:p>
    <w:p>
      <w:pPr>
        <w:spacing w:line="240" w:lineRule="auto" w:before="5"/>
        <w:rPr>
          <w:rFonts w:ascii="Times New Roman" w:hAnsi="Times New Roman" w:cs="Times New Roman" w:eastAsia="Times New Roman" w:hint="default"/>
          <w:sz w:val="17"/>
          <w:szCs w:val="17"/>
        </w:rPr>
      </w:pPr>
    </w:p>
    <w:sectPr>
      <w:pgSz w:w="11910" w:h="16840"/>
      <w:pgMar w:header="877"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725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25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725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725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725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725512" type="#_x0000_t202" filled="false" stroked="false">
          <v:textbox inset="0,0,0,0">
            <w:txbxContent>
              <w:p>
                <w:pPr>
                  <w:pStyle w:val="BodyText"/>
                  <w:spacing w:line="214" w:lineRule="exact"/>
                  <w:ind w:left="20" w:right="0"/>
                  <w:jc w:val="left"/>
                </w:pPr>
                <w:r>
                  <w:rPr/>
                  <w:t>北京北信源软件股份有限公司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254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25440" type="#_x0000_t202" filled="false" stroked="false">
          <v:textbox inset="0,0,0,0">
            <w:txbxContent>
              <w:p>
                <w:pPr>
                  <w:pStyle w:val="BodyText"/>
                  <w:spacing w:line="214" w:lineRule="exact"/>
                  <w:ind w:left="20" w:right="0"/>
                  <w:jc w:val="left"/>
                </w:pPr>
                <w:r>
                  <w:rPr/>
                  <w:t>北京北信源软件股份有限公司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635"/>
    </w:pPr>
    <w:rPr>
      <w:rFonts w:ascii="宋体" w:hAnsi="宋体" w:eastAsia="宋体"/>
      <w:b/>
      <w:bCs/>
      <w:sz w:val="24"/>
      <w:szCs w:val="24"/>
    </w:rPr>
  </w:style>
  <w:style w:styleId="BodyText" w:type="paragraph">
    <w:name w:val="Body Text"/>
    <w:basedOn w:val="Normal"/>
    <w:uiPriority w:val="1"/>
    <w:qFormat/>
    <w:pPr>
      <w:ind w:left="513"/>
    </w:pPr>
    <w:rPr>
      <w:rFonts w:ascii="宋体" w:hAnsi="宋体" w:eastAsia="宋体"/>
      <w:sz w:val="18"/>
      <w:szCs w:val="18"/>
    </w:rPr>
  </w:style>
  <w:style w:styleId="Heading1" w:type="paragraph">
    <w:name w:val="Heading 1"/>
    <w:basedOn w:val="Normal"/>
    <w:uiPriority w:val="1"/>
    <w:qFormat/>
    <w:pPr>
      <w:ind w:left="3910"/>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eb.vrv.com.cn/" TargetMode="External"/><Relationship Id="rId11" Type="http://schemas.openxmlformats.org/officeDocument/2006/relationships/hyperlink" Target="mailto:vrvzq@vrvmail.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北京北信源软件股份有限公司</dc:creator>
  <dc:title>北京北信源软件股份有限公司2014年年度报告</dc:title>
  <dcterms:created xsi:type="dcterms:W3CDTF">2020-05-06T19:34:24Z</dcterms:created>
  <dcterms:modified xsi:type="dcterms:W3CDTF">2020-05-06T19:34:24Z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Creator">
    <vt:lpwstr>Microsoft® Word 2010</vt:lpwstr>
  </property>
  <property fmtid="{D5CDD505-2E9C-101B-9397-08002B2CF9AE}" pid="4" name="LastSaved">
    <vt:filetime>2020-05-06T00:00:00Z</vt:filetime>
  </property>
</Properties>
</file>